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20" w:lineRule="exact"/>
        <w:ind w:right="-48" w:rightChars="-23"/>
        <w:rPr>
          <w:rFonts w:ascii="文鼎大标宋简" w:hAnsi="华文中宋" w:eastAsia="文鼎大标宋简"/>
          <w:b/>
          <w:spacing w:val="4"/>
          <w:w w:val="90"/>
        </w:rPr>
      </w:pPr>
      <w:bookmarkStart w:id="0" w:name="_Toc19024"/>
      <w:bookmarkStart w:id="1" w:name="_Toc12043"/>
      <w:bookmarkStart w:id="2" w:name="_Toc27758105"/>
      <w:bookmarkStart w:id="3" w:name="_Toc518655787"/>
      <w:bookmarkStart w:id="4" w:name="_Toc49845975"/>
    </w:p>
    <w:p>
      <w:pPr>
        <w:spacing w:line="1000" w:lineRule="exact"/>
        <w:ind w:right="-48" w:rightChars="-23"/>
        <w:jc w:val="center"/>
        <w:rPr>
          <w:rFonts w:hint="eastAsia"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rPr>
        <w:t>济南轻卡制造公司二期纯电皮卡安规检测</w:t>
      </w:r>
    </w:p>
    <w:p>
      <w:pPr>
        <w:spacing w:line="1000" w:lineRule="exact"/>
        <w:ind w:right="-48" w:rightChars="-23"/>
        <w:jc w:val="center"/>
        <w:rPr>
          <w:rFonts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rPr>
        <w:t>项目</w:t>
      </w:r>
    </w:p>
    <w:p>
      <w:pPr>
        <w:spacing w:line="1000" w:lineRule="exact"/>
        <w:ind w:right="-48" w:rightChars="-23"/>
        <w:jc w:val="center"/>
        <w:rPr>
          <w:rFonts w:ascii="文鼎大标宋简" w:hAnsi="华文中宋" w:eastAsia="文鼎大标宋简"/>
          <w:b/>
          <w:spacing w:val="4"/>
          <w:w w:val="90"/>
          <w:sz w:val="52"/>
          <w:szCs w:val="52"/>
        </w:rPr>
      </w:pPr>
    </w:p>
    <w:p>
      <w:pPr>
        <w:jc w:val="center"/>
        <w:rPr>
          <w:rFonts w:ascii="文鼎大标宋简" w:hAnsi="华文中宋" w:eastAsia="文鼎大标宋简"/>
          <w:spacing w:val="4"/>
          <w:w w:val="90"/>
          <w:sz w:val="28"/>
          <w:szCs w:val="28"/>
        </w:rPr>
      </w:pPr>
    </w:p>
    <w:p>
      <w:pPr>
        <w:jc w:val="center"/>
        <w:rPr>
          <w:rFonts w:ascii="宋体"/>
          <w:b/>
          <w:sz w:val="96"/>
          <w:szCs w:val="96"/>
        </w:rPr>
      </w:pPr>
      <w:r>
        <w:rPr>
          <w:rFonts w:hint="eastAsia" w:ascii="宋体" w:hAnsi="宋体"/>
          <w:b/>
          <w:sz w:val="96"/>
          <w:szCs w:val="96"/>
        </w:rPr>
        <w:t>招标文件</w:t>
      </w:r>
    </w:p>
    <w:p>
      <w:pPr>
        <w:spacing w:line="360" w:lineRule="auto"/>
        <w:jc w:val="center"/>
        <w:rPr>
          <w:rFonts w:ascii="黑体" w:eastAsia="黑体"/>
          <w:sz w:val="48"/>
          <w:szCs w:val="48"/>
        </w:rPr>
      </w:pPr>
    </w:p>
    <w:p>
      <w:pPr>
        <w:spacing w:line="360" w:lineRule="auto"/>
        <w:jc w:val="center"/>
        <w:rPr>
          <w:rFonts w:ascii="黑体" w:eastAsia="黑体"/>
          <w:sz w:val="48"/>
          <w:szCs w:val="48"/>
        </w:rPr>
      </w:pPr>
    </w:p>
    <w:p>
      <w:pPr>
        <w:spacing w:line="360" w:lineRule="auto"/>
        <w:jc w:val="center"/>
        <w:rPr>
          <w:rFonts w:ascii="黑体" w:eastAsia="黑体"/>
          <w:sz w:val="48"/>
          <w:szCs w:val="48"/>
        </w:rPr>
      </w:pPr>
    </w:p>
    <w:p>
      <w:pPr>
        <w:spacing w:line="360" w:lineRule="auto"/>
        <w:jc w:val="center"/>
        <w:rPr>
          <w:rFonts w:ascii="黑体" w:eastAsia="黑体"/>
          <w:sz w:val="48"/>
          <w:szCs w:val="48"/>
        </w:rPr>
      </w:pPr>
    </w:p>
    <w:p>
      <w:pPr>
        <w:spacing w:line="360" w:lineRule="auto"/>
        <w:jc w:val="center"/>
        <w:rPr>
          <w:rFonts w:hint="default" w:ascii="黑体" w:eastAsia="黑体"/>
          <w:sz w:val="48"/>
          <w:szCs w:val="48"/>
          <w:lang w:val="en-US" w:eastAsia="zh-CN"/>
        </w:rPr>
      </w:pPr>
      <w:r>
        <w:rPr>
          <w:rFonts w:hint="eastAsia" w:ascii="黑体" w:eastAsia="黑体"/>
          <w:sz w:val="28"/>
        </w:rPr>
        <w:t>招标方：</w:t>
      </w:r>
      <w:r>
        <w:rPr>
          <w:rFonts w:hint="eastAsia" w:ascii="黑体" w:eastAsia="黑体"/>
          <w:sz w:val="28"/>
          <w:lang w:val="en-US" w:eastAsia="zh-CN"/>
        </w:rPr>
        <w:t>重汽（济南）轻卡有限公司</w:t>
      </w:r>
    </w:p>
    <w:p>
      <w:pPr>
        <w:spacing w:line="360" w:lineRule="auto"/>
        <w:jc w:val="center"/>
        <w:rPr>
          <w:rFonts w:ascii="黑体" w:eastAsia="黑体"/>
          <w:sz w:val="48"/>
          <w:szCs w:val="48"/>
        </w:rPr>
      </w:pPr>
    </w:p>
    <w:p>
      <w:pPr>
        <w:spacing w:line="360" w:lineRule="auto"/>
        <w:jc w:val="center"/>
        <w:rPr>
          <w:rFonts w:ascii="宋体" w:hAnsi="宋体" w:cs="宋体"/>
          <w:b/>
          <w:bCs/>
          <w:sz w:val="36"/>
          <w:szCs w:val="36"/>
        </w:rPr>
      </w:pPr>
      <w:r>
        <w:rPr>
          <w:rFonts w:ascii="黑体" w:eastAsia="黑体"/>
          <w:sz w:val="28"/>
          <w:highlight w:val="none"/>
        </w:rPr>
        <w:t>20</w:t>
      </w:r>
      <w:r>
        <w:rPr>
          <w:rFonts w:hint="eastAsia" w:ascii="黑体" w:eastAsia="黑体"/>
          <w:sz w:val="28"/>
          <w:highlight w:val="none"/>
        </w:rPr>
        <w:t>2</w:t>
      </w:r>
      <w:r>
        <w:rPr>
          <w:rFonts w:hint="eastAsia" w:ascii="黑体" w:eastAsia="黑体"/>
          <w:sz w:val="28"/>
          <w:highlight w:val="none"/>
          <w:lang w:val="en-US" w:eastAsia="zh-CN"/>
        </w:rPr>
        <w:t>3</w:t>
      </w:r>
      <w:r>
        <w:rPr>
          <w:rFonts w:hint="eastAsia" w:ascii="黑体" w:eastAsia="黑体"/>
          <w:sz w:val="28"/>
          <w:highlight w:val="none"/>
        </w:rPr>
        <w:t>年</w:t>
      </w:r>
      <w:r>
        <w:rPr>
          <w:rFonts w:hint="eastAsia" w:ascii="黑体" w:eastAsia="黑体"/>
          <w:sz w:val="28"/>
          <w:highlight w:val="none"/>
          <w:lang w:val="en-US" w:eastAsia="zh-CN"/>
        </w:rPr>
        <w:t>8</w:t>
      </w:r>
      <w:r>
        <w:rPr>
          <w:rFonts w:hint="eastAsia" w:ascii="黑体" w:eastAsia="黑体"/>
          <w:sz w:val="28"/>
          <w:highlight w:val="none"/>
        </w:rPr>
        <w:t>月</w:t>
      </w:r>
      <w:r>
        <w:rPr>
          <w:rFonts w:ascii="宋体" w:hAnsi="宋体" w:cs="宋体"/>
          <w:b/>
          <w:bCs/>
          <w:sz w:val="36"/>
          <w:szCs w:val="36"/>
        </w:rPr>
        <w:br w:type="page"/>
      </w: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pPr>
            <w:spacing w:line="360" w:lineRule="auto"/>
            <w:jc w:val="center"/>
            <w:rPr>
              <w:rFonts w:cs="宋体"/>
              <w:b/>
              <w:bCs/>
              <w:sz w:val="48"/>
              <w:szCs w:val="48"/>
            </w:rPr>
          </w:pPr>
          <w:r>
            <w:rPr>
              <w:rFonts w:ascii="宋体" w:hAnsi="宋体" w:eastAsia="宋体" w:cs="宋体"/>
              <w:b/>
              <w:bCs/>
              <w:sz w:val="48"/>
              <w:szCs w:val="48"/>
            </w:rPr>
            <w:t>目录</w:t>
          </w:r>
        </w:p>
        <w:p>
          <w:pPr>
            <w:pStyle w:val="52"/>
            <w:tabs>
              <w:tab w:val="right" w:leader="dot" w:pos="9214"/>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_Toc14686 </w:instrText>
          </w:r>
          <w:r>
            <w:rPr>
              <w:rFonts w:hint="eastAsia" w:ascii="Calibri" w:hAnsi="Calibri"/>
              <w:bCs/>
              <w:kern w:val="44"/>
              <w:szCs w:val="44"/>
            </w:rPr>
            <w:fldChar w:fldCharType="separate"/>
          </w:r>
          <w:r>
            <w:rPr>
              <w:rFonts w:hint="eastAsia" w:ascii="宋体" w:hAnsi="宋体"/>
            </w:rPr>
            <w:t>第</w:t>
          </w:r>
          <w:r>
            <w:rPr>
              <w:rFonts w:hint="eastAsia" w:ascii="宋体" w:hAnsi="宋体"/>
              <w:lang w:val="en-US" w:eastAsia="zh-CN"/>
            </w:rPr>
            <w:t xml:space="preserve">一部分 </w:t>
          </w:r>
          <w:r>
            <w:rPr>
              <w:rFonts w:hint="eastAsia" w:ascii="宋体" w:hAnsi="宋体"/>
            </w:rPr>
            <w:t>投标方须知</w:t>
          </w:r>
          <w:r>
            <w:rPr>
              <w:rFonts w:hint="eastAsia" w:ascii="宋体" w:hAnsi="宋体"/>
              <w:lang w:val="en-US" w:eastAsia="zh-CN"/>
            </w:rPr>
            <w:t>前附表</w:t>
          </w:r>
          <w:r>
            <w:tab/>
          </w:r>
          <w:r>
            <w:fldChar w:fldCharType="begin"/>
          </w:r>
          <w:r>
            <w:instrText xml:space="preserve"> PAGEREF _Toc14686 \h </w:instrText>
          </w:r>
          <w:r>
            <w:fldChar w:fldCharType="separate"/>
          </w:r>
          <w:r>
            <w:t>3</w:t>
          </w:r>
          <w:r>
            <w:fldChar w:fldCharType="end"/>
          </w:r>
          <w:r>
            <w:rPr>
              <w:rFonts w:hint="eastAsia" w:ascii="Calibri" w:hAnsi="Calibri"/>
              <w:bCs/>
              <w:kern w:val="44"/>
              <w:szCs w:val="44"/>
            </w:rPr>
            <w:fldChar w:fldCharType="end"/>
          </w:r>
        </w:p>
        <w:p>
          <w:pPr>
            <w:pStyle w:val="52"/>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_Toc30230 </w:instrText>
          </w:r>
          <w:r>
            <w:rPr>
              <w:rFonts w:hint="eastAsia" w:ascii="Calibri" w:hAnsi="Calibri" w:eastAsia="宋体" w:cs="Times New Roman"/>
              <w:bCs/>
              <w:kern w:val="44"/>
              <w:szCs w:val="44"/>
            </w:rPr>
            <w:fldChar w:fldCharType="separate"/>
          </w:r>
          <w:r>
            <w:rPr>
              <w:rFonts w:hint="eastAsia" w:ascii="宋体" w:hAnsi="宋体" w:eastAsiaTheme="minorEastAsia" w:cstheme="minorBidi"/>
              <w:bCs/>
              <w:kern w:val="44"/>
              <w:szCs w:val="44"/>
              <w:lang w:val="en-US" w:eastAsia="zh-CN" w:bidi="ar-SA"/>
            </w:rPr>
            <w:t>第二部分 投标须知</w:t>
          </w:r>
          <w:r>
            <w:tab/>
          </w:r>
          <w:r>
            <w:fldChar w:fldCharType="begin"/>
          </w:r>
          <w:r>
            <w:instrText xml:space="preserve"> PAGEREF _Toc30230 \h </w:instrText>
          </w:r>
          <w:r>
            <w:fldChar w:fldCharType="separate"/>
          </w:r>
          <w:r>
            <w:t>7</w:t>
          </w:r>
          <w:r>
            <w:fldChar w:fldCharType="end"/>
          </w:r>
          <w:r>
            <w:rPr>
              <w:rFonts w:hint="eastAsia" w:ascii="Calibri" w:hAnsi="Calibri" w:eastAsia="宋体" w:cs="Times New Roman"/>
              <w:bCs/>
              <w:kern w:val="44"/>
              <w:szCs w:val="44"/>
            </w:rPr>
            <w:fldChar w:fldCharType="end"/>
          </w:r>
        </w:p>
        <w:p>
          <w:pPr>
            <w:pStyle w:val="52"/>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_Toc2902 </w:instrText>
          </w:r>
          <w:r>
            <w:rPr>
              <w:rFonts w:hint="eastAsia" w:ascii="Calibri" w:hAnsi="Calibri" w:eastAsia="宋体" w:cs="Times New Roman"/>
              <w:bCs/>
              <w:kern w:val="44"/>
              <w:szCs w:val="44"/>
            </w:rPr>
            <w:fldChar w:fldCharType="separate"/>
          </w:r>
          <w:r>
            <w:rPr>
              <w:rFonts w:hint="eastAsia" w:ascii="宋体" w:hAnsi="宋体"/>
            </w:rPr>
            <w:t>第</w:t>
          </w:r>
          <w:r>
            <w:rPr>
              <w:rFonts w:hint="eastAsia" w:ascii="宋体" w:hAnsi="宋体"/>
              <w:lang w:val="en-US" w:eastAsia="zh-CN"/>
            </w:rPr>
            <w:t xml:space="preserve">三部分 </w:t>
          </w:r>
          <w:r>
            <w:rPr>
              <w:rFonts w:hint="eastAsia" w:ascii="宋体" w:hAnsi="宋体"/>
            </w:rPr>
            <w:t>招标</w:t>
          </w:r>
          <w:r>
            <w:rPr>
              <w:rFonts w:hint="eastAsia" w:ascii="宋体" w:hAnsi="宋体"/>
              <w:lang w:val="en-US" w:eastAsia="zh-CN"/>
            </w:rPr>
            <w:t>文件编制</w:t>
          </w:r>
          <w:r>
            <w:tab/>
          </w:r>
          <w:r>
            <w:fldChar w:fldCharType="begin"/>
          </w:r>
          <w:r>
            <w:instrText xml:space="preserve"> PAGEREF _Toc2902 \h </w:instrText>
          </w:r>
          <w:r>
            <w:fldChar w:fldCharType="separate"/>
          </w:r>
          <w:r>
            <w:t>13</w:t>
          </w:r>
          <w:r>
            <w:fldChar w:fldCharType="end"/>
          </w:r>
          <w:r>
            <w:rPr>
              <w:rFonts w:hint="eastAsia" w:ascii="Calibri" w:hAnsi="Calibri" w:eastAsia="宋体" w:cs="Times New Roman"/>
              <w:bCs/>
              <w:kern w:val="44"/>
              <w:szCs w:val="44"/>
            </w:rPr>
            <w:fldChar w:fldCharType="end"/>
          </w:r>
        </w:p>
        <w:p>
          <w:pPr>
            <w:pStyle w:val="52"/>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_Toc32521 </w:instrText>
          </w:r>
          <w:r>
            <w:rPr>
              <w:rFonts w:hint="eastAsia" w:ascii="Calibri" w:hAnsi="Calibri" w:eastAsia="宋体" w:cs="Times New Roman"/>
              <w:bCs/>
              <w:kern w:val="44"/>
              <w:szCs w:val="44"/>
            </w:rPr>
            <w:fldChar w:fldCharType="separate"/>
          </w:r>
          <w:r>
            <w:rPr>
              <w:rFonts w:hint="eastAsia" w:ascii="宋体" w:hAnsi="宋体" w:eastAsia="宋体" w:cs="Times New Roman"/>
              <w:lang w:val="en-US" w:eastAsia="zh-CN"/>
            </w:rPr>
            <w:t>第四部分 技术规格及技术要求</w:t>
          </w:r>
          <w:r>
            <w:tab/>
          </w:r>
          <w:r>
            <w:fldChar w:fldCharType="begin"/>
          </w:r>
          <w:r>
            <w:instrText xml:space="preserve"> PAGEREF _Toc32521 \h </w:instrText>
          </w:r>
          <w:r>
            <w:fldChar w:fldCharType="separate"/>
          </w:r>
          <w:r>
            <w:t>16</w:t>
          </w:r>
          <w:r>
            <w:fldChar w:fldCharType="end"/>
          </w:r>
          <w:r>
            <w:rPr>
              <w:rFonts w:hint="eastAsia" w:ascii="Calibri" w:hAnsi="Calibri" w:eastAsia="宋体" w:cs="Times New Roman"/>
              <w:bCs/>
              <w:kern w:val="44"/>
              <w:szCs w:val="44"/>
            </w:rPr>
            <w:fldChar w:fldCharType="end"/>
          </w:r>
        </w:p>
        <w:p>
          <w:pPr>
            <w:pStyle w:val="52"/>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_Toc25641 </w:instrText>
          </w:r>
          <w:r>
            <w:rPr>
              <w:rFonts w:hint="eastAsia" w:ascii="Calibri" w:hAnsi="Calibri" w:eastAsia="宋体" w:cs="Times New Roman"/>
              <w:bCs/>
              <w:kern w:val="44"/>
              <w:szCs w:val="44"/>
            </w:rPr>
            <w:fldChar w:fldCharType="separate"/>
          </w:r>
          <w:r>
            <w:rPr>
              <w:rFonts w:hint="eastAsia"/>
              <w:highlight w:val="none"/>
            </w:rPr>
            <w:t>第五</w:t>
          </w:r>
          <w:r>
            <w:rPr>
              <w:rFonts w:hint="eastAsia"/>
              <w:highlight w:val="none"/>
              <w:lang w:val="en-US" w:eastAsia="zh-CN"/>
            </w:rPr>
            <w:t>部分</w:t>
          </w:r>
          <w:r>
            <w:rPr>
              <w:rFonts w:hint="eastAsia"/>
              <w:highlight w:val="none"/>
            </w:rPr>
            <w:t xml:space="preserve"> 设备采购合同</w:t>
          </w:r>
          <w:r>
            <w:tab/>
          </w:r>
          <w:r>
            <w:fldChar w:fldCharType="begin"/>
          </w:r>
          <w:r>
            <w:instrText xml:space="preserve"> PAGEREF _Toc25641 \h </w:instrText>
          </w:r>
          <w:r>
            <w:fldChar w:fldCharType="separate"/>
          </w:r>
          <w:r>
            <w:t>16</w:t>
          </w:r>
          <w:r>
            <w:fldChar w:fldCharType="end"/>
          </w:r>
          <w:r>
            <w:rPr>
              <w:rFonts w:hint="eastAsia" w:ascii="Calibri" w:hAnsi="Calibri" w:eastAsia="宋体" w:cs="Times New Roman"/>
              <w:bCs/>
              <w:kern w:val="44"/>
              <w:szCs w:val="44"/>
            </w:rPr>
            <w:fldChar w:fldCharType="end"/>
          </w:r>
        </w:p>
        <w:p>
          <w:pPr>
            <w:pStyle w:val="52"/>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_Toc7397 </w:instrText>
          </w:r>
          <w:r>
            <w:rPr>
              <w:rFonts w:hint="eastAsia" w:ascii="Calibri" w:hAnsi="Calibri" w:eastAsia="宋体" w:cs="Times New Roman"/>
              <w:bCs/>
              <w:kern w:val="44"/>
              <w:szCs w:val="44"/>
            </w:rPr>
            <w:fldChar w:fldCharType="separate"/>
          </w:r>
          <w:r>
            <w:rPr>
              <w:rFonts w:hint="eastAsia"/>
              <w:highlight w:val="none"/>
            </w:rPr>
            <w:t>第六</w:t>
          </w:r>
          <w:r>
            <w:rPr>
              <w:rFonts w:hint="eastAsia"/>
              <w:highlight w:val="none"/>
              <w:lang w:val="en-US" w:eastAsia="zh-CN"/>
            </w:rPr>
            <w:t>部分</w:t>
          </w:r>
          <w:r>
            <w:rPr>
              <w:rFonts w:hint="eastAsia"/>
              <w:highlight w:val="none"/>
            </w:rPr>
            <w:t xml:space="preserve"> 投标文件附件</w:t>
          </w:r>
          <w:r>
            <w:tab/>
          </w:r>
          <w:r>
            <w:fldChar w:fldCharType="begin"/>
          </w:r>
          <w:r>
            <w:instrText xml:space="preserve"> PAGEREF _Toc7397 \h </w:instrText>
          </w:r>
          <w:r>
            <w:fldChar w:fldCharType="separate"/>
          </w:r>
          <w:r>
            <w:t>51</w:t>
          </w:r>
          <w:r>
            <w:fldChar w:fldCharType="end"/>
          </w:r>
          <w:r>
            <w:rPr>
              <w:rFonts w:hint="eastAsia" w:ascii="Calibri" w:hAnsi="Calibri" w:eastAsia="宋体" w:cs="Times New Roman"/>
              <w:bCs/>
              <w:kern w:val="44"/>
              <w:szCs w:val="44"/>
            </w:rPr>
            <w:fldChar w:fldCharType="end"/>
          </w:r>
        </w:p>
        <w:p>
          <w:pPr>
            <w:pStyle w:val="3"/>
            <w:spacing w:after="120" w:afterLines="50" w:line="360" w:lineRule="exact"/>
            <w:rPr>
              <w:rFonts w:hint="eastAsia" w:ascii="Calibri" w:hAnsi="Calibri" w:eastAsia="宋体" w:cs="Times New Roman"/>
              <w:b/>
              <w:bCs/>
              <w:kern w:val="44"/>
              <w:sz w:val="21"/>
              <w:szCs w:val="44"/>
            </w:rPr>
          </w:pPr>
          <w:r>
            <w:rPr>
              <w:rFonts w:hint="eastAsia" w:ascii="Calibri" w:hAnsi="Calibri" w:eastAsia="宋体" w:cs="Times New Roman"/>
              <w:bCs/>
              <w:kern w:val="44"/>
              <w:szCs w:val="44"/>
            </w:rPr>
            <w:fldChar w:fldCharType="end"/>
          </w:r>
        </w:p>
      </w:sdtContent>
    </w:sdt>
    <w:p/>
    <w:p>
      <w:pPr>
        <w:rPr>
          <w:rFonts w:ascii="宋体" w:hAnsi="宋体" w:cs="宋体"/>
          <w:i/>
          <w:caps/>
        </w:rPr>
      </w:pPr>
    </w:p>
    <w:p>
      <w:pPr>
        <w:pStyle w:val="3"/>
        <w:keepNext/>
        <w:keepLines/>
        <w:pageBreakBefore w:val="0"/>
        <w:widowControl w:val="0"/>
        <w:kinsoku/>
        <w:wordWrap/>
        <w:overflowPunct/>
        <w:topLinePunct w:val="0"/>
        <w:autoSpaceDE/>
        <w:autoSpaceDN/>
        <w:bidi w:val="0"/>
        <w:adjustRightInd/>
        <w:snapToGrid/>
        <w:spacing w:before="200" w:after="200" w:line="360" w:lineRule="auto"/>
        <w:jc w:val="center"/>
        <w:textAlignment w:val="auto"/>
        <w:rPr>
          <w:rFonts w:hint="eastAsia" w:ascii="宋体" w:hAnsi="宋体"/>
        </w:rPr>
        <w:sectPr>
          <w:footerReference r:id="rId5" w:type="first"/>
          <w:headerReference r:id="rId3" w:type="default"/>
          <w:footerReference r:id="rId4" w:type="default"/>
          <w:pgSz w:w="11907" w:h="16840"/>
          <w:pgMar w:top="1702" w:right="1275" w:bottom="1418" w:left="1418" w:header="851" w:footer="822" w:gutter="0"/>
          <w:pgBorders>
            <w:top w:val="none" w:sz="0" w:space="0"/>
            <w:left w:val="none" w:sz="0" w:space="0"/>
            <w:bottom w:val="none" w:sz="0" w:space="0"/>
            <w:right w:val="none" w:sz="0" w:space="0"/>
          </w:pgBorders>
          <w:cols w:space="720" w:num="1"/>
          <w:docGrid w:linePitch="290" w:charSpace="-3931"/>
        </w:sectPr>
      </w:pPr>
    </w:p>
    <w:p>
      <w:pPr>
        <w:pStyle w:val="3"/>
        <w:keepNext/>
        <w:keepLines/>
        <w:pageBreakBefore w:val="0"/>
        <w:widowControl w:val="0"/>
        <w:kinsoku/>
        <w:wordWrap/>
        <w:overflowPunct/>
        <w:topLinePunct w:val="0"/>
        <w:autoSpaceDE/>
        <w:autoSpaceDN/>
        <w:bidi w:val="0"/>
        <w:adjustRightInd/>
        <w:snapToGrid/>
        <w:spacing w:before="200" w:after="200" w:line="360" w:lineRule="auto"/>
        <w:jc w:val="center"/>
        <w:textAlignment w:val="auto"/>
        <w:rPr>
          <w:rFonts w:hint="eastAsia" w:ascii="宋体" w:hAnsi="宋体" w:eastAsiaTheme="minorEastAsia"/>
          <w:lang w:val="en-US" w:eastAsia="zh-CN"/>
        </w:rPr>
      </w:pPr>
      <w:bookmarkStart w:id="5" w:name="_Toc16489"/>
      <w:bookmarkStart w:id="6" w:name="_Toc14686"/>
      <w:r>
        <w:rPr>
          <w:rFonts w:hint="eastAsia" w:ascii="宋体" w:hAnsi="宋体"/>
        </w:rPr>
        <w:t>第</w:t>
      </w:r>
      <w:r>
        <w:rPr>
          <w:rFonts w:hint="eastAsia" w:ascii="宋体" w:hAnsi="宋体"/>
          <w:lang w:val="en-US" w:eastAsia="zh-CN"/>
        </w:rPr>
        <w:t xml:space="preserve">一部分 </w:t>
      </w:r>
      <w:r>
        <w:rPr>
          <w:rFonts w:hint="eastAsia" w:ascii="宋体" w:hAnsi="宋体"/>
        </w:rPr>
        <w:t>投标方须知</w:t>
      </w:r>
      <w:bookmarkEnd w:id="5"/>
      <w:r>
        <w:rPr>
          <w:rFonts w:hint="eastAsia" w:ascii="宋体" w:hAnsi="宋体"/>
          <w:lang w:val="en-US" w:eastAsia="zh-CN"/>
        </w:rPr>
        <w:t>前附表</w:t>
      </w:r>
      <w:bookmarkEnd w:id="6"/>
    </w:p>
    <w:p>
      <w:pPr>
        <w:spacing w:line="360" w:lineRule="auto"/>
        <w:ind w:firstLine="480" w:firstLineChars="200"/>
        <w:rPr>
          <w:rFonts w:hint="eastAsia" w:ascii="宋体" w:hAnsi="宋体" w:cs="宋体"/>
          <w:sz w:val="24"/>
          <w:szCs w:val="24"/>
        </w:rPr>
      </w:pPr>
      <w:r>
        <w:rPr>
          <w:rFonts w:hint="eastAsia" w:ascii="宋体" w:hAnsi="宋体" w:cs="宋体"/>
          <w:sz w:val="24"/>
          <w:szCs w:val="24"/>
        </w:rPr>
        <w:t>本表是对“投标方须知”正文的具体补充和修改，如有不一致，以“前附表”为准。</w:t>
      </w:r>
    </w:p>
    <w:tbl>
      <w:tblPr>
        <w:tblStyle w:val="7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spacing w:line="360" w:lineRule="auto"/>
              <w:jc w:val="center"/>
              <w:rPr>
                <w:rStyle w:val="385"/>
                <w:rFonts w:ascii="宋体" w:hAnsi="宋体" w:eastAsia="宋体" w:cs="宋体"/>
                <w:b/>
                <w:sz w:val="28"/>
                <w:szCs w:val="28"/>
              </w:rPr>
            </w:pPr>
            <w:r>
              <w:rPr>
                <w:rStyle w:val="385"/>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spacing w:line="360" w:lineRule="auto"/>
              <w:ind w:firstLine="562" w:firstLineChars="200"/>
              <w:jc w:val="center"/>
              <w:rPr>
                <w:rFonts w:ascii="宋体" w:hAnsi="宋体" w:eastAsia="宋体" w:cs="宋体"/>
                <w:b/>
                <w:bCs/>
                <w:sz w:val="28"/>
                <w:szCs w:val="28"/>
              </w:rPr>
            </w:pPr>
            <w:r>
              <w:rPr>
                <w:rStyle w:val="385"/>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hAnsi="宋体"/>
                <w:b/>
                <w:bCs/>
                <w:sz w:val="24"/>
                <w:szCs w:val="24"/>
              </w:rPr>
            </w:pPr>
            <w:r>
              <w:rPr>
                <w:rFonts w:hint="eastAsia" w:ascii="宋体" w:hAnsi="宋体" w:eastAsia="宋体" w:cs="宋体"/>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济南轻卡制造公司二期纯电皮卡安规检测项目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spacing w:line="360" w:lineRule="auto"/>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项目编号：</w:t>
            </w:r>
            <w:r>
              <w:rPr>
                <w:rFonts w:hint="eastAsia" w:ascii="宋体" w:hAnsi="宋体" w:eastAsia="宋体" w:cs="宋体"/>
                <w:b/>
                <w:bCs/>
                <w:sz w:val="24"/>
                <w:szCs w:val="24"/>
                <w:u w:val="single"/>
              </w:rPr>
              <w:t>CGZX2023070310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ind w:firstLine="482" w:firstLineChars="200"/>
              <w:textAlignment w:val="auto"/>
              <w:rPr>
                <w:rFonts w:hint="eastAsia" w:ascii="宋体" w:hAnsi="宋体" w:eastAsia="宋体" w:cs="宋体"/>
                <w:b w:val="0"/>
                <w:bCs w:val="0"/>
                <w:sz w:val="24"/>
                <w:szCs w:val="24"/>
                <w:u w:val="single"/>
              </w:rPr>
            </w:pPr>
            <w:r>
              <w:rPr>
                <w:rFonts w:hint="eastAsia" w:ascii="宋体" w:hAnsi="宋体" w:eastAsia="宋体" w:cs="宋体"/>
                <w:b/>
                <w:bCs/>
                <w:sz w:val="24"/>
                <w:szCs w:val="24"/>
              </w:rPr>
              <w:t>招标内容：</w:t>
            </w:r>
            <w:r>
              <w:rPr>
                <w:rFonts w:hint="eastAsia" w:ascii="宋体" w:hAnsi="宋体" w:eastAsia="宋体" w:cs="宋体"/>
                <w:b w:val="0"/>
                <w:bCs w:val="0"/>
                <w:sz w:val="24"/>
                <w:szCs w:val="24"/>
                <w:u w:val="single"/>
              </w:rPr>
              <w:t>新增</w:t>
            </w:r>
            <w:r>
              <w:rPr>
                <w:rFonts w:hint="eastAsia" w:ascii="宋体" w:hAnsi="宋体" w:cs="宋体"/>
                <w:b w:val="0"/>
                <w:bCs w:val="0"/>
                <w:sz w:val="24"/>
                <w:szCs w:val="24"/>
                <w:u w:val="single"/>
                <w:lang w:val="en-US" w:eastAsia="zh-CN"/>
              </w:rPr>
              <w:t>1</w:t>
            </w:r>
            <w:r>
              <w:rPr>
                <w:rFonts w:hint="eastAsia" w:ascii="宋体" w:hAnsi="宋体" w:eastAsia="宋体" w:cs="宋体"/>
                <w:b w:val="0"/>
                <w:bCs w:val="0"/>
                <w:sz w:val="24"/>
                <w:szCs w:val="24"/>
                <w:u w:val="single"/>
              </w:rPr>
              <w:t>套淋雨线后高压安全综合测试设备</w:t>
            </w:r>
          </w:p>
          <w:p>
            <w:pPr>
              <w:keepNext w:val="0"/>
              <w:keepLines w:val="0"/>
              <w:pageBreakBefore w:val="0"/>
              <w:widowControl w:val="0"/>
              <w:kinsoku/>
              <w:wordWrap/>
              <w:overflowPunct/>
              <w:topLinePunct w:val="0"/>
              <w:autoSpaceDE/>
              <w:autoSpaceDN/>
              <w:bidi w:val="0"/>
              <w:adjustRightInd/>
              <w:snapToGrid/>
              <w:spacing w:line="320" w:lineRule="exact"/>
              <w:ind w:firstLine="1680" w:firstLineChars="700"/>
              <w:textAlignment w:val="auto"/>
              <w:rPr>
                <w:rFonts w:hint="eastAsia" w:ascii="宋体" w:hAnsi="宋体" w:eastAsia="宋体" w:cs="宋体"/>
                <w:b w:val="0"/>
                <w:bCs w:val="0"/>
                <w:sz w:val="24"/>
                <w:szCs w:val="24"/>
                <w:u w:val="single"/>
              </w:rPr>
            </w:pPr>
            <w:r>
              <w:rPr>
                <w:rFonts w:hint="eastAsia" w:ascii="宋体" w:hAnsi="宋体" w:cs="宋体"/>
                <w:b w:val="0"/>
                <w:bCs w:val="0"/>
                <w:sz w:val="24"/>
                <w:szCs w:val="24"/>
                <w:u w:val="single"/>
                <w:lang w:val="en-US" w:eastAsia="zh-CN"/>
              </w:rPr>
              <w:t>新增1套</w:t>
            </w:r>
            <w:r>
              <w:rPr>
                <w:rFonts w:hint="eastAsia" w:ascii="宋体" w:hAnsi="宋体" w:eastAsia="宋体" w:cs="宋体"/>
                <w:b w:val="0"/>
                <w:bCs w:val="0"/>
                <w:sz w:val="24"/>
                <w:szCs w:val="24"/>
                <w:u w:val="single"/>
              </w:rPr>
              <w:t>整车下线高压安全综合测试设备</w:t>
            </w:r>
          </w:p>
          <w:p>
            <w:pPr>
              <w:keepNext w:val="0"/>
              <w:keepLines w:val="0"/>
              <w:pageBreakBefore w:val="0"/>
              <w:widowControl w:val="0"/>
              <w:kinsoku/>
              <w:wordWrap/>
              <w:overflowPunct/>
              <w:topLinePunct w:val="0"/>
              <w:autoSpaceDE/>
              <w:autoSpaceDN/>
              <w:bidi w:val="0"/>
              <w:adjustRightInd/>
              <w:snapToGrid/>
              <w:spacing w:line="320" w:lineRule="exact"/>
              <w:ind w:firstLine="1680" w:firstLineChars="700"/>
              <w:textAlignment w:val="auto"/>
              <w:rPr>
                <w:rFonts w:hint="eastAsia"/>
                <w:color w:val="000000"/>
              </w:rPr>
            </w:pPr>
            <w:r>
              <w:rPr>
                <w:rFonts w:hint="eastAsia" w:ascii="宋体" w:hAnsi="宋体" w:cs="宋体"/>
                <w:b w:val="0"/>
                <w:bCs w:val="0"/>
                <w:sz w:val="24"/>
                <w:szCs w:val="24"/>
                <w:u w:val="single"/>
                <w:lang w:val="en-US" w:eastAsia="zh-CN"/>
              </w:rPr>
              <w:t>新增1套</w:t>
            </w:r>
            <w:r>
              <w:rPr>
                <w:rFonts w:hint="eastAsia" w:ascii="宋体" w:hAnsi="宋体" w:eastAsia="宋体" w:cs="宋体"/>
                <w:b w:val="0"/>
                <w:bCs w:val="0"/>
                <w:sz w:val="24"/>
                <w:szCs w:val="24"/>
                <w:u w:val="single"/>
              </w:rPr>
              <w:t>快充检测设备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spacing w:line="360" w:lineRule="auto"/>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b w:val="0"/>
                <w:bCs/>
                <w:snapToGrid w:val="0"/>
                <w:kern w:val="0"/>
                <w:sz w:val="24"/>
                <w:szCs w:val="24"/>
                <w:u w:val="single"/>
              </w:rPr>
              <w:t xml:space="preserve">重汽（济南）轻卡有限公司 </w:t>
            </w:r>
          </w:p>
          <w:p>
            <w:pPr>
              <w:ind w:left="1925" w:leftChars="228" w:hanging="1446" w:hangingChars="600"/>
              <w:rPr>
                <w:rFonts w:hint="default" w:ascii="宋体" w:hAnsi="宋体" w:eastAsia="宋体" w:cs="宋体"/>
                <w:sz w:val="24"/>
                <w:szCs w:val="24"/>
                <w:lang w:val="en-US" w:eastAsia="zh-CN"/>
              </w:rPr>
            </w:pPr>
            <w:r>
              <w:rPr>
                <w:rFonts w:hint="eastAsia" w:ascii="宋体" w:hAnsi="宋体" w:eastAsia="宋体" w:cs="宋体"/>
                <w:b/>
                <w:snapToGrid w:val="0"/>
                <w:kern w:val="0"/>
                <w:sz w:val="24"/>
                <w:szCs w:val="24"/>
              </w:rPr>
              <w:t>招标人地址：</w:t>
            </w:r>
            <w:r>
              <w:rPr>
                <w:rFonts w:hint="eastAsia" w:ascii="宋体" w:hAnsi="宋体"/>
                <w:sz w:val="24"/>
              </w:rPr>
              <w:t>山东省</w:t>
            </w:r>
            <w:r>
              <w:rPr>
                <w:rFonts w:hint="eastAsia"/>
                <w:bCs/>
                <w:sz w:val="24"/>
              </w:rPr>
              <w:t>济南市章丘区</w:t>
            </w:r>
            <w:r>
              <w:rPr>
                <w:rFonts w:hint="eastAsia"/>
                <w:bCs/>
                <w:sz w:val="24"/>
                <w:lang w:val="en-US" w:eastAsia="zh-CN"/>
              </w:rPr>
              <w:t>圣井街道潘王路西，重汽（济南）轻卡有限公司</w:t>
            </w:r>
          </w:p>
          <w:p>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lang w:val="en-US" w:eastAsia="zh-CN"/>
              </w:rPr>
              <w:t>潘荣</w:t>
            </w:r>
          </w:p>
          <w:p>
            <w:pPr>
              <w:ind w:firstLine="482" w:firstLineChars="200"/>
              <w:rPr>
                <w:rFonts w:hint="default"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lang w:val="en-US" w:eastAsia="zh-CN"/>
              </w:rPr>
              <w:t>13605311225</w:t>
            </w:r>
          </w:p>
          <w:p>
            <w:pPr>
              <w:ind w:firstLine="482" w:firstLineChars="200"/>
              <w:rPr>
                <w:rFonts w:ascii="宋体" w:hAnsi="宋体" w:eastAsia="宋体" w:cs="宋体"/>
                <w:b/>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
                <w:bCs/>
                <w:sz w:val="24"/>
                <w:szCs w:val="24"/>
              </w:rPr>
              <w:t>：</w:t>
            </w:r>
            <w:r>
              <w:rPr>
                <w:rFonts w:hint="eastAsia" w:ascii="宋体" w:hAnsi="宋体" w:eastAsia="宋体" w:cs="宋体"/>
                <w:sz w:val="24"/>
                <w:szCs w:val="24"/>
                <w:highlight w:val="none"/>
                <w:lang w:val="en-US" w:eastAsia="zh-CN"/>
              </w:rPr>
              <w:t>panrong@sinotruk.com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）或外币。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ind w:firstLine="482" w:firstLineChars="200"/>
              <w:rPr>
                <w:rFonts w:hAnsi="宋体" w:eastAsia="宋体" w:cs="宋体"/>
                <w:b/>
                <w:bCs/>
                <w:color w:val="000000"/>
                <w:sz w:val="24"/>
                <w:szCs w:val="24"/>
              </w:rPr>
            </w:pPr>
            <w:r>
              <w:rPr>
                <w:rFonts w:hint="eastAsia" w:hAnsi="宋体" w:eastAsia="宋体" w:cs="宋体"/>
                <w:b/>
                <w:bCs/>
                <w:sz w:val="24"/>
                <w:szCs w:val="24"/>
                <w:highlight w:val="yellow"/>
              </w:rPr>
              <w:t>投标人条件：</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b/>
                <w:bCs/>
                <w:color w:val="auto"/>
                <w:sz w:val="24"/>
                <w:szCs w:val="24"/>
                <w:highlight w:val="yellow"/>
                <w:u w:val="single"/>
              </w:rPr>
              <w:t>500万</w:t>
            </w:r>
            <w:r>
              <w:rPr>
                <w:rFonts w:hint="eastAsia" w:hAnsi="宋体" w:eastAsia="宋体" w:cs="宋体"/>
                <w:color w:val="auto"/>
                <w:sz w:val="24"/>
                <w:szCs w:val="24"/>
                <w:highlight w:val="yellow"/>
              </w:rPr>
              <w:t>人民币</w:t>
            </w:r>
            <w:r>
              <w:rPr>
                <w:rFonts w:hint="eastAsia" w:hAnsi="宋体" w:eastAsia="宋体" w:cs="宋体"/>
                <w:color w:val="000000"/>
                <w:sz w:val="24"/>
                <w:szCs w:val="24"/>
                <w:highlight w:val="yellow"/>
              </w:rPr>
              <w:t>（</w:t>
            </w:r>
            <w:r>
              <w:rPr>
                <w:rFonts w:hint="eastAsia" w:hAnsi="宋体" w:eastAsia="宋体" w:cs="宋体"/>
                <w:color w:val="000000"/>
                <w:sz w:val="24"/>
                <w:szCs w:val="24"/>
              </w:rPr>
              <w:t>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4.拟投标人在国家市场监督管理总局的《国家企业信用信息公示系统》中查询不存在不良记录；</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6.</w:t>
            </w:r>
            <w:r>
              <w:rPr>
                <w:rFonts w:hint="eastAsia" w:ascii="宋体" w:hAnsi="宋体"/>
                <w:sz w:val="24"/>
                <w:highlight w:val="none"/>
              </w:rPr>
              <w:t>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 资产负债表、利润表、现金流量表。应提供中文版本的审计报告或财务报表。</w:t>
            </w:r>
          </w:p>
          <w:p>
            <w:pPr>
              <w:pStyle w:val="40"/>
              <w:ind w:firstLine="480" w:firstLineChars="200"/>
              <w:rPr>
                <w:rFonts w:hAnsi="宋体" w:eastAsia="宋体" w:cs="宋体"/>
                <w:kern w:val="0"/>
                <w:sz w:val="24"/>
                <w:szCs w:val="24"/>
                <w:highlight w:val="red"/>
                <w:lang w:bidi="ar"/>
              </w:rPr>
            </w:pPr>
            <w:r>
              <w:rPr>
                <w:rFonts w:hint="eastAsia" w:hAnsi="宋体" w:eastAsia="宋体" w:cs="宋体"/>
                <w:color w:val="000000"/>
                <w:kern w:val="0"/>
                <w:sz w:val="24"/>
                <w:szCs w:val="24"/>
              </w:rPr>
              <w:t>7</w:t>
            </w:r>
            <w:r>
              <w:rPr>
                <w:rFonts w:hint="eastAsia" w:hAnsi="宋体" w:eastAsia="宋体" w:cs="宋体"/>
                <w:color w:val="000000"/>
                <w:kern w:val="0"/>
                <w:sz w:val="24"/>
                <w:szCs w:val="24"/>
                <w:highlight w:val="none"/>
              </w:rPr>
              <w:t>.</w:t>
            </w:r>
            <w:r>
              <w:rPr>
                <w:rFonts w:hint="eastAsia" w:hAnsi="宋体"/>
                <w:kern w:val="0"/>
                <w:sz w:val="24"/>
                <w:highlight w:val="none"/>
              </w:rPr>
              <w:t>投标方拥有丰富的业绩。</w:t>
            </w:r>
            <w:r>
              <w:rPr>
                <w:rFonts w:hint="eastAsia" w:hAnsi="宋体" w:eastAsia="宋体" w:cs="宋体"/>
                <w:color w:val="000000"/>
                <w:kern w:val="0"/>
                <w:sz w:val="24"/>
                <w:szCs w:val="24"/>
                <w:highlight w:val="none"/>
              </w:rPr>
              <w:t>有与本次招标内容（</w:t>
            </w:r>
            <w:r>
              <w:rPr>
                <w:rFonts w:hint="eastAsia" w:hAnsi="宋体" w:cs="宋体"/>
                <w:b/>
                <w:bCs/>
                <w:color w:val="000000"/>
                <w:kern w:val="0"/>
                <w:sz w:val="24"/>
                <w:szCs w:val="24"/>
                <w:highlight w:val="none"/>
                <w:u w:val="single"/>
                <w:lang w:val="en-US" w:eastAsia="zh-CN"/>
              </w:rPr>
              <w:t>整车检测设备</w:t>
            </w:r>
            <w:r>
              <w:rPr>
                <w:rFonts w:hint="eastAsia" w:hAnsi="宋体" w:eastAsia="宋体" w:cs="宋体"/>
                <w:color w:val="000000"/>
                <w:kern w:val="0"/>
                <w:sz w:val="24"/>
                <w:szCs w:val="24"/>
                <w:highlight w:val="none"/>
              </w:rPr>
              <w:t>）同类的项目经验；报名及投标时需提供近三年用户清单，同时需提供用户合同复印件</w:t>
            </w:r>
            <w:r>
              <w:rPr>
                <w:rFonts w:hint="eastAsia" w:hAnsi="宋体" w:eastAsia="宋体" w:cs="宋体"/>
                <w:color w:val="000000"/>
                <w:sz w:val="24"/>
                <w:szCs w:val="24"/>
                <w:highlight w:val="none"/>
              </w:rPr>
              <w:t>；</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8.拟投标人三年内无违法及重大违规情况；</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11.拟投标人信用证明材料（中国人民银行信用代码证+征信报告）未显示异常；</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12.拟投标人</w:t>
            </w:r>
            <w:r>
              <w:rPr>
                <w:rFonts w:hint="eastAsia" w:hAnsi="宋体" w:eastAsia="宋体"/>
                <w:color w:val="000000"/>
                <w:sz w:val="24"/>
                <w:szCs w:val="24"/>
              </w:rPr>
              <w:t>的直接或间接股东、法定代表人、董事、监事、高管非重汽员工及其亲属；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auto"/>
                <w:sz w:val="24"/>
                <w:szCs w:val="24"/>
                <w:highlight w:val="red"/>
              </w:rPr>
              <w:t>2023年</w:t>
            </w:r>
            <w:r>
              <w:rPr>
                <w:rFonts w:hint="eastAsia" w:ascii="宋体" w:hAnsi="宋体" w:cs="宋体"/>
                <w:bCs/>
                <w:color w:val="auto"/>
                <w:sz w:val="24"/>
                <w:szCs w:val="24"/>
                <w:highlight w:val="red"/>
                <w:u w:val="single"/>
                <w:lang w:val="en-US" w:eastAsia="zh-CN"/>
              </w:rPr>
              <w:t>8</w:t>
            </w:r>
            <w:r>
              <w:rPr>
                <w:rFonts w:hint="eastAsia" w:ascii="宋体" w:hAnsi="宋体" w:eastAsia="宋体" w:cs="宋体"/>
                <w:bCs/>
                <w:color w:val="auto"/>
                <w:sz w:val="24"/>
                <w:szCs w:val="24"/>
                <w:highlight w:val="red"/>
              </w:rPr>
              <w:t>月</w:t>
            </w:r>
            <w:r>
              <w:rPr>
                <w:rFonts w:hint="eastAsia" w:ascii="宋体" w:hAnsi="宋体" w:cs="宋体"/>
                <w:bCs/>
                <w:color w:val="auto"/>
                <w:sz w:val="24"/>
                <w:szCs w:val="24"/>
                <w:highlight w:val="red"/>
                <w:u w:val="single"/>
                <w:lang w:val="en-US" w:eastAsia="zh-CN"/>
              </w:rPr>
              <w:t>11</w:t>
            </w:r>
            <w:r>
              <w:rPr>
                <w:rFonts w:hint="eastAsia" w:ascii="宋体" w:hAnsi="宋体" w:eastAsia="宋体" w:cs="宋体"/>
                <w:bCs/>
                <w:color w:val="auto"/>
                <w:sz w:val="24"/>
                <w:szCs w:val="24"/>
                <w:highlight w:val="red"/>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spacing w:line="360" w:lineRule="auto"/>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lang w:val="en-US"/>
              </w:rPr>
            </w:pPr>
            <w:r>
              <w:rPr>
                <w:rFonts w:hint="eastAsia" w:ascii="宋体" w:hAnsi="宋体" w:eastAsia="宋体" w:cs="宋体"/>
                <w:b/>
                <w:bCs/>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中国重汽e采通等平台。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spacing w:line="360" w:lineRule="auto"/>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color w:val="auto"/>
                <w:sz w:val="24"/>
                <w:szCs w:val="24"/>
                <w:highlight w:val="red"/>
              </w:rPr>
            </w:pPr>
            <w:r>
              <w:rPr>
                <w:rFonts w:hint="eastAsia" w:ascii="宋体" w:hAnsi="宋体" w:eastAsia="宋体" w:cs="宋体"/>
                <w:b/>
                <w:bCs/>
                <w:sz w:val="24"/>
                <w:szCs w:val="24"/>
              </w:rPr>
              <w:t>提交疑问时间：</w:t>
            </w:r>
            <w:r>
              <w:rPr>
                <w:rFonts w:hint="eastAsia" w:ascii="宋体" w:hAnsi="宋体" w:eastAsia="宋体" w:cs="宋体"/>
                <w:bCs/>
                <w:color w:val="auto"/>
                <w:sz w:val="24"/>
                <w:szCs w:val="24"/>
                <w:highlight w:val="red"/>
              </w:rPr>
              <w:t>2023年</w:t>
            </w:r>
            <w:r>
              <w:rPr>
                <w:rFonts w:hint="eastAsia" w:ascii="宋体" w:hAnsi="宋体" w:cs="宋体"/>
                <w:bCs/>
                <w:color w:val="auto"/>
                <w:sz w:val="24"/>
                <w:szCs w:val="24"/>
                <w:highlight w:val="red"/>
                <w:u w:val="single"/>
                <w:lang w:val="en-US" w:eastAsia="zh-CN"/>
              </w:rPr>
              <w:t>8</w:t>
            </w:r>
            <w:r>
              <w:rPr>
                <w:rFonts w:hint="eastAsia" w:ascii="宋体" w:hAnsi="宋体" w:eastAsia="宋体" w:cs="宋体"/>
                <w:bCs/>
                <w:color w:val="auto"/>
                <w:sz w:val="24"/>
                <w:szCs w:val="24"/>
                <w:highlight w:val="red"/>
              </w:rPr>
              <w:t>月</w:t>
            </w:r>
            <w:r>
              <w:rPr>
                <w:rFonts w:hint="eastAsia" w:ascii="宋体" w:hAnsi="宋体" w:cs="宋体"/>
                <w:bCs/>
                <w:color w:val="auto"/>
                <w:sz w:val="24"/>
                <w:szCs w:val="24"/>
                <w:highlight w:val="red"/>
                <w:u w:val="single"/>
                <w:lang w:val="en-US" w:eastAsia="zh-CN"/>
              </w:rPr>
              <w:t>24</w:t>
            </w:r>
            <w:r>
              <w:rPr>
                <w:rFonts w:hint="eastAsia" w:ascii="宋体" w:hAnsi="宋体" w:eastAsia="宋体" w:cs="宋体"/>
                <w:bCs/>
                <w:color w:val="auto"/>
                <w:sz w:val="24"/>
                <w:szCs w:val="24"/>
                <w:highlight w:val="red"/>
              </w:rPr>
              <w:t>日12:00前；</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w:t>
            </w:r>
          </w:p>
          <w:p>
            <w:pPr>
              <w:ind w:firstLine="482" w:firstLineChars="2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商务答疑：</w:t>
            </w:r>
            <w:r>
              <w:rPr>
                <w:rFonts w:hint="eastAsia" w:ascii="宋体" w:hAnsi="宋体" w:eastAsia="宋体" w:cs="宋体"/>
                <w:sz w:val="24"/>
                <w:szCs w:val="24"/>
                <w:highlight w:val="none"/>
              </w:rPr>
              <w:t>将答疑问题以word文件格式发邮件至</w:t>
            </w:r>
            <w:r>
              <w:rPr>
                <w:rFonts w:hint="eastAsia" w:ascii="宋体" w:hAnsi="宋体" w:eastAsia="宋体" w:cs="宋体"/>
                <w:sz w:val="24"/>
                <w:szCs w:val="24"/>
                <w:highlight w:val="none"/>
                <w:lang w:val="en-US" w:eastAsia="zh-CN"/>
              </w:rPr>
              <w:t>panrong@sinotruk.com</w:t>
            </w:r>
            <w:r>
              <w:rPr>
                <w:rFonts w:hint="eastAsia" w:ascii="宋体" w:hAnsi="宋体" w:eastAsia="宋体" w:cs="宋体"/>
                <w:sz w:val="24"/>
                <w:szCs w:val="24"/>
                <w:highlight w:val="none"/>
              </w:rPr>
              <w:t>并电话联系工作人员查收（</w:t>
            </w:r>
            <w:r>
              <w:rPr>
                <w:rFonts w:hint="eastAsia" w:ascii="宋体" w:hAnsi="宋体" w:eastAsia="宋体" w:cs="宋体"/>
                <w:sz w:val="24"/>
                <w:szCs w:val="24"/>
                <w:highlight w:val="none"/>
                <w:lang w:val="en-US" w:eastAsia="zh-CN"/>
              </w:rPr>
              <w:t>潘荣</w:t>
            </w:r>
            <w:r>
              <w:rPr>
                <w:rFonts w:hint="eastAsia" w:ascii="宋体" w:hAnsi="宋体" w:eastAsia="宋体" w:cs="宋体"/>
                <w:sz w:val="24"/>
                <w:szCs w:val="24"/>
                <w:highlight w:val="none"/>
              </w:rPr>
              <w:t>；联系方式：</w:t>
            </w:r>
            <w:r>
              <w:rPr>
                <w:rFonts w:hint="eastAsia" w:ascii="宋体" w:hAnsi="宋体" w:eastAsia="宋体" w:cs="宋体"/>
                <w:bCs/>
                <w:snapToGrid w:val="0"/>
                <w:kern w:val="0"/>
                <w:sz w:val="24"/>
                <w:szCs w:val="24"/>
                <w:highlight w:val="none"/>
                <w:lang w:val="en-US" w:eastAsia="zh-CN"/>
              </w:rPr>
              <w:t>13605311225</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邮件名格式为：XXX公司（五个字以内公司简称）XX项目</w:t>
            </w:r>
            <w:r>
              <w:rPr>
                <w:rFonts w:hint="eastAsia" w:ascii="宋体" w:hAnsi="宋体" w:eastAsia="宋体" w:cs="宋体"/>
                <w:b/>
                <w:bCs/>
                <w:sz w:val="24"/>
                <w:szCs w:val="24"/>
                <w:highlight w:val="none"/>
                <w:lang w:val="en-US" w:eastAsia="zh-CN"/>
              </w:rPr>
              <w:t>商务</w:t>
            </w:r>
            <w:r>
              <w:rPr>
                <w:rFonts w:hint="eastAsia" w:ascii="宋体" w:hAnsi="宋体" w:eastAsia="宋体" w:cs="宋体"/>
                <w:b/>
                <w:bCs/>
                <w:sz w:val="24"/>
                <w:szCs w:val="24"/>
                <w:highlight w:val="none"/>
              </w:rPr>
              <w:t>答疑文件。</w:t>
            </w:r>
          </w:p>
          <w:p>
            <w:pPr>
              <w:ind w:firstLine="482" w:firstLineChars="200"/>
              <w:jc w:val="left"/>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技术答疑：</w:t>
            </w:r>
            <w:r>
              <w:rPr>
                <w:rFonts w:hint="eastAsia" w:ascii="宋体" w:hAnsi="宋体" w:eastAsia="宋体" w:cs="宋体"/>
                <w:sz w:val="24"/>
                <w:szCs w:val="24"/>
                <w:highlight w:val="none"/>
              </w:rPr>
              <w:t>将答疑问题以word文件格式</w:t>
            </w:r>
            <w:r>
              <w:rPr>
                <w:rFonts w:hint="eastAsia" w:ascii="宋体" w:hAnsi="宋体" w:eastAsia="宋体" w:cs="宋体"/>
                <w:sz w:val="24"/>
                <w:szCs w:val="24"/>
                <w:highlight w:val="none"/>
                <w:lang w:val="en-US" w:eastAsia="zh-CN"/>
              </w:rPr>
              <w:t>发邮件至chenqiqi@sinotruk.com</w:t>
            </w:r>
            <w:r>
              <w:rPr>
                <w:rFonts w:hint="eastAsia" w:ascii="宋体" w:hAnsi="宋体" w:eastAsia="宋体" w:cs="宋体"/>
                <w:sz w:val="24"/>
                <w:szCs w:val="24"/>
                <w:highlight w:val="none"/>
              </w:rPr>
              <w:t>并电话联系工作人员查收（陈琦琦；联系方式：18815311681），</w:t>
            </w:r>
            <w:r>
              <w:rPr>
                <w:rFonts w:hint="eastAsia" w:ascii="宋体" w:hAnsi="宋体" w:eastAsia="宋体" w:cs="宋体"/>
                <w:sz w:val="24"/>
                <w:szCs w:val="24"/>
                <w:highlight w:val="none"/>
                <w:lang w:val="en-US" w:eastAsia="zh-CN"/>
              </w:rPr>
              <w:t>并抄送商务答疑人，</w:t>
            </w:r>
            <w:r>
              <w:rPr>
                <w:rFonts w:hint="eastAsia" w:ascii="宋体" w:hAnsi="宋体" w:eastAsia="宋体" w:cs="宋体"/>
                <w:b/>
                <w:bCs/>
                <w:sz w:val="24"/>
                <w:szCs w:val="24"/>
                <w:highlight w:val="none"/>
              </w:rPr>
              <w:t>邮件名格式为：XXX公司（五个字以内公司简称）XX项目</w:t>
            </w:r>
            <w:r>
              <w:rPr>
                <w:rFonts w:hint="eastAsia" w:ascii="宋体" w:hAnsi="宋体" w:eastAsia="宋体" w:cs="宋体"/>
                <w:b/>
                <w:bCs/>
                <w:sz w:val="24"/>
                <w:szCs w:val="24"/>
                <w:highlight w:val="none"/>
                <w:lang w:val="en-US" w:eastAsia="zh-CN"/>
              </w:rPr>
              <w:t>技术</w:t>
            </w:r>
            <w:r>
              <w:rPr>
                <w:rFonts w:hint="eastAsia" w:ascii="宋体" w:hAnsi="宋体" w:eastAsia="宋体" w:cs="宋体"/>
                <w:b/>
                <w:bCs/>
                <w:sz w:val="24"/>
                <w:szCs w:val="24"/>
                <w:highlight w:val="none"/>
              </w:rPr>
              <w:t>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同时须在邮件中以文字方式提供投标单位全称、投标授权人姓名、联系方式（固定电话、手机、电子邮箱）。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color w:val="auto"/>
                <w:sz w:val="24"/>
                <w:szCs w:val="24"/>
                <w:highlight w:val="red"/>
              </w:rPr>
              <w:t>2023年</w:t>
            </w:r>
            <w:r>
              <w:rPr>
                <w:rFonts w:hint="eastAsia" w:ascii="宋体" w:hAnsi="宋体" w:eastAsia="宋体" w:cs="宋体"/>
                <w:color w:val="auto"/>
                <w:sz w:val="24"/>
                <w:szCs w:val="24"/>
                <w:highlight w:val="red"/>
                <w:u w:val="single"/>
                <w:lang w:val="en-US" w:eastAsia="zh-CN"/>
              </w:rPr>
              <w:t>8</w:t>
            </w:r>
            <w:r>
              <w:rPr>
                <w:rFonts w:hint="eastAsia" w:ascii="宋体" w:hAnsi="宋体" w:eastAsia="宋体" w:cs="宋体"/>
                <w:color w:val="auto"/>
                <w:sz w:val="24"/>
                <w:szCs w:val="24"/>
                <w:highlight w:val="red"/>
              </w:rPr>
              <w:t>月</w:t>
            </w:r>
            <w:r>
              <w:rPr>
                <w:rFonts w:hint="eastAsia" w:ascii="宋体" w:hAnsi="宋体" w:cs="宋体"/>
                <w:color w:val="auto"/>
                <w:sz w:val="24"/>
                <w:szCs w:val="24"/>
                <w:highlight w:val="red"/>
                <w:u w:val="single"/>
                <w:lang w:val="en-US" w:eastAsia="zh-CN"/>
              </w:rPr>
              <w:t>24</w:t>
            </w:r>
            <w:r>
              <w:rPr>
                <w:rFonts w:hint="eastAsia" w:ascii="宋体" w:hAnsi="宋体" w:eastAsia="宋体" w:cs="宋体"/>
                <w:color w:val="auto"/>
                <w:sz w:val="24"/>
                <w:szCs w:val="24"/>
                <w:highlight w:val="red"/>
              </w:rPr>
              <w:t>日17:00前；</w:t>
            </w:r>
          </w:p>
          <w:p>
            <w:pPr>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spacing w:line="360" w:lineRule="auto"/>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386"/>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eastAsia="宋体" w:cs="Times New Roman"/>
              </w:rPr>
              <w:t>登录</w:t>
            </w:r>
            <w:r>
              <w:rPr>
                <w:rFonts w:hint="eastAsia" w:ascii="宋体" w:hAnsi="宋体" w:eastAsia="宋体" w:cs="宋体"/>
                <w:b/>
                <w:color w:val="000000"/>
                <w:sz w:val="24"/>
                <w:szCs w:val="24"/>
                <w:highlight w:val="none"/>
                <w:lang w:val="en-US" w:eastAsia="zh-CN"/>
              </w:rPr>
              <w:t>汽e采通平台</w:t>
            </w:r>
            <w:r>
              <w:rPr>
                <w:rFonts w:hint="eastAsia" w:eastAsia="宋体" w:cs="Times New Roman"/>
              </w:rPr>
              <w:t>后进入“供应商应标”，选择对应的项目，点击</w:t>
            </w:r>
            <w:r>
              <w:rPr>
                <w:rFonts w:hint="eastAsia" w:eastAsia="宋体" w:cs="Times New Roman"/>
                <w:b/>
                <w:bCs/>
              </w:rPr>
              <w:t>“应标”后按照招标文件第三部分投标文件组成资格证明文件中的1.1</w:t>
            </w:r>
            <w:r>
              <w:rPr>
                <w:rFonts w:eastAsia="宋体" w:cs="Times New Roman"/>
                <w:b/>
                <w:bCs/>
              </w:rPr>
              <w:t>-</w:t>
            </w:r>
            <w:r>
              <w:rPr>
                <w:rFonts w:hint="eastAsia" w:eastAsia="宋体" w:cs="Times New Roman"/>
                <w:b/>
                <w:bCs/>
              </w:rPr>
              <w:t>1.12准备资料</w:t>
            </w:r>
            <w:r>
              <w:rPr>
                <w:rFonts w:hint="eastAsia" w:eastAsia="宋体" w:cs="Times New Roman"/>
                <w:b/>
                <w:bCs/>
                <w:lang w:eastAsia="zh-CN"/>
              </w:rPr>
              <w:t>，</w:t>
            </w:r>
            <w:r>
              <w:rPr>
                <w:rFonts w:hint="eastAsia" w:eastAsia="宋体" w:cs="Times New Roman"/>
                <w:b/>
                <w:bCs/>
                <w:lang w:val="en-US" w:eastAsia="zh-CN"/>
              </w:rPr>
              <w:t>盖章后将扫描版</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spacing w:line="360" w:lineRule="auto"/>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386"/>
              <w:spacing w:line="240" w:lineRule="auto"/>
              <w:ind w:firstLine="482"/>
              <w:rPr>
                <w:rFonts w:eastAsia="宋体" w:cs="宋体"/>
                <w:color w:val="FF0000"/>
                <w:highlight w:val="yellow"/>
              </w:rPr>
            </w:pPr>
            <w:r>
              <w:rPr>
                <w:rFonts w:hint="eastAsia" w:eastAsia="宋体" w:cs="宋体"/>
                <w:b/>
                <w:bCs/>
              </w:rPr>
              <w:t>应标截止时间：</w:t>
            </w:r>
            <w:r>
              <w:rPr>
                <w:rFonts w:hint="eastAsia" w:eastAsia="宋体" w:cs="宋体"/>
                <w:color w:val="auto"/>
                <w:highlight w:val="red"/>
              </w:rPr>
              <w:t>2023年</w:t>
            </w:r>
            <w:r>
              <w:rPr>
                <w:rFonts w:hint="eastAsia" w:eastAsia="宋体" w:cs="宋体"/>
                <w:color w:val="auto"/>
                <w:highlight w:val="red"/>
                <w:u w:val="single"/>
                <w:lang w:val="en-US" w:eastAsia="zh-CN"/>
              </w:rPr>
              <w:t>8</w:t>
            </w:r>
            <w:r>
              <w:rPr>
                <w:rFonts w:hint="eastAsia" w:eastAsia="宋体" w:cs="宋体"/>
                <w:color w:val="auto"/>
                <w:highlight w:val="red"/>
              </w:rPr>
              <w:t>月</w:t>
            </w:r>
            <w:r>
              <w:rPr>
                <w:rFonts w:hint="eastAsia" w:cs="宋体"/>
                <w:color w:val="auto"/>
                <w:highlight w:val="red"/>
                <w:u w:val="single"/>
                <w:lang w:val="en-US" w:eastAsia="zh-CN"/>
              </w:rPr>
              <w:t>24</w:t>
            </w:r>
            <w:r>
              <w:rPr>
                <w:rFonts w:hint="eastAsia" w:eastAsia="宋体" w:cs="宋体"/>
                <w:color w:val="auto"/>
                <w:highlight w:val="red"/>
              </w:rPr>
              <w:t>日17时00分00秒</w:t>
            </w:r>
          </w:p>
          <w:p>
            <w:pPr>
              <w:pStyle w:val="386"/>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highlight w:val="yellow"/>
              </w:rPr>
              <w:t>（电子版为纸质盖章版的扫描件）</w:t>
            </w:r>
            <w:r>
              <w:rPr>
                <w:rFonts w:hint="eastAsia" w:eastAsia="宋体" w:cs="宋体"/>
                <w:bCs/>
                <w:sz w:val="24"/>
                <w:szCs w:val="24"/>
              </w:rPr>
              <w:t>投标文件，均由</w:t>
            </w:r>
            <w:r>
              <w:rPr>
                <w:rFonts w:hint="eastAsia" w:eastAsia="宋体" w:cs="宋体"/>
                <w:b/>
                <w:sz w:val="24"/>
                <w:szCs w:val="24"/>
              </w:rPr>
              <w:t>《投标文件（资质标）》、</w:t>
            </w:r>
            <w:r>
              <w:rPr>
                <w:rFonts w:hint="eastAsia" w:eastAsia="宋体" w:cs="宋体"/>
                <w:b/>
                <w:bCs w:val="0"/>
                <w:sz w:val="24"/>
                <w:szCs w:val="24"/>
                <w:lang w:eastAsia="zh-CN"/>
              </w:rPr>
              <w:t>《</w:t>
            </w:r>
            <w:r>
              <w:rPr>
                <w:rFonts w:hint="eastAsia" w:eastAsia="宋体" w:cs="宋体"/>
                <w:b/>
                <w:bCs w:val="0"/>
                <w:sz w:val="24"/>
                <w:szCs w:val="24"/>
                <w:lang w:val="en-US" w:eastAsia="zh-CN"/>
              </w:rPr>
              <w:t>投标文件（技术标）</w:t>
            </w:r>
            <w:r>
              <w:rPr>
                <w:rFonts w:hint="eastAsia" w:eastAsia="宋体" w:cs="宋体"/>
                <w:b/>
                <w:bCs w:val="0"/>
                <w:sz w:val="24"/>
                <w:szCs w:val="24"/>
                <w:lang w:eastAsia="zh-CN"/>
              </w:rPr>
              <w:t>》、</w:t>
            </w:r>
            <w:r>
              <w:rPr>
                <w:rFonts w:hint="eastAsia" w:eastAsia="宋体" w:cs="宋体"/>
                <w:b/>
                <w:sz w:val="24"/>
                <w:szCs w:val="24"/>
              </w:rPr>
              <w:t>《投标文件（商务标）》</w:t>
            </w:r>
            <w:r>
              <w:rPr>
                <w:rFonts w:hint="eastAsia" w:eastAsia="宋体" w:cs="宋体"/>
                <w:b/>
                <w:bCs w:val="0"/>
                <w:color w:val="auto"/>
                <w:sz w:val="24"/>
                <w:szCs w:val="24"/>
                <w:highlight w:val="none"/>
              </w:rPr>
              <w:t>（开标一览表）</w:t>
            </w:r>
            <w:r>
              <w:rPr>
                <w:rFonts w:hint="eastAsia" w:eastAsia="宋体" w:cs="宋体"/>
                <w:bCs/>
                <w:sz w:val="24"/>
                <w:szCs w:val="24"/>
              </w:rPr>
              <w:t>文件组成，共计</w:t>
            </w:r>
            <w:r>
              <w:rPr>
                <w:rFonts w:hint="eastAsia" w:eastAsia="宋体" w:cs="宋体"/>
                <w:bCs/>
                <w:sz w:val="24"/>
                <w:szCs w:val="24"/>
                <w:lang w:val="en-US" w:eastAsia="zh-CN"/>
              </w:rPr>
              <w:t>3</w:t>
            </w:r>
            <w:r>
              <w:rPr>
                <w:rFonts w:hint="eastAsia" w:eastAsia="宋体" w:cs="宋体"/>
                <w:bCs/>
                <w:sz w:val="24"/>
                <w:szCs w:val="24"/>
              </w:rPr>
              <w:t>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bCs w:val="0"/>
                <w:sz w:val="24"/>
                <w:szCs w:val="24"/>
                <w:lang w:eastAsia="zh-CN"/>
              </w:rPr>
              <w:t>《</w:t>
            </w:r>
            <w:r>
              <w:rPr>
                <w:rFonts w:hint="eastAsia" w:eastAsia="宋体" w:cs="宋体"/>
                <w:b/>
                <w:bCs w:val="0"/>
                <w:sz w:val="24"/>
                <w:szCs w:val="24"/>
                <w:lang w:val="en-US" w:eastAsia="zh-CN"/>
              </w:rPr>
              <w:t>投标文件（技术标）</w:t>
            </w:r>
            <w:r>
              <w:rPr>
                <w:rFonts w:hint="eastAsia" w:eastAsia="宋体" w:cs="宋体"/>
                <w:b/>
                <w:bCs w:val="0"/>
                <w:sz w:val="24"/>
                <w:szCs w:val="24"/>
                <w:lang w:eastAsia="zh-CN"/>
              </w:rPr>
              <w:t>》</w:t>
            </w:r>
            <w:r>
              <w:rPr>
                <w:rFonts w:hint="eastAsia" w:ascii="宋体" w:hAnsi="宋体" w:eastAsia="宋体" w:cs="宋体"/>
                <w:bCs/>
                <w:sz w:val="24"/>
                <w:szCs w:val="24"/>
              </w:rPr>
              <w:t>一个文件（里面是全部</w:t>
            </w:r>
            <w:r>
              <w:rPr>
                <w:rFonts w:hint="eastAsia" w:ascii="宋体" w:hAnsi="宋体" w:eastAsia="宋体" w:cs="宋体"/>
                <w:bCs/>
                <w:sz w:val="24"/>
                <w:szCs w:val="24"/>
                <w:lang w:val="en-US" w:eastAsia="zh-CN"/>
              </w:rPr>
              <w:t>技术</w:t>
            </w:r>
            <w:r>
              <w:rPr>
                <w:rFonts w:hint="eastAsia" w:ascii="宋体" w:hAnsi="宋体" w:eastAsia="宋体" w:cs="宋体"/>
                <w:bCs/>
                <w:sz w:val="24"/>
                <w:szCs w:val="24"/>
              </w:rPr>
              <w:t>投标书）</w:t>
            </w:r>
            <w:r>
              <w:rPr>
                <w:rFonts w:hint="eastAsia" w:ascii="宋体" w:hAnsi="宋体" w:eastAsia="宋体" w:cs="宋体"/>
                <w:bCs/>
                <w:sz w:val="24"/>
                <w:szCs w:val="24"/>
                <w:lang w:eastAsia="zh-CN"/>
              </w:rPr>
              <w:t>，</w:t>
            </w:r>
            <w:r>
              <w:rPr>
                <w:rFonts w:hint="eastAsia" w:ascii="宋体" w:hAnsi="宋体" w:eastAsia="宋体" w:cs="宋体"/>
                <w:b/>
                <w:bCs w:val="0"/>
                <w:sz w:val="24"/>
                <w:szCs w:val="24"/>
                <w:lang w:eastAsia="zh-CN"/>
              </w:rPr>
              <w:t>《</w:t>
            </w:r>
            <w:r>
              <w:rPr>
                <w:rFonts w:hint="eastAsia" w:eastAsia="宋体" w:cs="宋体"/>
                <w:b/>
                <w:sz w:val="24"/>
                <w:szCs w:val="24"/>
              </w:rPr>
              <w:t>投标文件（商务标）》</w:t>
            </w:r>
            <w:r>
              <w:rPr>
                <w:rFonts w:hint="eastAsia" w:eastAsia="宋体" w:cs="宋体"/>
                <w:b/>
                <w:bCs w:val="0"/>
                <w:color w:val="auto"/>
                <w:sz w:val="24"/>
                <w:szCs w:val="24"/>
                <w:highlight w:val="none"/>
              </w:rPr>
              <w:t>（开标一览表）</w:t>
            </w:r>
            <w:r>
              <w:rPr>
                <w:rFonts w:hint="eastAsia" w:ascii="宋体" w:hAnsi="宋体" w:eastAsia="宋体" w:cs="宋体"/>
                <w:bCs/>
                <w:sz w:val="24"/>
                <w:szCs w:val="24"/>
              </w:rPr>
              <w:t>一个文件（里面是全部商务投标书）</w:t>
            </w:r>
            <w:r>
              <w:rPr>
                <w:rFonts w:hint="eastAsia" w:ascii="宋体" w:hAnsi="宋体" w:eastAsia="宋体" w:cs="宋体"/>
                <w:b/>
                <w:bCs w:val="0"/>
                <w:sz w:val="24"/>
                <w:szCs w:val="24"/>
                <w:lang w:eastAsia="zh-CN"/>
              </w:rPr>
              <w:t>，</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w:t>
            </w:r>
            <w:r>
              <w:rPr>
                <w:rFonts w:hint="eastAsia" w:eastAsia="宋体" w:cs="宋体"/>
                <w:b/>
                <w:sz w:val="24"/>
                <w:szCs w:val="24"/>
                <w:lang w:val="en-US" w:eastAsia="zh-CN"/>
              </w:rPr>
              <w:t>技术标书、</w:t>
            </w:r>
            <w:r>
              <w:rPr>
                <w:rFonts w:hint="eastAsia" w:eastAsia="宋体" w:cs="宋体"/>
                <w:b/>
                <w:sz w:val="24"/>
                <w:szCs w:val="24"/>
              </w:rPr>
              <w:t>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pStyle w:val="30"/>
              <w:spacing w:after="0"/>
              <w:ind w:firstLine="420" w:firstLineChars="200"/>
              <w:rPr>
                <w:rFonts w:ascii="宋体" w:hAnsi="宋体" w:cs="宋体"/>
                <w:sz w:val="24"/>
              </w:rPr>
            </w:pPr>
            <w:r>
              <w:rPr>
                <w:rFonts w:hint="eastAsia"/>
                <w:bCs/>
              </w:rPr>
              <w:t xml:space="preserve"> </w:t>
            </w:r>
            <w:r>
              <w:rPr>
                <w:rFonts w:hint="eastAsia" w:eastAsia="宋体" w:cs="宋体"/>
                <w:bCs/>
                <w:sz w:val="24"/>
                <w:szCs w:val="24"/>
              </w:rPr>
              <w:t>纸质版投标文件的份数要求为</w:t>
            </w:r>
            <w:r>
              <w:rPr>
                <w:rFonts w:hint="eastAsia" w:eastAsia="宋体" w:cs="宋体"/>
                <w:b/>
                <w:sz w:val="24"/>
                <w:szCs w:val="24"/>
                <w:highlight w:val="yellow"/>
              </w:rPr>
              <w:t>一式</w:t>
            </w:r>
            <w:r>
              <w:rPr>
                <w:rFonts w:hint="eastAsia" w:cs="宋体"/>
                <w:b/>
                <w:sz w:val="24"/>
                <w:szCs w:val="24"/>
                <w:highlight w:val="yellow"/>
                <w:lang w:val="en-US" w:eastAsia="zh-CN"/>
              </w:rPr>
              <w:t>三</w:t>
            </w:r>
            <w:r>
              <w:rPr>
                <w:rFonts w:hint="eastAsia" w:eastAsia="宋体" w:cs="宋体"/>
                <w:b/>
                <w:sz w:val="24"/>
                <w:szCs w:val="24"/>
                <w:highlight w:val="yellow"/>
              </w:rPr>
              <w:t>份，正本一份，副本</w:t>
            </w:r>
            <w:r>
              <w:rPr>
                <w:rFonts w:hint="eastAsia" w:cs="宋体"/>
                <w:b/>
                <w:sz w:val="24"/>
                <w:szCs w:val="24"/>
                <w:highlight w:val="yellow"/>
                <w:lang w:val="en-US" w:eastAsia="zh-CN"/>
              </w:rPr>
              <w:t>二</w:t>
            </w:r>
            <w:r>
              <w:rPr>
                <w:rFonts w:hint="eastAsia" w:eastAsia="宋体" w:cs="宋体"/>
                <w:b/>
                <w:sz w:val="24"/>
                <w:szCs w:val="24"/>
                <w:highlight w:val="yellow"/>
              </w:rPr>
              <w:t>份</w:t>
            </w:r>
            <w:r>
              <w:rPr>
                <w:rFonts w:hint="eastAsia" w:eastAsia="宋体" w:cs="宋体"/>
                <w:bCs/>
                <w:sz w:val="24"/>
                <w:szCs w:val="24"/>
                <w:highlight w:val="yellow"/>
              </w:rPr>
              <w:t>，</w:t>
            </w:r>
            <w:r>
              <w:rPr>
                <w:rFonts w:hint="eastAsia" w:ascii="宋体" w:hAnsi="宋体" w:eastAsia="宋体" w:cs="宋体"/>
                <w:b/>
                <w:sz w:val="24"/>
                <w:lang w:val="en-US" w:eastAsia="zh-CN"/>
              </w:rPr>
              <w:t>资质标书</w:t>
            </w:r>
            <w:r>
              <w:rPr>
                <w:rFonts w:hint="eastAsia" w:ascii="宋体" w:hAnsi="宋体" w:cs="宋体"/>
                <w:b/>
                <w:sz w:val="24"/>
              </w:rPr>
              <w:t>、技术标书、商务标书必须分别单独胶装成册，禁止将不同类的投标文件编写进同一标书，违反上述要求投标的按无效投标处理。</w:t>
            </w:r>
          </w:p>
          <w:p>
            <w:pPr>
              <w:ind w:firstLine="482" w:firstLineChars="200"/>
              <w:rPr>
                <w:rFonts w:hint="eastAsia" w:ascii="宋体" w:hAnsi="宋体" w:eastAsia="宋体" w:cs="宋体"/>
                <w:b/>
                <w:sz w:val="24"/>
                <w:lang w:eastAsia="zh-CN"/>
              </w:rPr>
            </w:pPr>
            <w:r>
              <w:rPr>
                <w:rFonts w:hint="eastAsia" w:ascii="宋体" w:hAnsi="宋体" w:cs="宋体"/>
                <w:b/>
                <w:sz w:val="24"/>
              </w:rPr>
              <w:t>单独密封的开标一览表一份</w:t>
            </w:r>
            <w:r>
              <w:rPr>
                <w:rFonts w:hint="eastAsia" w:ascii="宋体" w:hAnsi="宋体" w:cs="宋体"/>
                <w:b/>
                <w:sz w:val="24"/>
                <w:lang w:eastAsia="zh-CN"/>
              </w:rPr>
              <w:t>。</w:t>
            </w:r>
          </w:p>
          <w:p>
            <w:pPr>
              <w:ind w:firstLine="482" w:firstLineChars="200"/>
              <w:rPr>
                <w:rFonts w:hint="eastAsia" w:eastAsia="宋体" w:cs="宋体"/>
                <w:bCs/>
                <w:sz w:val="24"/>
                <w:szCs w:val="24"/>
                <w:lang w:eastAsia="zh-CN"/>
              </w:rPr>
            </w:pPr>
            <w:r>
              <w:rPr>
                <w:rFonts w:hint="eastAsia" w:eastAsia="宋体" w:cs="宋体"/>
                <w:b/>
                <w:sz w:val="24"/>
                <w:szCs w:val="24"/>
              </w:rPr>
              <w:t>包封表面按照附件13标注文件信息</w:t>
            </w:r>
            <w:r>
              <w:rPr>
                <w:rFonts w:hint="eastAsia" w:eastAsia="宋体" w:cs="宋体"/>
                <w:b/>
                <w:sz w:val="24"/>
                <w:szCs w:val="24"/>
                <w:lang w:eastAsia="zh-CN"/>
              </w:rPr>
              <w:t>。</w:t>
            </w:r>
          </w:p>
          <w:p>
            <w:pPr>
              <w:pStyle w:val="40"/>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到场参与开标，自行携带纸质投标文件于开标前至开标地点即可。</w:t>
            </w:r>
          </w:p>
          <w:p>
            <w:pPr>
              <w:ind w:firstLine="480" w:firstLineChars="200"/>
            </w:pPr>
            <w:r>
              <w:rPr>
                <w:rFonts w:hint="eastAsia" w:hAnsi="宋体" w:eastAsia="宋体" w:cs="Times New Roman"/>
                <w:color w:val="000000"/>
                <w:sz w:val="24"/>
                <w:szCs w:val="24"/>
                <w:highlight w:val="yellow"/>
              </w:rPr>
              <w:t>联系人及联系方式：</w:t>
            </w:r>
            <w:r>
              <w:rPr>
                <w:rFonts w:hint="eastAsia" w:ascii="宋体" w:hAnsi="宋体" w:eastAsia="宋体" w:cs="宋体"/>
                <w:bCs/>
                <w:snapToGrid w:val="0"/>
                <w:kern w:val="0"/>
                <w:sz w:val="24"/>
                <w:szCs w:val="24"/>
                <w:lang w:val="en-US" w:eastAsia="zh-CN"/>
              </w:rPr>
              <w:t>潘荣，13605311225</w:t>
            </w:r>
          </w:p>
          <w:p>
            <w:pPr>
              <w:pStyle w:val="40"/>
              <w:ind w:firstLine="480" w:firstLineChars="200"/>
              <w:rPr>
                <w:rFonts w:hint="default" w:hAnsi="宋体" w:eastAsia="宋体" w:cs="Times New Roman"/>
                <w:color w:val="000000"/>
                <w:sz w:val="24"/>
                <w:szCs w:val="24"/>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highlight w:val="yellow"/>
              </w:rPr>
            </w:pPr>
            <w:r>
              <w:rPr>
                <w:rFonts w:hint="eastAsia" w:ascii="宋体" w:hAnsi="宋体" w:eastAsia="宋体" w:cs="宋体"/>
                <w:b/>
                <w:bCs/>
                <w:sz w:val="24"/>
              </w:rPr>
              <w:t>纸质版投标文件和电子版投标文件必须保证内容一致；如确实存在不一致的，以电子标书为准，同时要求投标方对纸版标书做出修正。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30"/>
              <w:adjustRightInd/>
              <w:spacing w:before="0" w:after="0" w:afterLines="0" w:line="24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w:t>
            </w:r>
            <w:r>
              <w:rPr>
                <w:rFonts w:hint="eastAsia" w:ascii="宋体" w:hAnsi="宋体" w:eastAsia="宋体" w:cs="宋体"/>
                <w:sz w:val="24"/>
                <w:szCs w:val="24"/>
                <w:lang w:val="en-US" w:eastAsia="zh-CN"/>
              </w:rPr>
              <w:t>技术标文件1册、</w:t>
            </w:r>
            <w:r>
              <w:rPr>
                <w:rFonts w:hint="eastAsia" w:ascii="宋体" w:hAnsi="宋体" w:eastAsia="宋体" w:cs="宋体"/>
                <w:sz w:val="24"/>
                <w:szCs w:val="24"/>
              </w:rPr>
              <w:t>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bCs/>
                <w:sz w:val="24"/>
                <w:szCs w:val="24"/>
                <w:lang w:eastAsia="zh-CN"/>
              </w:rPr>
              <w:t>。</w:t>
            </w:r>
            <w:r>
              <w:rPr>
                <w:rFonts w:hint="eastAsia" w:ascii="宋体" w:hAnsi="宋体" w:cs="宋体"/>
                <w:sz w:val="24"/>
              </w:rPr>
              <w:t>在首页编制“投标文件目录”。</w:t>
            </w:r>
          </w:p>
          <w:p>
            <w:pPr>
              <w:pStyle w:val="40"/>
              <w:ind w:firstLine="482" w:firstLineChars="200"/>
              <w:rPr>
                <w:rFonts w:eastAsia="宋体" w:cs="宋体" w:asciiTheme="minorHAnsi" w:hAnsiTheme="minorHAnsi"/>
                <w:b/>
                <w:sz w:val="24"/>
                <w:szCs w:val="24"/>
              </w:rPr>
            </w:pPr>
            <w:r>
              <w:rPr>
                <w:rFonts w:hint="eastAsia" w:hAnsi="宋体" w:eastAsia="宋体" w:cs="宋体"/>
                <w:b/>
                <w:bCs/>
                <w:sz w:val="24"/>
                <w:szCs w:val="24"/>
              </w:rPr>
              <w:t>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ind w:firstLine="482" w:firstLineChars="200"/>
              <w:rPr>
                <w:rFonts w:hAnsi="宋体" w:eastAsia="宋体" w:cs="宋体"/>
                <w:color w:val="FF0000"/>
                <w:sz w:val="24"/>
                <w:szCs w:val="24"/>
                <w:highlight w:val="yellow"/>
              </w:rPr>
            </w:pPr>
            <w:r>
              <w:rPr>
                <w:rFonts w:hint="eastAsia" w:hAnsi="宋体" w:eastAsia="宋体" w:cs="宋体"/>
                <w:b/>
                <w:bCs/>
                <w:sz w:val="24"/>
                <w:szCs w:val="24"/>
              </w:rPr>
              <w:t>投标文件递交截止时间：</w:t>
            </w:r>
            <w:r>
              <w:rPr>
                <w:rFonts w:hint="eastAsia" w:hAnsi="宋体" w:eastAsia="宋体" w:cs="宋体"/>
                <w:color w:val="auto"/>
                <w:sz w:val="24"/>
                <w:szCs w:val="24"/>
                <w:highlight w:val="red"/>
                <w:u w:val="single"/>
              </w:rPr>
              <w:t>2023</w:t>
            </w:r>
            <w:r>
              <w:rPr>
                <w:rFonts w:hint="eastAsia" w:hAnsi="宋体" w:eastAsia="宋体" w:cs="宋体"/>
                <w:color w:val="auto"/>
                <w:sz w:val="24"/>
                <w:szCs w:val="24"/>
                <w:highlight w:val="red"/>
              </w:rPr>
              <w:t>年</w:t>
            </w:r>
            <w:r>
              <w:rPr>
                <w:rFonts w:hint="eastAsia" w:hAnsi="宋体" w:eastAsia="宋体" w:cs="宋体"/>
                <w:color w:val="auto"/>
                <w:sz w:val="24"/>
                <w:szCs w:val="24"/>
                <w:highlight w:val="red"/>
                <w:u w:val="single"/>
                <w:lang w:val="en-US" w:eastAsia="zh-CN"/>
              </w:rPr>
              <w:t>8</w:t>
            </w:r>
            <w:r>
              <w:rPr>
                <w:rFonts w:hint="eastAsia" w:hAnsi="宋体" w:eastAsia="宋体" w:cs="宋体"/>
                <w:color w:val="auto"/>
                <w:sz w:val="24"/>
                <w:szCs w:val="24"/>
                <w:highlight w:val="red"/>
              </w:rPr>
              <w:t>月</w:t>
            </w:r>
            <w:r>
              <w:rPr>
                <w:rFonts w:hint="eastAsia" w:hAnsi="宋体" w:cs="宋体"/>
                <w:color w:val="auto"/>
                <w:sz w:val="24"/>
                <w:szCs w:val="24"/>
                <w:highlight w:val="red"/>
                <w:u w:val="single"/>
                <w:lang w:val="en-US" w:eastAsia="zh-CN"/>
              </w:rPr>
              <w:t>25</w:t>
            </w:r>
            <w:r>
              <w:rPr>
                <w:rFonts w:hint="eastAsia" w:hAnsi="宋体" w:eastAsia="宋体" w:cs="宋体"/>
                <w:color w:val="auto"/>
                <w:sz w:val="24"/>
                <w:szCs w:val="24"/>
                <w:highlight w:val="red"/>
              </w:rPr>
              <w:t>日</w:t>
            </w:r>
            <w:r>
              <w:rPr>
                <w:rFonts w:hint="eastAsia" w:hAnsi="宋体" w:eastAsia="宋体" w:cs="宋体"/>
                <w:color w:val="auto"/>
                <w:kern w:val="0"/>
                <w:sz w:val="24"/>
                <w:szCs w:val="24"/>
                <w:highlight w:val="red"/>
              </w:rPr>
              <w:t>上午9</w:t>
            </w:r>
            <w:r>
              <w:rPr>
                <w:rFonts w:hint="eastAsia" w:hAnsi="宋体" w:eastAsia="宋体" w:cs="宋体"/>
                <w:color w:val="auto"/>
                <w:sz w:val="24"/>
                <w:szCs w:val="24"/>
                <w:highlight w:val="red"/>
              </w:rPr>
              <w:t>:</w:t>
            </w:r>
            <w:r>
              <w:rPr>
                <w:rFonts w:hint="eastAsia" w:hAnsi="宋体" w:eastAsia="宋体" w:cs="宋体"/>
                <w:color w:val="auto"/>
                <w:sz w:val="24"/>
                <w:szCs w:val="24"/>
                <w:highlight w:val="red"/>
                <w:lang w:val="en-US" w:eastAsia="zh-CN"/>
              </w:rPr>
              <w:t>30</w:t>
            </w:r>
            <w:r>
              <w:rPr>
                <w:rFonts w:hint="eastAsia" w:hAnsi="宋体" w:eastAsia="宋体" w:cs="宋体"/>
                <w:color w:val="auto"/>
                <w:sz w:val="24"/>
                <w:szCs w:val="24"/>
                <w:highlight w:val="red"/>
              </w:rPr>
              <w:t>:00（北京时间）</w:t>
            </w:r>
          </w:p>
          <w:p>
            <w:pPr>
              <w:pStyle w:val="40"/>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75"/>
              <w:spacing w:after="0" w:line="240" w:lineRule="auto"/>
              <w:ind w:left="0" w:leftChars="0" w:firstLine="480"/>
              <w:rPr>
                <w:rFonts w:ascii="宋体" w:hAnsi="宋体" w:cs="宋体"/>
                <w:sz w:val="24"/>
                <w:szCs w:val="24"/>
                <w:u w:val="single"/>
              </w:rPr>
            </w:pPr>
            <w:r>
              <w:rPr>
                <w:rFonts w:hint="eastAsia" w:ascii="宋体" w:hAnsi="宋体" w:cs="宋体"/>
                <w:sz w:val="24"/>
                <w:szCs w:val="24"/>
              </w:rPr>
              <w:t>Ⅰ.境内投标单位缴纳投标保证金信息：</w:t>
            </w:r>
          </w:p>
          <w:p>
            <w:pPr>
              <w:pStyle w:val="75"/>
              <w:spacing w:after="0" w:line="240" w:lineRule="auto"/>
              <w:ind w:left="0" w:leftChars="0" w:firstLine="480"/>
              <w:rPr>
                <w:rFonts w:ascii="宋体" w:hAnsi="宋体" w:cs="宋体"/>
                <w:sz w:val="24"/>
                <w:szCs w:val="24"/>
              </w:rPr>
            </w:pPr>
            <w:r>
              <w:rPr>
                <w:rFonts w:hint="eastAsia" w:ascii="宋体" w:hAnsi="宋体" w:cs="宋体"/>
                <w:sz w:val="24"/>
                <w:szCs w:val="24"/>
              </w:rPr>
              <w:t>投标保证金的金额：</w:t>
            </w:r>
            <w:r>
              <w:rPr>
                <w:rFonts w:hint="eastAsia" w:ascii="宋体" w:hAnsi="宋体" w:cs="宋体"/>
                <w:b/>
                <w:bCs/>
                <w:sz w:val="24"/>
                <w:szCs w:val="24"/>
              </w:rPr>
              <w:t>人民</w:t>
            </w:r>
            <w:r>
              <w:rPr>
                <w:rFonts w:hint="eastAsia" w:ascii="宋体" w:hAnsi="宋体" w:cs="宋体"/>
                <w:b/>
                <w:bCs/>
                <w:sz w:val="24"/>
                <w:szCs w:val="24"/>
                <w:u w:val="single"/>
              </w:rPr>
              <w:t>币</w:t>
            </w:r>
            <w:r>
              <w:rPr>
                <w:rFonts w:hint="eastAsia" w:ascii="宋体" w:hAnsi="宋体" w:cs="宋体"/>
                <w:b/>
                <w:bCs/>
                <w:sz w:val="24"/>
                <w:szCs w:val="24"/>
                <w:u w:val="single"/>
                <w:lang w:val="en-US" w:eastAsia="zh-CN"/>
              </w:rPr>
              <w:t>20000</w:t>
            </w:r>
            <w:r>
              <w:rPr>
                <w:rFonts w:hint="eastAsia" w:ascii="宋体" w:hAnsi="宋体" w:cs="宋体"/>
                <w:b/>
                <w:bCs/>
                <w:sz w:val="24"/>
                <w:szCs w:val="24"/>
              </w:rPr>
              <w:t>元</w:t>
            </w:r>
          </w:p>
          <w:p>
            <w:pPr>
              <w:ind w:firstLine="482" w:firstLineChars="200"/>
              <w:rPr>
                <w:sz w:val="24"/>
              </w:rPr>
            </w:pPr>
            <w:r>
              <w:rPr>
                <w:rFonts w:hint="eastAsia" w:ascii="宋体" w:hAnsi="宋体" w:cs="宋体"/>
                <w:b/>
                <w:bCs/>
                <w:sz w:val="24"/>
                <w:szCs w:val="24"/>
              </w:rPr>
              <w:t>开户名称：</w:t>
            </w:r>
            <w:r>
              <w:rPr>
                <w:rFonts w:hint="eastAsia"/>
                <w:sz w:val="24"/>
              </w:rPr>
              <w:t>重汽（济南）轻卡有限公司</w:t>
            </w:r>
          </w:p>
          <w:p>
            <w:pPr>
              <w:ind w:firstLine="482" w:firstLineChars="200"/>
              <w:rPr>
                <w:rFonts w:ascii="宋体" w:hAnsi="宋体" w:cs="宋体"/>
                <w:sz w:val="24"/>
                <w:szCs w:val="24"/>
              </w:rPr>
            </w:pPr>
            <w:r>
              <w:rPr>
                <w:rFonts w:hint="eastAsia" w:ascii="宋体" w:hAnsi="宋体" w:cs="宋体"/>
                <w:b/>
                <w:bCs/>
                <w:sz w:val="24"/>
                <w:szCs w:val="24"/>
              </w:rPr>
              <w:t>开户银行：</w:t>
            </w:r>
            <w:r>
              <w:rPr>
                <w:rFonts w:hint="eastAsia"/>
                <w:sz w:val="24"/>
              </w:rPr>
              <w:t>中国银行股份有限公司济南分行</w:t>
            </w:r>
          </w:p>
          <w:p>
            <w:pPr>
              <w:pStyle w:val="75"/>
              <w:spacing w:after="0" w:line="240" w:lineRule="auto"/>
              <w:ind w:left="0" w:leftChars="0" w:firstLine="482"/>
              <w:rPr>
                <w:rFonts w:ascii="宋体" w:hAnsi="宋体" w:cs="宋体"/>
                <w:sz w:val="24"/>
                <w:szCs w:val="24"/>
              </w:rPr>
            </w:pPr>
            <w:r>
              <w:rPr>
                <w:rFonts w:hint="eastAsia" w:ascii="宋体" w:hAnsi="宋体" w:cs="宋体"/>
                <w:b/>
                <w:bCs/>
                <w:sz w:val="24"/>
                <w:szCs w:val="24"/>
              </w:rPr>
              <w:t>银行帐号：</w:t>
            </w:r>
            <w:r>
              <w:rPr>
                <w:rFonts w:hint="eastAsia" w:ascii="宋体" w:hAnsi="宋体" w:cs="宋体"/>
                <w:b w:val="0"/>
                <w:bCs w:val="0"/>
                <w:sz w:val="24"/>
                <w:szCs w:val="24"/>
              </w:rPr>
              <w:t>2351  4224  5067</w:t>
            </w:r>
          </w:p>
          <w:p>
            <w:pPr>
              <w:pStyle w:val="75"/>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pPr>
              <w:pStyle w:val="75"/>
              <w:spacing w:after="0" w:line="240" w:lineRule="auto"/>
              <w:ind w:left="0" w:leftChars="0" w:firstLine="480"/>
              <w:rPr>
                <w:rFonts w:ascii="宋体" w:hAnsi="宋体" w:cs="宋体"/>
                <w:sz w:val="24"/>
                <w:szCs w:val="24"/>
              </w:rPr>
            </w:pPr>
            <w:r>
              <w:rPr>
                <w:rFonts w:hint="eastAsia" w:ascii="宋体" w:hAnsi="宋体" w:cs="宋体"/>
                <w:sz w:val="24"/>
                <w:szCs w:val="24"/>
                <w:highlight w:val="yellow"/>
              </w:rPr>
              <w:t>转账附言：公司名称+项目名称+投标保证金</w:t>
            </w:r>
            <w:r>
              <w:rPr>
                <w:rFonts w:hint="eastAsia"/>
                <w:sz w:val="24"/>
                <w:szCs w:val="28"/>
                <w:highlight w:val="cyan"/>
              </w:rPr>
              <w:t>（方便后期核对退款）</w:t>
            </w:r>
            <w:r>
              <w:rPr>
                <w:rFonts w:hint="eastAsia" w:ascii="宋体" w:hAnsi="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75"/>
              <w:spacing w:after="0" w:line="240" w:lineRule="auto"/>
              <w:ind w:left="0" w:leftChars="0" w:firstLine="482"/>
              <w:rPr>
                <w:rFonts w:ascii="宋体" w:hAnsi="宋体" w:cs="宋体"/>
                <w:color w:val="FF0000"/>
                <w:sz w:val="24"/>
                <w:szCs w:val="24"/>
              </w:rPr>
            </w:pPr>
            <w:r>
              <w:rPr>
                <w:rFonts w:hint="eastAsia" w:ascii="宋体" w:hAnsi="宋体" w:cs="宋体"/>
                <w:b/>
                <w:bCs/>
                <w:sz w:val="24"/>
                <w:szCs w:val="24"/>
              </w:rPr>
              <w:t>保证金缴纳截止时间：</w:t>
            </w:r>
            <w:r>
              <w:rPr>
                <w:rFonts w:hint="eastAsia" w:ascii="宋体" w:hAnsi="宋体" w:cs="宋体"/>
                <w:color w:val="auto"/>
                <w:sz w:val="24"/>
                <w:szCs w:val="24"/>
                <w:highlight w:val="red"/>
              </w:rPr>
              <w:t>20</w:t>
            </w:r>
            <w:r>
              <w:rPr>
                <w:rFonts w:ascii="宋体" w:hAnsi="宋体" w:cs="宋体"/>
                <w:color w:val="auto"/>
                <w:sz w:val="24"/>
                <w:szCs w:val="24"/>
                <w:highlight w:val="red"/>
              </w:rPr>
              <w:t>23</w:t>
            </w:r>
            <w:r>
              <w:rPr>
                <w:rFonts w:hint="eastAsia" w:ascii="宋体" w:hAnsi="宋体" w:cs="宋体"/>
                <w:color w:val="auto"/>
                <w:sz w:val="24"/>
                <w:szCs w:val="24"/>
                <w:highlight w:val="red"/>
              </w:rPr>
              <w:t>年</w:t>
            </w:r>
            <w:r>
              <w:rPr>
                <w:rFonts w:hint="eastAsia" w:ascii="宋体" w:hAnsi="宋体" w:cs="宋体"/>
                <w:color w:val="auto"/>
                <w:sz w:val="24"/>
                <w:szCs w:val="24"/>
                <w:highlight w:val="red"/>
                <w:u w:val="single"/>
                <w:lang w:val="en-US" w:eastAsia="zh-CN"/>
              </w:rPr>
              <w:t>8</w:t>
            </w:r>
            <w:r>
              <w:rPr>
                <w:rFonts w:hint="eastAsia" w:ascii="宋体" w:hAnsi="宋体" w:cs="宋体"/>
                <w:color w:val="auto"/>
                <w:sz w:val="24"/>
                <w:szCs w:val="24"/>
                <w:highlight w:val="red"/>
              </w:rPr>
              <w:t>月</w:t>
            </w:r>
            <w:r>
              <w:rPr>
                <w:rFonts w:hint="eastAsia" w:ascii="宋体" w:hAnsi="宋体" w:cs="宋体"/>
                <w:color w:val="auto"/>
                <w:sz w:val="24"/>
                <w:szCs w:val="24"/>
                <w:highlight w:val="red"/>
                <w:u w:val="single"/>
                <w:lang w:val="en-US" w:eastAsia="zh-CN"/>
              </w:rPr>
              <w:t>24</w:t>
            </w:r>
            <w:bookmarkStart w:id="258" w:name="_GoBack"/>
            <w:bookmarkEnd w:id="258"/>
            <w:r>
              <w:rPr>
                <w:rFonts w:hint="eastAsia" w:ascii="宋体" w:hAnsi="宋体" w:cs="宋体"/>
                <w:color w:val="auto"/>
                <w:sz w:val="24"/>
                <w:szCs w:val="24"/>
                <w:highlight w:val="red"/>
              </w:rPr>
              <w:t>日1</w:t>
            </w:r>
            <w:r>
              <w:rPr>
                <w:rFonts w:ascii="宋体" w:hAnsi="宋体" w:cs="宋体"/>
                <w:color w:val="auto"/>
                <w:sz w:val="24"/>
                <w:szCs w:val="24"/>
                <w:highlight w:val="red"/>
              </w:rPr>
              <w:t>7</w:t>
            </w:r>
            <w:r>
              <w:rPr>
                <w:rFonts w:hint="eastAsia" w:ascii="宋体" w:hAnsi="宋体" w:cs="宋体"/>
                <w:color w:val="auto"/>
                <w:sz w:val="24"/>
                <w:szCs w:val="24"/>
                <w:highlight w:val="red"/>
              </w:rPr>
              <w:t>：</w:t>
            </w:r>
            <w:r>
              <w:rPr>
                <w:rFonts w:ascii="宋体" w:hAnsi="宋体" w:cs="宋体"/>
                <w:color w:val="auto"/>
                <w:sz w:val="24"/>
                <w:szCs w:val="24"/>
                <w:highlight w:val="red"/>
              </w:rPr>
              <w:t>0</w:t>
            </w:r>
            <w:r>
              <w:rPr>
                <w:rFonts w:hint="eastAsia" w:ascii="宋体" w:hAnsi="宋体" w:cs="宋体"/>
                <w:color w:val="auto"/>
                <w:sz w:val="24"/>
                <w:szCs w:val="24"/>
                <w:highlight w:val="red"/>
              </w:rPr>
              <w:t>0前（同应标截止时间）</w:t>
            </w:r>
          </w:p>
          <w:p>
            <w:pPr>
              <w:pStyle w:val="75"/>
              <w:spacing w:after="0" w:line="240" w:lineRule="auto"/>
              <w:ind w:left="0" w:leftChars="0" w:firstLine="480"/>
              <w:rPr>
                <w:rFonts w:ascii="宋体" w:hAnsi="宋体" w:cs="宋体"/>
                <w:sz w:val="24"/>
                <w:szCs w:val="24"/>
              </w:rPr>
            </w:pPr>
            <w:r>
              <w:rPr>
                <w:rFonts w:hint="eastAsia" w:ascii="宋体" w:hAnsi="宋体" w:cs="宋体"/>
                <w:sz w:val="24"/>
                <w:szCs w:val="24"/>
              </w:rPr>
              <w:t>投标人应充分考虑银行信息交换时间，由此带来的保证金不能按时到帐的责任由投标人自行承担。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75"/>
              <w:spacing w:after="0" w:line="240" w:lineRule="auto"/>
              <w:ind w:left="0" w:leftChars="0" w:firstLine="480"/>
              <w:rPr>
                <w:rFonts w:ascii="宋体" w:hAnsi="宋体" w:cs="宋体"/>
                <w:sz w:val="24"/>
                <w:szCs w:val="24"/>
              </w:rPr>
            </w:pPr>
            <w:r>
              <w:rPr>
                <w:rFonts w:hint="eastAsia" w:ascii="宋体" w:hAnsi="宋体" w:cs="宋体"/>
                <w:sz w:val="24"/>
                <w:szCs w:val="24"/>
              </w:rPr>
              <w:t>对于未中标的投标人，投标保证金将于招标人内部完成中标人评审并确认最终中标人后的下个月予以原路返还（无息）；对于中标方，投标保证金将在签订合同后的下个月原路返还（无息）。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kern w:val="0"/>
                <w:sz w:val="24"/>
                <w:szCs w:val="24"/>
                <w:highlight w:val="yellow"/>
              </w:rPr>
              <w:t>同投标文件递交截止时间。</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sz w:val="24"/>
              </w:rPr>
              <w:t>山东省</w:t>
            </w:r>
            <w:r>
              <w:rPr>
                <w:rFonts w:hint="eastAsia"/>
                <w:bCs/>
                <w:sz w:val="24"/>
              </w:rPr>
              <w:t>济南市章丘区</w:t>
            </w:r>
            <w:r>
              <w:rPr>
                <w:rFonts w:hint="eastAsia"/>
                <w:bCs/>
                <w:sz w:val="24"/>
                <w:lang w:val="en-US" w:eastAsia="zh-CN"/>
              </w:rPr>
              <w:t>圣井街道潘王路西，重汽（济南）轻卡有限公司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25"/>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b/>
                <w:bCs/>
                <w:sz w:val="24"/>
                <w:szCs w:val="24"/>
                <w:lang w:val="en-US" w:eastAsia="zh-CN"/>
              </w:rPr>
              <w:t>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具体详见“</w:t>
            </w:r>
            <w:r>
              <w:rPr>
                <w:rFonts w:hint="eastAsia" w:ascii="宋体" w:hAnsi="宋体" w:eastAsia="宋体" w:cs="宋体"/>
                <w:sz w:val="24"/>
                <w:szCs w:val="24"/>
                <w:highlight w:val="yellow"/>
              </w:rPr>
              <w:t>第二部分投标须知第六条：评标原则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rPr>
                <w:rFonts w:hint="eastAsia" w:hAnsi="宋体" w:eastAsia="宋体" w:cs="宋体"/>
                <w:b/>
                <w:bCs/>
                <w:color w:val="auto"/>
                <w:sz w:val="24"/>
                <w:szCs w:val="24"/>
                <w:highlight w:val="none"/>
              </w:rPr>
            </w:pPr>
            <w:r>
              <w:rPr>
                <w:rFonts w:hint="eastAsia" w:hAnsi="宋体" w:eastAsia="宋体" w:cs="宋体"/>
                <w:b/>
                <w:bCs/>
                <w:color w:val="auto"/>
                <w:sz w:val="24"/>
                <w:szCs w:val="24"/>
                <w:highlight w:val="none"/>
              </w:rPr>
              <w:t>交货期：</w:t>
            </w:r>
            <w:r>
              <w:rPr>
                <w:rFonts w:hint="eastAsia" w:ascii="宋体" w:hAnsi="宋体"/>
                <w:sz w:val="24"/>
                <w:szCs w:val="24"/>
              </w:rPr>
              <w:t>中标通知书发布</w:t>
            </w:r>
            <w:r>
              <w:rPr>
                <w:rFonts w:hint="eastAsia" w:ascii="宋体" w:hAnsi="宋体"/>
                <w:color w:val="000000" w:themeColor="text1"/>
                <w:sz w:val="24"/>
                <w:szCs w:val="24"/>
                <w14:textFill>
                  <w14:solidFill>
                    <w14:schemeClr w14:val="tx1"/>
                  </w14:solidFill>
                </w14:textFill>
              </w:rPr>
              <w:t>后</w:t>
            </w:r>
            <w:r>
              <w:rPr>
                <w:rFonts w:ascii="宋体" w:hAnsi="宋体"/>
                <w:color w:val="000000" w:themeColor="text1"/>
                <w:sz w:val="24"/>
                <w:szCs w:val="24"/>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个月</w:t>
            </w:r>
            <w:r>
              <w:rPr>
                <w:rFonts w:hint="eastAsia" w:ascii="宋体" w:hAnsi="宋体"/>
                <w:sz w:val="24"/>
                <w:szCs w:val="24"/>
              </w:rPr>
              <w:t>内完成设备安装调试，具备预验收条件。</w:t>
            </w:r>
          </w:p>
          <w:p>
            <w:pPr>
              <w:pStyle w:val="40"/>
              <w:ind w:firstLine="480" w:firstLineChars="200"/>
              <w:rPr>
                <w:rFonts w:hint="eastAsia" w:hAnsi="宋体" w:eastAsia="宋体" w:cs="宋体"/>
                <w:color w:val="auto"/>
                <w:sz w:val="24"/>
                <w:szCs w:val="24"/>
                <w:highlight w:val="none"/>
              </w:rPr>
            </w:pPr>
            <w:r>
              <w:rPr>
                <w:rFonts w:hint="eastAsia" w:hAnsi="宋体" w:eastAsia="宋体" w:cs="宋体"/>
                <w:color w:val="auto"/>
                <w:sz w:val="24"/>
                <w:szCs w:val="24"/>
                <w:highlight w:val="none"/>
              </w:rPr>
              <w:t>安装调试时间或终验收时间超过规定时间的，投标人应当随标书提供详细的工期计划。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40"/>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color w:val="000000"/>
                <w:sz w:val="24"/>
                <w:szCs w:val="24"/>
              </w:rPr>
              <w:t>招标方指定地点</w:t>
            </w:r>
            <w:r>
              <w:rPr>
                <w:rFonts w:hint="eastAsia" w:hAnsi="宋体" w:eastAsia="宋体" w:cs="宋体"/>
                <w:color w:val="00000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25"/>
              <w:ind w:firstLine="482" w:firstLineChars="200"/>
              <w:rPr>
                <w:rFonts w:ascii="宋体" w:hAnsi="宋体" w:eastAsia="宋体" w:cs="宋体"/>
                <w:sz w:val="24"/>
                <w:szCs w:val="24"/>
              </w:rPr>
            </w:pPr>
            <w:r>
              <w:rPr>
                <w:rFonts w:hint="eastAsia" w:ascii="宋体" w:hAnsi="宋体" w:eastAsia="宋体" w:cs="宋体"/>
                <w:b/>
                <w:bCs/>
                <w:color w:val="000000"/>
                <w:kern w:val="2"/>
                <w:sz w:val="24"/>
                <w:szCs w:val="24"/>
                <w:lang w:val="en-US" w:eastAsia="zh-CN" w:bidi="ar-SA"/>
              </w:rPr>
              <w:t>质保期：</w:t>
            </w:r>
            <w:r>
              <w:rPr>
                <w:rFonts w:hint="eastAsia" w:ascii="宋体" w:hAnsi="宋体" w:eastAsia="宋体" w:cs="宋体"/>
                <w:color w:val="000000"/>
                <w:kern w:val="2"/>
                <w:sz w:val="24"/>
                <w:szCs w:val="24"/>
                <w:lang w:val="en-US" w:eastAsia="zh-CN" w:bidi="ar-SA"/>
              </w:rPr>
              <w:t>自设备终验收文件最终签署之日起</w:t>
            </w:r>
            <w:r>
              <w:rPr>
                <w:rFonts w:hint="eastAsia" w:ascii="宋体" w:hAnsi="宋体" w:eastAsia="宋体" w:cs="宋体"/>
                <w:color w:val="000000"/>
                <w:kern w:val="2"/>
                <w:sz w:val="24"/>
                <w:szCs w:val="24"/>
                <w:highlight w:val="yellow"/>
                <w:u w:val="single"/>
                <w:lang w:val="en-US" w:eastAsia="zh-CN" w:bidi="ar-SA"/>
              </w:rPr>
              <w:t>1</w:t>
            </w:r>
            <w:r>
              <w:rPr>
                <w:rFonts w:hint="eastAsia" w:ascii="宋体" w:hAnsi="宋体" w:eastAsia="宋体" w:cs="宋体"/>
                <w:color w:val="000000"/>
                <w:kern w:val="2"/>
                <w:sz w:val="24"/>
                <w:szCs w:val="24"/>
                <w:highlight w:val="yellow"/>
                <w:lang w:val="en-US" w:eastAsia="zh-CN" w:bidi="ar-SA"/>
              </w:rPr>
              <w:t>年</w:t>
            </w:r>
            <w:r>
              <w:rPr>
                <w:rFonts w:hint="eastAsia" w:ascii="宋体" w:hAnsi="宋体" w:eastAsia="宋体" w:cs="宋体"/>
                <w:color w:val="000000"/>
                <w:kern w:val="2"/>
                <w:sz w:val="24"/>
                <w:szCs w:val="24"/>
                <w:lang w:val="en-US" w:eastAsia="zh-CN" w:bidi="ar-SA"/>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40"/>
              <w:ind w:firstLine="482" w:firstLineChars="200"/>
              <w:jc w:val="left"/>
              <w:rPr>
                <w:rFonts w:hint="default" w:hAnsi="宋体" w:eastAsia="宋体" w:cs="宋体"/>
                <w:sz w:val="24"/>
                <w:szCs w:val="24"/>
                <w:lang w:val="en-US" w:eastAsia="zh-CN"/>
              </w:rPr>
            </w:pPr>
            <w:r>
              <w:rPr>
                <w:rFonts w:hint="eastAsia" w:hAnsi="宋体" w:eastAsia="宋体" w:cs="宋体"/>
                <w:b/>
                <w:bCs/>
                <w:sz w:val="24"/>
                <w:szCs w:val="24"/>
              </w:rPr>
              <w:t>付款方式：</w:t>
            </w:r>
            <w:r>
              <w:rPr>
                <w:rFonts w:hint="eastAsia" w:hAnsi="宋体" w:eastAsia="宋体" w:cs="宋体"/>
                <w:b/>
                <w:bCs/>
                <w:strike w:val="0"/>
                <w:dstrike w:val="0"/>
                <w:color w:val="auto"/>
                <w:sz w:val="24"/>
                <w:szCs w:val="24"/>
                <w:highlight w:val="none"/>
              </w:rPr>
              <w:t>半年期商业汇票（包括银行承兑汇票和商业承兑汇票）</w:t>
            </w:r>
            <w:r>
              <w:rPr>
                <w:rFonts w:hint="eastAsia" w:hAnsi="宋体" w:eastAsia="宋体" w:cs="宋体"/>
                <w:strike w:val="0"/>
                <w:dstrike w:val="0"/>
                <w:color w:val="auto"/>
                <w:sz w:val="24"/>
                <w:szCs w:val="24"/>
                <w:highlight w:val="none"/>
              </w:rPr>
              <w:t>：</w:t>
            </w:r>
          </w:p>
          <w:p>
            <w:pPr>
              <w:numPr>
                <w:ilvl w:val="0"/>
                <w:numId w:val="6"/>
              </w:numPr>
              <w:jc w:val="left"/>
              <w:rPr>
                <w:rFonts w:hint="eastAsia"/>
              </w:rPr>
            </w:pPr>
            <w:r>
              <w:rPr>
                <w:rFonts w:hint="eastAsia" w:ascii="宋体" w:hAnsi="宋体" w:eastAsia="宋体" w:cs="宋体"/>
                <w:color w:val="000000"/>
                <w:sz w:val="24"/>
                <w:szCs w:val="24"/>
              </w:rPr>
              <w:t>合同生效</w:t>
            </w:r>
            <w:r>
              <w:rPr>
                <w:rFonts w:hint="eastAsia" w:ascii="宋体" w:hAnsi="宋体" w:cs="宋体"/>
                <w:color w:val="000000"/>
                <w:sz w:val="24"/>
                <w:szCs w:val="24"/>
                <w:lang w:eastAsia="zh-CN"/>
              </w:rPr>
              <w:t>，</w:t>
            </w:r>
            <w:r>
              <w:rPr>
                <w:rFonts w:hint="eastAsia" w:ascii="宋体" w:hAnsi="宋体" w:eastAsia="宋体" w:cs="宋体"/>
                <w:color w:val="000000"/>
                <w:sz w:val="24"/>
                <w:szCs w:val="24"/>
              </w:rPr>
              <w:t>设备全部到齐无质量问题后, 卖方提交金额为合同含税价款</w:t>
            </w:r>
            <w:r>
              <w:rPr>
                <w:rFonts w:hint="eastAsia" w:ascii="宋体" w:hAnsi="宋体" w:cs="宋体"/>
                <w:color w:val="000000"/>
                <w:sz w:val="24"/>
                <w:szCs w:val="24"/>
                <w:lang w:val="en-US" w:eastAsia="zh-CN"/>
              </w:rPr>
              <w:t>30</w:t>
            </w:r>
            <w:r>
              <w:rPr>
                <w:rFonts w:hint="eastAsia" w:ascii="宋体" w:hAnsi="宋体" w:eastAsia="宋体" w:cs="宋体"/>
                <w:color w:val="000000"/>
                <w:sz w:val="24"/>
                <w:szCs w:val="24"/>
              </w:rPr>
              <w:t xml:space="preserve"> %的</w:t>
            </w:r>
            <w:r>
              <w:rPr>
                <w:rFonts w:hint="eastAsia" w:ascii="宋体" w:hAnsi="宋体" w:cs="宋体"/>
                <w:color w:val="000000"/>
                <w:sz w:val="24"/>
                <w:szCs w:val="24"/>
                <w:lang w:val="en-US" w:eastAsia="zh-CN"/>
              </w:rPr>
              <w:t>增值税专用发票</w:t>
            </w:r>
            <w:r>
              <w:rPr>
                <w:rFonts w:hint="eastAsia" w:ascii="宋体" w:hAnsi="宋体" w:cs="宋体"/>
                <w:color w:val="000000"/>
                <w:sz w:val="24"/>
                <w:szCs w:val="24"/>
                <w:lang w:eastAsia="zh-CN"/>
              </w:rPr>
              <w:t>（税率为【</w:t>
            </w:r>
            <w:r>
              <w:rPr>
                <w:rFonts w:hint="eastAsia" w:ascii="宋体" w:hAnsi="宋体" w:cs="宋体"/>
                <w:color w:val="000000"/>
                <w:sz w:val="24"/>
                <w:szCs w:val="24"/>
                <w:lang w:val="en-US" w:eastAsia="zh-CN"/>
              </w:rPr>
              <w:t>13</w:t>
            </w:r>
            <w:r>
              <w:rPr>
                <w:rFonts w:hint="eastAsia" w:ascii="宋体" w:hAnsi="宋体" w:cs="宋体"/>
                <w:color w:val="000000"/>
                <w:sz w:val="24"/>
                <w:szCs w:val="24"/>
                <w:lang w:eastAsia="zh-CN"/>
              </w:rPr>
              <w:t>】 %，正本一份，复印件二份）</w:t>
            </w:r>
            <w:r>
              <w:rPr>
                <w:rFonts w:hint="eastAsia" w:ascii="宋体" w:hAnsi="宋体" w:eastAsia="宋体" w:cs="宋体"/>
                <w:color w:val="000000"/>
                <w:sz w:val="24"/>
                <w:szCs w:val="24"/>
              </w:rPr>
              <w:t>，经买方依照财务制度审核无误后，招标方当月履行财务流程，审核通过后次月付款。</w:t>
            </w:r>
          </w:p>
          <w:p>
            <w:pPr>
              <w:numPr>
                <w:ilvl w:val="0"/>
                <w:numId w:val="6"/>
              </w:numPr>
              <w:jc w:val="left"/>
              <w:rPr>
                <w:rFonts w:hint="eastAsia" w:ascii="宋体" w:hAnsi="宋体" w:eastAsia="宋体" w:cs="宋体"/>
                <w:color w:val="000000"/>
                <w:sz w:val="24"/>
                <w:szCs w:val="24"/>
                <w:lang w:eastAsia="zh-CN"/>
              </w:rPr>
            </w:pPr>
            <w:r>
              <w:rPr>
                <w:rFonts w:hint="eastAsia" w:ascii="宋体" w:hAnsi="宋体" w:cs="宋体"/>
                <w:color w:val="000000"/>
                <w:sz w:val="24"/>
                <w:szCs w:val="24"/>
                <w:lang w:eastAsia="zh-CN"/>
              </w:rPr>
              <w:t>设备全部到齐无质量问题，经安装、调试最终验收合格后，卖方提交金额为合同含税价款</w:t>
            </w:r>
            <w:r>
              <w:rPr>
                <w:rFonts w:hint="eastAsia" w:ascii="宋体" w:hAnsi="宋体" w:cs="宋体"/>
                <w:color w:val="000000"/>
                <w:sz w:val="24"/>
                <w:szCs w:val="24"/>
                <w:lang w:val="en-US" w:eastAsia="zh-CN"/>
              </w:rPr>
              <w:t>7</w:t>
            </w:r>
            <w:r>
              <w:rPr>
                <w:rFonts w:hint="eastAsia" w:ascii="宋体" w:hAnsi="宋体" w:cs="宋体"/>
                <w:color w:val="000000"/>
                <w:sz w:val="24"/>
                <w:szCs w:val="24"/>
                <w:lang w:eastAsia="zh-CN"/>
              </w:rPr>
              <w:t>0 %</w:t>
            </w:r>
            <w:r>
              <w:rPr>
                <w:rFonts w:hint="eastAsia" w:ascii="宋体" w:hAnsi="宋体" w:cs="宋体"/>
                <w:color w:val="000000"/>
                <w:sz w:val="24"/>
                <w:szCs w:val="24"/>
                <w:lang w:val="en-US" w:eastAsia="zh-CN"/>
              </w:rPr>
              <w:t>的</w:t>
            </w:r>
            <w:r>
              <w:rPr>
                <w:rFonts w:hint="eastAsia" w:ascii="宋体" w:hAnsi="宋体" w:cs="宋体"/>
                <w:color w:val="000000"/>
                <w:sz w:val="24"/>
                <w:szCs w:val="24"/>
                <w:lang w:eastAsia="zh-CN"/>
              </w:rPr>
              <w:t>增值税专用发票（税率为【</w:t>
            </w:r>
            <w:r>
              <w:rPr>
                <w:rFonts w:hint="eastAsia" w:ascii="宋体" w:hAnsi="宋体" w:cs="宋体"/>
                <w:color w:val="000000"/>
                <w:sz w:val="24"/>
                <w:szCs w:val="24"/>
                <w:lang w:val="en-US" w:eastAsia="zh-CN"/>
              </w:rPr>
              <w:t>13</w:t>
            </w:r>
            <w:r>
              <w:rPr>
                <w:rFonts w:hint="eastAsia" w:ascii="宋体" w:hAnsi="宋体" w:cs="宋体"/>
                <w:color w:val="000000"/>
                <w:sz w:val="24"/>
                <w:szCs w:val="24"/>
                <w:lang w:eastAsia="zh-CN"/>
              </w:rPr>
              <w:t>】 %，正本一份，复印件二份）</w:t>
            </w:r>
            <w:r>
              <w:rPr>
                <w:rFonts w:hint="eastAsia" w:ascii="宋体" w:hAnsi="宋体" w:eastAsia="宋体" w:cs="宋体"/>
                <w:color w:val="000000"/>
                <w:sz w:val="24"/>
                <w:szCs w:val="24"/>
              </w:rPr>
              <w:t>，</w:t>
            </w:r>
            <w:r>
              <w:rPr>
                <w:rFonts w:hint="eastAsia" w:ascii="宋体" w:hAnsi="宋体" w:cs="宋体"/>
                <w:color w:val="000000"/>
                <w:sz w:val="24"/>
                <w:szCs w:val="24"/>
                <w:lang w:eastAsia="zh-CN"/>
              </w:rPr>
              <w:t>并附带该套合同设备最终验收报告的原件及其复印件两份，</w:t>
            </w:r>
            <w:r>
              <w:rPr>
                <w:rFonts w:hint="eastAsia" w:ascii="宋体" w:hAnsi="宋体" w:eastAsia="宋体" w:cs="宋体"/>
                <w:color w:val="000000"/>
                <w:sz w:val="24"/>
                <w:szCs w:val="24"/>
              </w:rPr>
              <w:t>经买方依照财务制度审核无误后</w:t>
            </w:r>
            <w:r>
              <w:rPr>
                <w:rFonts w:hint="eastAsia" w:ascii="宋体" w:hAnsi="宋体" w:cs="宋体"/>
                <w:color w:val="000000"/>
                <w:sz w:val="24"/>
                <w:szCs w:val="24"/>
                <w:lang w:val="en-US" w:eastAsia="zh-CN"/>
              </w:rPr>
              <w:t>支付合同总价款60%的验收款</w:t>
            </w:r>
            <w:r>
              <w:rPr>
                <w:rFonts w:hint="eastAsia" w:ascii="宋体" w:hAnsi="宋体" w:eastAsia="宋体" w:cs="宋体"/>
                <w:color w:val="000000"/>
                <w:sz w:val="24"/>
                <w:szCs w:val="24"/>
              </w:rPr>
              <w:t>，招标方当月履行财务流程，审核通过后次月</w:t>
            </w:r>
            <w:r>
              <w:rPr>
                <w:rFonts w:hint="eastAsia" w:ascii="宋体" w:hAnsi="宋体" w:cs="宋体"/>
                <w:color w:val="000000"/>
                <w:sz w:val="24"/>
                <w:szCs w:val="24"/>
                <w:lang w:val="en-US" w:eastAsia="zh-CN"/>
              </w:rPr>
              <w:t>支付</w:t>
            </w:r>
            <w:r>
              <w:rPr>
                <w:rFonts w:hint="eastAsia" w:ascii="宋体" w:hAnsi="宋体" w:eastAsia="宋体" w:cs="宋体"/>
                <w:color w:val="000000"/>
                <w:sz w:val="24"/>
                <w:szCs w:val="24"/>
              </w:rPr>
              <w:t>。</w:t>
            </w:r>
          </w:p>
          <w:p>
            <w:pPr>
              <w:jc w:val="left"/>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合同含税总价款的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w:t>
            </w:r>
            <w:r>
              <w:rPr>
                <w:rFonts w:hint="eastAsia" w:ascii="宋体" w:hAnsi="宋体" w:cs="宋体"/>
                <w:color w:val="000000"/>
                <w:sz w:val="24"/>
                <w:szCs w:val="24"/>
                <w:lang w:eastAsia="zh-CN"/>
              </w:rPr>
              <w:t>，</w:t>
            </w:r>
            <w:r>
              <w:rPr>
                <w:rFonts w:hint="eastAsia" w:ascii="宋体" w:hAnsi="宋体" w:eastAsia="宋体" w:cs="宋体"/>
                <w:color w:val="000000"/>
                <w:sz w:val="24"/>
                <w:szCs w:val="24"/>
              </w:rPr>
              <w:t>招标方当月履行财务流程，审核通过后次月付款。如有质量问题，质量保证金予以相应扣除。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25"/>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25"/>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25"/>
              <w:ind w:firstLine="480" w:firstLineChars="200"/>
              <w:rPr>
                <w:rFonts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color w:val="FF0000"/>
                <w:sz w:val="24"/>
                <w:szCs w:val="24"/>
                <w:highlight w:val="yellow"/>
              </w:rPr>
              <w:t>5日</w:t>
            </w:r>
            <w:r>
              <w:rPr>
                <w:rFonts w:hint="eastAsia" w:ascii="宋体" w:hAnsi="宋体" w:eastAsia="宋体" w:cs="宋体"/>
                <w:sz w:val="24"/>
                <w:szCs w:val="24"/>
              </w:rPr>
              <w:t>内</w:t>
            </w:r>
            <w:r>
              <w:rPr>
                <w:rFonts w:hint="eastAsia" w:ascii="宋体" w:hAnsi="宋体" w:eastAsia="宋体" w:cs="宋体"/>
                <w:sz w:val="24"/>
                <w:szCs w:val="24"/>
                <w:lang w:val="en-US" w:eastAsia="zh-CN"/>
              </w:rPr>
              <w:t>编制</w:t>
            </w:r>
            <w:r>
              <w:rPr>
                <w:rFonts w:hint="eastAsia" w:ascii="宋体" w:hAnsi="宋体" w:eastAsia="宋体" w:cs="宋体"/>
                <w:sz w:val="24"/>
                <w:szCs w:val="24"/>
              </w:rPr>
              <w:t>完成</w:t>
            </w:r>
            <w:r>
              <w:rPr>
                <w:rFonts w:hint="eastAsia" w:ascii="宋体" w:hAnsi="宋体" w:eastAsia="宋体" w:cs="宋体"/>
                <w:sz w:val="24"/>
                <w:szCs w:val="24"/>
                <w:lang w:val="en-US" w:eastAsia="zh-CN"/>
              </w:rPr>
              <w:t>项目计划和项目组织机构并盖章发给招标方</w:t>
            </w:r>
            <w:r>
              <w:rPr>
                <w:rFonts w:hint="eastAsia" w:ascii="宋体" w:hAnsi="宋体" w:eastAsia="宋体" w:cs="宋体"/>
                <w:sz w:val="24"/>
                <w:szCs w:val="24"/>
              </w:rPr>
              <w:t>。</w:t>
            </w:r>
          </w:p>
        </w:tc>
      </w:tr>
    </w:tbl>
    <w:p>
      <w:pPr>
        <w:pStyle w:val="40"/>
        <w:spacing w:line="360" w:lineRule="auto"/>
        <w:jc w:val="center"/>
        <w:outlineLvl w:val="0"/>
        <w:rPr>
          <w:rFonts w:ascii="宋体" w:hAnsi="宋体"/>
          <w:b w:val="0"/>
          <w:bCs/>
          <w:sz w:val="30"/>
          <w:szCs w:val="30"/>
        </w:rPr>
      </w:pPr>
      <w:bookmarkStart w:id="7" w:name="_Toc346372875"/>
      <w:r>
        <w:rPr>
          <w:rFonts w:ascii="宋体" w:hAnsi="宋体" w:cs="宋体"/>
          <w:b w:val="0"/>
          <w:bCs/>
          <w:sz w:val="30"/>
          <w:szCs w:val="30"/>
        </w:rPr>
        <w:br w:type="page"/>
      </w:r>
      <w:bookmarkEnd w:id="7"/>
      <w:bookmarkStart w:id="8" w:name="_Toc30230"/>
      <w:r>
        <w:rPr>
          <w:rFonts w:hint="eastAsia" w:ascii="宋体" w:hAnsi="宋体" w:eastAsiaTheme="minorEastAsia" w:cstheme="minorBidi"/>
          <w:b/>
          <w:bCs/>
          <w:kern w:val="44"/>
          <w:sz w:val="44"/>
          <w:szCs w:val="44"/>
          <w:lang w:val="en-US" w:eastAsia="zh-CN" w:bidi="ar-SA"/>
        </w:rPr>
        <w:t>第二部分 投标须知</w:t>
      </w:r>
      <w:bookmarkEnd w:id="8"/>
    </w:p>
    <w:p>
      <w:pPr>
        <w:keepNext/>
        <w:keepLines/>
        <w:spacing w:line="360" w:lineRule="auto"/>
        <w:outlineLvl w:val="1"/>
        <w:rPr>
          <w:rFonts w:ascii="Arial" w:hAnsi="Arial" w:eastAsia="宋体" w:cs="Times New Roman"/>
          <w:b/>
          <w:bCs/>
          <w:sz w:val="28"/>
          <w:szCs w:val="36"/>
        </w:rPr>
      </w:pPr>
      <w:bookmarkStart w:id="9" w:name="_Toc26391"/>
      <w:r>
        <w:rPr>
          <w:rFonts w:hint="eastAsia" w:ascii="Arial" w:hAnsi="Arial" w:eastAsia="宋体" w:cs="Times New Roman"/>
          <w:b/>
          <w:bCs/>
          <w:sz w:val="28"/>
          <w:szCs w:val="36"/>
        </w:rPr>
        <w:t>一、项目名称</w:t>
      </w:r>
    </w:p>
    <w:p>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10" w:name="OLE_LINK1"/>
      <w:r>
        <w:rPr>
          <w:rFonts w:hint="eastAsia" w:ascii="宋体" w:hAnsi="宋体" w:eastAsia="宋体" w:cs="Times New Roman"/>
          <w:color w:val="000000"/>
          <w:sz w:val="24"/>
          <w:szCs w:val="24"/>
        </w:rPr>
        <w:t>见《投标须知前附表》。</w:t>
      </w:r>
    </w:p>
    <w:bookmarkEnd w:id="10"/>
    <w:p>
      <w:pPr>
        <w:keepNext/>
        <w:keepLines/>
        <w:numPr>
          <w:ilvl w:val="0"/>
          <w:numId w:val="7"/>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pPr>
        <w:pStyle w:val="40"/>
        <w:spacing w:line="360" w:lineRule="auto"/>
        <w:ind w:firstLine="480" w:firstLineChars="200"/>
      </w:pPr>
      <w:r>
        <w:rPr>
          <w:rFonts w:hint="eastAsia" w:hAnsi="宋体" w:eastAsia="宋体" w:cs="Times New Roman"/>
          <w:color w:val="000000"/>
          <w:sz w:val="24"/>
          <w:szCs w:val="24"/>
        </w:rPr>
        <w:t>见《投标须知前附表》。</w:t>
      </w:r>
    </w:p>
    <w:p>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对于本项目需着重介绍的注意事项已通过以下带颜色文档进行标记。</w:t>
      </w:r>
    </w:p>
    <w:p>
      <w:pPr>
        <w:spacing w:line="360" w:lineRule="auto"/>
        <w:ind w:firstLine="482" w:firstLineChars="200"/>
        <w:rPr>
          <w:rFonts w:hint="eastAsia"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w:t>
      </w:r>
      <w:r>
        <w:rPr>
          <w:rFonts w:hint="eastAsia" w:ascii="宋体" w:hAnsi="Courier New" w:eastAsia="宋体" w:cs="Times New Roman"/>
          <w:b/>
          <w:color w:val="000000"/>
          <w:sz w:val="24"/>
          <w:szCs w:val="24"/>
          <w:highlight w:val="none"/>
        </w:rPr>
        <w:t>《第四</w:t>
      </w:r>
      <w:r>
        <w:rPr>
          <w:rFonts w:hint="eastAsia" w:ascii="宋体" w:hAnsi="Courier New" w:eastAsia="宋体" w:cs="Times New Roman"/>
          <w:b/>
          <w:color w:val="000000"/>
          <w:sz w:val="24"/>
          <w:szCs w:val="24"/>
          <w:highlight w:val="none"/>
          <w:lang w:val="en-US" w:eastAsia="zh-CN"/>
        </w:rPr>
        <w:t xml:space="preserve">部分 </w:t>
      </w:r>
      <w:r>
        <w:rPr>
          <w:rFonts w:hint="eastAsia" w:ascii="宋体" w:hAnsi="Courier New" w:eastAsia="宋体" w:cs="Times New Roman"/>
          <w:b/>
          <w:color w:val="000000"/>
          <w:sz w:val="24"/>
          <w:szCs w:val="24"/>
          <w:highlight w:val="none"/>
        </w:rPr>
        <w:t>技术规格及技术要求》。</w:t>
      </w:r>
    </w:p>
    <w:p>
      <w:pPr>
        <w:keepNext/>
        <w:keepLines/>
        <w:numPr>
          <w:ilvl w:val="0"/>
          <w:numId w:val="7"/>
        </w:numPr>
        <w:spacing w:line="360" w:lineRule="auto"/>
        <w:outlineLvl w:val="1"/>
        <w:rPr>
          <w:rFonts w:hint="eastAsia" w:ascii="Arial" w:hAnsi="Arial" w:eastAsia="宋体" w:cs="Times New Roman"/>
          <w:b/>
          <w:bCs/>
          <w:sz w:val="28"/>
          <w:szCs w:val="36"/>
        </w:rPr>
      </w:pPr>
      <w:r>
        <w:rPr>
          <w:rFonts w:hint="eastAsia" w:ascii="Arial" w:hAnsi="Arial" w:eastAsia="宋体" w:cs="Times New Roman"/>
          <w:b/>
          <w:bCs/>
          <w:sz w:val="28"/>
          <w:szCs w:val="36"/>
        </w:rPr>
        <w:t>交货及付款</w:t>
      </w:r>
      <w:bookmarkEnd w:id="9"/>
    </w:p>
    <w:p>
      <w:pPr>
        <w:pStyle w:val="40"/>
        <w:spacing w:line="360" w:lineRule="auto"/>
        <w:ind w:firstLine="480" w:firstLineChars="200"/>
        <w:rPr>
          <w:rFonts w:hint="default"/>
          <w:lang w:val="en-US" w:eastAsia="zh-CN"/>
        </w:rPr>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pPr>
        <w:keepNext/>
        <w:keepLines/>
        <w:numPr>
          <w:ilvl w:val="0"/>
          <w:numId w:val="7"/>
        </w:numPr>
        <w:spacing w:line="360" w:lineRule="auto"/>
        <w:outlineLvl w:val="1"/>
        <w:rPr>
          <w:rFonts w:hint="eastAsia" w:ascii="Arial" w:hAnsi="Arial" w:eastAsia="宋体" w:cs="Times New Roman"/>
          <w:b/>
          <w:bCs/>
          <w:sz w:val="28"/>
          <w:szCs w:val="36"/>
          <w:lang w:val="en-US" w:eastAsia="zh-CN"/>
        </w:rPr>
      </w:pPr>
      <w:bookmarkStart w:id="11" w:name="_Toc25540"/>
      <w:r>
        <w:rPr>
          <w:rFonts w:hint="eastAsia" w:ascii="Arial" w:hAnsi="Arial" w:eastAsia="宋体" w:cs="Times New Roman"/>
          <w:b/>
          <w:bCs/>
          <w:sz w:val="28"/>
          <w:szCs w:val="36"/>
          <w:lang w:val="en-US" w:eastAsia="zh-CN"/>
        </w:rPr>
        <w:t>投标说明</w:t>
      </w:r>
      <w:bookmarkEnd w:id="11"/>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2" w:name="_Toc12496"/>
      <w:r>
        <w:rPr>
          <w:rFonts w:hint="eastAsia" w:ascii="Times New Roman" w:hAnsi="Times New Roman" w:eastAsia="宋体" w:cs="Times New Roman"/>
          <w:b/>
          <w:bCs/>
          <w:color w:val="000000"/>
          <w:sz w:val="24"/>
          <w:szCs w:val="24"/>
        </w:rPr>
        <w:t>1.报名方式</w:t>
      </w:r>
      <w:bookmarkEnd w:id="12"/>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投标人根据招标人在中国重汽官网等公开媒体上发布的招标信息，在“中国重汽e采通”平台报名。按照中国重汽e采通“SRM非生产供应商注册手册（附件1</w:t>
      </w:r>
      <w:r>
        <w:rPr>
          <w:rFonts w:hint="eastAsia" w:ascii="宋体" w:hAnsi="Courier New" w:eastAsia="宋体" w:cs="Times New Roman"/>
          <w:color w:val="000000"/>
          <w:sz w:val="24"/>
          <w:szCs w:val="24"/>
          <w:lang w:val="en-US" w:eastAsia="zh-CN"/>
        </w:rPr>
        <w:t>5</w:t>
      </w:r>
      <w:r>
        <w:rPr>
          <w:rFonts w:hint="eastAsia" w:ascii="宋体" w:hAnsi="Courier New" w:eastAsia="宋体" w:cs="Times New Roman"/>
          <w:color w:val="000000"/>
          <w:sz w:val="24"/>
          <w:szCs w:val="24"/>
        </w:rPr>
        <w:t>）”进行注册，</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Courier New" w:eastAsia="宋体" w:cs="Times New Roman"/>
          <w:color w:val="000000"/>
          <w:sz w:val="24"/>
          <w:szCs w:val="24"/>
        </w:rPr>
        <w:t>进入“供应商应标”，选择对应的项目，</w:t>
      </w:r>
      <w:r>
        <w:rPr>
          <w:rFonts w:hint="eastAsia" w:ascii="宋体" w:hAnsi="Courier New" w:eastAsia="宋体" w:cs="Times New Roman"/>
          <w:color w:val="000000"/>
          <w:sz w:val="24"/>
          <w:szCs w:val="24"/>
          <w:highlight w:val="none"/>
        </w:rPr>
        <w:t>点击“应标”后按照</w:t>
      </w:r>
      <w:r>
        <w:rPr>
          <w:rFonts w:hint="eastAsia" w:ascii="宋体" w:hAnsi="Courier New" w:eastAsia="宋体" w:cs="Times New Roman"/>
          <w:color w:val="auto"/>
          <w:sz w:val="24"/>
          <w:szCs w:val="24"/>
          <w:highlight w:val="none"/>
        </w:rPr>
        <w:t>招标文件第三部分投标文件组成资格证明文件中的1.1-1.12准备资料并上传</w:t>
      </w:r>
      <w:r>
        <w:rPr>
          <w:rFonts w:hint="eastAsia" w:ascii="宋体" w:hAnsi="Courier New" w:eastAsia="宋体" w:cs="Times New Roman"/>
          <w:color w:val="000000"/>
          <w:sz w:val="24"/>
          <w:szCs w:val="24"/>
        </w:rPr>
        <w:t>，资质审查通过即为报名成功，公示期间请尽快报名。</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投标保证金缴纳时，</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不按要求报名的，或因未提供相关信息导致后期无法退回保证金的，需投标人承担责任。</w:t>
      </w:r>
    </w:p>
    <w:p>
      <w:pPr>
        <w:pStyle w:val="40"/>
        <w:numPr>
          <w:ilvl w:val="0"/>
          <w:numId w:val="8"/>
        </w:numPr>
        <w:spacing w:line="360" w:lineRule="auto"/>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投标条件</w:t>
      </w:r>
    </w:p>
    <w:p>
      <w:pPr>
        <w:spacing w:line="360" w:lineRule="auto"/>
        <w:ind w:firstLine="480" w:firstLineChars="200"/>
        <w:rPr>
          <w:rFonts w:hint="eastAsia" w:ascii="宋体" w:hAnsi="Courier New" w:eastAsia="宋体" w:cs="Times New Roman"/>
          <w:color w:val="000000"/>
          <w:sz w:val="24"/>
          <w:szCs w:val="24"/>
        </w:rPr>
      </w:pPr>
      <w:r>
        <w:rPr>
          <w:rFonts w:hint="eastAsia" w:ascii="宋体" w:hAnsi="Courier New" w:eastAsia="宋体" w:cs="Times New Roman"/>
          <w:color w:val="000000"/>
          <w:sz w:val="24"/>
          <w:szCs w:val="24"/>
        </w:rPr>
        <w:t>对于投标条件详见招标文件“第一部分投标</w:t>
      </w:r>
      <w:r>
        <w:rPr>
          <w:rFonts w:hint="eastAsia" w:ascii="宋体" w:hAnsi="Courier New" w:eastAsia="宋体" w:cs="Times New Roman"/>
          <w:color w:val="000000"/>
          <w:sz w:val="24"/>
          <w:szCs w:val="24"/>
          <w:lang w:val="en-US" w:eastAsia="zh-CN"/>
        </w:rPr>
        <w:t>方</w:t>
      </w:r>
      <w:r>
        <w:rPr>
          <w:rFonts w:hint="eastAsia" w:ascii="宋体" w:hAnsi="Courier New" w:eastAsia="宋体" w:cs="Times New Roman"/>
          <w:color w:val="000000"/>
          <w:sz w:val="24"/>
          <w:szCs w:val="24"/>
        </w:rPr>
        <w:t>须知前附表1.</w:t>
      </w:r>
      <w:r>
        <w:rPr>
          <w:rFonts w:hint="eastAsia" w:ascii="宋体" w:hAnsi="Courier New" w:eastAsia="宋体" w:cs="Times New Roman"/>
          <w:color w:val="000000"/>
          <w:sz w:val="24"/>
          <w:szCs w:val="24"/>
          <w:lang w:val="en-US" w:eastAsia="zh-CN"/>
        </w:rPr>
        <w:t>6</w:t>
      </w:r>
      <w:r>
        <w:rPr>
          <w:rFonts w:hint="eastAsia" w:ascii="宋体" w:hAnsi="Courier New" w:eastAsia="宋体" w:cs="Times New Roman"/>
          <w:color w:val="000000"/>
          <w:sz w:val="24"/>
          <w:szCs w:val="24"/>
        </w:rPr>
        <w:t>”。</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3" w:name="_Toc2529"/>
      <w:r>
        <w:rPr>
          <w:rFonts w:hint="eastAsia" w:ascii="Times New Roman" w:hAnsi="Times New Roman" w:eastAsia="宋体" w:cs="Times New Roman"/>
          <w:b/>
          <w:bCs/>
          <w:color w:val="000000"/>
          <w:sz w:val="24"/>
          <w:szCs w:val="24"/>
        </w:rPr>
        <w:t>3.报价</w:t>
      </w:r>
      <w:bookmarkEnd w:id="13"/>
    </w:p>
    <w:p>
      <w:pPr>
        <w:pStyle w:val="40"/>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pPr>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w:t>
      </w:r>
      <w:r>
        <w:rPr>
          <w:rFonts w:hint="eastAsia" w:ascii="宋体" w:hAnsi="宋体" w:eastAsia="宋体" w:cs="Times New Roman"/>
          <w:b/>
          <w:bCs/>
          <w:color w:val="000000"/>
          <w:sz w:val="24"/>
          <w:szCs w:val="24"/>
          <w:highlight w:val="green"/>
        </w:rPr>
        <w:t>人民币</w:t>
      </w:r>
      <w:r>
        <w:rPr>
          <w:rFonts w:hint="eastAsia" w:ascii="宋体" w:hAnsi="宋体" w:eastAsia="宋体" w:cs="Times New Roman"/>
          <w:b/>
          <w:bCs/>
          <w:color w:val="000000"/>
          <w:sz w:val="24"/>
          <w:szCs w:val="24"/>
          <w:highlight w:val="yellow"/>
        </w:rPr>
        <w:t>（应同时报含税价和不含税价并写明税率）</w:t>
      </w:r>
      <w:r>
        <w:rPr>
          <w:rFonts w:hint="eastAsia" w:ascii="宋体" w:hAnsi="宋体" w:eastAsia="宋体" w:cs="Times New Roman"/>
          <w:b/>
          <w:bCs/>
          <w:color w:val="000000"/>
          <w:sz w:val="24"/>
          <w:szCs w:val="24"/>
          <w:highlight w:val="green"/>
        </w:rPr>
        <w:t>或外币</w:t>
      </w:r>
      <w:r>
        <w:rPr>
          <w:rFonts w:hint="eastAsia" w:ascii="宋体" w:hAnsi="宋体" w:eastAsia="宋体" w:cs="Times New Roman"/>
          <w:b/>
          <w:bCs/>
          <w:color w:val="000000"/>
          <w:sz w:val="24"/>
          <w:szCs w:val="24"/>
          <w:highlight w:val="yellow"/>
        </w:rPr>
        <w:t>】。</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4" w:name="_Toc25024"/>
      <w:r>
        <w:rPr>
          <w:rFonts w:hint="eastAsia" w:ascii="Times New Roman" w:hAnsi="Times New Roman" w:eastAsia="宋体" w:cs="Times New Roman"/>
          <w:b/>
          <w:bCs/>
          <w:color w:val="000000"/>
          <w:sz w:val="24"/>
          <w:szCs w:val="24"/>
        </w:rPr>
        <w:t>4.设备要求：</w:t>
      </w:r>
      <w:bookmarkEnd w:id="14"/>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w:t>
      </w:r>
      <w:r>
        <w:rPr>
          <w:rFonts w:hint="eastAsia" w:ascii="宋体" w:hAnsi="宋体" w:eastAsia="宋体" w:cs="Times New Roman"/>
          <w:color w:val="000000"/>
          <w:sz w:val="24"/>
          <w:szCs w:val="24"/>
          <w:highlight w:val="none"/>
        </w:rPr>
        <w:t>术参数和</w:t>
      </w:r>
      <w:r>
        <w:rPr>
          <w:rFonts w:hint="eastAsia" w:ascii="宋体" w:hAnsi="宋体" w:eastAsia="宋体" w:cs="Times New Roman"/>
          <w:color w:val="000000"/>
          <w:sz w:val="24"/>
          <w:szCs w:val="24"/>
          <w:highlight w:val="none"/>
          <w:lang w:val="en-US" w:eastAsia="zh-CN"/>
        </w:rPr>
        <w:t>总体</w:t>
      </w:r>
      <w:r>
        <w:rPr>
          <w:rFonts w:hint="eastAsia" w:ascii="宋体" w:hAnsi="宋体" w:eastAsia="宋体" w:cs="Times New Roman"/>
          <w:color w:val="000000"/>
          <w:sz w:val="24"/>
          <w:szCs w:val="24"/>
          <w:highlight w:val="none"/>
        </w:rPr>
        <w:t>要求按《技</w:t>
      </w:r>
      <w:r>
        <w:rPr>
          <w:rFonts w:hint="eastAsia" w:ascii="宋体" w:hAnsi="宋体" w:eastAsia="宋体" w:cs="Times New Roman"/>
          <w:color w:val="000000"/>
          <w:sz w:val="24"/>
          <w:szCs w:val="24"/>
        </w:rPr>
        <w:t>术标书》执行；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4.5投标人按技术规范书提报设备详细技术资料；</w:t>
      </w:r>
    </w:p>
    <w:p>
      <w:pPr>
        <w:pStyle w:val="40"/>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pPr>
        <w:pStyle w:val="40"/>
        <w:spacing w:line="360" w:lineRule="auto"/>
        <w:ind w:firstLine="480" w:firstLineChars="200"/>
        <w:rPr>
          <w:rFonts w:hAnsi="宋体" w:eastAsia="宋体"/>
          <w:strike w:val="0"/>
          <w:dstrike w:val="0"/>
          <w:color w:val="000000"/>
          <w:sz w:val="24"/>
          <w:szCs w:val="24"/>
          <w:highlight w:val="none"/>
        </w:rPr>
      </w:pPr>
      <w:r>
        <w:rPr>
          <w:rFonts w:hint="eastAsia" w:hAnsi="宋体" w:eastAsia="宋体"/>
          <w:strike w:val="0"/>
          <w:dstrike w:val="0"/>
          <w:color w:val="000000"/>
          <w:sz w:val="24"/>
          <w:szCs w:val="24"/>
          <w:highlight w:val="none"/>
        </w:rPr>
        <w:t>4.7</w:t>
      </w:r>
      <w:r>
        <w:rPr>
          <w:rFonts w:hAnsi="宋体" w:eastAsia="宋体"/>
          <w:strike w:val="0"/>
          <w:dstrike w:val="0"/>
          <w:color w:val="000000"/>
          <w:sz w:val="24"/>
          <w:szCs w:val="24"/>
          <w:highlight w:val="none"/>
        </w:rPr>
        <w:t>设备设施颜色严格执行我公司企业标准《设备设施颜色标识》（Q/ZZ30070</w:t>
      </w:r>
    </w:p>
    <w:p>
      <w:pPr>
        <w:pStyle w:val="40"/>
        <w:spacing w:line="360" w:lineRule="auto"/>
        <w:rPr>
          <w:rFonts w:hAnsi="宋体" w:eastAsia="宋体"/>
          <w:strike w:val="0"/>
          <w:dstrike w:val="0"/>
          <w:color w:val="000000"/>
          <w:sz w:val="24"/>
          <w:szCs w:val="24"/>
          <w:highlight w:val="none"/>
        </w:rPr>
      </w:pPr>
      <w:r>
        <w:rPr>
          <w:rFonts w:hAnsi="宋体" w:eastAsia="宋体"/>
          <w:strike w:val="0"/>
          <w:dstrike w:val="0"/>
          <w:color w:val="000000"/>
          <w:sz w:val="24"/>
          <w:szCs w:val="24"/>
          <w:highlight w:val="none"/>
        </w:rPr>
        <w:t>—2020）。</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5" w:name="_Toc1503"/>
      <w:r>
        <w:rPr>
          <w:rFonts w:hint="eastAsia" w:ascii="Times New Roman" w:hAnsi="Times New Roman" w:eastAsia="宋体" w:cs="Times New Roman"/>
          <w:b/>
          <w:bCs/>
          <w:color w:val="000000"/>
          <w:sz w:val="24"/>
          <w:szCs w:val="24"/>
        </w:rPr>
        <w:t>5.其他要求</w:t>
      </w:r>
      <w:bookmarkEnd w:id="15"/>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6" w:name="_Toc22391"/>
      <w:r>
        <w:rPr>
          <w:rFonts w:hint="eastAsia" w:ascii="Times New Roman" w:hAnsi="Times New Roman" w:eastAsia="宋体" w:cs="Times New Roman"/>
          <w:b/>
          <w:bCs/>
          <w:color w:val="000000"/>
          <w:sz w:val="24"/>
          <w:szCs w:val="24"/>
        </w:rPr>
        <w:t>6.询标</w:t>
      </w:r>
      <w:bookmarkEnd w:id="16"/>
    </w:p>
    <w:p>
      <w:pPr>
        <w:keepNext/>
        <w:keepLines/>
        <w:spacing w:line="360" w:lineRule="auto"/>
        <w:ind w:firstLine="480" w:firstLineChars="200"/>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pPr>
        <w:keepNext/>
        <w:keepLines/>
        <w:spacing w:line="360" w:lineRule="auto"/>
        <w:outlineLvl w:val="1"/>
        <w:rPr>
          <w:rFonts w:ascii="Times New Roman" w:hAnsi="Times New Roman" w:eastAsia="宋体" w:cs="Times New Roman"/>
          <w:b/>
          <w:bCs/>
          <w:color w:val="000000"/>
          <w:sz w:val="28"/>
          <w:szCs w:val="28"/>
        </w:rPr>
      </w:pPr>
      <w:bookmarkStart w:id="17" w:name="_Toc9539"/>
      <w:r>
        <w:rPr>
          <w:rFonts w:hint="eastAsia" w:ascii="Times New Roman" w:hAnsi="Times New Roman" w:eastAsia="宋体" w:cs="Times New Roman"/>
          <w:b/>
          <w:bCs/>
          <w:color w:val="000000"/>
          <w:sz w:val="28"/>
          <w:szCs w:val="28"/>
        </w:rPr>
        <w:t>五、议程安排</w:t>
      </w:r>
      <w:bookmarkEnd w:id="17"/>
    </w:p>
    <w:p>
      <w:pPr>
        <w:keepNext/>
        <w:keepLines/>
        <w:spacing w:line="360" w:lineRule="auto"/>
        <w:ind w:firstLine="482" w:firstLineChars="200"/>
        <w:outlineLvl w:val="2"/>
        <w:rPr>
          <w:rFonts w:ascii="Times New Roman" w:hAnsi="Times New Roman" w:eastAsia="宋体" w:cs="Times New Roman"/>
          <w:color w:val="000000"/>
          <w:sz w:val="24"/>
          <w:szCs w:val="24"/>
        </w:rPr>
      </w:pPr>
      <w:bookmarkStart w:id="18" w:name="_Toc16087"/>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bookmarkEnd w:id="18"/>
    </w:p>
    <w:p>
      <w:pPr>
        <w:spacing w:line="360" w:lineRule="auto"/>
        <w:ind w:firstLine="480" w:firstLineChars="200"/>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9" w:name="_Toc18723"/>
      <w:r>
        <w:rPr>
          <w:rFonts w:hint="eastAsia" w:ascii="Times New Roman" w:hAnsi="Times New Roman" w:eastAsia="宋体" w:cs="Times New Roman"/>
          <w:b/>
          <w:bCs/>
          <w:color w:val="000000"/>
          <w:sz w:val="24"/>
          <w:szCs w:val="24"/>
        </w:rPr>
        <w:t>2.发标方式</w:t>
      </w:r>
      <w:bookmarkEnd w:id="19"/>
    </w:p>
    <w:p>
      <w:pPr>
        <w:keepNext/>
        <w:keepLines/>
        <w:spacing w:line="360" w:lineRule="auto"/>
        <w:ind w:firstLine="480" w:firstLineChars="200"/>
        <w:outlineLvl w:val="2"/>
        <w:rPr>
          <w:rFonts w:hint="eastAsia" w:ascii="宋体" w:hAnsi="宋体" w:eastAsia="宋体" w:cs="宋体"/>
          <w:sz w:val="24"/>
          <w:szCs w:val="24"/>
          <w:lang w:val="en-US" w:eastAsia="zh-CN"/>
        </w:rPr>
      </w:pPr>
      <w:bookmarkStart w:id="20" w:name="_Toc17745"/>
      <w:r>
        <w:rPr>
          <w:rFonts w:ascii="宋体" w:hAnsi="宋体" w:eastAsia="宋体" w:cs="宋体"/>
          <w:sz w:val="24"/>
          <w:szCs w:val="24"/>
        </w:rPr>
        <w:t>中国重汽官网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中国重汽e采通等平台。</w:t>
      </w:r>
    </w:p>
    <w:p>
      <w:pPr>
        <w:keepNext/>
        <w:keepLines/>
        <w:spacing w:line="360" w:lineRule="auto"/>
        <w:ind w:firstLine="482" w:firstLineChars="200"/>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bookmarkEnd w:id="20"/>
    </w:p>
    <w:p>
      <w:pPr>
        <w:spacing w:line="360" w:lineRule="auto"/>
        <w:ind w:firstLine="480" w:firstLineChars="200"/>
        <w:rPr>
          <w:rFonts w:hint="eastAsia"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见《投标须知前附表》第二条，逾期不受理。</w:t>
      </w:r>
      <w:bookmarkStart w:id="21" w:name="_Toc24326"/>
    </w:p>
    <w:p>
      <w:pPr>
        <w:numPr>
          <w:ilvl w:val="0"/>
          <w:numId w:val="0"/>
        </w:numPr>
        <w:spacing w:line="360" w:lineRule="auto"/>
        <w:ind w:leftChars="200"/>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lang w:val="en-US" w:eastAsia="zh-CN"/>
        </w:rPr>
        <w:t>4.</w:t>
      </w:r>
      <w:r>
        <w:rPr>
          <w:rFonts w:hint="eastAsia" w:ascii="宋体" w:hAnsi="宋体" w:eastAsia="宋体" w:cs="Times New Roman"/>
          <w:b/>
          <w:bCs/>
          <w:color w:val="000000"/>
          <w:sz w:val="24"/>
          <w:szCs w:val="24"/>
        </w:rPr>
        <w:t>投标报名</w:t>
      </w:r>
      <w:bookmarkEnd w:id="2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w:t>
      </w:r>
      <w:r>
        <w:rPr>
          <w:rFonts w:hint="eastAsia" w:eastAsia="宋体" w:cs="Times New Roman"/>
          <w:sz w:val="24"/>
          <w:szCs w:val="24"/>
          <w:highlight w:val="yellow"/>
          <w:lang w:val="en-US" w:eastAsia="zh-CN"/>
        </w:rPr>
        <w:t>4.2和4.3</w:t>
      </w:r>
      <w:r>
        <w:rPr>
          <w:rFonts w:hint="eastAsia" w:eastAsia="宋体" w:cs="Times New Roman"/>
          <w:sz w:val="24"/>
          <w:szCs w:val="24"/>
          <w:highlight w:val="yellow"/>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Courier New" w:eastAsia="宋体" w:cs="Times New Roman"/>
          <w:sz w:val="24"/>
          <w:szCs w:val="24"/>
        </w:rPr>
      </w:pPr>
      <w:r>
        <w:rPr>
          <w:rFonts w:hint="eastAsia" w:ascii="Times New Roman" w:hAnsi="Courier New" w:eastAsia="宋体" w:cs="Times New Roman"/>
          <w:sz w:val="24"/>
          <w:szCs w:val="24"/>
        </w:rPr>
        <w:t>4.2招标人银行账户信息详见《投标须知前附表》4.2：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Courier New" w:eastAsia="宋体" w:cs="Times New Roman"/>
          <w:sz w:val="24"/>
          <w:szCs w:val="24"/>
        </w:rPr>
      </w:pPr>
      <w:r>
        <w:rPr>
          <w:rFonts w:hint="eastAsia" w:ascii="Times New Roman" w:hAnsi="Courier New" w:eastAsia="宋体" w:cs="Times New Roman"/>
          <w:sz w:val="24"/>
          <w:szCs w:val="24"/>
        </w:rPr>
        <w:t>转账附言：公司名称+项目名称+投标保证金；</w:t>
      </w:r>
    </w:p>
    <w:p>
      <w:pPr>
        <w:pStyle w:val="386"/>
        <w:ind w:firstLine="480"/>
        <w:rPr>
          <w:rFonts w:eastAsia="宋体" w:cs="Times New Roman"/>
        </w:rPr>
      </w:pPr>
      <w:r>
        <w:rPr>
          <w:rFonts w:hint="eastAsia" w:eastAsia="宋体" w:cs="Times New Roman"/>
        </w:rPr>
        <w:t>对于未中标的投标人，投标保证金将于招标人内部完成中标人评审并确认最终中标人后在30个工作日内予以原路返还（无息）；对于中标方，投标保证金将在签订合同后30个工作日内原路返还（无息）。</w:t>
      </w:r>
    </w:p>
    <w:p>
      <w:pPr>
        <w:pStyle w:val="386"/>
        <w:ind w:firstLine="480"/>
        <w:rPr>
          <w:rFonts w:eastAsia="宋体" w:cs="Times New Roman"/>
        </w:rPr>
      </w:pPr>
      <w:r>
        <w:rPr>
          <w:rFonts w:hint="eastAsia" w:eastAsia="宋体" w:cs="Times New Roman"/>
        </w:rPr>
        <w:t>4.3说明</w:t>
      </w:r>
    </w:p>
    <w:p>
      <w:pPr>
        <w:pStyle w:val="386"/>
        <w:ind w:firstLine="480"/>
        <w:rPr>
          <w:rFonts w:eastAsia="宋体" w:cs="Times New Roman"/>
        </w:rPr>
      </w:pPr>
      <w:r>
        <w:rPr>
          <w:rFonts w:hint="eastAsia" w:eastAsia="宋体" w:cs="Times New Roman"/>
        </w:rPr>
        <w:t>4.3.1 投标人在向招标人出示《投标保证金缴纳凭证》后方可进行投标；</w:t>
      </w:r>
    </w:p>
    <w:p>
      <w:pPr>
        <w:pStyle w:val="386"/>
        <w:ind w:firstLine="480"/>
        <w:rPr>
          <w:rFonts w:eastAsia="宋体" w:cs="Times New Roman"/>
        </w:rPr>
      </w:pPr>
      <w:r>
        <w:rPr>
          <w:rFonts w:hint="eastAsia" w:eastAsia="宋体" w:cs="Times New Roman"/>
        </w:rPr>
        <w:t>4.3.2 发生以下情况时，招标人有权没收保证金：</w:t>
      </w:r>
    </w:p>
    <w:p>
      <w:pPr>
        <w:pStyle w:val="386"/>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pPr>
        <w:pStyle w:val="386"/>
        <w:ind w:firstLine="480"/>
        <w:rPr>
          <w:rFonts w:eastAsia="宋体" w:cs="Times New Roman"/>
        </w:rPr>
      </w:pPr>
      <w:r>
        <w:rPr>
          <w:rFonts w:hint="eastAsia" w:eastAsia="宋体" w:cs="Times New Roman"/>
        </w:rPr>
        <w:t>4.3.2.2 投标人递送投标文件后，无正当理由放弃投标的；</w:t>
      </w:r>
    </w:p>
    <w:p>
      <w:pPr>
        <w:pStyle w:val="386"/>
        <w:ind w:firstLine="480"/>
        <w:rPr>
          <w:rFonts w:eastAsia="宋体" w:cs="Times New Roman"/>
        </w:rPr>
      </w:pPr>
      <w:r>
        <w:rPr>
          <w:rFonts w:hint="eastAsia" w:eastAsia="宋体" w:cs="Times New Roman"/>
        </w:rPr>
        <w:t>4.3.2.3若为视频开标，招标过程中澄清函等资料原件未按要求提交的；</w:t>
      </w:r>
    </w:p>
    <w:p>
      <w:pPr>
        <w:pStyle w:val="386"/>
        <w:ind w:firstLine="480"/>
        <w:rPr>
          <w:rFonts w:eastAsia="宋体" w:cs="Times New Roman"/>
        </w:rPr>
      </w:pPr>
      <w:r>
        <w:rPr>
          <w:rFonts w:hint="eastAsia" w:eastAsia="宋体" w:cs="Times New Roman"/>
        </w:rPr>
        <w:t>4.3.2.4自中标通知书发出之日起30日内，中标人无正当理由不签订合同的；</w:t>
      </w:r>
    </w:p>
    <w:p>
      <w:pPr>
        <w:pStyle w:val="386"/>
        <w:ind w:firstLine="480"/>
        <w:rPr>
          <w:rFonts w:eastAsia="宋体" w:cs="Times New Roman"/>
        </w:rPr>
      </w:pPr>
      <w:r>
        <w:rPr>
          <w:rFonts w:hint="eastAsia" w:eastAsia="宋体" w:cs="Times New Roman"/>
        </w:rPr>
        <w:t>4.3.2.5投标人在投标过程中被查实有串标、围标、陪标等违规违纪行为的；</w:t>
      </w:r>
    </w:p>
    <w:p>
      <w:pPr>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pPr>
        <w:pStyle w:val="386"/>
        <w:ind w:firstLine="480"/>
        <w:rPr>
          <w:rFonts w:eastAsia="宋体" w:cs="Times New Roman"/>
        </w:rPr>
      </w:pPr>
      <w:r>
        <w:rPr>
          <w:rFonts w:hint="eastAsia" w:eastAsia="宋体" w:cs="Times New Roman"/>
        </w:rPr>
        <w:t>4.4投标报名截止时间</w:t>
      </w:r>
    </w:p>
    <w:p>
      <w:pPr>
        <w:pStyle w:val="386"/>
        <w:ind w:firstLine="480"/>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pPr>
        <w:pStyle w:val="386"/>
        <w:ind w:firstLine="480"/>
        <w:rPr>
          <w:rFonts w:eastAsia="宋体" w:cs="Times New Roman"/>
        </w:rPr>
      </w:pPr>
      <w:r>
        <w:rPr>
          <w:rFonts w:hint="eastAsia" w:eastAsia="宋体" w:cs="Times New Roman"/>
        </w:rPr>
        <w:t>报名提交资料：均为盖章电子扫描版，</w:t>
      </w:r>
      <w:r>
        <w:rPr>
          <w:rFonts w:hint="eastAsia" w:eastAsia="宋体" w:cs="Times New Roman"/>
          <w:highlight w:val="yellow"/>
        </w:rPr>
        <w:t>用公司名称+文件名称命名</w:t>
      </w:r>
      <w:r>
        <w:rPr>
          <w:rFonts w:hint="eastAsia" w:eastAsia="宋体" w:cs="Times New Roman"/>
        </w:rPr>
        <w:t>。</w:t>
      </w:r>
    </w:p>
    <w:p>
      <w:pPr>
        <w:numPr>
          <w:ilvl w:val="0"/>
          <w:numId w:val="9"/>
        </w:numPr>
        <w:spacing w:line="360" w:lineRule="auto"/>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pPr>
        <w:numPr>
          <w:ilvl w:val="0"/>
          <w:numId w:val="9"/>
        </w:numPr>
        <w:spacing w:line="360" w:lineRule="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pPr>
        <w:numPr>
          <w:ilvl w:val="0"/>
          <w:numId w:val="9"/>
        </w:numPr>
        <w:spacing w:line="360" w:lineRule="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22" w:name="_Toc2272"/>
      <w:r>
        <w:rPr>
          <w:rFonts w:hint="eastAsia" w:ascii="Times New Roman" w:hAnsi="Times New Roman" w:eastAsia="宋体" w:cs="Times New Roman"/>
          <w:b/>
          <w:bCs/>
          <w:color w:val="000000"/>
          <w:sz w:val="24"/>
          <w:szCs w:val="24"/>
        </w:rPr>
        <w:t>5.开标时间</w:t>
      </w:r>
      <w:bookmarkEnd w:id="22"/>
    </w:p>
    <w:p>
      <w:pPr>
        <w:keepNext/>
        <w:keepLines/>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23" w:name="_Toc338"/>
      <w:r>
        <w:rPr>
          <w:rFonts w:hint="eastAsia" w:ascii="Times New Roman" w:hAnsi="Times New Roman" w:eastAsia="宋体" w:cs="Times New Roman"/>
          <w:b/>
          <w:bCs/>
          <w:color w:val="000000"/>
          <w:sz w:val="24"/>
          <w:szCs w:val="24"/>
        </w:rPr>
        <w:t>6.开标方式</w:t>
      </w:r>
      <w:bookmarkEnd w:id="23"/>
    </w:p>
    <w:p>
      <w:pPr>
        <w:spacing w:line="360" w:lineRule="auto"/>
        <w:ind w:firstLine="480" w:firstLineChars="200"/>
        <w:rPr>
          <w:rFonts w:ascii="宋体" w:hAnsi="宋体" w:eastAsia="宋体" w:cs="宋体"/>
          <w:color w:val="000000"/>
          <w:sz w:val="24"/>
          <w:szCs w:val="24"/>
          <w:highlight w:val="none"/>
        </w:rPr>
      </w:pPr>
      <w:r>
        <w:rPr>
          <w:rFonts w:ascii="宋体" w:hAnsi="宋体" w:eastAsia="宋体" w:cs="宋体"/>
          <w:color w:val="000000"/>
          <w:sz w:val="24"/>
          <w:szCs w:val="24"/>
          <w:highlight w:val="none"/>
        </w:rPr>
        <w:t>现场参与</w:t>
      </w:r>
      <w:r>
        <w:rPr>
          <w:rFonts w:hint="eastAsia" w:ascii="宋体" w:hAnsi="宋体" w:eastAsia="宋体" w:cs="宋体"/>
          <w:color w:val="000000"/>
          <w:sz w:val="24"/>
          <w:szCs w:val="24"/>
          <w:highlight w:val="none"/>
        </w:rPr>
        <w:t>开</w:t>
      </w:r>
      <w:r>
        <w:rPr>
          <w:rFonts w:ascii="宋体" w:hAnsi="宋体" w:eastAsia="宋体" w:cs="宋体"/>
          <w:color w:val="000000"/>
          <w:sz w:val="24"/>
          <w:szCs w:val="24"/>
          <w:highlight w:val="none"/>
        </w:rPr>
        <w:t>标。</w:t>
      </w:r>
    </w:p>
    <w:p>
      <w:pPr>
        <w:keepNext/>
        <w:keepLines/>
        <w:spacing w:line="360" w:lineRule="auto"/>
        <w:jc w:val="left"/>
        <w:outlineLvl w:val="1"/>
        <w:rPr>
          <w:rFonts w:ascii="Times New Roman" w:hAnsi="Times New Roman" w:eastAsia="宋体" w:cs="Times New Roman"/>
          <w:b/>
          <w:bCs/>
          <w:color w:val="000000"/>
          <w:sz w:val="28"/>
          <w:szCs w:val="28"/>
        </w:rPr>
      </w:pPr>
      <w:bookmarkStart w:id="24" w:name="_Toc33265653"/>
      <w:bookmarkStart w:id="25" w:name="_Toc33267001"/>
      <w:bookmarkStart w:id="26" w:name="_Toc33266914"/>
      <w:bookmarkStart w:id="27" w:name="_Toc33265752"/>
      <w:bookmarkStart w:id="28" w:name="_Toc33266627"/>
      <w:bookmarkStart w:id="29" w:name="_Toc33285487"/>
      <w:bookmarkStart w:id="30" w:name="_Toc33266950"/>
      <w:bookmarkStart w:id="31" w:name="_Toc4896"/>
      <w:r>
        <w:rPr>
          <w:rFonts w:hint="eastAsia" w:ascii="Times New Roman" w:hAnsi="Times New Roman" w:eastAsia="宋体" w:cs="Times New Roman"/>
          <w:b/>
          <w:bCs/>
          <w:color w:val="000000"/>
          <w:sz w:val="28"/>
          <w:szCs w:val="28"/>
        </w:rPr>
        <w:t>六、评标原则</w:t>
      </w:r>
      <w:bookmarkEnd w:id="24"/>
      <w:bookmarkEnd w:id="25"/>
      <w:bookmarkEnd w:id="26"/>
      <w:bookmarkEnd w:id="27"/>
      <w:bookmarkEnd w:id="28"/>
      <w:bookmarkEnd w:id="29"/>
      <w:bookmarkEnd w:id="30"/>
      <w:bookmarkStart w:id="32" w:name="_Toc395116633"/>
    </w:p>
    <w:bookmarkEnd w:id="32"/>
    <w:p>
      <w:pPr>
        <w:spacing w:line="360" w:lineRule="auto"/>
        <w:ind w:firstLine="482"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pPr>
        <w:adjustRightInd w:val="0"/>
        <w:snapToGrid w:val="0"/>
        <w:spacing w:line="360" w:lineRule="auto"/>
        <w:ind w:firstLine="480" w:firstLineChars="200"/>
        <w:rPr>
          <w:rFonts w:ascii="Calibri" w:hAnsi="Calibri" w:eastAsia="宋体" w:cs="Times New Roman"/>
          <w:b/>
          <w:color w:val="000000"/>
          <w:sz w:val="24"/>
          <w:szCs w:val="24"/>
        </w:rPr>
      </w:pPr>
      <w:r>
        <w:rPr>
          <w:rFonts w:hint="eastAsia" w:ascii="宋体" w:hAnsi="宋体" w:eastAsia="宋体" w:cs="Times New Roman"/>
          <w:sz w:val="24"/>
          <w:szCs w:val="24"/>
        </w:rPr>
        <w:t>本次招标采用</w:t>
      </w:r>
      <w:bookmarkStart w:id="33" w:name="_Toc33285489"/>
      <w:bookmarkStart w:id="34" w:name="_Toc33267002"/>
      <w:bookmarkStart w:id="35" w:name="_Toc33265753"/>
      <w:bookmarkStart w:id="36" w:name="_Toc395116634"/>
      <w:bookmarkStart w:id="37" w:name="_Toc33266915"/>
      <w:bookmarkStart w:id="38" w:name="_Toc33266951"/>
      <w:bookmarkStart w:id="39" w:name="_Toc33265654"/>
      <w:bookmarkStart w:id="40" w:name="_Toc33266628"/>
      <w:r>
        <w:rPr>
          <w:rFonts w:hint="eastAsia" w:ascii="宋体" w:hAnsi="宋体" w:eastAsia="宋体" w:cs="宋体"/>
          <w:b/>
          <w:bCs/>
          <w:sz w:val="24"/>
          <w:szCs w:val="24"/>
          <w:lang w:val="en-US" w:eastAsia="zh-CN"/>
        </w:rPr>
        <w:t>技术标入围后，合理最低价中标</w:t>
      </w:r>
      <w:r>
        <w:rPr>
          <w:rFonts w:hint="eastAsia" w:ascii="宋体" w:hAnsi="宋体" w:eastAsia="宋体" w:cs="Times New Roman"/>
          <w:sz w:val="24"/>
          <w:szCs w:val="24"/>
        </w:rPr>
        <w:t>。</w:t>
      </w:r>
      <w:r>
        <w:rPr>
          <w:rFonts w:hint="eastAsia" w:ascii="宋体" w:hAnsi="宋体" w:eastAsia="宋体" w:cs="Times New Roman"/>
          <w:color w:val="000000"/>
          <w:sz w:val="24"/>
          <w:szCs w:val="24"/>
        </w:rPr>
        <w:t>本着公平、公正、公开的原则，在通过技术标</w:t>
      </w:r>
      <w:r>
        <w:rPr>
          <w:rFonts w:hint="eastAsia" w:ascii="Calibri" w:hAnsi="Calibri" w:eastAsia="宋体" w:cs="Times New Roman"/>
          <w:color w:val="000000"/>
          <w:sz w:val="24"/>
          <w:szCs w:val="24"/>
        </w:rPr>
        <w:t>综合评审后</w:t>
      </w:r>
      <w:r>
        <w:rPr>
          <w:rFonts w:hint="eastAsia" w:ascii="宋体" w:hAnsi="宋体" w:eastAsia="宋体" w:cs="Times New Roman"/>
          <w:color w:val="000000"/>
          <w:sz w:val="24"/>
          <w:szCs w:val="24"/>
        </w:rPr>
        <w:t>入围的前提下，选择合理最低价</w:t>
      </w:r>
      <w:r>
        <w:rPr>
          <w:rFonts w:hint="eastAsia" w:ascii="Calibri" w:hAnsi="宋体" w:eastAsia="宋体" w:cs="Times New Roman"/>
          <w:color w:val="000000"/>
          <w:sz w:val="24"/>
          <w:szCs w:val="24"/>
        </w:rPr>
        <w:t>确定中标人</w:t>
      </w:r>
      <w:r>
        <w:rPr>
          <w:rFonts w:hint="eastAsia" w:ascii="Calibri" w:hAnsi="宋体" w:eastAsia="宋体" w:cs="Times New Roman"/>
          <w:b/>
          <w:color w:val="000000"/>
          <w:sz w:val="24"/>
          <w:szCs w:val="24"/>
        </w:rPr>
        <w:t>，对未中标方不做任何解释</w:t>
      </w:r>
      <w:r>
        <w:rPr>
          <w:rFonts w:hint="eastAsia" w:ascii="Calibri" w:hAnsi="Calibri" w:eastAsia="宋体" w:cs="Times New Roman"/>
          <w:b/>
          <w:color w:val="000000"/>
          <w:sz w:val="24"/>
          <w:szCs w:val="24"/>
        </w:rPr>
        <w:t>。</w:t>
      </w:r>
    </w:p>
    <w:bookmarkEnd w:id="33"/>
    <w:bookmarkEnd w:id="34"/>
    <w:bookmarkEnd w:id="35"/>
    <w:bookmarkEnd w:id="36"/>
    <w:bookmarkEnd w:id="37"/>
    <w:bookmarkEnd w:id="38"/>
    <w:bookmarkEnd w:id="39"/>
    <w:bookmarkEnd w:id="40"/>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2.</w:t>
      </w:r>
      <w:r>
        <w:rPr>
          <w:rFonts w:hint="eastAsia" w:ascii="宋体" w:hAnsi="宋体" w:eastAsia="宋体" w:cs="Times New Roman"/>
          <w:b/>
          <w:color w:val="000000"/>
          <w:sz w:val="24"/>
          <w:szCs w:val="24"/>
        </w:rPr>
        <w:t>评标流程：</w:t>
      </w:r>
    </w:p>
    <w:p>
      <w:pPr>
        <w:pStyle w:val="40"/>
        <w:spacing w:line="360" w:lineRule="auto"/>
        <w:ind w:firstLine="482" w:firstLineChars="200"/>
        <w:rPr>
          <w:rFonts w:eastAsia="宋体"/>
        </w:rPr>
      </w:pPr>
      <w:r>
        <w:rPr>
          <w:rFonts w:hint="eastAsia" w:hAnsi="宋体" w:eastAsia="宋体" w:cs="Times New Roman"/>
          <w:b/>
          <w:color w:val="000000"/>
          <w:sz w:val="24"/>
          <w:szCs w:val="24"/>
        </w:rPr>
        <w:t>投标文件包含</w:t>
      </w:r>
      <w:r>
        <w:rPr>
          <w:rFonts w:hint="eastAsia" w:ascii="宋体" w:hAnsi="宋体" w:eastAsia="宋体" w:cs="宋体"/>
          <w:b/>
          <w:color w:val="000000"/>
          <w:sz w:val="24"/>
          <w:szCs w:val="24"/>
          <w:lang w:val="en-US" w:eastAsia="zh-CN"/>
        </w:rPr>
        <w:t>《投标文件（资质标）》、《投标文件（技术标）》、《投标文件（商务标）》（开标一览表）</w:t>
      </w:r>
      <w:r>
        <w:rPr>
          <w:rFonts w:hint="eastAsia" w:hAnsi="宋体" w:eastAsia="宋体" w:cs="Times New Roman"/>
          <w:b/>
          <w:color w:val="000000"/>
          <w:sz w:val="24"/>
          <w:szCs w:val="24"/>
        </w:rPr>
        <w:t>共计</w:t>
      </w:r>
      <w:r>
        <w:rPr>
          <w:rFonts w:hint="eastAsia" w:hAnsi="宋体" w:eastAsia="宋体" w:cs="Times New Roman"/>
          <w:b/>
          <w:color w:val="000000"/>
          <w:sz w:val="24"/>
          <w:szCs w:val="24"/>
          <w:lang w:val="en-US" w:eastAsia="zh-CN"/>
        </w:rPr>
        <w:t>三个</w:t>
      </w:r>
      <w:r>
        <w:rPr>
          <w:rFonts w:hint="eastAsia" w:hAnsi="宋体" w:eastAsia="宋体" w:cs="Times New Roman"/>
          <w:b/>
          <w:color w:val="000000"/>
          <w:sz w:val="24"/>
          <w:szCs w:val="24"/>
        </w:rPr>
        <w:t>文件。</w:t>
      </w:r>
    </w:p>
    <w:p>
      <w:pPr>
        <w:numPr>
          <w:ilvl w:val="0"/>
          <w:numId w:val="10"/>
        </w:num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应标资格审查：在“中国重汽e采通”应标报名时</w:t>
      </w:r>
      <w:r>
        <w:rPr>
          <w:rFonts w:hint="eastAsia" w:ascii="宋体" w:hAnsi="宋体" w:eastAsia="宋体" w:cs="Times New Roman"/>
          <w:b/>
          <w:color w:val="000000"/>
          <w:sz w:val="24"/>
          <w:szCs w:val="24"/>
          <w:highlight w:val="none"/>
        </w:rPr>
        <w:t>，</w:t>
      </w:r>
      <w:r>
        <w:rPr>
          <w:rFonts w:hint="eastAsia" w:ascii="宋体" w:hAnsi="宋体" w:eastAsia="宋体" w:cs="Times New Roman"/>
          <w:b/>
          <w:bCs/>
          <w:color w:val="000000"/>
          <w:sz w:val="24"/>
          <w:szCs w:val="24"/>
          <w:highlight w:val="none"/>
        </w:rPr>
        <w:t>按照第三部分</w:t>
      </w:r>
      <w:r>
        <w:rPr>
          <w:rFonts w:hint="eastAsia" w:ascii="宋体" w:hAnsi="宋体" w:eastAsia="宋体" w:cs="Times New Roman"/>
          <w:b/>
          <w:bCs/>
          <w:color w:val="000000"/>
          <w:sz w:val="24"/>
          <w:szCs w:val="24"/>
          <w:highlight w:val="none"/>
          <w:lang w:val="en-US" w:eastAsia="zh-CN"/>
        </w:rPr>
        <w:t>第三条</w:t>
      </w:r>
      <w:r>
        <w:rPr>
          <w:rFonts w:hint="eastAsia" w:ascii="宋体" w:hAnsi="宋体" w:eastAsia="宋体" w:cs="Times New Roman"/>
          <w:b/>
          <w:bCs/>
          <w:color w:val="000000"/>
          <w:sz w:val="24"/>
          <w:szCs w:val="24"/>
          <w:highlight w:val="none"/>
        </w:rPr>
        <w:t>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1.12准备资料，</w:t>
      </w:r>
      <w:r>
        <w:rPr>
          <w:rFonts w:hint="eastAsia" w:ascii="宋体" w:hAnsi="宋体" w:eastAsia="宋体" w:cs="Times New Roman"/>
          <w:b/>
          <w:bCs/>
          <w:color w:val="000000"/>
          <w:sz w:val="24"/>
          <w:szCs w:val="24"/>
        </w:rPr>
        <w:t>上传完毕后，等待审核</w:t>
      </w:r>
      <w:r>
        <w:rPr>
          <w:rFonts w:hint="eastAsia" w:ascii="宋体" w:hAnsi="宋体" w:eastAsia="宋体" w:cs="Times New Roman"/>
          <w:b/>
          <w:color w:val="000000"/>
          <w:sz w:val="24"/>
          <w:szCs w:val="24"/>
        </w:rPr>
        <w:t>；</w:t>
      </w:r>
    </w:p>
    <w:p>
      <w:pPr>
        <w:numPr>
          <w:ilvl w:val="0"/>
          <w:numId w:val="11"/>
        </w:num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通过应标资格审查的单位进入投标环节，按照“SRM系统供应商用户手册（附件16）”，在重汽e采通平台投递电子标书（包含资质标、</w:t>
      </w:r>
      <w:r>
        <w:rPr>
          <w:rFonts w:hint="eastAsia" w:ascii="宋体" w:hAnsi="宋体" w:eastAsia="宋体" w:cs="Times New Roman"/>
          <w:b/>
          <w:color w:val="000000"/>
          <w:sz w:val="24"/>
          <w:szCs w:val="24"/>
          <w:lang w:val="en-US" w:eastAsia="zh-CN"/>
        </w:rPr>
        <w:t>技术标、</w:t>
      </w:r>
      <w:r>
        <w:rPr>
          <w:rFonts w:hint="eastAsia" w:ascii="宋体" w:hAnsi="宋体" w:eastAsia="宋体" w:cs="Times New Roman"/>
          <w:b/>
          <w:color w:val="000000"/>
          <w:sz w:val="24"/>
          <w:szCs w:val="24"/>
          <w:highlight w:val="none"/>
        </w:rPr>
        <w:t>商务</w:t>
      </w:r>
      <w:r>
        <w:rPr>
          <w:rFonts w:hint="eastAsia" w:ascii="宋体" w:hAnsi="宋体" w:eastAsia="宋体" w:cs="Times New Roman"/>
          <w:b/>
          <w:color w:val="000000"/>
          <w:sz w:val="24"/>
          <w:szCs w:val="24"/>
        </w:rPr>
        <w:t>标），没有通过应标资质审查的单位不能进入投标环节；</w:t>
      </w:r>
    </w:p>
    <w:p>
      <w:pPr>
        <w:numPr>
          <w:ilvl w:val="0"/>
          <w:numId w:val="12"/>
        </w:numPr>
        <w:spacing w:line="360" w:lineRule="auto"/>
        <w:rPr>
          <w:rFonts w:ascii="宋体" w:hAnsi="宋体" w:eastAsia="宋体" w:cs="Times New Roman"/>
          <w:b/>
          <w:sz w:val="24"/>
          <w:szCs w:val="24"/>
        </w:rPr>
      </w:pPr>
      <w:r>
        <w:rPr>
          <w:rFonts w:hint="eastAsia" w:ascii="宋体" w:hAnsi="宋体" w:eastAsia="宋体" w:cs="Times New Roman"/>
          <w:b/>
          <w:sz w:val="24"/>
          <w:szCs w:val="24"/>
        </w:rPr>
        <w:t>资质标评审：资质标审核通过的单位，</w:t>
      </w:r>
      <w:r>
        <w:rPr>
          <w:rFonts w:hint="eastAsia" w:ascii="宋体" w:hAnsi="宋体" w:eastAsia="宋体" w:cs="Times New Roman"/>
          <w:b/>
          <w:sz w:val="24"/>
          <w:szCs w:val="24"/>
          <w:lang w:val="en-US" w:eastAsia="zh-CN"/>
        </w:rPr>
        <w:t>进入技术标</w:t>
      </w:r>
      <w:r>
        <w:rPr>
          <w:rFonts w:hint="eastAsia" w:ascii="宋体" w:hAnsi="宋体" w:eastAsia="宋体" w:cs="Times New Roman"/>
          <w:b/>
          <w:sz w:val="24"/>
          <w:szCs w:val="24"/>
        </w:rPr>
        <w:t>评审；</w:t>
      </w:r>
    </w:p>
    <w:p>
      <w:pPr>
        <w:numPr>
          <w:ilvl w:val="0"/>
          <w:numId w:val="12"/>
        </w:numPr>
        <w:spacing w:line="360" w:lineRule="auto"/>
        <w:rPr>
          <w:rFonts w:hint="eastAsia" w:ascii="宋体" w:hAnsi="宋体" w:eastAsia="宋体" w:cs="Times New Roman"/>
          <w:b/>
          <w:sz w:val="24"/>
          <w:szCs w:val="24"/>
          <w:lang w:eastAsia="zh-CN"/>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w:t>
      </w:r>
      <w:r>
        <w:rPr>
          <w:rFonts w:hint="eastAsia" w:ascii="宋体" w:hAnsi="宋体" w:eastAsia="宋体" w:cs="宋体"/>
          <w:b/>
          <w:bCs/>
          <w:color w:val="000000"/>
          <w:sz w:val="24"/>
          <w:szCs w:val="24"/>
          <w:highlight w:val="green"/>
        </w:rPr>
        <w:t>准</w:t>
      </w:r>
      <w:r>
        <w:rPr>
          <w:rFonts w:hint="eastAsia" w:ascii="宋体" w:hAnsi="宋体" w:eastAsia="宋体" w:cs="宋体"/>
          <w:b/>
          <w:bCs/>
          <w:color w:val="000000"/>
          <w:sz w:val="24"/>
          <w:szCs w:val="24"/>
          <w:highlight w:val="green"/>
          <w:lang w:val="en-US" w:eastAsia="zh-CN"/>
        </w:rPr>
        <w:t>见附件14；</w:t>
      </w:r>
    </w:p>
    <w:p>
      <w:pPr>
        <w:numPr>
          <w:ilvl w:val="0"/>
          <w:numId w:val="12"/>
        </w:numPr>
        <w:spacing w:line="360" w:lineRule="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商务标评审：公开唱标→商务条款相应确认→价格澄清→商务标评审；评审期间产生的商务价格澄清均由投标人在重汽e采通平台内限时完成提交；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宋体" w:hAnsi="宋体" w:eastAsia="宋体" w:cs="Times New Roman"/>
          <w:b/>
          <w:sz w:val="24"/>
          <w:szCs w:val="24"/>
          <w:highlight w:val="yellow"/>
        </w:rPr>
      </w:pPr>
      <w:r>
        <w:rPr>
          <w:rFonts w:hint="eastAsia" w:ascii="宋体" w:hAnsi="宋体" w:eastAsia="宋体" w:cs="Times New Roman"/>
          <w:b/>
          <w:sz w:val="24"/>
          <w:szCs w:val="24"/>
          <w:highlight w:val="yellow"/>
        </w:rPr>
        <w:t xml:space="preserve">注意：投标人均需自带笔记本电脑在重汽e采通平台自主进行投标和提交澄清函；投标和提交澄清函均有时间限制，超时未提交的按无效处理。  </w:t>
      </w:r>
    </w:p>
    <w:p>
      <w:pPr>
        <w:numPr>
          <w:ilvl w:val="0"/>
          <w:numId w:val="13"/>
        </w:numPr>
        <w:spacing w:line="360" w:lineRule="auto"/>
        <w:rPr>
          <w:rFonts w:ascii="宋体" w:hAnsi="宋体" w:eastAsia="宋体" w:cs="Times New Roman"/>
          <w:b/>
          <w:sz w:val="24"/>
          <w:szCs w:val="24"/>
        </w:rPr>
      </w:pPr>
      <w:r>
        <w:rPr>
          <w:rFonts w:hint="eastAsia" w:ascii="宋体" w:hAnsi="宋体" w:eastAsia="宋体" w:cs="Times New Roman"/>
          <w:b/>
          <w:sz w:val="24"/>
          <w:szCs w:val="24"/>
        </w:rPr>
        <w:t>中标人确定：</w:t>
      </w:r>
      <w:r>
        <w:rPr>
          <w:rFonts w:hint="eastAsia" w:ascii="宋体" w:hAnsi="宋体" w:eastAsia="宋体" w:cs="Times New Roman"/>
          <w:b/>
          <w:sz w:val="24"/>
          <w:szCs w:val="24"/>
          <w:lang w:val="en-US" w:eastAsia="zh-CN"/>
        </w:rPr>
        <w:t>技术标入围后</w:t>
      </w:r>
      <w:r>
        <w:rPr>
          <w:rFonts w:hint="eastAsia" w:ascii="宋体" w:hAnsi="宋体" w:eastAsia="宋体" w:cs="Times New Roman"/>
          <w:b/>
          <w:sz w:val="24"/>
          <w:szCs w:val="24"/>
        </w:rPr>
        <w:t>，原则上合理最低价中标。</w:t>
      </w:r>
    </w:p>
    <w:p>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5.合同以双方最终签署的版本为准。</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40"/>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bookmarkStart w:id="41" w:name="OLE_LINK26"/>
      <w:bookmarkStart w:id="42" w:name="OLE_LINK28"/>
      <w:bookmarkStart w:id="43" w:name="OLE_LINK25"/>
      <w:bookmarkStart w:id="44" w:name="OLE_LINK27"/>
      <w:bookmarkStart w:id="45" w:name="OLE_LINK29"/>
      <w:r>
        <w:rPr>
          <w:rFonts w:hint="eastAsia" w:ascii="宋体" w:hAnsi="Courier New" w:eastAsia="宋体" w:cs="Times New Roman"/>
          <w:bCs/>
          <w:sz w:val="24"/>
          <w:szCs w:val="24"/>
        </w:rPr>
        <w:t>；</w:t>
      </w:r>
      <w:bookmarkEnd w:id="41"/>
      <w:bookmarkEnd w:id="42"/>
      <w:bookmarkEnd w:id="43"/>
      <w:bookmarkEnd w:id="44"/>
      <w:bookmarkEnd w:id="45"/>
    </w:p>
    <w:p>
      <w:pPr>
        <w:spacing w:line="360" w:lineRule="auto"/>
        <w:ind w:right="2" w:firstLine="480" w:firstLineChars="200"/>
        <w:rPr>
          <w:rFonts w:hint="eastAsia"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40"/>
        <w:spacing w:line="360" w:lineRule="auto"/>
        <w:ind w:firstLine="480" w:firstLineChars="200"/>
        <w:rPr>
          <w:rFonts w:hint="eastAsia" w:eastAsia="宋体" w:cs="Times New Roman"/>
          <w:bCs/>
          <w:sz w:val="24"/>
          <w:szCs w:val="24"/>
          <w:lang w:val="en-US" w:eastAsia="zh-CN"/>
        </w:rPr>
      </w:pPr>
      <w:r>
        <w:rPr>
          <w:rFonts w:hint="eastAsia" w:eastAsia="宋体" w:cs="Times New Roman"/>
          <w:bCs/>
          <w:sz w:val="24"/>
          <w:szCs w:val="24"/>
        </w:rPr>
        <w:t>（6</w:t>
      </w:r>
      <w:r>
        <w:rPr>
          <w:rFonts w:eastAsia="宋体" w:cs="Times New Roman"/>
          <w:bCs/>
          <w:sz w:val="24"/>
          <w:szCs w:val="24"/>
        </w:rPr>
        <w:t>）</w:t>
      </w:r>
      <w:r>
        <w:rPr>
          <w:rFonts w:hint="eastAsia" w:eastAsia="宋体" w:cs="Times New Roman"/>
          <w:bCs/>
          <w:sz w:val="24"/>
          <w:szCs w:val="24"/>
        </w:rPr>
        <w:t>投标人报价均超过采购预算的</w:t>
      </w:r>
      <w:r>
        <w:rPr>
          <w:rFonts w:hint="eastAsia" w:eastAsia="宋体" w:cs="Times New Roman"/>
          <w:bCs/>
          <w:sz w:val="24"/>
          <w:szCs w:val="24"/>
          <w:lang w:eastAsia="zh-CN"/>
        </w:rPr>
        <w:t>；</w:t>
      </w:r>
    </w:p>
    <w:p>
      <w:pPr>
        <w:pStyle w:val="40"/>
        <w:spacing w:line="360" w:lineRule="auto"/>
        <w:ind w:firstLine="480" w:firstLineChars="200"/>
        <w:rPr>
          <w:rFonts w:hint="eastAsia" w:eastAsia="宋体" w:cs="Times New Roman"/>
          <w:bCs/>
          <w:sz w:val="24"/>
          <w:szCs w:val="24"/>
          <w:lang w:val="en-US" w:eastAsia="zh-CN"/>
        </w:rPr>
      </w:pPr>
      <w:r>
        <w:rPr>
          <w:rFonts w:hint="eastAsia" w:eastAsia="宋体" w:cs="Times New Roman"/>
          <w:bCs/>
          <w:sz w:val="24"/>
          <w:szCs w:val="24"/>
        </w:rPr>
        <w:t>（</w:t>
      </w:r>
      <w:r>
        <w:rPr>
          <w:rFonts w:hint="eastAsia" w:eastAsia="宋体" w:cs="Times New Roman"/>
          <w:bCs/>
          <w:sz w:val="24"/>
          <w:szCs w:val="24"/>
          <w:lang w:val="en-US" w:eastAsia="zh-CN"/>
        </w:rPr>
        <w:t>7</w:t>
      </w:r>
      <w:r>
        <w:rPr>
          <w:rFonts w:eastAsia="宋体" w:cs="Times New Roman"/>
          <w:bCs/>
          <w:sz w:val="24"/>
          <w:szCs w:val="24"/>
        </w:rPr>
        <w:t>）</w:t>
      </w:r>
      <w:r>
        <w:rPr>
          <w:rFonts w:hint="eastAsia" w:eastAsia="宋体" w:cs="Times New Roman"/>
          <w:bCs/>
          <w:sz w:val="24"/>
          <w:szCs w:val="24"/>
        </w:rPr>
        <w:t>不同投标人的投标文件异常一致或者投标报价呈规律性差异的</w:t>
      </w:r>
      <w:r>
        <w:rPr>
          <w:rFonts w:hint="eastAsia" w:eastAsia="宋体" w:cs="Times New Roman"/>
          <w:bCs/>
          <w:sz w:val="24"/>
          <w:szCs w:val="24"/>
          <w:lang w:eastAsia="zh-CN"/>
        </w:rPr>
        <w:t>；</w:t>
      </w:r>
    </w:p>
    <w:p>
      <w:pPr>
        <w:pStyle w:val="40"/>
        <w:spacing w:line="360" w:lineRule="auto"/>
        <w:ind w:firstLine="480" w:firstLineChars="200"/>
        <w:rPr>
          <w:rFonts w:eastAsia="宋体" w:cs="Times New Roman"/>
          <w:bCs/>
          <w:sz w:val="24"/>
          <w:szCs w:val="24"/>
        </w:rPr>
      </w:pPr>
      <w:r>
        <w:rPr>
          <w:rFonts w:hint="eastAsia" w:eastAsia="宋体" w:cs="Times New Roman"/>
          <w:bCs/>
          <w:sz w:val="24"/>
          <w:szCs w:val="24"/>
        </w:rPr>
        <w:t>（</w:t>
      </w:r>
      <w:r>
        <w:rPr>
          <w:rFonts w:hint="eastAsia" w:eastAsia="宋体" w:cs="Times New Roman"/>
          <w:bCs/>
          <w:sz w:val="24"/>
          <w:szCs w:val="24"/>
          <w:lang w:val="en-US" w:eastAsia="zh-CN"/>
        </w:rPr>
        <w:t>8</w:t>
      </w:r>
      <w:r>
        <w:rPr>
          <w:rFonts w:eastAsia="宋体" w:cs="Times New Roman"/>
          <w:bCs/>
          <w:sz w:val="24"/>
          <w:szCs w:val="24"/>
        </w:rPr>
        <w:t>）招标人认为其他应终止招标的情形</w:t>
      </w:r>
      <w:r>
        <w:rPr>
          <w:rFonts w:hint="eastAsia" w:eastAsia="宋体" w:cs="Times New Roman"/>
          <w:bCs/>
          <w:sz w:val="24"/>
          <w:szCs w:val="24"/>
        </w:rPr>
        <w:t>。</w:t>
      </w:r>
    </w:p>
    <w:p>
      <w:pPr>
        <w:spacing w:line="360" w:lineRule="auto"/>
        <w:ind w:right="2"/>
        <w:rPr>
          <w:rFonts w:ascii="Arial" w:hAnsi="Arial" w:eastAsia="宋体" w:cs="Times New Roman"/>
          <w:b/>
          <w:bCs/>
          <w:sz w:val="24"/>
          <w:szCs w:val="32"/>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rPr>
          <w:rFonts w:hint="eastAsia"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归重汽（济南）轻卡有限公司。</w:t>
      </w:r>
    </w:p>
    <w:p>
      <w:pPr>
        <w:pStyle w:val="2"/>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2"/>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2"/>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2"/>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2"/>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2"/>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2"/>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2"/>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3"/>
        <w:keepNext/>
        <w:keepLines/>
        <w:pageBreakBefore w:val="0"/>
        <w:widowControl w:val="0"/>
        <w:kinsoku/>
        <w:wordWrap/>
        <w:overflowPunct/>
        <w:topLinePunct w:val="0"/>
        <w:autoSpaceDE/>
        <w:autoSpaceDN/>
        <w:bidi w:val="0"/>
        <w:adjustRightInd/>
        <w:snapToGrid/>
        <w:spacing w:before="200" w:after="200" w:line="360" w:lineRule="auto"/>
        <w:ind w:left="0" w:leftChars="0" w:firstLine="0" w:firstLineChars="0"/>
        <w:jc w:val="center"/>
        <w:textAlignment w:val="auto"/>
        <w:rPr>
          <w:rFonts w:hint="eastAsia" w:eastAsiaTheme="minorEastAsia"/>
          <w:lang w:val="en-US" w:eastAsia="zh-CN"/>
        </w:rPr>
      </w:pPr>
      <w:bookmarkStart w:id="46" w:name="_Toc2902"/>
      <w:r>
        <w:rPr>
          <w:rFonts w:hint="eastAsia" w:ascii="宋体" w:hAnsi="宋体"/>
        </w:rPr>
        <w:t>第</w:t>
      </w:r>
      <w:r>
        <w:rPr>
          <w:rFonts w:hint="eastAsia" w:ascii="宋体" w:hAnsi="宋体"/>
          <w:lang w:val="en-US" w:eastAsia="zh-CN"/>
        </w:rPr>
        <w:t xml:space="preserve">三部分 </w:t>
      </w:r>
      <w:r>
        <w:rPr>
          <w:rFonts w:hint="eastAsia" w:ascii="宋体" w:hAnsi="宋体"/>
        </w:rPr>
        <w:t>招标</w:t>
      </w:r>
      <w:r>
        <w:rPr>
          <w:rFonts w:hint="eastAsia" w:ascii="宋体" w:hAnsi="宋体"/>
          <w:lang w:val="en-US" w:eastAsia="zh-CN"/>
        </w:rPr>
        <w:t>文件编制</w:t>
      </w:r>
      <w:bookmarkEnd w:id="31"/>
      <w:bookmarkEnd w:id="46"/>
    </w:p>
    <w:p>
      <w:pPr>
        <w:pStyle w:val="2"/>
        <w:spacing w:before="120" w:after="120" w:line="360" w:lineRule="exact"/>
        <w:rPr>
          <w:rFonts w:hint="default" w:ascii="宋体" w:hAnsi="宋体" w:eastAsia="宋体" w:cs="宋体"/>
          <w:sz w:val="28"/>
          <w:szCs w:val="28"/>
          <w:lang w:val="en-US" w:eastAsia="zh-CN"/>
        </w:rPr>
      </w:pPr>
      <w:bookmarkStart w:id="47" w:name="_Toc6838"/>
      <w:r>
        <w:rPr>
          <w:rFonts w:hint="eastAsia" w:ascii="宋体" w:hAnsi="宋体" w:eastAsia="宋体" w:cs="宋体"/>
          <w:sz w:val="28"/>
          <w:szCs w:val="28"/>
          <w:lang w:val="en-US" w:eastAsia="zh-CN"/>
        </w:rPr>
        <w:t>一、</w:t>
      </w:r>
      <w:r>
        <w:rPr>
          <w:rFonts w:hint="eastAsia" w:ascii="宋体" w:hAnsi="宋体" w:eastAsia="宋体" w:cs="宋体"/>
          <w:sz w:val="28"/>
          <w:szCs w:val="28"/>
        </w:rPr>
        <w:t>招标文件</w:t>
      </w:r>
      <w:r>
        <w:rPr>
          <w:rFonts w:hint="eastAsia" w:ascii="宋体" w:hAnsi="宋体" w:eastAsia="宋体" w:cs="宋体"/>
          <w:sz w:val="28"/>
          <w:szCs w:val="28"/>
          <w:lang w:val="en-US" w:eastAsia="zh-CN"/>
        </w:rPr>
        <w:t>的编制</w:t>
      </w:r>
      <w:bookmarkEnd w:id="4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rPr>
      </w:pPr>
      <w:bookmarkStart w:id="48" w:name="_Toc346372882"/>
      <w:bookmarkStart w:id="49" w:name="_Toc352332856"/>
      <w:bookmarkStart w:id="50" w:name="_Toc346306735"/>
      <w:r>
        <w:rPr>
          <w:rFonts w:hint="eastAsia" w:ascii="宋体" w:hAnsi="宋体" w:eastAsia="宋体" w:cs="Times New Roman"/>
          <w:color w:val="000000"/>
          <w:sz w:val="24"/>
          <w:szCs w:val="24"/>
        </w:rPr>
        <w:t>1投标人须认真阅读招标文件的所有内容，按招标文件的要求提供投标文件，并保证提供的全部资料的真实性，以使其投标对招标文件作出实质性响应，否则，其投标将被拒绝。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pPr>
        <w:pStyle w:val="2"/>
        <w:spacing w:before="120" w:after="120" w:line="360" w:lineRule="exact"/>
        <w:rPr>
          <w:rFonts w:hint="eastAsia" w:eastAsia="宋体"/>
          <w:lang w:val="en-US" w:eastAsia="zh-CN"/>
        </w:rPr>
      </w:pPr>
      <w:bookmarkStart w:id="51" w:name="_Toc30185"/>
      <w:r>
        <w:rPr>
          <w:rFonts w:hint="eastAsia" w:ascii="宋体" w:hAnsi="宋体" w:eastAsia="宋体" w:cs="宋体"/>
          <w:sz w:val="28"/>
          <w:szCs w:val="28"/>
          <w:lang w:val="en-US" w:eastAsia="zh-CN"/>
        </w:rPr>
        <w:t>二、</w:t>
      </w:r>
      <w:r>
        <w:rPr>
          <w:rFonts w:hint="eastAsia" w:ascii="宋体" w:hAnsi="宋体" w:eastAsia="宋体" w:cs="宋体"/>
          <w:sz w:val="28"/>
          <w:szCs w:val="28"/>
        </w:rPr>
        <w:t>招标文件</w:t>
      </w:r>
      <w:bookmarkEnd w:id="51"/>
      <w:r>
        <w:rPr>
          <w:rFonts w:hint="eastAsia" w:ascii="宋体" w:hAnsi="宋体" w:eastAsia="宋体" w:cs="宋体"/>
          <w:sz w:val="28"/>
          <w:szCs w:val="28"/>
          <w:lang w:val="en-US" w:eastAsia="zh-CN"/>
        </w:rPr>
        <w:t>资料</w:t>
      </w:r>
    </w:p>
    <w:bookmarkEnd w:id="48"/>
    <w:bookmarkEnd w:id="49"/>
    <w:bookmarkEnd w:id="50"/>
    <w:p>
      <w:pPr>
        <w:spacing w:line="360" w:lineRule="auto"/>
        <w:ind w:firstLine="480" w:firstLineChars="200"/>
        <w:rPr>
          <w:rFonts w:ascii="宋体" w:hAnsi="宋体" w:eastAsia="宋体" w:cs="Times New Roman"/>
          <w:color w:val="000000"/>
          <w:sz w:val="24"/>
          <w:szCs w:val="24"/>
        </w:rPr>
      </w:pPr>
      <w:bookmarkStart w:id="52" w:name="_Toc27550"/>
      <w:r>
        <w:rPr>
          <w:rFonts w:hint="eastAsia" w:ascii="宋体" w:hAnsi="宋体" w:eastAsia="宋体" w:cs="Times New Roman"/>
          <w:color w:val="000000"/>
          <w:sz w:val="24"/>
          <w:szCs w:val="24"/>
        </w:rPr>
        <w:t>1投标人所投标设备详细技术资料清单，在投标文件中列示说明；</w:t>
      </w:r>
    </w:p>
    <w:p>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2投标人完整的技术支持与售后服务实施方案，在投标文件中列示说明，包含但不</w:t>
      </w:r>
      <w:r>
        <w:rPr>
          <w:rFonts w:hint="eastAsia" w:ascii="宋体" w:hAnsi="Courier New" w:eastAsia="宋体" w:cs="Times New Roman"/>
          <w:color w:val="000000"/>
          <w:sz w:val="24"/>
          <w:szCs w:val="24"/>
        </w:rPr>
        <w:t>限于以下内容：</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3投标人关于包装、运输、检验、交付、安装、调试、培训等方案，均需在投标文件</w:t>
      </w:r>
      <w:r>
        <w:rPr>
          <w:rFonts w:hint="eastAsia" w:ascii="宋体" w:hAnsi="Courier New" w:eastAsia="宋体" w:cs="Times New Roman"/>
          <w:color w:val="000000"/>
          <w:sz w:val="24"/>
          <w:szCs w:val="24"/>
        </w:rPr>
        <w:t>中列示说明。</w:t>
      </w:r>
    </w:p>
    <w:p>
      <w:pPr>
        <w:pStyle w:val="2"/>
        <w:spacing w:before="120" w:after="120" w:line="360" w:lineRule="exact"/>
        <w:rPr>
          <w:rFonts w:hint="eastAsia" w:ascii="宋体" w:hAnsi="宋体" w:eastAsia="宋体" w:cs="宋体"/>
          <w:sz w:val="28"/>
          <w:szCs w:val="28"/>
          <w:lang w:eastAsia="zh-CN"/>
        </w:rPr>
      </w:pPr>
      <w:r>
        <w:rPr>
          <w:rFonts w:hint="eastAsia" w:ascii="宋体" w:hAnsi="宋体" w:eastAsia="宋体" w:cs="宋体"/>
          <w:sz w:val="28"/>
          <w:szCs w:val="28"/>
        </w:rPr>
        <w:t>三、投标文件</w:t>
      </w:r>
      <w:bookmarkEnd w:id="52"/>
      <w:r>
        <w:rPr>
          <w:rFonts w:hint="eastAsia" w:ascii="宋体" w:hAnsi="宋体" w:eastAsia="宋体" w:cs="宋体"/>
          <w:sz w:val="28"/>
          <w:szCs w:val="28"/>
          <w:lang w:val="en-US" w:eastAsia="zh-CN"/>
        </w:rPr>
        <w:t>的组成</w:t>
      </w:r>
    </w:p>
    <w:p>
      <w:pPr>
        <w:spacing w:line="360" w:lineRule="auto"/>
        <w:ind w:firstLine="480" w:firstLineChars="200"/>
        <w:rPr>
          <w:rFonts w:ascii="宋体" w:hAnsi="Courier New" w:eastAsia="宋体" w:cs="Times New Roman"/>
          <w:bCs/>
          <w:color w:val="000000"/>
          <w:sz w:val="24"/>
          <w:szCs w:val="24"/>
        </w:rPr>
      </w:pPr>
      <w:bookmarkStart w:id="53" w:name="_Toc212369516"/>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投标文件，均由</w:t>
      </w:r>
      <w:r>
        <w:rPr>
          <w:rFonts w:hint="eastAsia" w:eastAsia="宋体" w:cs="宋体"/>
          <w:b/>
          <w:sz w:val="24"/>
          <w:szCs w:val="24"/>
        </w:rPr>
        <w:t>《投标文件（资质标）》、</w:t>
      </w:r>
      <w:r>
        <w:rPr>
          <w:rFonts w:hint="eastAsia" w:ascii="宋体" w:hAnsi="宋体" w:eastAsia="宋体" w:cs="宋体"/>
          <w:b/>
          <w:bCs w:val="0"/>
          <w:color w:val="auto"/>
          <w:sz w:val="24"/>
          <w:szCs w:val="24"/>
          <w:highlight w:val="none"/>
        </w:rPr>
        <w:t>《投标文件（技术标）》、</w:t>
      </w:r>
      <w:r>
        <w:rPr>
          <w:rFonts w:hint="eastAsia" w:eastAsia="宋体" w:cs="宋体"/>
          <w:b/>
          <w:sz w:val="24"/>
          <w:szCs w:val="24"/>
        </w:rPr>
        <w:t>《投标文件（商务标）》（</w:t>
      </w:r>
      <w:r>
        <w:rPr>
          <w:rFonts w:hint="eastAsia" w:eastAsia="宋体" w:cs="宋体"/>
          <w:b/>
          <w:sz w:val="24"/>
          <w:szCs w:val="24"/>
          <w:lang w:val="en-US" w:eastAsia="zh-CN"/>
        </w:rPr>
        <w:t>含</w:t>
      </w:r>
      <w:r>
        <w:rPr>
          <w:rFonts w:hint="eastAsia" w:eastAsia="宋体" w:cs="宋体"/>
          <w:b/>
          <w:sz w:val="24"/>
          <w:szCs w:val="24"/>
        </w:rPr>
        <w:t>开标一览表）</w:t>
      </w:r>
      <w:r>
        <w:rPr>
          <w:rFonts w:hint="eastAsia" w:eastAsia="宋体" w:cs="宋体"/>
          <w:bCs/>
          <w:sz w:val="24"/>
          <w:szCs w:val="24"/>
        </w:rPr>
        <w:t>文件组成，共计</w:t>
      </w:r>
      <w:r>
        <w:rPr>
          <w:rFonts w:hint="eastAsia" w:ascii="宋体" w:hAnsi="宋体" w:eastAsia="宋体" w:cs="宋体"/>
          <w:bCs/>
          <w:sz w:val="24"/>
          <w:szCs w:val="24"/>
          <w:lang w:val="en-US" w:eastAsia="zh-CN"/>
        </w:rPr>
        <w:t>3</w:t>
      </w:r>
      <w:r>
        <w:rPr>
          <w:rFonts w:hint="eastAsia" w:ascii="宋体" w:hAnsi="Courier New" w:eastAsia="宋体" w:cs="Times New Roman"/>
          <w:bCs/>
          <w:color w:val="000000"/>
          <w:sz w:val="24"/>
          <w:szCs w:val="24"/>
        </w:rPr>
        <w:t>个文件。</w:t>
      </w:r>
    </w:p>
    <w:p>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详见附件格式1—14，其余未尽事宜请按各单位习惯制定即可。</w:t>
      </w:r>
    </w:p>
    <w:bookmarkEnd w:id="53"/>
    <w:p>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sz w:val="24"/>
          <w:highlight w:val="none"/>
        </w:rPr>
      </w:pPr>
      <w:r>
        <w:rPr>
          <w:rFonts w:hint="eastAsia" w:ascii="宋体" w:hAnsi="宋体"/>
          <w:sz w:val="24"/>
          <w:highlight w:val="none"/>
        </w:rPr>
        <w:t>（1）营业执照复印件加盖公章</w:t>
      </w:r>
      <w:r>
        <w:rPr>
          <w:rFonts w:hint="eastAsia" w:ascii="宋体" w:hAnsi="宋体"/>
          <w:b/>
          <w:bCs/>
          <w:sz w:val="24"/>
          <w:highlight w:val="none"/>
        </w:rPr>
        <w:t>；</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Theme="minorEastAsia"/>
          <w:sz w:val="24"/>
          <w:highlight w:val="none"/>
          <w:lang w:eastAsia="zh-CN"/>
        </w:rPr>
      </w:pPr>
      <w:r>
        <w:rPr>
          <w:rFonts w:hint="eastAsia" w:ascii="宋体" w:hAnsi="宋体"/>
          <w:sz w:val="24"/>
          <w:highlight w:val="none"/>
        </w:rPr>
        <w:t>（</w:t>
      </w:r>
      <w:r>
        <w:rPr>
          <w:rFonts w:hint="eastAsia" w:ascii="宋体" w:hAnsi="宋体"/>
          <w:sz w:val="24"/>
          <w:highlight w:val="none"/>
          <w:lang w:val="en-US" w:eastAsia="zh-CN"/>
        </w:rPr>
        <w:t>2</w:t>
      </w:r>
      <w:r>
        <w:rPr>
          <w:rFonts w:hint="eastAsia" w:ascii="宋体" w:hAnsi="宋体"/>
          <w:sz w:val="24"/>
          <w:highlight w:val="none"/>
        </w:rPr>
        <w:t>）</w:t>
      </w:r>
      <w:r>
        <w:rPr>
          <w:rFonts w:hint="eastAsia" w:ascii="宋体" w:hAnsi="宋体"/>
          <w:sz w:val="24"/>
          <w:highlight w:val="none"/>
          <w:lang w:val="en-US" w:eastAsia="zh-CN"/>
        </w:rPr>
        <w:t>投标函（附件1）；</w:t>
      </w:r>
    </w:p>
    <w:p>
      <w:pPr>
        <w:keepNext w:val="0"/>
        <w:keepLines w:val="0"/>
        <w:pageBreakBefore w:val="0"/>
        <w:widowControl w:val="0"/>
        <w:tabs>
          <w:tab w:val="left" w:pos="6313"/>
        </w:tabs>
        <w:kinsoku/>
        <w:wordWrap/>
        <w:overflowPunct/>
        <w:topLinePunct w:val="0"/>
        <w:autoSpaceDE/>
        <w:autoSpaceDN/>
        <w:bidi w:val="0"/>
        <w:snapToGrid/>
        <w:spacing w:line="360" w:lineRule="auto"/>
        <w:ind w:firstLine="480" w:firstLineChars="200"/>
        <w:textAlignment w:val="auto"/>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3</w:t>
      </w:r>
      <w:r>
        <w:rPr>
          <w:rFonts w:hint="eastAsia" w:ascii="宋体" w:hAnsi="宋体"/>
          <w:sz w:val="24"/>
          <w:highlight w:val="none"/>
        </w:rPr>
        <w:t>）法定代表人授权书（附件2）；法定代表人参加投标的，提供法人身份证明文件即可；被授权人参加投标的，需提供法定代表人授权委托书</w:t>
      </w:r>
      <w:r>
        <w:rPr>
          <w:rFonts w:hint="eastAsia" w:ascii="宋体" w:hAnsi="宋体"/>
          <w:b/>
          <w:bCs/>
          <w:sz w:val="24"/>
          <w:highlight w:val="none"/>
        </w:rPr>
        <w:t>（含法人身份证和被授权人身份证正反面复印件）</w:t>
      </w:r>
      <w:r>
        <w:rPr>
          <w:rFonts w:hint="eastAsia" w:ascii="宋体" w:hAnsi="宋体"/>
          <w:sz w:val="24"/>
          <w:highlight w:val="none"/>
        </w:rPr>
        <w:t>和被授权人近</w:t>
      </w:r>
      <w:r>
        <w:rPr>
          <w:rFonts w:hint="eastAsia" w:ascii="宋体" w:hAnsi="宋体"/>
          <w:sz w:val="24"/>
          <w:highlight w:val="yellow"/>
          <w:u w:val="single"/>
        </w:rPr>
        <w:t>6个月及以上</w:t>
      </w:r>
      <w:r>
        <w:rPr>
          <w:rFonts w:hint="eastAsia" w:ascii="宋体" w:hAnsi="宋体"/>
          <w:sz w:val="24"/>
          <w:highlight w:val="none"/>
        </w:rPr>
        <w:t>社保缴纳证明；</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Theme="minorEastAsia"/>
          <w:strike w:val="0"/>
          <w:dstrike w:val="0"/>
          <w:sz w:val="24"/>
          <w:highlight w:val="none"/>
          <w:lang w:eastAsia="zh-CN"/>
        </w:rPr>
      </w:pPr>
      <w:r>
        <w:rPr>
          <w:rFonts w:hint="eastAsia" w:ascii="宋体" w:hAnsi="宋体"/>
          <w:strike w:val="0"/>
          <w:dstrike w:val="0"/>
          <w:sz w:val="24"/>
          <w:highlight w:val="none"/>
        </w:rPr>
        <w:t>（</w:t>
      </w:r>
      <w:r>
        <w:rPr>
          <w:rFonts w:hint="eastAsia" w:ascii="宋体" w:hAnsi="宋体"/>
          <w:strike w:val="0"/>
          <w:dstrike w:val="0"/>
          <w:sz w:val="24"/>
          <w:highlight w:val="none"/>
          <w:lang w:val="en-US" w:eastAsia="zh-CN"/>
        </w:rPr>
        <w:t>4</w:t>
      </w:r>
      <w:r>
        <w:rPr>
          <w:rFonts w:hint="eastAsia" w:ascii="宋体" w:hAnsi="宋体"/>
          <w:strike w:val="0"/>
          <w:dstrike w:val="0"/>
          <w:sz w:val="24"/>
          <w:highlight w:val="none"/>
        </w:rPr>
        <w:t>）</w:t>
      </w:r>
      <w:r>
        <w:rPr>
          <w:rFonts w:hint="eastAsia" w:ascii="宋体" w:hAnsi="宋体"/>
          <w:sz w:val="24"/>
          <w:highlight w:val="none"/>
        </w:rPr>
        <w:t>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 资产负债表、利润表、现金流量表。应提供中文版本的审计报告或财务报表</w:t>
      </w:r>
      <w:r>
        <w:rPr>
          <w:rFonts w:hint="eastAsia" w:ascii="宋体" w:hAnsi="宋体"/>
          <w:sz w:val="24"/>
          <w:highlight w:val="none"/>
          <w:lang w:eastAsia="zh-CN"/>
        </w:rPr>
        <w:t>；</w:t>
      </w:r>
    </w:p>
    <w:p>
      <w:pPr>
        <w:spacing w:line="360" w:lineRule="auto"/>
        <w:ind w:firstLine="480" w:firstLineChars="200"/>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5</w:t>
      </w:r>
      <w:r>
        <w:rPr>
          <w:rFonts w:hint="eastAsia" w:ascii="宋体" w:hAnsi="宋体"/>
          <w:sz w:val="24"/>
          <w:highlight w:val="none"/>
        </w:rPr>
        <w:t>）</w:t>
      </w:r>
      <w:r>
        <w:rPr>
          <w:rFonts w:hint="eastAsia" w:ascii="宋体" w:hAnsi="宋体" w:eastAsia="宋体" w:cs="Times New Roman"/>
          <w:color w:val="000000"/>
          <w:sz w:val="24"/>
          <w:szCs w:val="24"/>
        </w:rPr>
        <w:t>近三年内在经营活动中没有违法违纪行为的声明；</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Times New Roman"/>
          <w:color w:val="000000"/>
          <w:sz w:val="24"/>
          <w:szCs w:val="24"/>
        </w:rPr>
      </w:pPr>
      <w:r>
        <w:rPr>
          <w:rFonts w:hint="eastAsia" w:ascii="宋体" w:hAnsi="宋体"/>
          <w:sz w:val="24"/>
          <w:highlight w:val="none"/>
        </w:rPr>
        <w:t>（</w:t>
      </w:r>
      <w:r>
        <w:rPr>
          <w:rFonts w:hint="eastAsia" w:ascii="宋体" w:hAnsi="宋体"/>
          <w:sz w:val="24"/>
          <w:highlight w:val="none"/>
          <w:lang w:val="en-US" w:eastAsia="zh-CN"/>
        </w:rPr>
        <w:t>6</w:t>
      </w:r>
      <w:r>
        <w:rPr>
          <w:rFonts w:hint="eastAsia" w:ascii="宋体" w:hAnsi="宋体"/>
          <w:sz w:val="24"/>
          <w:highlight w:val="none"/>
        </w:rPr>
        <w:t>）</w:t>
      </w:r>
      <w:r>
        <w:rPr>
          <w:rFonts w:hint="eastAsia" w:ascii="宋体" w:hAnsi="宋体" w:eastAsia="宋体" w:cs="Times New Roman"/>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7</w:t>
      </w:r>
      <w:r>
        <w:rPr>
          <w:rFonts w:hint="eastAsia" w:ascii="宋体" w:hAnsi="宋体"/>
          <w:sz w:val="24"/>
          <w:highlight w:val="none"/>
        </w:rPr>
        <w:t>）</w:t>
      </w:r>
      <w:r>
        <w:rPr>
          <w:rFonts w:hint="eastAsia" w:ascii="宋体" w:hAnsi="宋体" w:eastAsia="宋体" w:cs="Times New Roman"/>
          <w:color w:val="000000"/>
          <w:sz w:val="24"/>
          <w:szCs w:val="24"/>
        </w:rPr>
        <w:t>企业信用证明材料（中国人民银行信用代码证+征信报告）；</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Times New Roman"/>
          <w:color w:val="000000"/>
          <w:sz w:val="24"/>
          <w:szCs w:val="24"/>
        </w:rPr>
        <w:t>代理商投标要携带生产商的授权书、原厂售后服务承诺书，</w:t>
      </w:r>
      <w:r>
        <w:rPr>
          <w:rFonts w:hint="eastAsia" w:ascii="宋体" w:hAnsi="宋体" w:eastAsia="宋体" w:cs="Times New Roman"/>
          <w:b/>
          <w:color w:val="000000"/>
          <w:sz w:val="24"/>
          <w:szCs w:val="24"/>
        </w:rPr>
        <w:t>根据实际情况提供即可，无格式限制；</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9</w:t>
      </w:r>
      <w:r>
        <w:rPr>
          <w:rFonts w:hint="eastAsia" w:ascii="宋体" w:hAnsi="宋体"/>
          <w:sz w:val="24"/>
          <w:highlight w:val="none"/>
        </w:rPr>
        <w:t>）</w:t>
      </w:r>
      <w:r>
        <w:rPr>
          <w:rFonts w:hint="eastAsia" w:ascii="宋体" w:hAnsi="宋体" w:eastAsia="宋体" w:cs="Times New Roman"/>
          <w:color w:val="000000"/>
          <w:sz w:val="24"/>
          <w:szCs w:val="24"/>
        </w:rPr>
        <w:t>企业最近半年的完税证明；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10</w:t>
      </w:r>
      <w:r>
        <w:rPr>
          <w:rFonts w:hint="eastAsia" w:ascii="宋体" w:hAnsi="宋体" w:eastAsia="宋体" w:cs="Times New Roman"/>
          <w:color w:val="000000"/>
          <w:sz w:val="24"/>
          <w:szCs w:val="24"/>
          <w:highlight w:val="none"/>
        </w:rPr>
        <w:t>）保密承诺函（附件4）；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11</w:t>
      </w:r>
      <w:r>
        <w:rPr>
          <w:rFonts w:hint="eastAsia" w:ascii="宋体" w:hAnsi="宋体" w:eastAsia="宋体" w:cs="Times New Roman"/>
          <w:color w:val="000000"/>
          <w:sz w:val="24"/>
          <w:szCs w:val="24"/>
          <w:highlight w:val="none"/>
        </w:rPr>
        <w:t>）企业近三年同类项目业绩证明；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12</w:t>
      </w:r>
      <w:r>
        <w:rPr>
          <w:rFonts w:hint="eastAsia" w:ascii="宋体" w:hAnsi="宋体" w:eastAsia="宋体" w:cs="Times New Roman"/>
          <w:color w:val="000000"/>
          <w:sz w:val="24"/>
          <w:szCs w:val="24"/>
          <w:highlight w:val="none"/>
        </w:rPr>
        <w:t>）投标保证金缴纳凭证；</w:t>
      </w:r>
    </w:p>
    <w:p>
      <w:pPr>
        <w:spacing w:line="460" w:lineRule="exact"/>
        <w:ind w:firstLine="482" w:firstLineChars="200"/>
        <w:rPr>
          <w:rFonts w:hint="eastAsia" w:eastAsia="宋体" w:cs="宋体"/>
          <w:b/>
          <w:sz w:val="24"/>
          <w:szCs w:val="28"/>
        </w:rPr>
      </w:pPr>
      <w:bookmarkStart w:id="54" w:name="_Toc212369515"/>
      <w:r>
        <w:rPr>
          <w:rFonts w:hint="eastAsia" w:ascii="宋体" w:hAnsi="宋体" w:eastAsia="宋体" w:cs="Times New Roman"/>
          <w:b/>
          <w:bCs/>
          <w:sz w:val="24"/>
          <w:szCs w:val="20"/>
        </w:rPr>
        <w:t>2</w:t>
      </w:r>
      <w:bookmarkEnd w:id="54"/>
      <w:r>
        <w:rPr>
          <w:rFonts w:hint="eastAsia" w:ascii="宋体" w:hAnsi="宋体" w:eastAsia="宋体" w:cs="Times New Roman"/>
          <w:b/>
          <w:bCs/>
          <w:sz w:val="24"/>
          <w:szCs w:val="20"/>
          <w:lang w:val="en-US" w:eastAsia="zh-CN"/>
        </w:rPr>
        <w:t xml:space="preserve"> </w:t>
      </w:r>
      <w:r>
        <w:rPr>
          <w:rFonts w:hint="eastAsia" w:eastAsia="宋体" w:cs="宋体"/>
          <w:b/>
          <w:sz w:val="24"/>
          <w:szCs w:val="28"/>
        </w:rPr>
        <w:t>《投标文件（</w:t>
      </w:r>
      <w:r>
        <w:rPr>
          <w:rFonts w:hint="eastAsia" w:eastAsia="宋体" w:cs="宋体"/>
          <w:b/>
          <w:sz w:val="24"/>
          <w:szCs w:val="28"/>
          <w:lang w:val="en-US" w:eastAsia="zh-CN"/>
        </w:rPr>
        <w:t>技术</w:t>
      </w:r>
      <w:r>
        <w:rPr>
          <w:rFonts w:hint="eastAsia" w:eastAsia="宋体" w:cs="宋体"/>
          <w:b/>
          <w:sz w:val="24"/>
          <w:szCs w:val="28"/>
        </w:rPr>
        <w:t>标）》</w:t>
      </w:r>
    </w:p>
    <w:p>
      <w:pPr>
        <w:spacing w:line="360" w:lineRule="auto"/>
        <w:ind w:firstLine="480" w:firstLineChars="200"/>
        <w:rPr>
          <w:rFonts w:ascii="宋体" w:hAnsi="宋体" w:eastAsia="宋体" w:cs="Times New Roman"/>
          <w:b/>
          <w:color w:val="000000"/>
          <w:sz w:val="24"/>
          <w:szCs w:val="24"/>
        </w:rPr>
      </w:pPr>
      <w:r>
        <w:rPr>
          <w:rFonts w:hint="eastAsia" w:ascii="宋体" w:hAnsi="宋体"/>
          <w:sz w:val="24"/>
        </w:rPr>
        <w:t>（</w:t>
      </w:r>
      <w:r>
        <w:rPr>
          <w:rFonts w:hint="eastAsia" w:ascii="宋体" w:hAnsi="宋体" w:eastAsia="宋体" w:cs="Times New Roman"/>
          <w:color w:val="000000"/>
          <w:sz w:val="24"/>
          <w:szCs w:val="24"/>
        </w:rPr>
        <w:t>1</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技术规格偏离表（附件5），</w:t>
      </w:r>
      <w:r>
        <w:rPr>
          <w:rFonts w:hint="eastAsia" w:ascii="宋体" w:hAnsi="宋体" w:eastAsia="宋体" w:cs="Times New Roman"/>
          <w:b/>
          <w:color w:val="000000"/>
          <w:sz w:val="24"/>
          <w:szCs w:val="24"/>
        </w:rPr>
        <w:t>必须先进行两列要求一一对照，不允许直接写无偏离；</w:t>
      </w:r>
    </w:p>
    <w:p>
      <w:pPr>
        <w:spacing w:line="360" w:lineRule="auto"/>
        <w:ind w:firstLine="480" w:firstLineChars="200"/>
        <w:rPr>
          <w:rFonts w:ascii="宋体" w:hAnsi="宋体" w:eastAsia="宋体" w:cs="Times New Roman"/>
          <w:b/>
          <w:color w:val="000000"/>
          <w:sz w:val="24"/>
          <w:szCs w:val="24"/>
          <w:highlight w:val="green"/>
        </w:rPr>
      </w:pP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2</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近三年同类项目业绩一览表（附件6）及有效合同复印件</w:t>
      </w:r>
      <w:r>
        <w:rPr>
          <w:rFonts w:hint="eastAsia" w:ascii="宋体" w:hAnsi="宋体" w:eastAsia="宋体" w:cs="Times New Roman"/>
          <w:color w:val="000000"/>
          <w:sz w:val="24"/>
          <w:szCs w:val="24"/>
          <w:highlight w:val="green"/>
        </w:rPr>
        <w:t>，</w:t>
      </w:r>
      <w:r>
        <w:rPr>
          <w:rFonts w:hint="eastAsia" w:ascii="宋体" w:hAnsi="宋体" w:eastAsia="宋体" w:cs="Times New Roman"/>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3</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供货期及保证措施；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4</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产品的技术服务和售后服务内容及措施；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5</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交货进度及计划；</w:t>
      </w:r>
    </w:p>
    <w:p>
      <w:pPr>
        <w:spacing w:line="360" w:lineRule="auto"/>
        <w:ind w:firstLine="480" w:firstLineChars="200"/>
        <w:rPr>
          <w:rFonts w:ascii="宋体" w:hAnsi="宋体" w:eastAsia="宋体" w:cs="Times New Roman"/>
          <w:color w:val="000000"/>
          <w:sz w:val="24"/>
          <w:szCs w:val="24"/>
        </w:rPr>
      </w:pPr>
      <w:bookmarkStart w:id="55" w:name="_Toc536542319"/>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6</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投标产品技术支持材料</w:t>
      </w:r>
      <w:bookmarkEnd w:id="55"/>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7</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设备质量承诺函（附件7）；</w:t>
      </w:r>
    </w:p>
    <w:p>
      <w:pPr>
        <w:spacing w:line="360" w:lineRule="auto"/>
        <w:ind w:firstLine="480" w:firstLineChars="200"/>
        <w:rPr>
          <w:rFonts w:ascii="宋体" w:hAnsi="宋体"/>
          <w:sz w:val="24"/>
        </w:rPr>
      </w:pP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8</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投标人需提交的其它资料。</w:t>
      </w:r>
    </w:p>
    <w:p>
      <w:pPr>
        <w:spacing w:line="460" w:lineRule="exact"/>
        <w:ind w:firstLine="482" w:firstLineChars="200"/>
        <w:rPr>
          <w:rFonts w:ascii="宋体" w:hAnsi="宋体"/>
          <w:b/>
          <w:bCs/>
          <w:sz w:val="24"/>
        </w:rPr>
      </w:pPr>
      <w:r>
        <w:rPr>
          <w:rFonts w:hint="eastAsia" w:ascii="宋体" w:hAnsi="宋体" w:eastAsia="宋体" w:cs="Times New Roman"/>
          <w:b/>
          <w:bCs/>
          <w:sz w:val="24"/>
          <w:szCs w:val="20"/>
          <w:lang w:val="en-US" w:eastAsia="zh-CN"/>
        </w:rPr>
        <w:t xml:space="preserve">3 </w:t>
      </w:r>
      <w:r>
        <w:rPr>
          <w:rFonts w:hint="eastAsia" w:eastAsia="宋体" w:cs="宋体"/>
          <w:b/>
          <w:sz w:val="24"/>
          <w:szCs w:val="28"/>
        </w:rPr>
        <w:t>《投标文件（商务标）》（</w:t>
      </w:r>
      <w:r>
        <w:rPr>
          <w:rFonts w:hint="eastAsia" w:eastAsia="宋体" w:cs="宋体"/>
          <w:b/>
          <w:sz w:val="24"/>
          <w:szCs w:val="28"/>
          <w:lang w:val="en-US" w:eastAsia="zh-CN"/>
        </w:rPr>
        <w:t>含</w:t>
      </w:r>
      <w:r>
        <w:rPr>
          <w:rFonts w:hint="eastAsia" w:eastAsia="宋体" w:cs="宋体"/>
          <w:b/>
          <w:sz w:val="24"/>
          <w:szCs w:val="28"/>
        </w:rPr>
        <w:t>开标一览表）</w:t>
      </w:r>
      <w:r>
        <w:rPr>
          <w:rFonts w:hint="eastAsia" w:ascii="宋体" w:hAnsi="宋体" w:eastAsia="宋体" w:cs="Times New Roman"/>
          <w:b/>
          <w:bCs/>
          <w:sz w:val="24"/>
          <w:szCs w:val="20"/>
        </w:rPr>
        <w:t>：</w:t>
      </w:r>
    </w:p>
    <w:p>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1</w:t>
      </w:r>
      <w:r>
        <w:rPr>
          <w:rFonts w:hint="eastAsia" w:ascii="宋体" w:hAnsi="宋体"/>
          <w:sz w:val="24"/>
        </w:rPr>
        <w:t>）开标一览表</w:t>
      </w:r>
      <w:r>
        <w:rPr>
          <w:rFonts w:hint="eastAsia" w:ascii="宋体" w:hAnsi="宋体" w:eastAsia="宋体" w:cs="Times New Roman"/>
          <w:color w:val="000000"/>
          <w:sz w:val="24"/>
          <w:szCs w:val="24"/>
        </w:rPr>
        <w:t>（附件8）</w:t>
      </w:r>
      <w:r>
        <w:rPr>
          <w:rFonts w:hint="eastAsia" w:ascii="宋体" w:hAnsi="宋体"/>
          <w:sz w:val="24"/>
        </w:rPr>
        <w:t>；</w:t>
      </w:r>
    </w:p>
    <w:p>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2</w:t>
      </w:r>
      <w:r>
        <w:rPr>
          <w:rFonts w:hint="eastAsia" w:ascii="宋体" w:hAnsi="宋体"/>
          <w:sz w:val="24"/>
        </w:rPr>
        <w:t>）投标分项报价</w:t>
      </w:r>
      <w:r>
        <w:rPr>
          <w:rFonts w:hint="eastAsia" w:ascii="宋体" w:hAnsi="宋体"/>
          <w:sz w:val="24"/>
          <w:lang w:val="en-US" w:eastAsia="zh-CN"/>
        </w:rPr>
        <w:t>明细</w:t>
      </w:r>
      <w:r>
        <w:rPr>
          <w:rFonts w:hint="eastAsia" w:ascii="宋体" w:hAnsi="宋体"/>
          <w:sz w:val="24"/>
        </w:rPr>
        <w:t>表</w:t>
      </w:r>
      <w:r>
        <w:rPr>
          <w:rFonts w:hint="eastAsia" w:ascii="宋体" w:hAnsi="宋体" w:eastAsia="宋体" w:cs="Times New Roman"/>
          <w:color w:val="000000"/>
          <w:sz w:val="24"/>
          <w:szCs w:val="24"/>
        </w:rPr>
        <w:t>（附件9）</w:t>
      </w:r>
      <w:r>
        <w:rPr>
          <w:rFonts w:hint="eastAsia" w:ascii="宋体" w:hAnsi="宋体"/>
          <w:sz w:val="24"/>
        </w:rPr>
        <w:t>；</w:t>
      </w:r>
    </w:p>
    <w:p>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3</w:t>
      </w:r>
      <w:r>
        <w:rPr>
          <w:rFonts w:hint="eastAsia" w:ascii="宋体" w:hAnsi="宋体"/>
          <w:sz w:val="24"/>
        </w:rPr>
        <w:t>）商务条款偏离表</w:t>
      </w:r>
      <w:r>
        <w:rPr>
          <w:rFonts w:hint="eastAsia" w:ascii="宋体" w:hAnsi="宋体" w:eastAsia="宋体" w:cs="Times New Roman"/>
          <w:color w:val="000000"/>
          <w:sz w:val="24"/>
          <w:szCs w:val="24"/>
        </w:rPr>
        <w:t>（附件</w:t>
      </w:r>
      <w:r>
        <w:rPr>
          <w:rFonts w:hint="eastAsia" w:ascii="宋体" w:hAnsi="宋体" w:eastAsia="宋体" w:cs="Times New Roman"/>
          <w:color w:val="000000"/>
          <w:sz w:val="24"/>
          <w:szCs w:val="24"/>
          <w:lang w:val="en-US" w:eastAsia="zh-CN"/>
        </w:rPr>
        <w:t>10</w:t>
      </w:r>
      <w:r>
        <w:rPr>
          <w:rFonts w:hint="eastAsia" w:ascii="宋体" w:hAnsi="宋体" w:eastAsia="宋体" w:cs="Times New Roman"/>
          <w:color w:val="000000"/>
          <w:sz w:val="24"/>
          <w:szCs w:val="24"/>
        </w:rPr>
        <w:t>）</w:t>
      </w:r>
      <w:r>
        <w:rPr>
          <w:rFonts w:hint="eastAsia" w:ascii="宋体" w:hAnsi="宋体"/>
          <w:sz w:val="24"/>
        </w:rPr>
        <w:t>；</w:t>
      </w:r>
    </w:p>
    <w:p>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4</w:t>
      </w:r>
      <w:r>
        <w:rPr>
          <w:rFonts w:hint="eastAsia" w:ascii="宋体" w:hAnsi="宋体"/>
          <w:sz w:val="24"/>
        </w:rPr>
        <w:t>）</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需写明质保期以外服务费用情况；</w:t>
      </w:r>
    </w:p>
    <w:p>
      <w:pPr>
        <w:spacing w:line="460" w:lineRule="exact"/>
        <w:ind w:firstLine="480" w:firstLineChars="200"/>
        <w:rPr>
          <w:rFonts w:hint="eastAsia" w:ascii="宋体" w:hAns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w:t>
      </w:r>
      <w:r>
        <w:rPr>
          <w:rFonts w:hint="eastAsia" w:ascii="宋体" w:hAnsi="宋体" w:eastAsia="宋体" w:cs="Times New Roman"/>
          <w:color w:val="000000"/>
          <w:sz w:val="24"/>
          <w:szCs w:val="24"/>
        </w:rPr>
        <w:t>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p>
    <w:p>
      <w:pPr>
        <w:spacing w:line="460" w:lineRule="exact"/>
        <w:ind w:firstLine="480" w:firstLineChars="200"/>
        <w:rPr>
          <w:rFonts w:hint="eastAsia" w:ascii="宋体" w:hAnsi="宋体" w:eastAsia="宋体"/>
          <w:sz w:val="24"/>
          <w:lang w:eastAsia="zh-CN"/>
        </w:rPr>
      </w:pPr>
      <w:r>
        <w:rPr>
          <w:rFonts w:hint="eastAsia" w:ascii="宋体" w:hAnsi="宋体"/>
          <w:sz w:val="24"/>
        </w:rPr>
        <w:t>（</w:t>
      </w:r>
      <w:r>
        <w:rPr>
          <w:rFonts w:hint="eastAsia" w:ascii="宋体" w:hAnsi="宋体"/>
          <w:sz w:val="24"/>
          <w:lang w:val="en-US" w:eastAsia="zh-CN"/>
        </w:rPr>
        <w:t>6</w:t>
      </w:r>
      <w:r>
        <w:rPr>
          <w:rFonts w:hint="eastAsia" w:ascii="宋体" w:hAnsi="宋体"/>
          <w:sz w:val="24"/>
        </w:rPr>
        <w:t>）</w:t>
      </w:r>
      <w:r>
        <w:rPr>
          <w:rFonts w:hint="eastAsia" w:ascii="宋体" w:hAnsi="宋体" w:eastAsia="宋体" w:cs="Times New Roman"/>
          <w:color w:val="000000"/>
          <w:sz w:val="24"/>
          <w:szCs w:val="24"/>
        </w:rPr>
        <w:t>按招标文件投标人须知和技术规格书中要求提供的有关文件</w:t>
      </w:r>
      <w:r>
        <w:rPr>
          <w:rFonts w:hint="eastAsia" w:ascii="宋体" w:hAnsi="宋体" w:eastAsia="宋体" w:cs="Times New Roman"/>
          <w:color w:val="000000"/>
          <w:sz w:val="24"/>
          <w:szCs w:val="24"/>
          <w:lang w:eastAsia="zh-CN"/>
        </w:rPr>
        <w:t>。</w:t>
      </w:r>
    </w:p>
    <w:p>
      <w:pPr>
        <w:pStyle w:val="2"/>
        <w:spacing w:before="120" w:after="120" w:line="360" w:lineRule="exact"/>
        <w:rPr>
          <w:rFonts w:hint="eastAsia" w:ascii="宋体" w:hAnsi="宋体" w:eastAsia="宋体" w:cs="宋体"/>
          <w:sz w:val="28"/>
          <w:szCs w:val="28"/>
        </w:rPr>
      </w:pPr>
      <w:bookmarkStart w:id="56" w:name="_Toc352332867"/>
      <w:bookmarkStart w:id="57" w:name="_Toc346306746"/>
      <w:bookmarkStart w:id="58" w:name="_Toc346372893"/>
      <w:r>
        <w:rPr>
          <w:rFonts w:hint="eastAsia" w:ascii="宋体" w:hAnsi="宋体" w:eastAsia="宋体" w:cs="宋体"/>
          <w:sz w:val="28"/>
          <w:szCs w:val="28"/>
          <w:lang w:val="en-US" w:eastAsia="zh-CN"/>
        </w:rPr>
        <w:t>四、</w:t>
      </w:r>
      <w:r>
        <w:rPr>
          <w:rFonts w:hint="eastAsia" w:ascii="宋体" w:hAnsi="宋体" w:eastAsia="宋体" w:cs="宋体"/>
          <w:sz w:val="28"/>
          <w:szCs w:val="28"/>
        </w:rPr>
        <w:t>投标保证金</w:t>
      </w:r>
      <w:bookmarkEnd w:id="56"/>
      <w:bookmarkEnd w:id="57"/>
      <w:bookmarkEnd w:id="58"/>
    </w:p>
    <w:p>
      <w:pPr>
        <w:pStyle w:val="30"/>
        <w:spacing w:after="0" w:line="560" w:lineRule="exact"/>
        <w:ind w:firstLine="571" w:firstLineChars="238"/>
        <w:rPr>
          <w:rFonts w:ascii="宋体" w:hAnsi="宋体"/>
          <w:sz w:val="24"/>
          <w:szCs w:val="24"/>
        </w:rPr>
      </w:pPr>
      <w:r>
        <w:rPr>
          <w:rFonts w:hint="eastAsia" w:ascii="宋体" w:hAnsi="宋体" w:cs="宋体"/>
          <w:sz w:val="24"/>
          <w:szCs w:val="24"/>
          <w:lang w:val="en-US" w:eastAsia="zh-CN"/>
        </w:rPr>
        <w:t>4</w:t>
      </w:r>
      <w:r>
        <w:rPr>
          <w:rFonts w:ascii="宋体" w:hAnsi="宋体" w:cs="宋体"/>
          <w:sz w:val="24"/>
          <w:szCs w:val="24"/>
        </w:rPr>
        <w:t>.1</w:t>
      </w:r>
      <w:r>
        <w:rPr>
          <w:rFonts w:hint="eastAsia" w:ascii="宋体" w:hAnsi="宋体" w:cs="宋体"/>
          <w:sz w:val="24"/>
          <w:szCs w:val="24"/>
        </w:rPr>
        <w:t>投标方应按前附表第</w:t>
      </w:r>
      <w:r>
        <w:rPr>
          <w:rFonts w:hint="eastAsia" w:ascii="宋体" w:hAnsi="宋体" w:cs="宋体"/>
          <w:sz w:val="24"/>
          <w:szCs w:val="24"/>
          <w:lang w:val="en-US" w:eastAsia="zh-CN"/>
        </w:rPr>
        <w:t>4</w:t>
      </w:r>
      <w:r>
        <w:rPr>
          <w:rFonts w:hint="eastAsia" w:ascii="宋体" w:hAnsi="宋体" w:cs="宋体"/>
          <w:sz w:val="24"/>
          <w:szCs w:val="24"/>
        </w:rPr>
        <w:t>项的规定提交投标保证金，作为其投标文件的一部分。未按本招标文件规定提交投标保证金的，按无效投标处理。</w:t>
      </w:r>
    </w:p>
    <w:p>
      <w:pPr>
        <w:pStyle w:val="30"/>
        <w:spacing w:after="0" w:line="560" w:lineRule="exact"/>
        <w:ind w:firstLine="571" w:firstLineChars="238"/>
        <w:rPr>
          <w:rFonts w:ascii="宋体" w:hAnsi="宋体"/>
          <w:sz w:val="24"/>
          <w:szCs w:val="24"/>
        </w:rPr>
      </w:pPr>
      <w:r>
        <w:rPr>
          <w:rFonts w:hint="eastAsia" w:ascii="宋体" w:hAnsi="宋体" w:cs="宋体"/>
          <w:sz w:val="24"/>
          <w:szCs w:val="24"/>
          <w:lang w:val="en-US" w:eastAsia="zh-CN"/>
        </w:rPr>
        <w:t>4</w:t>
      </w:r>
      <w:r>
        <w:rPr>
          <w:rFonts w:ascii="宋体" w:hAnsi="宋体" w:cs="宋体"/>
          <w:sz w:val="24"/>
          <w:szCs w:val="24"/>
        </w:rPr>
        <w:t>.2</w:t>
      </w:r>
      <w:r>
        <w:rPr>
          <w:rFonts w:hint="eastAsia" w:ascii="宋体" w:hAnsi="宋体" w:cs="宋体"/>
          <w:sz w:val="24"/>
          <w:szCs w:val="24"/>
        </w:rPr>
        <w:t>如投标方有下列情况，投标保证金不予退还，招标方和招标方有权依法向其提出索赔，投标方应当赔偿因此给招标方造成的全部损失：</w:t>
      </w:r>
    </w:p>
    <w:p>
      <w:pPr>
        <w:pStyle w:val="30"/>
        <w:spacing w:after="0" w:line="560" w:lineRule="exact"/>
        <w:ind w:firstLine="571" w:firstLineChars="238"/>
        <w:rPr>
          <w:rFonts w:ascii="宋体" w:hAnsi="宋体"/>
          <w:sz w:val="24"/>
          <w:szCs w:val="24"/>
        </w:rPr>
      </w:pPr>
      <w:r>
        <w:rPr>
          <w:rFonts w:ascii="宋体" w:hAnsi="宋体" w:cs="宋体"/>
          <w:sz w:val="24"/>
          <w:szCs w:val="24"/>
        </w:rPr>
        <w:t>1</w:t>
      </w:r>
      <w:r>
        <w:rPr>
          <w:rFonts w:hint="eastAsia" w:ascii="宋体" w:hAnsi="宋体" w:cs="宋体"/>
          <w:sz w:val="24"/>
          <w:szCs w:val="24"/>
        </w:rPr>
        <w:t>）开标后，投标方在投标有效期内撤回谈判的；</w:t>
      </w:r>
    </w:p>
    <w:p>
      <w:pPr>
        <w:pStyle w:val="30"/>
        <w:spacing w:after="0" w:line="560" w:lineRule="exact"/>
        <w:ind w:firstLine="571" w:firstLineChars="238"/>
        <w:rPr>
          <w:rFonts w:ascii="宋体" w:hAnsi="宋体"/>
          <w:sz w:val="24"/>
          <w:szCs w:val="24"/>
        </w:rPr>
      </w:pPr>
      <w:r>
        <w:rPr>
          <w:rFonts w:ascii="宋体" w:hAnsi="宋体" w:cs="宋体"/>
          <w:sz w:val="24"/>
          <w:szCs w:val="24"/>
        </w:rPr>
        <w:t>2</w:t>
      </w:r>
      <w:r>
        <w:rPr>
          <w:rFonts w:hint="eastAsia" w:ascii="宋体" w:hAnsi="宋体" w:cs="宋体"/>
          <w:sz w:val="24"/>
          <w:szCs w:val="24"/>
        </w:rPr>
        <w:t>）采取不正当手段诋毁、排挤其他投标方的；</w:t>
      </w:r>
    </w:p>
    <w:p>
      <w:pPr>
        <w:pStyle w:val="30"/>
        <w:spacing w:after="0" w:line="560" w:lineRule="exact"/>
        <w:ind w:firstLine="571" w:firstLineChars="238"/>
        <w:rPr>
          <w:rFonts w:ascii="宋体" w:hAnsi="宋体"/>
          <w:sz w:val="24"/>
          <w:szCs w:val="24"/>
        </w:rPr>
      </w:pPr>
      <w:r>
        <w:rPr>
          <w:rFonts w:ascii="宋体" w:hAnsi="宋体" w:cs="宋体"/>
          <w:sz w:val="24"/>
          <w:szCs w:val="24"/>
        </w:rPr>
        <w:t>3</w:t>
      </w:r>
      <w:r>
        <w:rPr>
          <w:rFonts w:hint="eastAsia" w:ascii="宋体" w:hAnsi="宋体" w:cs="宋体"/>
          <w:sz w:val="24"/>
          <w:szCs w:val="24"/>
        </w:rPr>
        <w:t>）与招标方、其他投标方恶意串通的；</w:t>
      </w:r>
    </w:p>
    <w:p>
      <w:pPr>
        <w:pStyle w:val="30"/>
        <w:spacing w:after="0" w:line="560" w:lineRule="exact"/>
        <w:ind w:firstLine="571" w:firstLineChars="238"/>
        <w:rPr>
          <w:rFonts w:ascii="宋体" w:hAnsi="宋体"/>
          <w:sz w:val="24"/>
          <w:szCs w:val="24"/>
        </w:rPr>
      </w:pPr>
      <w:r>
        <w:rPr>
          <w:rFonts w:ascii="宋体" w:hAnsi="宋体" w:cs="宋体"/>
          <w:sz w:val="24"/>
          <w:szCs w:val="24"/>
        </w:rPr>
        <w:t>4</w:t>
      </w:r>
      <w:r>
        <w:rPr>
          <w:rFonts w:hint="eastAsia" w:ascii="宋体" w:hAnsi="宋体" w:cs="宋体"/>
          <w:sz w:val="24"/>
          <w:szCs w:val="24"/>
        </w:rPr>
        <w:t>）向招标方行贿或者提供其他不正当利益的；</w:t>
      </w:r>
    </w:p>
    <w:p>
      <w:pPr>
        <w:pStyle w:val="30"/>
        <w:spacing w:after="0" w:line="560" w:lineRule="exact"/>
        <w:ind w:firstLine="571" w:firstLineChars="238"/>
        <w:rPr>
          <w:rFonts w:ascii="宋体" w:hAnsi="宋体"/>
          <w:sz w:val="24"/>
          <w:szCs w:val="24"/>
        </w:rPr>
      </w:pPr>
      <w:r>
        <w:rPr>
          <w:rFonts w:ascii="宋体" w:hAnsi="宋体" w:cs="宋体"/>
          <w:sz w:val="24"/>
          <w:szCs w:val="24"/>
        </w:rPr>
        <w:t>5</w:t>
      </w:r>
      <w:r>
        <w:rPr>
          <w:rFonts w:hint="eastAsia" w:ascii="宋体" w:hAnsi="宋体" w:cs="宋体"/>
          <w:sz w:val="24"/>
          <w:szCs w:val="24"/>
        </w:rPr>
        <w:t>）投标方在投标文件中提供虚假材料的；</w:t>
      </w:r>
    </w:p>
    <w:p>
      <w:pPr>
        <w:pStyle w:val="30"/>
        <w:spacing w:after="0" w:line="560" w:lineRule="exact"/>
        <w:ind w:firstLine="571" w:firstLineChars="238"/>
        <w:rPr>
          <w:rFonts w:ascii="宋体" w:hAnsi="宋体"/>
          <w:sz w:val="24"/>
          <w:szCs w:val="24"/>
        </w:rPr>
      </w:pPr>
      <w:r>
        <w:rPr>
          <w:rFonts w:ascii="宋体" w:hAnsi="宋体" w:cs="宋体"/>
          <w:sz w:val="24"/>
          <w:szCs w:val="24"/>
        </w:rPr>
        <w:t>6</w:t>
      </w:r>
      <w:r>
        <w:rPr>
          <w:rFonts w:hint="eastAsia" w:ascii="宋体" w:hAnsi="宋体" w:cs="宋体"/>
          <w:sz w:val="24"/>
          <w:szCs w:val="24"/>
        </w:rPr>
        <w:t>）中标方无正当理由未能按规定与招标方签订合同的；</w:t>
      </w:r>
    </w:p>
    <w:p>
      <w:pPr>
        <w:pStyle w:val="30"/>
        <w:spacing w:after="0" w:line="560" w:lineRule="exact"/>
        <w:ind w:firstLine="571" w:firstLineChars="238"/>
        <w:rPr>
          <w:rFonts w:hint="eastAsia" w:ascii="宋体" w:hAnsi="宋体" w:cs="宋体"/>
          <w:sz w:val="24"/>
          <w:szCs w:val="24"/>
        </w:rPr>
      </w:pPr>
      <w:r>
        <w:rPr>
          <w:rFonts w:ascii="宋体" w:hAnsi="宋体" w:cs="宋体"/>
          <w:sz w:val="24"/>
          <w:szCs w:val="24"/>
        </w:rPr>
        <w:t>7</w:t>
      </w:r>
      <w:r>
        <w:rPr>
          <w:rFonts w:hint="eastAsia" w:ascii="宋体" w:hAnsi="宋体" w:cs="宋体"/>
          <w:sz w:val="24"/>
          <w:szCs w:val="24"/>
        </w:rPr>
        <w:t>）法律法规和招标文件规定的其他情形。</w:t>
      </w:r>
    </w:p>
    <w:p>
      <w:pPr>
        <w:pStyle w:val="31"/>
        <w:rPr>
          <w:rFonts w:hint="eastAsia" w:ascii="宋体" w:hAnsi="宋体" w:cs="宋体"/>
          <w:sz w:val="24"/>
          <w:szCs w:val="24"/>
        </w:rPr>
      </w:pPr>
    </w:p>
    <w:p>
      <w:pPr>
        <w:pStyle w:val="31"/>
        <w:rPr>
          <w:rFonts w:hint="eastAsia" w:ascii="宋体" w:hAnsi="宋体" w:cs="宋体"/>
          <w:sz w:val="24"/>
          <w:szCs w:val="24"/>
        </w:rPr>
      </w:pPr>
    </w:p>
    <w:p>
      <w:pPr>
        <w:pStyle w:val="31"/>
        <w:rPr>
          <w:rFonts w:hint="eastAsia" w:ascii="宋体" w:hAnsi="宋体" w:cs="宋体"/>
          <w:sz w:val="24"/>
          <w:szCs w:val="24"/>
        </w:rPr>
      </w:pPr>
    </w:p>
    <w:p>
      <w:pPr>
        <w:pStyle w:val="31"/>
        <w:rPr>
          <w:rFonts w:hint="eastAsia" w:ascii="宋体" w:hAnsi="宋体" w:cs="宋体"/>
          <w:sz w:val="24"/>
          <w:szCs w:val="24"/>
        </w:rPr>
      </w:pPr>
    </w:p>
    <w:p>
      <w:pPr>
        <w:pStyle w:val="31"/>
        <w:rPr>
          <w:rFonts w:hint="eastAsia" w:ascii="宋体" w:hAnsi="宋体" w:cs="宋体"/>
          <w:sz w:val="24"/>
          <w:szCs w:val="24"/>
        </w:rPr>
      </w:pPr>
    </w:p>
    <w:p>
      <w:pPr>
        <w:pStyle w:val="31"/>
        <w:rPr>
          <w:rFonts w:hint="eastAsia" w:ascii="宋体" w:hAnsi="宋体" w:cs="宋体"/>
          <w:sz w:val="24"/>
          <w:szCs w:val="24"/>
        </w:rPr>
      </w:pPr>
    </w:p>
    <w:p>
      <w:pPr>
        <w:pStyle w:val="31"/>
        <w:rPr>
          <w:rFonts w:hint="eastAsia" w:ascii="宋体" w:hAnsi="宋体" w:cs="宋体"/>
          <w:sz w:val="24"/>
          <w:szCs w:val="24"/>
        </w:rPr>
      </w:pPr>
    </w:p>
    <w:p>
      <w:pPr>
        <w:pStyle w:val="31"/>
        <w:rPr>
          <w:rFonts w:hint="eastAsia" w:ascii="宋体" w:hAnsi="宋体" w:cs="宋体"/>
          <w:sz w:val="24"/>
          <w:szCs w:val="24"/>
        </w:rPr>
      </w:pPr>
    </w:p>
    <w:p>
      <w:pPr>
        <w:pStyle w:val="31"/>
        <w:rPr>
          <w:rFonts w:hint="eastAsia" w:ascii="宋体" w:hAnsi="宋体" w:cs="宋体"/>
          <w:sz w:val="24"/>
          <w:szCs w:val="24"/>
        </w:rPr>
      </w:pPr>
    </w:p>
    <w:p>
      <w:pPr>
        <w:pStyle w:val="3"/>
        <w:keepNext/>
        <w:keepLines/>
        <w:pageBreakBefore w:val="0"/>
        <w:widowControl w:val="0"/>
        <w:kinsoku/>
        <w:wordWrap/>
        <w:overflowPunct/>
        <w:topLinePunct w:val="0"/>
        <w:autoSpaceDE/>
        <w:autoSpaceDN/>
        <w:bidi w:val="0"/>
        <w:adjustRightInd/>
        <w:snapToGrid/>
        <w:spacing w:before="200" w:after="200" w:line="360" w:lineRule="auto"/>
        <w:ind w:left="0" w:leftChars="0" w:firstLine="0" w:firstLineChars="0"/>
        <w:jc w:val="center"/>
        <w:textAlignment w:val="auto"/>
        <w:rPr>
          <w:rFonts w:hint="eastAsia" w:ascii="宋体" w:hAnsi="宋体" w:eastAsia="宋体" w:cs="Times New Roman"/>
          <w:lang w:val="en-US" w:eastAsia="zh-CN"/>
        </w:rPr>
      </w:pPr>
      <w:bookmarkStart w:id="59" w:name="_Toc32521"/>
      <w:r>
        <w:rPr>
          <w:rFonts w:hint="eastAsia" w:ascii="宋体" w:hAnsi="宋体" w:eastAsia="宋体" w:cs="Times New Roman"/>
          <w:lang w:val="en-US" w:eastAsia="zh-CN"/>
        </w:rPr>
        <w:t>第四部分 技术规格及技术要求</w:t>
      </w:r>
      <w:bookmarkEnd w:id="0"/>
      <w:bookmarkEnd w:id="1"/>
      <w:bookmarkEnd w:id="59"/>
    </w:p>
    <w:bookmarkEnd w:id="2"/>
    <w:bookmarkEnd w:id="3"/>
    <w:bookmarkEnd w:id="4"/>
    <w:p>
      <w:pPr>
        <w:pStyle w:val="3"/>
        <w:tabs>
          <w:tab w:val="left" w:pos="2400"/>
          <w:tab w:val="clear" w:pos="9061"/>
        </w:tabs>
        <w:spacing w:line="360" w:lineRule="auto"/>
        <w:jc w:val="both"/>
        <w:rPr>
          <w:rFonts w:ascii="仿宋_GB2312" w:hAnsi="宋体" w:eastAsia="仿宋_GB2312"/>
          <w:sz w:val="32"/>
          <w:szCs w:val="32"/>
        </w:rPr>
      </w:pPr>
      <w:bookmarkStart w:id="60" w:name="_Toc44953430"/>
      <w:bookmarkStart w:id="61" w:name="_Toc159998018"/>
      <w:bookmarkStart w:id="62" w:name="_Toc100395318"/>
      <w:bookmarkStart w:id="63" w:name="_Toc15820"/>
      <w:bookmarkStart w:id="64" w:name="_Toc11700"/>
      <w:bookmarkStart w:id="65" w:name="_Toc24577"/>
      <w:bookmarkStart w:id="66" w:name="_Toc25641"/>
      <w:bookmarkStart w:id="67" w:name="_Toc28859"/>
      <w:r>
        <w:rPr>
          <w:rFonts w:hint="eastAsia" w:ascii="仿宋_GB2312" w:hAnsi="宋体" w:eastAsia="仿宋_GB2312"/>
          <w:sz w:val="32"/>
          <w:szCs w:val="32"/>
        </w:rPr>
        <w:t>一、货物需求概况</w:t>
      </w:r>
      <w:bookmarkEnd w:id="60"/>
      <w:bookmarkEnd w:id="61"/>
      <w:bookmarkEnd w:id="62"/>
    </w:p>
    <w:p>
      <w:pPr>
        <w:spacing w:line="360" w:lineRule="auto"/>
        <w:rPr>
          <w:rFonts w:ascii="宋体" w:hAnsi="宋体"/>
          <w:b/>
          <w:bCs/>
          <w:sz w:val="24"/>
          <w:szCs w:val="24"/>
        </w:rPr>
      </w:pPr>
      <w:bookmarkStart w:id="68" w:name="_Toc159998020"/>
      <w:r>
        <w:rPr>
          <w:rFonts w:hint="eastAsia" w:ascii="宋体" w:hAnsi="宋体"/>
          <w:b/>
          <w:bCs/>
          <w:sz w:val="24"/>
          <w:szCs w:val="24"/>
        </w:rPr>
        <w:t>1.项目概况</w:t>
      </w:r>
    </w:p>
    <w:p>
      <w:pPr>
        <w:spacing w:line="360" w:lineRule="auto"/>
        <w:rPr>
          <w:rFonts w:ascii="宋体" w:hAnsi="宋体"/>
          <w:sz w:val="24"/>
          <w:szCs w:val="24"/>
        </w:rPr>
      </w:pPr>
      <w:r>
        <w:rPr>
          <w:rFonts w:hint="eastAsia" w:ascii="宋体" w:hAnsi="宋体"/>
          <w:sz w:val="24"/>
          <w:szCs w:val="24"/>
        </w:rPr>
        <w:t>1.1项目名称：</w:t>
      </w:r>
      <w:r>
        <w:rPr>
          <w:rFonts w:hint="eastAsia" w:ascii="宋体" w:hAnsi="宋体"/>
          <w:sz w:val="24"/>
          <w:u w:val="single"/>
        </w:rPr>
        <w:t>济南轻卡制造公司二期纯电皮卡安规检测项目</w:t>
      </w:r>
    </w:p>
    <w:p>
      <w:pPr>
        <w:spacing w:line="360" w:lineRule="auto"/>
        <w:rPr>
          <w:rFonts w:ascii="宋体" w:hAnsi="宋体"/>
          <w:sz w:val="24"/>
          <w:szCs w:val="24"/>
        </w:rPr>
      </w:pPr>
      <w:r>
        <w:rPr>
          <w:rFonts w:hint="eastAsia" w:ascii="宋体" w:hAnsi="宋体"/>
          <w:sz w:val="24"/>
          <w:szCs w:val="24"/>
        </w:rPr>
        <w:t>1.2建设地点：济南轻卡制造公司；</w:t>
      </w:r>
    </w:p>
    <w:p>
      <w:pPr>
        <w:spacing w:line="360" w:lineRule="auto"/>
        <w:rPr>
          <w:rFonts w:ascii="宋体" w:hAnsi="宋体"/>
          <w:sz w:val="24"/>
          <w:szCs w:val="24"/>
        </w:rPr>
      </w:pPr>
      <w:r>
        <w:rPr>
          <w:rFonts w:hint="eastAsia" w:ascii="宋体" w:hAnsi="宋体"/>
          <w:sz w:val="24"/>
          <w:szCs w:val="24"/>
        </w:rPr>
        <w:t>1.3使用地点：济南轻卡制造公司二期调试车间(室外)、二期总装车间(室内) ；</w:t>
      </w:r>
    </w:p>
    <w:p>
      <w:pPr>
        <w:spacing w:line="360" w:lineRule="auto"/>
        <w:rPr>
          <w:rFonts w:ascii="宋体" w:hAnsi="宋体"/>
          <w:sz w:val="24"/>
          <w:szCs w:val="24"/>
        </w:rPr>
      </w:pPr>
      <w:r>
        <w:rPr>
          <w:rFonts w:hint="eastAsia" w:ascii="宋体" w:hAnsi="宋体"/>
          <w:sz w:val="24"/>
          <w:szCs w:val="24"/>
        </w:rPr>
        <w:t xml:space="preserve">1.4生产节拍： </w:t>
      </w:r>
      <w:r>
        <w:rPr>
          <w:rFonts w:ascii="宋体" w:hAnsi="宋体"/>
          <w:sz w:val="24"/>
          <w:szCs w:val="24"/>
        </w:rPr>
        <w:t>3</w:t>
      </w:r>
      <w:r>
        <w:rPr>
          <w:rFonts w:hint="eastAsia" w:ascii="宋体" w:hAnsi="宋体"/>
          <w:sz w:val="24"/>
          <w:szCs w:val="24"/>
        </w:rPr>
        <w:t>min</w:t>
      </w:r>
      <w:r>
        <w:rPr>
          <w:rFonts w:ascii="宋体" w:hAnsi="宋体"/>
          <w:sz w:val="24"/>
          <w:szCs w:val="24"/>
        </w:rPr>
        <w:t>/</w:t>
      </w:r>
      <w:r>
        <w:rPr>
          <w:rFonts w:hint="eastAsia" w:ascii="宋体" w:hAnsi="宋体"/>
          <w:sz w:val="24"/>
          <w:szCs w:val="24"/>
        </w:rPr>
        <w:t>辆份；</w:t>
      </w:r>
    </w:p>
    <w:p>
      <w:pPr>
        <w:spacing w:line="360" w:lineRule="auto"/>
        <w:rPr>
          <w:rFonts w:ascii="宋体" w:hAnsi="宋体"/>
          <w:sz w:val="24"/>
          <w:szCs w:val="24"/>
        </w:rPr>
      </w:pPr>
      <w:r>
        <w:rPr>
          <w:rFonts w:hint="eastAsia" w:ascii="宋体" w:hAnsi="宋体"/>
          <w:sz w:val="24"/>
          <w:szCs w:val="24"/>
        </w:rPr>
        <w:t>1.5工作制度：每班8小时，双班制，251天；极限工况：每班10小时，双班制，300天；</w:t>
      </w:r>
    </w:p>
    <w:p>
      <w:pPr>
        <w:spacing w:line="360" w:lineRule="auto"/>
        <w:rPr>
          <w:rFonts w:ascii="宋体" w:hAnsi="宋体"/>
          <w:sz w:val="24"/>
          <w:szCs w:val="24"/>
        </w:rPr>
      </w:pPr>
      <w:bookmarkStart w:id="69" w:name="_Toc27128"/>
      <w:r>
        <w:rPr>
          <w:rFonts w:hint="eastAsia" w:ascii="宋体" w:hAnsi="宋体"/>
          <w:sz w:val="24"/>
          <w:szCs w:val="24"/>
        </w:rPr>
        <w:t>1.</w:t>
      </w:r>
      <w:r>
        <w:rPr>
          <w:rFonts w:ascii="宋体" w:hAnsi="宋体"/>
          <w:sz w:val="24"/>
          <w:szCs w:val="24"/>
        </w:rPr>
        <w:t>6</w:t>
      </w:r>
      <w:r>
        <w:rPr>
          <w:rFonts w:hint="eastAsia" w:ascii="宋体" w:hAnsi="宋体"/>
          <w:sz w:val="24"/>
          <w:szCs w:val="24"/>
        </w:rPr>
        <w:t xml:space="preserve"> 产品参数</w:t>
      </w:r>
      <w:bookmarkEnd w:id="69"/>
    </w:p>
    <w:p>
      <w:pPr>
        <w:spacing w:line="360" w:lineRule="auto"/>
        <w:rPr>
          <w:rFonts w:asciiTheme="minorEastAsia" w:hAnsiTheme="minorEastAsia" w:eastAsiaTheme="minorEastAsia"/>
          <w:bCs/>
          <w:sz w:val="24"/>
          <w:szCs w:val="24"/>
        </w:rPr>
      </w:pPr>
      <w:bookmarkStart w:id="70" w:name="_Toc493152458"/>
      <w:bookmarkStart w:id="71" w:name="_Toc1873"/>
      <w:bookmarkStart w:id="72" w:name="_Toc487544400"/>
      <w:bookmarkStart w:id="73" w:name="_Toc490471748"/>
      <w:r>
        <w:rPr>
          <w:rFonts w:hint="eastAsia" w:ascii="宋体" w:hAnsi="宋体"/>
          <w:sz w:val="24"/>
          <w:szCs w:val="24"/>
        </w:rPr>
        <w:t>适用于济南轻卡制造公司的</w:t>
      </w:r>
      <w:r>
        <w:rPr>
          <w:rFonts w:hint="eastAsia" w:ascii="宋体" w:hAnsi="宋体"/>
          <w:bCs/>
          <w:sz w:val="24"/>
        </w:rPr>
        <w:t>纯电动皮卡</w:t>
      </w:r>
      <w:r>
        <w:rPr>
          <w:rFonts w:asciiTheme="minorEastAsia" w:hAnsiTheme="minorEastAsia" w:eastAsiaTheme="minorEastAsia"/>
          <w:bCs/>
          <w:sz w:val="24"/>
          <w:szCs w:val="24"/>
        </w:rPr>
        <w:t>车型</w:t>
      </w:r>
      <w:r>
        <w:rPr>
          <w:rFonts w:hint="eastAsia" w:asciiTheme="minorEastAsia" w:hAnsiTheme="minorEastAsia" w:eastAsiaTheme="minorEastAsia"/>
          <w:bCs/>
          <w:sz w:val="24"/>
          <w:szCs w:val="24"/>
        </w:rPr>
        <w:t>；</w:t>
      </w:r>
    </w:p>
    <w:bookmarkEnd w:id="70"/>
    <w:bookmarkEnd w:id="71"/>
    <w:bookmarkEnd w:id="72"/>
    <w:bookmarkEnd w:id="73"/>
    <w:p>
      <w:pPr>
        <w:spacing w:line="360" w:lineRule="auto"/>
        <w:rPr>
          <w:rFonts w:ascii="宋体" w:hAnsi="宋体"/>
          <w:b/>
          <w:bCs/>
          <w:sz w:val="24"/>
          <w:szCs w:val="24"/>
        </w:rPr>
      </w:pPr>
      <w:r>
        <w:rPr>
          <w:rFonts w:hint="eastAsia" w:ascii="宋体" w:hAnsi="宋体"/>
          <w:b/>
          <w:bCs/>
          <w:sz w:val="24"/>
          <w:szCs w:val="24"/>
        </w:rPr>
        <w:t>2．货物需求一览表</w:t>
      </w:r>
    </w:p>
    <w:tbl>
      <w:tblPr>
        <w:tblStyle w:val="76"/>
        <w:tblW w:w="8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391"/>
        <w:gridCol w:w="816"/>
        <w:gridCol w:w="816"/>
        <w:gridCol w:w="816"/>
        <w:gridCol w:w="218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42" w:type="dxa"/>
            <w:vAlign w:val="center"/>
          </w:tcPr>
          <w:p>
            <w:pPr>
              <w:jc w:val="center"/>
            </w:pPr>
            <w:r>
              <w:rPr>
                <w:rFonts w:hint="eastAsia"/>
              </w:rPr>
              <w:t>序号</w:t>
            </w:r>
          </w:p>
        </w:tc>
        <w:tc>
          <w:tcPr>
            <w:tcW w:w="2391" w:type="dxa"/>
            <w:vAlign w:val="center"/>
          </w:tcPr>
          <w:p>
            <w:pPr>
              <w:jc w:val="center"/>
            </w:pPr>
            <w:r>
              <w:rPr>
                <w:rFonts w:hint="eastAsia"/>
              </w:rPr>
              <w:t>名称</w:t>
            </w:r>
          </w:p>
        </w:tc>
        <w:tc>
          <w:tcPr>
            <w:tcW w:w="816" w:type="dxa"/>
            <w:vAlign w:val="center"/>
          </w:tcPr>
          <w:p>
            <w:pPr>
              <w:jc w:val="center"/>
            </w:pPr>
            <w:r>
              <w:rPr>
                <w:rFonts w:hint="eastAsia"/>
              </w:rPr>
              <w:t>规格</w:t>
            </w:r>
          </w:p>
        </w:tc>
        <w:tc>
          <w:tcPr>
            <w:tcW w:w="816" w:type="dxa"/>
            <w:vAlign w:val="center"/>
          </w:tcPr>
          <w:p>
            <w:pPr>
              <w:jc w:val="center"/>
            </w:pPr>
            <w:r>
              <w:rPr>
                <w:rFonts w:hint="eastAsia"/>
              </w:rPr>
              <w:t>单位</w:t>
            </w:r>
          </w:p>
        </w:tc>
        <w:tc>
          <w:tcPr>
            <w:tcW w:w="816" w:type="dxa"/>
            <w:vAlign w:val="center"/>
          </w:tcPr>
          <w:p>
            <w:pPr>
              <w:jc w:val="center"/>
            </w:pPr>
            <w:r>
              <w:rPr>
                <w:rFonts w:hint="eastAsia"/>
              </w:rPr>
              <w:t>数量</w:t>
            </w:r>
          </w:p>
        </w:tc>
        <w:tc>
          <w:tcPr>
            <w:tcW w:w="2181" w:type="dxa"/>
            <w:vAlign w:val="center"/>
          </w:tcPr>
          <w:p>
            <w:pPr>
              <w:jc w:val="center"/>
            </w:pPr>
            <w:r>
              <w:rPr>
                <w:rFonts w:hint="eastAsia"/>
              </w:rPr>
              <w:t>安装地点/服务对象</w:t>
            </w:r>
          </w:p>
        </w:tc>
        <w:tc>
          <w:tcPr>
            <w:tcW w:w="1134" w:type="dxa"/>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jc w:val="center"/>
            </w:pPr>
            <w:r>
              <w:rPr>
                <w:rFonts w:hint="eastAsia"/>
              </w:rPr>
              <w:t>1</w:t>
            </w:r>
          </w:p>
        </w:tc>
        <w:tc>
          <w:tcPr>
            <w:tcW w:w="2391" w:type="dxa"/>
            <w:vAlign w:val="center"/>
          </w:tcPr>
          <w:p>
            <w:pPr>
              <w:jc w:val="center"/>
            </w:pPr>
            <w:r>
              <w:rPr>
                <w:rFonts w:hint="eastAsia"/>
              </w:rPr>
              <w:t>淋雨线</w:t>
            </w:r>
            <w:r>
              <w:t>后</w:t>
            </w:r>
            <w:r>
              <w:rPr>
                <w:rFonts w:hint="eastAsia"/>
              </w:rPr>
              <w:t>高压安全综合测试设备</w:t>
            </w:r>
          </w:p>
        </w:tc>
        <w:tc>
          <w:tcPr>
            <w:tcW w:w="816" w:type="dxa"/>
            <w:vAlign w:val="center"/>
          </w:tcPr>
          <w:p>
            <w:pPr>
              <w:jc w:val="center"/>
            </w:pPr>
            <w:r>
              <w:rPr>
                <w:rFonts w:hint="eastAsia"/>
              </w:rPr>
              <w:t>非标</w:t>
            </w:r>
          </w:p>
        </w:tc>
        <w:tc>
          <w:tcPr>
            <w:tcW w:w="816" w:type="dxa"/>
            <w:vAlign w:val="center"/>
          </w:tcPr>
          <w:p>
            <w:pPr>
              <w:jc w:val="center"/>
            </w:pPr>
            <w:r>
              <w:rPr>
                <w:rFonts w:hint="eastAsia"/>
              </w:rPr>
              <w:t>套</w:t>
            </w:r>
          </w:p>
        </w:tc>
        <w:tc>
          <w:tcPr>
            <w:tcW w:w="816" w:type="dxa"/>
            <w:vAlign w:val="center"/>
          </w:tcPr>
          <w:p>
            <w:pPr>
              <w:jc w:val="center"/>
            </w:pPr>
            <w:r>
              <w:rPr>
                <w:rFonts w:hint="eastAsia"/>
              </w:rPr>
              <w:t>1</w:t>
            </w:r>
          </w:p>
        </w:tc>
        <w:tc>
          <w:tcPr>
            <w:tcW w:w="2181" w:type="dxa"/>
            <w:vAlign w:val="center"/>
          </w:tcPr>
          <w:p>
            <w:pPr>
              <w:jc w:val="center"/>
            </w:pPr>
            <w:r>
              <w:rPr>
                <w:rFonts w:hint="eastAsia"/>
              </w:rPr>
              <w:t>济南轻卡制造公司总装部二期调试车间/济南轻卡制造公司</w:t>
            </w:r>
          </w:p>
        </w:tc>
        <w:tc>
          <w:tcPr>
            <w:tcW w:w="1134" w:type="dxa"/>
            <w:vAlign w:val="center"/>
          </w:tcPr>
          <w:p>
            <w:pPr>
              <w:jc w:val="center"/>
            </w:pPr>
            <w:r>
              <w:rPr>
                <w:rFonts w:hint="eastAsia"/>
              </w:rPr>
              <w:t>整车下线安规检测设备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spacing w:line="360" w:lineRule="auto"/>
              <w:jc w:val="center"/>
              <w:rPr>
                <w:rFonts w:ascii="宋体" w:hAnsi="宋体"/>
                <w:sz w:val="24"/>
                <w:szCs w:val="24"/>
              </w:rPr>
            </w:pPr>
            <w:r>
              <w:rPr>
                <w:rFonts w:hint="eastAsia"/>
              </w:rPr>
              <w:t>2</w:t>
            </w:r>
          </w:p>
        </w:tc>
        <w:tc>
          <w:tcPr>
            <w:tcW w:w="2391" w:type="dxa"/>
            <w:vAlign w:val="center"/>
          </w:tcPr>
          <w:p>
            <w:pPr>
              <w:jc w:val="center"/>
              <w:rPr>
                <w:rFonts w:ascii="宋体" w:hAnsi="宋体"/>
              </w:rPr>
            </w:pPr>
            <w:r>
              <w:rPr>
                <w:rFonts w:hint="eastAsia"/>
              </w:rPr>
              <w:t>整车</w:t>
            </w:r>
            <w:r>
              <w:t>下线</w:t>
            </w:r>
            <w:r>
              <w:rPr>
                <w:rFonts w:hint="eastAsia"/>
              </w:rPr>
              <w:t>高压安全</w:t>
            </w:r>
            <w:r>
              <w:t>综合</w:t>
            </w:r>
            <w:r>
              <w:rPr>
                <w:rFonts w:hint="eastAsia"/>
              </w:rPr>
              <w:t>测</w:t>
            </w:r>
            <w:r>
              <w:rPr>
                <w:rFonts w:hint="eastAsia"/>
                <w:color w:val="000000"/>
              </w:rPr>
              <w:t>试设备</w:t>
            </w:r>
          </w:p>
        </w:tc>
        <w:tc>
          <w:tcPr>
            <w:tcW w:w="816" w:type="dxa"/>
            <w:vAlign w:val="center"/>
          </w:tcPr>
          <w:p>
            <w:pPr>
              <w:jc w:val="center"/>
              <w:rPr>
                <w:rFonts w:ascii="宋体" w:hAnsi="宋体"/>
              </w:rPr>
            </w:pPr>
            <w:r>
              <w:rPr>
                <w:rFonts w:hint="eastAsia" w:ascii="宋体" w:hAnsi="宋体"/>
              </w:rPr>
              <w:t>非标</w:t>
            </w:r>
          </w:p>
        </w:tc>
        <w:tc>
          <w:tcPr>
            <w:tcW w:w="816" w:type="dxa"/>
            <w:vAlign w:val="center"/>
          </w:tcPr>
          <w:p>
            <w:pPr>
              <w:jc w:val="center"/>
            </w:pPr>
            <w:r>
              <w:rPr>
                <w:rFonts w:hint="eastAsia" w:ascii="宋体" w:hAnsi="宋体"/>
              </w:rPr>
              <w:t>套</w:t>
            </w:r>
          </w:p>
        </w:tc>
        <w:tc>
          <w:tcPr>
            <w:tcW w:w="816" w:type="dxa"/>
            <w:vAlign w:val="center"/>
          </w:tcPr>
          <w:p>
            <w:pPr>
              <w:jc w:val="center"/>
              <w:rPr>
                <w:rFonts w:ascii="宋体" w:hAnsi="宋体"/>
              </w:rPr>
            </w:pPr>
            <w:r>
              <w:rPr>
                <w:rFonts w:hint="eastAsia" w:ascii="宋体" w:hAnsi="宋体"/>
              </w:rPr>
              <w:t>1</w:t>
            </w:r>
          </w:p>
        </w:tc>
        <w:tc>
          <w:tcPr>
            <w:tcW w:w="2181" w:type="dxa"/>
            <w:vAlign w:val="center"/>
          </w:tcPr>
          <w:p>
            <w:pPr>
              <w:jc w:val="center"/>
              <w:rPr>
                <w:rFonts w:ascii="宋体" w:hAnsi="宋体"/>
              </w:rPr>
            </w:pPr>
            <w:r>
              <w:rPr>
                <w:rFonts w:hint="eastAsia"/>
              </w:rPr>
              <w:t>济南轻卡制造公司总装部二期总装车间</w:t>
            </w:r>
            <w:r>
              <w:rPr>
                <w:rFonts w:hint="eastAsia" w:ascii="宋体" w:hAnsi="宋体"/>
              </w:rPr>
              <w:t>/济南轻卡制造公司</w:t>
            </w:r>
          </w:p>
        </w:tc>
        <w:tc>
          <w:tcPr>
            <w:tcW w:w="1134" w:type="dxa"/>
            <w:vAlign w:val="center"/>
          </w:tcPr>
          <w:p>
            <w:pPr>
              <w:jc w:val="center"/>
              <w:rPr>
                <w:rFonts w:ascii="宋体" w:hAnsi="宋体"/>
              </w:rPr>
            </w:pPr>
            <w:r>
              <w:rPr>
                <w:rFonts w:hint="eastAsia"/>
              </w:rPr>
              <w:t>总装安规检测设备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642" w:type="dxa"/>
            <w:vAlign w:val="center"/>
          </w:tcPr>
          <w:p>
            <w:pPr>
              <w:spacing w:line="360" w:lineRule="auto"/>
              <w:jc w:val="center"/>
            </w:pPr>
            <w:r>
              <w:rPr>
                <w:rFonts w:hint="eastAsia"/>
              </w:rPr>
              <w:t>3</w:t>
            </w:r>
          </w:p>
        </w:tc>
        <w:tc>
          <w:tcPr>
            <w:tcW w:w="2391" w:type="dxa"/>
            <w:vAlign w:val="center"/>
          </w:tcPr>
          <w:p>
            <w:pPr>
              <w:jc w:val="center"/>
            </w:pPr>
            <w:r>
              <w:rPr>
                <w:rFonts w:hint="eastAsia"/>
              </w:rPr>
              <w:t>快充检测设备</w:t>
            </w:r>
          </w:p>
        </w:tc>
        <w:tc>
          <w:tcPr>
            <w:tcW w:w="816" w:type="dxa"/>
            <w:vAlign w:val="center"/>
          </w:tcPr>
          <w:p>
            <w:pPr>
              <w:jc w:val="center"/>
              <w:rPr>
                <w:rFonts w:ascii="宋体" w:hAnsi="宋体"/>
              </w:rPr>
            </w:pPr>
            <w:r>
              <w:rPr>
                <w:rFonts w:hint="eastAsia"/>
              </w:rPr>
              <w:t>非标</w:t>
            </w:r>
          </w:p>
        </w:tc>
        <w:tc>
          <w:tcPr>
            <w:tcW w:w="816" w:type="dxa"/>
            <w:vAlign w:val="center"/>
          </w:tcPr>
          <w:p>
            <w:pPr>
              <w:jc w:val="center"/>
              <w:rPr>
                <w:rFonts w:ascii="宋体" w:hAnsi="宋体"/>
              </w:rPr>
            </w:pPr>
            <w:r>
              <w:rPr>
                <w:rFonts w:hint="eastAsia" w:ascii="宋体" w:hAnsi="宋体"/>
              </w:rPr>
              <w:t>套</w:t>
            </w:r>
          </w:p>
        </w:tc>
        <w:tc>
          <w:tcPr>
            <w:tcW w:w="816" w:type="dxa"/>
            <w:vAlign w:val="center"/>
          </w:tcPr>
          <w:p>
            <w:pPr>
              <w:jc w:val="center"/>
              <w:rPr>
                <w:rFonts w:ascii="宋体" w:hAnsi="宋体"/>
              </w:rPr>
            </w:pPr>
            <w:r>
              <w:rPr>
                <w:rFonts w:hint="eastAsia" w:ascii="宋体" w:hAnsi="宋体"/>
              </w:rPr>
              <w:t>1</w:t>
            </w:r>
          </w:p>
        </w:tc>
        <w:tc>
          <w:tcPr>
            <w:tcW w:w="2181" w:type="dxa"/>
            <w:vAlign w:val="center"/>
          </w:tcPr>
          <w:p>
            <w:pPr>
              <w:jc w:val="center"/>
            </w:pPr>
            <w:r>
              <w:rPr>
                <w:rFonts w:hint="eastAsia"/>
              </w:rPr>
              <w:t>济南轻卡制造公司总装部二期总装车间</w:t>
            </w:r>
            <w:r>
              <w:rPr>
                <w:rFonts w:hint="eastAsia" w:ascii="宋体" w:hAnsi="宋体"/>
              </w:rPr>
              <w:t>/济南轻卡制造公司</w:t>
            </w:r>
          </w:p>
        </w:tc>
        <w:tc>
          <w:tcPr>
            <w:tcW w:w="1134" w:type="dxa"/>
            <w:vAlign w:val="center"/>
          </w:tcPr>
          <w:p>
            <w:pPr>
              <w:jc w:val="center"/>
            </w:pPr>
            <w:r>
              <w:rPr>
                <w:rFonts w:hint="eastAsia"/>
              </w:rPr>
              <w:t>总装安规检测设备</w:t>
            </w:r>
          </w:p>
        </w:tc>
      </w:tr>
    </w:tbl>
    <w:p>
      <w:pPr>
        <w:spacing w:line="360" w:lineRule="auto"/>
        <w:rPr>
          <w:rFonts w:ascii="宋体" w:hAnsi="宋体"/>
          <w:sz w:val="24"/>
          <w:szCs w:val="24"/>
        </w:rPr>
      </w:pPr>
      <w:r>
        <w:rPr>
          <w:rFonts w:hint="eastAsia" w:ascii="宋体" w:hAnsi="宋体"/>
          <w:sz w:val="24"/>
          <w:szCs w:val="24"/>
        </w:rPr>
        <w:t>备注：</w:t>
      </w:r>
      <w:r>
        <w:rPr>
          <w:rFonts w:ascii="宋体" w:hAnsi="宋体"/>
          <w:sz w:val="24"/>
          <w:szCs w:val="24"/>
        </w:rPr>
        <w:t>设备包括但不局限以</w:t>
      </w:r>
      <w:r>
        <w:rPr>
          <w:rFonts w:hint="eastAsia" w:ascii="宋体" w:hAnsi="宋体"/>
          <w:sz w:val="24"/>
          <w:szCs w:val="24"/>
        </w:rPr>
        <w:t>上</w:t>
      </w:r>
      <w:r>
        <w:rPr>
          <w:rFonts w:ascii="宋体" w:hAnsi="宋体"/>
          <w:sz w:val="24"/>
          <w:szCs w:val="24"/>
        </w:rPr>
        <w:t>部分，具体情况根据工位实际需求配备</w:t>
      </w:r>
      <w:r>
        <w:rPr>
          <w:rFonts w:hint="eastAsia" w:ascii="宋体" w:hAnsi="宋体"/>
          <w:sz w:val="24"/>
          <w:szCs w:val="24"/>
        </w:rPr>
        <w:t>。</w:t>
      </w:r>
    </w:p>
    <w:p>
      <w:pPr>
        <w:spacing w:line="360" w:lineRule="auto"/>
        <w:ind w:firstLine="480" w:firstLineChars="200"/>
        <w:rPr>
          <w:rFonts w:ascii="宋体" w:hAnsi="宋体"/>
          <w:sz w:val="24"/>
          <w:szCs w:val="24"/>
        </w:rPr>
      </w:pPr>
      <w:bookmarkStart w:id="74" w:name="_Toc44953431"/>
      <w:r>
        <w:rPr>
          <w:rFonts w:hint="eastAsia" w:ascii="宋体" w:hAnsi="宋体"/>
          <w:sz w:val="24"/>
          <w:szCs w:val="24"/>
        </w:rPr>
        <w:t>1、本表所列采购设备为二期总装/调试车间高压</w:t>
      </w:r>
      <w:r>
        <w:rPr>
          <w:rFonts w:ascii="宋体" w:hAnsi="宋体"/>
          <w:sz w:val="24"/>
          <w:szCs w:val="24"/>
        </w:rPr>
        <w:t>安全综合检测</w:t>
      </w:r>
      <w:r>
        <w:rPr>
          <w:rFonts w:hint="eastAsia" w:ascii="宋体" w:hAnsi="宋体"/>
          <w:sz w:val="24"/>
          <w:szCs w:val="24"/>
        </w:rPr>
        <w:t>设备的基本需求，应配套供货以及招标方所列其它货物（或设备）和服务，请投标方认真阅读“供货范围”。若有异议，不管是多么微小，都应在投标文件“商务偏离”章节中予以详细说明。</w:t>
      </w:r>
    </w:p>
    <w:p>
      <w:pPr>
        <w:spacing w:line="360" w:lineRule="auto"/>
        <w:ind w:firstLine="480" w:firstLineChars="200"/>
        <w:rPr>
          <w:rFonts w:ascii="宋体" w:hAnsi="宋体"/>
          <w:sz w:val="24"/>
          <w:szCs w:val="24"/>
        </w:rPr>
      </w:pPr>
      <w:r>
        <w:rPr>
          <w:rFonts w:hint="eastAsia" w:ascii="宋体" w:hAnsi="宋体"/>
          <w:sz w:val="24"/>
          <w:szCs w:val="24"/>
        </w:rPr>
        <w:t>2、本表“供货方式”指：交钥匙方式——投标方负责设备的设计、制造、运输、卸载、安装、调试、试运行、验收以及培训等直至达到招标方的各项要求并交付使用。</w:t>
      </w:r>
    </w:p>
    <w:p>
      <w:pPr>
        <w:spacing w:line="360" w:lineRule="auto"/>
        <w:ind w:firstLine="480" w:firstLineChars="200"/>
        <w:rPr>
          <w:rFonts w:ascii="宋体" w:hAnsi="宋体"/>
          <w:sz w:val="24"/>
          <w:szCs w:val="24"/>
        </w:rPr>
      </w:pPr>
      <w:r>
        <w:rPr>
          <w:rFonts w:ascii="宋体" w:hAnsi="宋体"/>
          <w:sz w:val="24"/>
          <w:szCs w:val="24"/>
        </w:rPr>
        <w:t>2.2</w:t>
      </w:r>
      <w:r>
        <w:rPr>
          <w:rFonts w:hint="eastAsia" w:ascii="宋体" w:hAnsi="宋体"/>
          <w:sz w:val="24"/>
          <w:szCs w:val="24"/>
        </w:rPr>
        <w:t>交货地点：济南轻卡制造公司</w:t>
      </w:r>
    </w:p>
    <w:p>
      <w:pPr>
        <w:spacing w:line="360" w:lineRule="auto"/>
        <w:ind w:firstLine="480" w:firstLineChars="200"/>
        <w:rPr>
          <w:rFonts w:ascii="宋体" w:hAnsi="宋体"/>
          <w:sz w:val="24"/>
          <w:szCs w:val="24"/>
        </w:rPr>
      </w:pPr>
      <w:r>
        <w:rPr>
          <w:rFonts w:hint="eastAsia" w:ascii="宋体" w:hAnsi="宋体"/>
          <w:sz w:val="24"/>
          <w:szCs w:val="24"/>
        </w:rPr>
        <w:t>2.3交货期：中标通知书发布</w:t>
      </w:r>
      <w:r>
        <w:rPr>
          <w:rFonts w:hint="eastAsia" w:ascii="宋体" w:hAnsi="宋体"/>
          <w:color w:val="000000" w:themeColor="text1"/>
          <w:sz w:val="24"/>
          <w:szCs w:val="24"/>
          <w14:textFill>
            <w14:solidFill>
              <w14:schemeClr w14:val="tx1"/>
            </w14:solidFill>
          </w14:textFill>
        </w:rPr>
        <w:t>后</w:t>
      </w:r>
      <w:r>
        <w:rPr>
          <w:rFonts w:ascii="宋体" w:hAnsi="宋体"/>
          <w:color w:val="000000" w:themeColor="text1"/>
          <w:sz w:val="24"/>
          <w:szCs w:val="24"/>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个月</w:t>
      </w:r>
      <w:r>
        <w:rPr>
          <w:rFonts w:ascii="宋体" w:hAnsi="宋体"/>
          <w:color w:val="000000" w:themeColor="text1"/>
          <w:sz w:val="24"/>
          <w:szCs w:val="24"/>
          <w14:textFill>
            <w14:solidFill>
              <w14:schemeClr w14:val="tx1"/>
            </w14:solidFill>
          </w14:textFill>
        </w:rPr>
        <w:t>(</w:t>
      </w:r>
      <w:r>
        <w:rPr>
          <w:rFonts w:hint="eastAsia" w:ascii="宋体" w:hAnsi="宋体"/>
          <w:sz w:val="24"/>
          <w:szCs w:val="24"/>
        </w:rPr>
        <w:t>包含设计、制造、运输、安装、调试、试运行、培训等，直至交付使用</w:t>
      </w:r>
      <w:r>
        <w:rPr>
          <w:rFonts w:ascii="宋体" w:hAnsi="宋体"/>
          <w:sz w:val="24"/>
          <w:szCs w:val="24"/>
        </w:rPr>
        <w:t>)</w:t>
      </w:r>
      <w:r>
        <w:rPr>
          <w:rFonts w:hint="eastAsia" w:ascii="宋体" w:hAnsi="宋体"/>
          <w:sz w:val="24"/>
          <w:szCs w:val="24"/>
        </w:rPr>
        <w:t>。</w:t>
      </w:r>
    </w:p>
    <w:p>
      <w:pPr>
        <w:pStyle w:val="3"/>
        <w:tabs>
          <w:tab w:val="left" w:pos="2400"/>
          <w:tab w:val="clear" w:pos="9061"/>
        </w:tabs>
        <w:spacing w:line="360" w:lineRule="auto"/>
        <w:jc w:val="both"/>
        <w:rPr>
          <w:rFonts w:hint="eastAsia" w:ascii="仿宋_GB2312" w:hAnsi="宋体" w:eastAsia="仿宋_GB2312"/>
          <w:sz w:val="32"/>
          <w:szCs w:val="32"/>
        </w:rPr>
      </w:pPr>
      <w:bookmarkStart w:id="75" w:name="_Toc23035"/>
      <w:bookmarkStart w:id="76" w:name="_Toc100395319"/>
      <w:r>
        <w:rPr>
          <w:rFonts w:hint="eastAsia" w:ascii="仿宋_GB2312" w:hAnsi="宋体" w:eastAsia="仿宋_GB2312"/>
          <w:sz w:val="32"/>
          <w:szCs w:val="32"/>
        </w:rPr>
        <w:t>二、工程界面</w:t>
      </w:r>
      <w:bookmarkEnd w:id="7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1.招标方提供厂房及吊点，吊点设置位置、高度及规格型号见厂房建筑图纸；</w:t>
      </w:r>
      <w:r>
        <w:rPr>
          <w:rFonts w:hint="eastAsia" w:asciiTheme="minorEastAsia" w:hAnsiTheme="minorEastAsia"/>
          <w:sz w:val="24"/>
          <w:szCs w:val="24"/>
        </w:rPr>
        <w:t>投标方负责吊点以下悬挂钢结构，</w:t>
      </w:r>
      <w:r>
        <w:rPr>
          <w:rFonts w:hint="eastAsia" w:ascii="宋体" w:hAnsi="宋体"/>
          <w:sz w:val="24"/>
          <w:szCs w:val="24"/>
        </w:rPr>
        <w:t>包括吊点联接装置、吊杆、一次、二次辅梁、安全护栏、安全网等</w:t>
      </w:r>
      <w:r>
        <w:rPr>
          <w:rFonts w:hint="eastAsia" w:asciiTheme="minorEastAsia" w:hAnsiTheme="minorEastAsia"/>
          <w:sz w:val="24"/>
          <w:szCs w:val="24"/>
        </w:rPr>
        <w:t>的设计、制作、安装。投标方的设计图纸应经招标方审核。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2.基础，基础及二次浇注划分基础、二次浇注、预埋件等由投标方提供，具体要求由投标方在土建需求提供资料前提出。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ascii="宋体" w:hAnsi="宋体"/>
          <w:sz w:val="24"/>
          <w:szCs w:val="24"/>
        </w:rPr>
        <w:t>3</w:t>
      </w:r>
      <w:r>
        <w:rPr>
          <w:rFonts w:hint="eastAsia" w:ascii="宋体" w:hAnsi="宋体"/>
          <w:sz w:val="24"/>
          <w:szCs w:val="24"/>
        </w:rPr>
        <w:t>.电源划分，控制柜仅指设备的主控柜，原则上每台设备设置一个主控柜（主控柜位置需根据实际生产情况具体设置），单台设备超过一个主控柜需在图纸会签时说明，否则招标方不负责提供多余电源点。招标方负责从插接箱中接电进投标方主控柜，线缆和桥架及母线插接箱均由招标方负责。投标方负责每条主线和分装线边小功率设备的线边配电柜（带电表及通讯上  传功能），配电柜接线及柜内各元器件由投标方负责。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 xml:space="preserve">投标方负责线边配电柜到线边两侧工位上的接电盒（具体图纸会签时确定），接电盒内各元器件由投标方负责。投标方负责提供输送设备、工艺设备、照明、风扇、插座用电。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bCs/>
          <w:sz w:val="24"/>
          <w:szCs w:val="24"/>
        </w:rPr>
      </w:pPr>
      <w:r>
        <w:rPr>
          <w:rFonts w:ascii="宋体" w:hAnsi="宋体"/>
          <w:sz w:val="24"/>
          <w:szCs w:val="24"/>
        </w:rPr>
        <w:t>4</w:t>
      </w:r>
      <w:r>
        <w:rPr>
          <w:rFonts w:hint="eastAsia" w:ascii="宋体" w:hAnsi="宋体"/>
          <w:sz w:val="24"/>
          <w:szCs w:val="24"/>
        </w:rPr>
        <w:t>.照明划分，招标方负责车间照明、应急照明、疏散指示灯。投标方负责工位照明、设备照明。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heme="minorEastAsia" w:hAnsiTheme="minorEastAsia"/>
          <w:sz w:val="24"/>
          <w:szCs w:val="24"/>
        </w:rPr>
      </w:pPr>
      <w:r>
        <w:rPr>
          <w:rFonts w:ascii="宋体" w:hAnsi="宋体"/>
          <w:bCs/>
          <w:sz w:val="24"/>
          <w:szCs w:val="24"/>
        </w:rPr>
        <w:t>5</w:t>
      </w:r>
      <w:r>
        <w:rPr>
          <w:rFonts w:hint="eastAsia" w:ascii="宋体" w:hAnsi="宋体"/>
          <w:bCs/>
          <w:sz w:val="24"/>
          <w:szCs w:val="24"/>
        </w:rPr>
        <w:t>.工艺接口，</w:t>
      </w:r>
      <w:r>
        <w:rPr>
          <w:rFonts w:hint="eastAsia" w:asciiTheme="minorEastAsia" w:hAnsiTheme="minorEastAsia"/>
          <w:sz w:val="24"/>
          <w:szCs w:val="24"/>
        </w:rPr>
        <w:t>各设备具体布置情况详见重汽轻卡二期总装平面布置图。平面布置图仅提出各设备布置位置及输送流向，投标方应细化各设备设计方案后，作为投标依据。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7.网络界面，招标方负责车间内一次侧网络布置，投标方负责二次侧网络布置和连接。</w:t>
      </w:r>
    </w:p>
    <w:p>
      <w:pPr>
        <w:pStyle w:val="3"/>
        <w:tabs>
          <w:tab w:val="left" w:pos="2400"/>
          <w:tab w:val="clear" w:pos="9061"/>
        </w:tabs>
        <w:spacing w:line="360" w:lineRule="auto"/>
        <w:jc w:val="both"/>
        <w:rPr>
          <w:rFonts w:hint="eastAsia" w:ascii="仿宋_GB2312" w:hAnsi="宋体" w:eastAsia="仿宋_GB2312"/>
          <w:sz w:val="32"/>
          <w:szCs w:val="32"/>
        </w:rPr>
      </w:pPr>
      <w:r>
        <w:rPr>
          <w:rFonts w:hint="eastAsia" w:ascii="仿宋_GB2312" w:hAnsi="宋体" w:eastAsia="仿宋_GB2312"/>
          <w:sz w:val="32"/>
          <w:szCs w:val="32"/>
        </w:rPr>
        <w:t>三、通用要求</w:t>
      </w:r>
      <w:bookmarkEnd w:id="74"/>
      <w:r>
        <w:rPr>
          <w:rFonts w:hint="eastAsia" w:ascii="仿宋_GB2312" w:hAnsi="宋体" w:eastAsia="仿宋_GB2312"/>
          <w:sz w:val="32"/>
          <w:szCs w:val="32"/>
        </w:rPr>
        <w:t>及方案说明</w:t>
      </w:r>
      <w:bookmarkEnd w:id="76"/>
    </w:p>
    <w:p>
      <w:pPr>
        <w:spacing w:line="360" w:lineRule="auto"/>
        <w:rPr>
          <w:rFonts w:ascii="宋体" w:hAnsi="宋体"/>
          <w:b/>
          <w:bCs/>
          <w:sz w:val="24"/>
          <w:szCs w:val="24"/>
        </w:rPr>
      </w:pPr>
      <w:r>
        <w:rPr>
          <w:rFonts w:ascii="宋体" w:hAnsi="宋体"/>
          <w:b/>
          <w:bCs/>
          <w:sz w:val="24"/>
          <w:szCs w:val="24"/>
        </w:rPr>
        <w:t>1.</w:t>
      </w:r>
      <w:bookmarkStart w:id="77" w:name="_Hlk33102507"/>
      <w:r>
        <w:rPr>
          <w:rFonts w:hint="eastAsia" w:ascii="宋体" w:hAnsi="宋体"/>
          <w:b/>
          <w:bCs/>
          <w:sz w:val="24"/>
          <w:szCs w:val="24"/>
        </w:rPr>
        <w:t>使用环境与能源供给</w:t>
      </w:r>
      <w:bookmarkEnd w:id="77"/>
      <w:r>
        <w:rPr>
          <w:rFonts w:hint="eastAsia" w:ascii="宋体" w:hAnsi="宋体"/>
          <w:b/>
          <w:bCs/>
          <w:sz w:val="24"/>
          <w:szCs w:val="24"/>
        </w:rPr>
        <w:t>（适用于济南轻卡制造公司）</w:t>
      </w:r>
    </w:p>
    <w:p>
      <w:pPr>
        <w:spacing w:line="480" w:lineRule="exact"/>
        <w:ind w:firstLine="480" w:firstLineChars="200"/>
        <w:rPr>
          <w:rFonts w:ascii="宋体" w:hAnsi="宋体"/>
          <w:sz w:val="24"/>
        </w:rPr>
      </w:pPr>
      <w:r>
        <w:rPr>
          <w:rFonts w:hint="eastAsia" w:ascii="宋体" w:hAnsi="宋体"/>
          <w:sz w:val="24"/>
        </w:rPr>
        <w:t>1.</w:t>
      </w:r>
      <w:r>
        <w:rPr>
          <w:rFonts w:hint="eastAsia" w:ascii="宋体" w:hAnsi="宋体"/>
          <w:bCs/>
          <w:sz w:val="24"/>
        </w:rPr>
        <w:t>海拨高度：1000</w:t>
      </w:r>
      <w:r>
        <w:rPr>
          <w:rFonts w:ascii="宋体" w:hAnsi="宋体"/>
          <w:bCs/>
          <w:sz w:val="24"/>
        </w:rPr>
        <w:t>m</w:t>
      </w:r>
      <w:r>
        <w:rPr>
          <w:rFonts w:hint="eastAsia" w:ascii="宋体" w:hAnsi="宋体"/>
          <w:bCs/>
          <w:sz w:val="24"/>
        </w:rPr>
        <w:t>以下</w:t>
      </w:r>
    </w:p>
    <w:p>
      <w:pPr>
        <w:spacing w:line="480" w:lineRule="exact"/>
        <w:ind w:firstLine="480" w:firstLineChars="200"/>
        <w:rPr>
          <w:rFonts w:ascii="宋体" w:hAnsi="宋体"/>
          <w:sz w:val="24"/>
        </w:rPr>
      </w:pPr>
      <w:r>
        <w:rPr>
          <w:rFonts w:hint="eastAsia" w:ascii="宋体" w:hAnsi="宋体"/>
          <w:sz w:val="24"/>
        </w:rPr>
        <w:t>2.</w:t>
      </w:r>
      <w:r>
        <w:rPr>
          <w:rFonts w:hint="eastAsia" w:ascii="宋体" w:hAnsi="宋体"/>
          <w:bCs/>
          <w:sz w:val="24"/>
        </w:rPr>
        <w:t>环境温度：室内温度-</w:t>
      </w:r>
      <w:r>
        <w:rPr>
          <w:rFonts w:ascii="宋体" w:hAnsi="宋体"/>
          <w:bCs/>
          <w:sz w:val="24"/>
        </w:rPr>
        <w:t>20</w:t>
      </w:r>
      <w:r>
        <w:rPr>
          <w:rFonts w:hint="eastAsia" w:ascii="宋体" w:hAnsi="宋体"/>
          <w:bCs/>
          <w:sz w:val="24"/>
        </w:rPr>
        <w:t>℃～+</w:t>
      </w:r>
      <w:r>
        <w:rPr>
          <w:rFonts w:ascii="宋体" w:hAnsi="宋体"/>
          <w:bCs/>
          <w:sz w:val="24"/>
        </w:rPr>
        <w:t>50</w:t>
      </w:r>
      <w:r>
        <w:rPr>
          <w:rFonts w:hint="eastAsia" w:ascii="宋体" w:hAnsi="宋体"/>
          <w:bCs/>
          <w:sz w:val="24"/>
        </w:rPr>
        <w:t>℃，最大日温差：25℃</w:t>
      </w:r>
    </w:p>
    <w:p>
      <w:pPr>
        <w:spacing w:line="480" w:lineRule="exact"/>
        <w:ind w:firstLine="480" w:firstLineChars="200"/>
        <w:rPr>
          <w:rFonts w:ascii="宋体" w:hAnsi="宋体"/>
          <w:sz w:val="24"/>
        </w:rPr>
      </w:pPr>
      <w:r>
        <w:rPr>
          <w:rFonts w:hint="eastAsia" w:ascii="宋体" w:hAnsi="宋体"/>
          <w:sz w:val="24"/>
        </w:rPr>
        <w:t>3.年平均相对湿度：65%，</w:t>
      </w:r>
      <w:r>
        <w:rPr>
          <w:rFonts w:hint="eastAsia" w:ascii="宋体" w:hAnsi="宋体"/>
          <w:bCs/>
          <w:sz w:val="24"/>
        </w:rPr>
        <w:t>最高月平均相对湿度：95%（+25℃）</w:t>
      </w:r>
    </w:p>
    <w:p>
      <w:pPr>
        <w:spacing w:line="480" w:lineRule="exact"/>
        <w:ind w:firstLine="480" w:firstLineChars="200"/>
        <w:rPr>
          <w:rFonts w:ascii="宋体" w:hAnsi="宋体"/>
          <w:sz w:val="24"/>
        </w:rPr>
      </w:pPr>
      <w:r>
        <w:rPr>
          <w:rFonts w:hint="eastAsia" w:ascii="宋体" w:hAnsi="宋体"/>
          <w:sz w:val="24"/>
        </w:rPr>
        <w:t>4.地震裂度：七度</w:t>
      </w:r>
    </w:p>
    <w:p>
      <w:pPr>
        <w:spacing w:line="480" w:lineRule="exact"/>
        <w:ind w:firstLine="480" w:firstLineChars="200"/>
        <w:rPr>
          <w:rFonts w:ascii="宋体" w:hAnsi="宋体"/>
          <w:sz w:val="24"/>
        </w:rPr>
      </w:pPr>
      <w:r>
        <w:rPr>
          <w:rFonts w:hint="eastAsia" w:ascii="宋体" w:hAnsi="宋体"/>
          <w:sz w:val="24"/>
        </w:rPr>
        <w:t>5.使用地点：济南</w:t>
      </w:r>
      <w:r>
        <w:rPr>
          <w:rFonts w:hint="eastAsia" w:ascii="宋体" w:hAnsi="宋体"/>
          <w:bCs/>
          <w:sz w:val="24"/>
          <w:szCs w:val="24"/>
        </w:rPr>
        <w:t>轻卡制造公司二期</w:t>
      </w:r>
    </w:p>
    <w:p>
      <w:pPr>
        <w:spacing w:line="480" w:lineRule="exact"/>
        <w:ind w:firstLine="480" w:firstLineChars="200"/>
        <w:rPr>
          <w:rFonts w:ascii="宋体" w:hAnsi="宋体"/>
          <w:sz w:val="24"/>
        </w:rPr>
      </w:pPr>
      <w:r>
        <w:rPr>
          <w:rFonts w:hint="eastAsia" w:ascii="宋体" w:hAnsi="宋体"/>
          <w:sz w:val="24"/>
        </w:rPr>
        <w:t>6.电源：供电电压A</w:t>
      </w:r>
      <w:r>
        <w:rPr>
          <w:rFonts w:ascii="宋体" w:hAnsi="宋体"/>
          <w:sz w:val="24"/>
        </w:rPr>
        <w:t>C 380V</w:t>
      </w:r>
      <w:r>
        <w:rPr>
          <w:rFonts w:hint="eastAsia" w:ascii="宋体" w:hAnsi="宋体"/>
          <w:sz w:val="24"/>
        </w:rPr>
        <w:t>±</w:t>
      </w:r>
      <w:r>
        <w:rPr>
          <w:rFonts w:ascii="宋体" w:hAnsi="宋体"/>
          <w:sz w:val="24"/>
        </w:rPr>
        <w:t>1</w:t>
      </w:r>
      <w:r>
        <w:rPr>
          <w:rFonts w:hint="eastAsia" w:ascii="宋体" w:hAnsi="宋体"/>
          <w:sz w:val="24"/>
        </w:rPr>
        <w:t>0</w:t>
      </w:r>
      <w:r>
        <w:rPr>
          <w:rFonts w:ascii="宋体" w:hAnsi="宋体"/>
          <w:sz w:val="24"/>
        </w:rPr>
        <w:t>%</w:t>
      </w:r>
      <w:r>
        <w:rPr>
          <w:rFonts w:hint="eastAsia" w:ascii="宋体" w:hAnsi="宋体"/>
          <w:sz w:val="24"/>
        </w:rPr>
        <w:t>/220V±</w:t>
      </w:r>
      <w:r>
        <w:rPr>
          <w:rFonts w:ascii="宋体" w:hAnsi="宋体"/>
          <w:sz w:val="24"/>
        </w:rPr>
        <w:t>1</w:t>
      </w:r>
      <w:r>
        <w:rPr>
          <w:rFonts w:hint="eastAsia" w:ascii="宋体" w:hAnsi="宋体"/>
          <w:sz w:val="24"/>
        </w:rPr>
        <w:t>0</w:t>
      </w:r>
      <w:r>
        <w:rPr>
          <w:rFonts w:ascii="宋体" w:hAnsi="宋体"/>
          <w:sz w:val="24"/>
        </w:rPr>
        <w:t>%</w:t>
      </w:r>
      <w:r>
        <w:rPr>
          <w:rFonts w:hint="eastAsia" w:ascii="宋体" w:hAnsi="宋体"/>
          <w:sz w:val="24"/>
        </w:rPr>
        <w:t>，供电频率</w:t>
      </w:r>
      <w:r>
        <w:rPr>
          <w:rFonts w:ascii="宋体" w:hAnsi="宋体"/>
          <w:sz w:val="24"/>
        </w:rPr>
        <w:t>50Hz</w:t>
      </w:r>
      <w:r>
        <w:rPr>
          <w:rFonts w:hint="eastAsia" w:ascii="宋体" w:hAnsi="宋体"/>
          <w:sz w:val="24"/>
        </w:rPr>
        <w:t>±</w:t>
      </w:r>
      <w:r>
        <w:rPr>
          <w:rFonts w:ascii="宋体" w:hAnsi="宋体"/>
          <w:sz w:val="24"/>
        </w:rPr>
        <w:t>2%</w:t>
      </w:r>
      <w:r>
        <w:rPr>
          <w:rFonts w:hint="eastAsia" w:ascii="宋体" w:hAnsi="宋体"/>
          <w:sz w:val="24"/>
        </w:rPr>
        <w:t>；控制电压：D</w:t>
      </w:r>
      <w:r>
        <w:rPr>
          <w:rFonts w:ascii="宋体" w:hAnsi="宋体"/>
          <w:sz w:val="24"/>
        </w:rPr>
        <w:t>C24V</w:t>
      </w:r>
    </w:p>
    <w:p>
      <w:pPr>
        <w:spacing w:line="480" w:lineRule="exact"/>
        <w:ind w:firstLine="480" w:firstLineChars="200"/>
        <w:rPr>
          <w:rFonts w:ascii="宋体" w:hAnsi="宋体"/>
          <w:sz w:val="24"/>
        </w:rPr>
      </w:pPr>
      <w:r>
        <w:rPr>
          <w:rFonts w:hint="eastAsia" w:ascii="宋体" w:hAnsi="宋体"/>
          <w:sz w:val="24"/>
        </w:rPr>
        <w:t>7.压缩空气：厂区空压机自产压缩空气，0.55～0.7 MPa</w:t>
      </w:r>
    </w:p>
    <w:p>
      <w:pPr>
        <w:spacing w:line="420" w:lineRule="atLeast"/>
        <w:ind w:firstLine="480" w:firstLineChars="200"/>
        <w:jc w:val="left"/>
        <w:rPr>
          <w:rFonts w:ascii="宋体" w:hAnsi="宋体"/>
          <w:bCs/>
          <w:sz w:val="24"/>
          <w:szCs w:val="24"/>
        </w:rPr>
      </w:pPr>
      <w:r>
        <w:rPr>
          <w:rFonts w:hint="eastAsia" w:ascii="宋体" w:hAnsi="宋体"/>
          <w:bCs/>
          <w:sz w:val="24"/>
          <w:szCs w:val="24"/>
        </w:rPr>
        <w:t>设备公用耗量：投标方在投标文件中列出设备功率、压缩空气、用水耗量等明细表。</w:t>
      </w:r>
    </w:p>
    <w:p>
      <w:pPr>
        <w:spacing w:line="420" w:lineRule="atLeast"/>
        <w:ind w:firstLine="480" w:firstLineChars="200"/>
        <w:jc w:val="left"/>
        <w:rPr>
          <w:rFonts w:ascii="宋体" w:hAnsi="宋体"/>
          <w:bCs/>
          <w:sz w:val="24"/>
          <w:szCs w:val="24"/>
        </w:rPr>
      </w:pPr>
      <w:r>
        <w:rPr>
          <w:rFonts w:hint="eastAsia" w:ascii="宋体" w:hAnsi="宋体"/>
          <w:bCs/>
          <w:sz w:val="24"/>
          <w:szCs w:val="24"/>
        </w:rPr>
        <w:t>设备在设计上必须保证在使用地的环境条件下不会对其功能、测量的稳定性及使用寿命产生不良影响，包括液压、气动、电气控制部分、测试仪表及设备表面油漆等。</w:t>
      </w:r>
    </w:p>
    <w:p>
      <w:pPr>
        <w:spacing w:line="360" w:lineRule="auto"/>
        <w:rPr>
          <w:rFonts w:ascii="宋体" w:hAnsi="宋体"/>
          <w:b/>
          <w:bCs/>
          <w:color w:val="000000" w:themeColor="text1"/>
          <w:sz w:val="24"/>
          <w:szCs w:val="24"/>
          <w14:textFill>
            <w14:solidFill>
              <w14:schemeClr w14:val="tx1"/>
            </w14:solidFill>
          </w14:textFill>
        </w:rPr>
      </w:pPr>
      <w:bookmarkStart w:id="78" w:name="_Toc536025055"/>
      <w:bookmarkStart w:id="79" w:name="_Toc19318"/>
      <w:bookmarkStart w:id="80" w:name="_Toc71894042"/>
      <w:r>
        <w:rPr>
          <w:rFonts w:ascii="宋体" w:hAnsi="宋体"/>
          <w:b/>
          <w:bCs/>
          <w:color w:val="000000" w:themeColor="text1"/>
          <w:sz w:val="24"/>
          <w:szCs w:val="24"/>
          <w14:textFill>
            <w14:solidFill>
              <w14:schemeClr w14:val="tx1"/>
            </w14:solidFill>
          </w14:textFill>
        </w:rPr>
        <w:t xml:space="preserve">2 </w:t>
      </w:r>
      <w:r>
        <w:rPr>
          <w:rFonts w:hint="eastAsia" w:ascii="宋体" w:hAnsi="宋体"/>
          <w:b/>
          <w:bCs/>
          <w:color w:val="000000" w:themeColor="text1"/>
          <w:sz w:val="24"/>
          <w:szCs w:val="24"/>
          <w14:textFill>
            <w14:solidFill>
              <w14:schemeClr w14:val="tx1"/>
            </w14:solidFill>
          </w14:textFill>
        </w:rPr>
        <w:t>、通用</w:t>
      </w:r>
      <w:r>
        <w:rPr>
          <w:rFonts w:ascii="宋体" w:hAnsi="宋体"/>
          <w:b/>
          <w:bCs/>
          <w:color w:val="000000" w:themeColor="text1"/>
          <w:sz w:val="24"/>
          <w:szCs w:val="24"/>
          <w14:textFill>
            <w14:solidFill>
              <w14:schemeClr w14:val="tx1"/>
            </w14:solidFill>
          </w14:textFill>
        </w:rPr>
        <w:t>技术要求</w:t>
      </w:r>
      <w:bookmarkEnd w:id="78"/>
      <w:bookmarkEnd w:id="79"/>
      <w:bookmarkEnd w:id="80"/>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2.1</w:t>
      </w:r>
      <w:r>
        <w:rPr>
          <w:rFonts w:hint="eastAsia" w:asciiTheme="minorEastAsia" w:hAnsiTheme="minorEastAsia" w:eastAsiaTheme="minorEastAsia"/>
          <w:sz w:val="24"/>
          <w:szCs w:val="24"/>
        </w:rPr>
        <w:t xml:space="preserve"> 设备</w:t>
      </w:r>
      <w:r>
        <w:rPr>
          <w:rFonts w:asciiTheme="minorEastAsia" w:hAnsiTheme="minorEastAsia" w:eastAsiaTheme="minorEastAsia"/>
          <w:sz w:val="24"/>
          <w:szCs w:val="24"/>
        </w:rPr>
        <w:t>技术要求</w:t>
      </w:r>
    </w:p>
    <w:p>
      <w:pPr>
        <w:autoSpaceDE w:val="0"/>
        <w:autoSpaceDN w:val="0"/>
        <w:adjustRightInd w:val="0"/>
        <w:spacing w:line="360" w:lineRule="auto"/>
        <w:ind w:firstLine="480" w:firstLineChars="200"/>
        <w:rPr>
          <w:rFonts w:asciiTheme="minorEastAsia" w:hAnsiTheme="minorEastAsia" w:eastAsiaTheme="minorEastAsia"/>
          <w:bCs/>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）适用</w:t>
      </w:r>
      <w:r>
        <w:rPr>
          <w:rFonts w:asciiTheme="minorEastAsia" w:hAnsiTheme="minorEastAsia" w:eastAsiaTheme="minorEastAsia"/>
          <w:sz w:val="24"/>
          <w:szCs w:val="24"/>
        </w:rPr>
        <w:t>车型</w:t>
      </w:r>
      <w:r>
        <w:rPr>
          <w:rFonts w:hint="eastAsia" w:asciiTheme="minorEastAsia" w:hAnsiTheme="minorEastAsia" w:eastAsiaTheme="minorEastAsia"/>
          <w:sz w:val="24"/>
          <w:szCs w:val="24"/>
        </w:rPr>
        <w:t>：</w:t>
      </w:r>
      <w:r>
        <w:rPr>
          <w:rFonts w:hint="eastAsia" w:ascii="宋体" w:hAnsi="宋体"/>
          <w:bCs/>
          <w:sz w:val="24"/>
        </w:rPr>
        <w:t>纯电动皮卡</w:t>
      </w:r>
      <w:r>
        <w:rPr>
          <w:rFonts w:asciiTheme="minorEastAsia" w:hAnsiTheme="minorEastAsia" w:eastAsiaTheme="minorEastAsia"/>
          <w:bCs/>
          <w:sz w:val="24"/>
          <w:szCs w:val="24"/>
        </w:rPr>
        <w:t>车型</w:t>
      </w:r>
      <w:r>
        <w:rPr>
          <w:rFonts w:hint="eastAsia" w:asciiTheme="minorEastAsia" w:hAnsiTheme="minorEastAsia" w:eastAsiaTheme="minorEastAsia"/>
          <w:bCs/>
          <w:sz w:val="24"/>
          <w:szCs w:val="24"/>
        </w:rPr>
        <w:t>；</w:t>
      </w:r>
      <w:r>
        <w:rPr>
          <w:rFonts w:asciiTheme="minorEastAsia" w:hAnsiTheme="minorEastAsia" w:eastAsiaTheme="minorEastAsia"/>
          <w:bCs/>
          <w:sz w:val="24"/>
          <w:szCs w:val="24"/>
        </w:rPr>
        <w:t>本协议所含设备均</w:t>
      </w:r>
      <w:r>
        <w:rPr>
          <w:rFonts w:hint="eastAsia" w:asciiTheme="minorEastAsia" w:hAnsiTheme="minorEastAsia" w:eastAsiaTheme="minorEastAsia"/>
          <w:bCs/>
          <w:sz w:val="24"/>
          <w:szCs w:val="24"/>
        </w:rPr>
        <w:t>需</w:t>
      </w:r>
      <w:r>
        <w:rPr>
          <w:rFonts w:asciiTheme="minorEastAsia" w:hAnsiTheme="minorEastAsia" w:eastAsiaTheme="minorEastAsia"/>
          <w:bCs/>
          <w:sz w:val="24"/>
          <w:szCs w:val="24"/>
        </w:rPr>
        <w:t>满足以上车型要求</w:t>
      </w:r>
      <w:r>
        <w:rPr>
          <w:rFonts w:hint="eastAsia" w:asciiTheme="minorEastAsia" w:hAnsiTheme="minorEastAsia" w:eastAsiaTheme="minorEastAsia"/>
          <w:bCs/>
          <w:sz w:val="24"/>
          <w:szCs w:val="24"/>
        </w:rPr>
        <w:t>。</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）具备与</w:t>
      </w:r>
      <w:r>
        <w:rPr>
          <w:rFonts w:asciiTheme="minorEastAsia" w:hAnsiTheme="minorEastAsia" w:eastAsiaTheme="minorEastAsia"/>
          <w:sz w:val="24"/>
          <w:szCs w:val="24"/>
        </w:rPr>
        <w:t>MES交互</w:t>
      </w:r>
      <w:r>
        <w:rPr>
          <w:rFonts w:hint="eastAsia" w:asciiTheme="minorEastAsia" w:hAnsiTheme="minorEastAsia" w:eastAsiaTheme="minorEastAsia"/>
          <w:sz w:val="24"/>
          <w:szCs w:val="24"/>
        </w:rPr>
        <w:t>功能</w:t>
      </w:r>
      <w:r>
        <w:rPr>
          <w:rFonts w:asciiTheme="minorEastAsia" w:hAnsiTheme="minorEastAsia" w:eastAsiaTheme="minorEastAsia"/>
          <w:sz w:val="24"/>
          <w:szCs w:val="24"/>
        </w:rPr>
        <w:t>，</w:t>
      </w:r>
      <w:r>
        <w:rPr>
          <w:rFonts w:hint="eastAsia" w:asciiTheme="minorEastAsia" w:hAnsiTheme="minorEastAsia" w:eastAsiaTheme="minorEastAsia"/>
          <w:sz w:val="24"/>
          <w:szCs w:val="24"/>
        </w:rPr>
        <w:t>可以通过agv（优先级）/扫码枪联通M</w:t>
      </w:r>
      <w:r>
        <w:rPr>
          <w:rFonts w:asciiTheme="minorEastAsia" w:hAnsiTheme="minorEastAsia" w:eastAsiaTheme="minorEastAsia"/>
          <w:sz w:val="24"/>
          <w:szCs w:val="24"/>
        </w:rPr>
        <w:t>ES获取车辆配置信息</w:t>
      </w:r>
      <w:r>
        <w:rPr>
          <w:rFonts w:hint="eastAsia" w:asciiTheme="minorEastAsia" w:hAnsiTheme="minorEastAsia" w:eastAsiaTheme="minorEastAsia"/>
          <w:sz w:val="24"/>
          <w:szCs w:val="24"/>
        </w:rPr>
        <w:t>以及VIN码、整车编号</w:t>
      </w:r>
      <w:r>
        <w:rPr>
          <w:rFonts w:asciiTheme="minorEastAsia" w:hAnsiTheme="minorEastAsia" w:eastAsiaTheme="minorEastAsia"/>
          <w:sz w:val="24"/>
          <w:szCs w:val="24"/>
        </w:rPr>
        <w:t>信息，</w:t>
      </w:r>
      <w:r>
        <w:rPr>
          <w:rFonts w:hint="eastAsia" w:asciiTheme="minorEastAsia" w:hAnsiTheme="minorEastAsia" w:eastAsiaTheme="minorEastAsia"/>
          <w:sz w:val="24"/>
          <w:szCs w:val="24"/>
        </w:rPr>
        <w:t>测试完成后在本地数据库自动存储被测车辆的全部检测数据、</w:t>
      </w:r>
      <w:r>
        <w:rPr>
          <w:rFonts w:asciiTheme="minorEastAsia" w:hAnsiTheme="minorEastAsia" w:eastAsiaTheme="minorEastAsia"/>
          <w:sz w:val="24"/>
          <w:szCs w:val="24"/>
        </w:rPr>
        <w:t>可</w:t>
      </w:r>
      <w:r>
        <w:rPr>
          <w:rFonts w:hint="eastAsia" w:asciiTheme="minorEastAsia" w:hAnsiTheme="minorEastAsia" w:eastAsiaTheme="minorEastAsia"/>
          <w:sz w:val="24"/>
          <w:szCs w:val="24"/>
        </w:rPr>
        <w:t>用</w:t>
      </w:r>
      <w:r>
        <w:rPr>
          <w:rFonts w:asciiTheme="minorEastAsia" w:hAnsiTheme="minorEastAsia" w:eastAsiaTheme="minorEastAsia"/>
          <w:sz w:val="24"/>
          <w:szCs w:val="24"/>
        </w:rPr>
        <w:t>EXCEL</w:t>
      </w:r>
      <w:r>
        <w:rPr>
          <w:rFonts w:hint="eastAsia" w:asciiTheme="minorEastAsia" w:hAnsiTheme="minorEastAsia" w:eastAsiaTheme="minorEastAsia"/>
          <w:sz w:val="24"/>
          <w:szCs w:val="24"/>
        </w:rPr>
        <w:t>表格</w:t>
      </w:r>
      <w:r>
        <w:rPr>
          <w:rFonts w:asciiTheme="minorEastAsia" w:hAnsiTheme="minorEastAsia" w:eastAsiaTheme="minorEastAsia"/>
          <w:sz w:val="24"/>
          <w:szCs w:val="24"/>
        </w:rPr>
        <w:t>形式导出</w:t>
      </w:r>
      <w:r>
        <w:rPr>
          <w:rFonts w:hint="eastAsia" w:asciiTheme="minorEastAsia" w:hAnsiTheme="minorEastAsia" w:eastAsiaTheme="minorEastAsia"/>
          <w:sz w:val="24"/>
          <w:szCs w:val="24"/>
        </w:rPr>
        <w:t>，</w:t>
      </w:r>
      <w:r>
        <w:rPr>
          <w:rFonts w:asciiTheme="minorEastAsia" w:hAnsiTheme="minorEastAsia" w:eastAsiaTheme="minorEastAsia"/>
          <w:sz w:val="24"/>
          <w:szCs w:val="24"/>
        </w:rPr>
        <w:t>应具备主动向MES系统上传指定格式的信息的功能</w:t>
      </w:r>
      <w:r>
        <w:rPr>
          <w:rFonts w:hint="eastAsia" w:asciiTheme="minorEastAsia" w:hAnsiTheme="minorEastAsia" w:eastAsiaTheme="minorEastAsia"/>
          <w:sz w:val="24"/>
          <w:szCs w:val="24"/>
        </w:rPr>
        <w:t>。</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.2</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控制柜技术要求</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）控制柜柜体使用标准柜体，详细参数如下：</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a </w:t>
      </w:r>
      <w:r>
        <w:rPr>
          <w:rFonts w:hint="eastAsia" w:asciiTheme="minorEastAsia" w:hAnsiTheme="minorEastAsia" w:eastAsiaTheme="minorEastAsia"/>
          <w:sz w:val="24"/>
          <w:szCs w:val="24"/>
        </w:rPr>
        <w:t>设备需在控制柜上应有设备铭牌，标明如设备名称、制造单位、使用单位、出厂时间、规格型号、电气容量等技术参数；</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b </w:t>
      </w:r>
      <w:r>
        <w:rPr>
          <w:rFonts w:hint="eastAsia" w:asciiTheme="minorEastAsia" w:hAnsiTheme="minorEastAsia" w:eastAsiaTheme="minorEastAsia"/>
          <w:sz w:val="24"/>
          <w:szCs w:val="24"/>
        </w:rPr>
        <w:t>控制柜配以散热风扇</w:t>
      </w:r>
      <w:r>
        <w:rPr>
          <w:rFonts w:hint="eastAsia" w:asciiTheme="minorEastAsia" w:hAnsiTheme="minorEastAsia" w:eastAsiaTheme="minorEastAsia"/>
          <w:color w:val="000000" w:themeColor="text1"/>
          <w:sz w:val="24"/>
          <w:szCs w:val="24"/>
          <w14:textFill>
            <w14:solidFill>
              <w14:schemeClr w14:val="tx1"/>
            </w14:solidFill>
          </w14:textFill>
        </w:rPr>
        <w:t>；</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c </w:t>
      </w:r>
      <w:r>
        <w:rPr>
          <w:rFonts w:hint="eastAsia" w:asciiTheme="minorEastAsia" w:hAnsiTheme="minorEastAsia" w:eastAsiaTheme="minorEastAsia"/>
          <w:sz w:val="24"/>
          <w:szCs w:val="24"/>
        </w:rPr>
        <w:t>控制柜任何</w:t>
      </w:r>
      <w:r>
        <w:rPr>
          <w:rFonts w:asciiTheme="minorEastAsia" w:hAnsiTheme="minorEastAsia" w:eastAsiaTheme="minorEastAsia"/>
          <w:sz w:val="24"/>
          <w:szCs w:val="24"/>
        </w:rPr>
        <w:t>高于</w:t>
      </w:r>
      <w:r>
        <w:rPr>
          <w:rFonts w:hint="eastAsia" w:asciiTheme="minorEastAsia" w:hAnsiTheme="minorEastAsia" w:eastAsiaTheme="minorEastAsia"/>
          <w:sz w:val="24"/>
          <w:szCs w:val="24"/>
        </w:rPr>
        <w:t>220V的地方具有高压</w:t>
      </w:r>
      <w:r>
        <w:rPr>
          <w:rFonts w:asciiTheme="minorEastAsia" w:hAnsiTheme="minorEastAsia" w:eastAsiaTheme="minorEastAsia"/>
          <w:sz w:val="24"/>
          <w:szCs w:val="24"/>
        </w:rPr>
        <w:t>安全标示</w:t>
      </w:r>
      <w:r>
        <w:rPr>
          <w:rFonts w:hint="eastAsia" w:asciiTheme="minorEastAsia" w:hAnsiTheme="minorEastAsia" w:eastAsiaTheme="minorEastAsia"/>
          <w:sz w:val="24"/>
          <w:szCs w:val="24"/>
        </w:rPr>
        <w:t>；</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d </w:t>
      </w:r>
      <w:r>
        <w:rPr>
          <w:rFonts w:hint="eastAsia" w:asciiTheme="minorEastAsia" w:hAnsiTheme="minorEastAsia" w:eastAsiaTheme="minorEastAsia"/>
          <w:sz w:val="24"/>
          <w:szCs w:val="24"/>
        </w:rPr>
        <w:t>控制柜内设置</w:t>
      </w:r>
      <w:r>
        <w:rPr>
          <w:rFonts w:asciiTheme="minorEastAsia" w:hAnsiTheme="minorEastAsia" w:eastAsiaTheme="minorEastAsia"/>
          <w:sz w:val="24"/>
          <w:szCs w:val="24"/>
        </w:rPr>
        <w:t>AC 220V</w:t>
      </w:r>
      <w:r>
        <w:rPr>
          <w:rFonts w:hint="eastAsia" w:asciiTheme="minorEastAsia" w:hAnsiTheme="minorEastAsia" w:eastAsiaTheme="minorEastAsia"/>
          <w:sz w:val="24"/>
          <w:szCs w:val="24"/>
        </w:rPr>
        <w:t>照明灯，灯管尺寸符合中国国内标准，柜门打开时，自动点亮，关门时自动熄灭；</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e </w:t>
      </w:r>
      <w:r>
        <w:rPr>
          <w:rFonts w:hint="eastAsia" w:asciiTheme="minorEastAsia" w:hAnsiTheme="minorEastAsia" w:eastAsiaTheme="minorEastAsia"/>
          <w:sz w:val="24"/>
          <w:szCs w:val="24"/>
        </w:rPr>
        <w:t>门内侧装有金属盒用来保存设备文件；</w:t>
      </w:r>
    </w:p>
    <w:p>
      <w:pPr>
        <w:autoSpaceDE w:val="0"/>
        <w:autoSpaceDN w:val="0"/>
        <w:adjustRightInd w:val="0"/>
        <w:spacing w:line="360" w:lineRule="auto"/>
        <w:ind w:firstLine="480" w:firstLineChars="200"/>
        <w:rPr>
          <w:rFonts w:ascii="宋体" w:hAnsi="宋体"/>
          <w:bCs/>
          <w:sz w:val="24"/>
        </w:rPr>
      </w:pPr>
      <w:r>
        <w:rPr>
          <w:rFonts w:asciiTheme="minorEastAsia" w:hAnsiTheme="minorEastAsia" w:eastAsiaTheme="minorEastAsia"/>
          <w:sz w:val="24"/>
          <w:szCs w:val="24"/>
        </w:rPr>
        <w:t xml:space="preserve">f </w:t>
      </w:r>
      <w:r>
        <w:rPr>
          <w:rFonts w:hint="eastAsia" w:asciiTheme="minorEastAsia" w:hAnsiTheme="minorEastAsia" w:eastAsiaTheme="minorEastAsia"/>
          <w:sz w:val="24"/>
          <w:szCs w:val="24"/>
        </w:rPr>
        <w:t>控制柜内的各个元件(含维修电源</w:t>
      </w:r>
      <w:r>
        <w:rPr>
          <w:rFonts w:asciiTheme="minorEastAsia" w:hAnsiTheme="minorEastAsia" w:eastAsiaTheme="minorEastAsia"/>
          <w:sz w:val="24"/>
          <w:szCs w:val="24"/>
        </w:rPr>
        <w:t>插座</w:t>
      </w:r>
      <w:r>
        <w:rPr>
          <w:rFonts w:hint="eastAsia" w:asciiTheme="minorEastAsia" w:hAnsiTheme="minorEastAsia" w:eastAsiaTheme="minorEastAsia"/>
          <w:sz w:val="24"/>
          <w:szCs w:val="24"/>
        </w:rPr>
        <w:t>)、导线两端压冷压端子等应有永久性标牌，电气配线应有标号，并与图纸一致，标号要求为打印方式，长期使用不脱色，并能防水、防油，且布置整齐，固定良好；</w:t>
      </w:r>
      <w:r>
        <w:rPr>
          <w:rFonts w:ascii="宋体" w:hAnsi="宋体"/>
          <w:bCs/>
          <w:sz w:val="24"/>
        </w:rPr>
        <w:t>电器元器件采用</w:t>
      </w:r>
      <w:r>
        <w:rPr>
          <w:rFonts w:hint="eastAsia" w:ascii="宋体" w:hAnsi="宋体"/>
          <w:bCs/>
          <w:sz w:val="24"/>
        </w:rPr>
        <w:t>经双方评审后认可的</w:t>
      </w:r>
      <w:r>
        <w:rPr>
          <w:rFonts w:ascii="宋体" w:hAnsi="宋体"/>
          <w:bCs/>
          <w:sz w:val="24"/>
        </w:rPr>
        <w:t>品牌</w:t>
      </w:r>
      <w:r>
        <w:rPr>
          <w:rFonts w:hint="eastAsia" w:ascii="宋体" w:hAnsi="宋体"/>
          <w:bCs/>
          <w:sz w:val="24"/>
        </w:rPr>
        <w:t>。</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hint="eastAsia" w:ascii="宋体" w:hAnsi="宋体"/>
          <w:bCs/>
          <w:sz w:val="24"/>
        </w:rPr>
        <w:t>g</w:t>
      </w:r>
      <w:r>
        <w:rPr>
          <w:rFonts w:ascii="宋体" w:hAnsi="宋体"/>
          <w:bCs/>
          <w:sz w:val="24"/>
        </w:rPr>
        <w:t xml:space="preserve"> </w:t>
      </w:r>
      <w:r>
        <w:rPr>
          <w:rFonts w:hint="eastAsia" w:ascii="宋体" w:hAnsi="宋体"/>
          <w:bCs/>
          <w:sz w:val="24"/>
        </w:rPr>
        <w:t>设备颜色按照</w:t>
      </w:r>
      <w:r>
        <w:rPr>
          <w:rFonts w:ascii="宋体" w:hAnsi="宋体"/>
          <w:bCs/>
          <w:sz w:val="24"/>
        </w:rPr>
        <w:t>GB/T 1.1-2009</w:t>
      </w:r>
      <w:r>
        <w:rPr>
          <w:rFonts w:hint="eastAsia" w:ascii="宋体" w:hAnsi="宋体"/>
          <w:bCs/>
          <w:sz w:val="24"/>
        </w:rPr>
        <w:t>标准执行。</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2.3 </w:t>
      </w:r>
      <w:r>
        <w:rPr>
          <w:rFonts w:hint="eastAsia" w:asciiTheme="minorEastAsia" w:hAnsiTheme="minorEastAsia" w:eastAsiaTheme="minorEastAsia"/>
          <w:sz w:val="24"/>
          <w:szCs w:val="24"/>
        </w:rPr>
        <w:t>其他技术要求</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1) </w:t>
      </w:r>
      <w:r>
        <w:rPr>
          <w:rFonts w:hint="eastAsia" w:asciiTheme="minorEastAsia" w:hAnsiTheme="minorEastAsia" w:eastAsiaTheme="minorEastAsia"/>
          <w:sz w:val="24"/>
          <w:szCs w:val="24"/>
        </w:rPr>
        <w:t>控制柜配备工业控制计算机，</w:t>
      </w:r>
      <w:r>
        <w:rPr>
          <w:rFonts w:hint="eastAsia" w:ascii="宋体" w:hAnsi="宋体"/>
          <w:bCs/>
          <w:sz w:val="24"/>
        </w:rPr>
        <w:t>计算机采用双方评审后认可品牌</w:t>
      </w:r>
      <w:r>
        <w:rPr>
          <w:rFonts w:hint="eastAsia" w:asciiTheme="minorEastAsia" w:hAnsiTheme="minorEastAsia" w:eastAsiaTheme="minorEastAsia"/>
          <w:sz w:val="24"/>
          <w:szCs w:val="24"/>
        </w:rPr>
        <w:t>，配置参数如下：</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a </w:t>
      </w:r>
      <w:r>
        <w:rPr>
          <w:rFonts w:hint="eastAsia" w:asciiTheme="minorEastAsia" w:hAnsiTheme="minorEastAsia" w:eastAsiaTheme="minorEastAsia"/>
          <w:sz w:val="24"/>
          <w:szCs w:val="24"/>
        </w:rPr>
        <w:t>I</w:t>
      </w:r>
      <w:r>
        <w:rPr>
          <w:rFonts w:asciiTheme="minorEastAsia" w:hAnsiTheme="minorEastAsia" w:eastAsiaTheme="minorEastAsia"/>
          <w:sz w:val="24"/>
          <w:szCs w:val="24"/>
        </w:rPr>
        <w:t>5</w:t>
      </w:r>
      <w:r>
        <w:rPr>
          <w:rFonts w:hint="eastAsia" w:asciiTheme="minorEastAsia" w:hAnsiTheme="minorEastAsia" w:eastAsiaTheme="minorEastAsia"/>
          <w:sz w:val="24"/>
          <w:szCs w:val="24"/>
        </w:rPr>
        <w:t>以上处理器，内存8G，硬盘1T，拉开式键盘和鼠标， USB</w:t>
      </w:r>
      <w:r>
        <w:rPr>
          <w:rFonts w:asciiTheme="minorEastAsia" w:hAnsiTheme="minorEastAsia" w:eastAsiaTheme="minorEastAsia"/>
          <w:sz w:val="24"/>
          <w:szCs w:val="24"/>
        </w:rPr>
        <w:t>3.0</w:t>
      </w:r>
      <w:r>
        <w:rPr>
          <w:rFonts w:hint="eastAsia" w:asciiTheme="minorEastAsia" w:hAnsiTheme="minorEastAsia" w:eastAsiaTheme="minorEastAsia"/>
          <w:sz w:val="24"/>
          <w:szCs w:val="24"/>
        </w:rPr>
        <w:t xml:space="preserve">接口，Windows </w:t>
      </w:r>
      <w:r>
        <w:rPr>
          <w:rFonts w:asciiTheme="minorEastAsia" w:hAnsiTheme="minorEastAsia" w:eastAsiaTheme="minorEastAsia"/>
          <w:sz w:val="24"/>
          <w:szCs w:val="24"/>
        </w:rPr>
        <w:t>10</w:t>
      </w:r>
      <w:r>
        <w:rPr>
          <w:rFonts w:hint="eastAsia" w:asciiTheme="minorEastAsia" w:hAnsiTheme="minorEastAsia" w:eastAsiaTheme="minorEastAsia"/>
          <w:sz w:val="24"/>
          <w:szCs w:val="24"/>
        </w:rPr>
        <w:t>以上操作系统；</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b </w:t>
      </w:r>
      <w:r>
        <w:rPr>
          <w:rFonts w:hint="eastAsia" w:asciiTheme="minorEastAsia" w:hAnsiTheme="minorEastAsia" w:eastAsiaTheme="minorEastAsia"/>
          <w:sz w:val="24"/>
          <w:szCs w:val="24"/>
        </w:rPr>
        <w:t>设备数据库，可储存不小于</w:t>
      </w:r>
      <w:r>
        <w:rPr>
          <w:rFonts w:asciiTheme="minorEastAsia" w:hAnsiTheme="minorEastAsia" w:eastAsiaTheme="minorEastAsia"/>
          <w:sz w:val="24"/>
          <w:szCs w:val="24"/>
        </w:rPr>
        <w:t>1</w:t>
      </w:r>
      <w:r>
        <w:rPr>
          <w:rFonts w:hint="eastAsia" w:asciiTheme="minorEastAsia" w:hAnsiTheme="minorEastAsia" w:eastAsiaTheme="minorEastAsia"/>
          <w:sz w:val="24"/>
          <w:szCs w:val="24"/>
        </w:rPr>
        <w:t>0</w:t>
      </w:r>
      <w:r>
        <w:rPr>
          <w:rFonts w:asciiTheme="minorEastAsia" w:hAnsiTheme="minorEastAsia" w:eastAsiaTheme="minorEastAsia"/>
          <w:sz w:val="24"/>
          <w:szCs w:val="24"/>
        </w:rPr>
        <w:t>0</w:t>
      </w:r>
      <w:r>
        <w:rPr>
          <w:rFonts w:hint="eastAsia" w:asciiTheme="minorEastAsia" w:hAnsiTheme="minorEastAsia" w:eastAsiaTheme="minorEastAsia"/>
          <w:sz w:val="24"/>
          <w:szCs w:val="24"/>
        </w:rPr>
        <w:t xml:space="preserve">万辆车的测试结果数据； </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c </w:t>
      </w:r>
      <w:r>
        <w:rPr>
          <w:rFonts w:hint="eastAsia" w:asciiTheme="minorEastAsia" w:hAnsiTheme="minorEastAsia" w:eastAsiaTheme="minorEastAsia"/>
          <w:sz w:val="24"/>
          <w:szCs w:val="24"/>
        </w:rPr>
        <w:t>工控机应</w:t>
      </w:r>
      <w:r>
        <w:rPr>
          <w:rFonts w:asciiTheme="minorEastAsia" w:hAnsiTheme="minorEastAsia" w:eastAsiaTheme="minorEastAsia"/>
          <w:sz w:val="24"/>
          <w:szCs w:val="24"/>
        </w:rPr>
        <w:t>具备</w:t>
      </w:r>
      <w:r>
        <w:rPr>
          <w:rFonts w:hint="eastAsia" w:asciiTheme="minorEastAsia" w:hAnsiTheme="minorEastAsia" w:eastAsiaTheme="minorEastAsia"/>
          <w:sz w:val="24"/>
          <w:szCs w:val="24"/>
        </w:rPr>
        <w:t>独立以太网接口，可与</w:t>
      </w:r>
      <w:r>
        <w:rPr>
          <w:rFonts w:asciiTheme="minorEastAsia" w:hAnsiTheme="minorEastAsia" w:eastAsiaTheme="minorEastAsia"/>
          <w:sz w:val="24"/>
          <w:szCs w:val="24"/>
        </w:rPr>
        <w:t>MES</w:t>
      </w:r>
      <w:r>
        <w:rPr>
          <w:rFonts w:hint="eastAsia" w:asciiTheme="minorEastAsia" w:hAnsiTheme="minorEastAsia" w:eastAsiaTheme="minorEastAsia"/>
          <w:sz w:val="24"/>
          <w:szCs w:val="24"/>
        </w:rPr>
        <w:t>系统进行</w:t>
      </w:r>
      <w:r>
        <w:rPr>
          <w:rFonts w:asciiTheme="minorEastAsia" w:hAnsiTheme="minorEastAsia" w:eastAsiaTheme="minorEastAsia"/>
          <w:sz w:val="24"/>
          <w:szCs w:val="24"/>
        </w:rPr>
        <w:t>交互</w:t>
      </w:r>
      <w:r>
        <w:rPr>
          <w:rFonts w:hint="eastAsia" w:asciiTheme="minorEastAsia" w:hAnsiTheme="minorEastAsia" w:eastAsiaTheme="minorEastAsia"/>
          <w:sz w:val="24"/>
          <w:szCs w:val="24"/>
        </w:rPr>
        <w:t>，并免费提供该设备联网所需的数据、资料、通讯协议、IP地址等；</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d </w:t>
      </w:r>
      <w:r>
        <w:rPr>
          <w:rFonts w:hint="eastAsia" w:asciiTheme="minorEastAsia" w:hAnsiTheme="minorEastAsia" w:eastAsiaTheme="minorEastAsia"/>
          <w:sz w:val="24"/>
          <w:szCs w:val="24"/>
        </w:rPr>
        <w:t>工业控制计算机需具备设置管理密码功能供招标方管理使用，投标方不得设置任何层级的密码；</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 xml:space="preserve"> 控制柜配备</w:t>
      </w:r>
      <w:r>
        <w:rPr>
          <w:rFonts w:asciiTheme="minorEastAsia" w:hAnsiTheme="minorEastAsia" w:eastAsiaTheme="minorEastAsia"/>
          <w:sz w:val="24"/>
          <w:szCs w:val="24"/>
        </w:rPr>
        <w:t>无线</w:t>
      </w:r>
      <w:r>
        <w:rPr>
          <w:rFonts w:hint="eastAsia" w:asciiTheme="minorEastAsia" w:hAnsiTheme="minorEastAsia" w:eastAsiaTheme="minorEastAsia"/>
          <w:sz w:val="24"/>
          <w:szCs w:val="24"/>
        </w:rPr>
        <w:t>条码扫描枪，在检测工位扫描随车</w:t>
      </w:r>
      <w:r>
        <w:rPr>
          <w:rFonts w:asciiTheme="minorEastAsia" w:hAnsiTheme="minorEastAsia" w:eastAsiaTheme="minorEastAsia"/>
          <w:sz w:val="24"/>
          <w:szCs w:val="24"/>
        </w:rPr>
        <w:t>配置单上条码</w:t>
      </w:r>
      <w:r>
        <w:rPr>
          <w:rFonts w:hint="eastAsia" w:asciiTheme="minorEastAsia" w:hAnsiTheme="minorEastAsia" w:eastAsiaTheme="minorEastAsia"/>
          <w:sz w:val="24"/>
          <w:szCs w:val="24"/>
        </w:rPr>
        <w:t>（一</w:t>
      </w:r>
      <w:r>
        <w:rPr>
          <w:rFonts w:asciiTheme="minorEastAsia" w:hAnsiTheme="minorEastAsia" w:eastAsiaTheme="minorEastAsia"/>
          <w:sz w:val="24"/>
          <w:szCs w:val="24"/>
        </w:rPr>
        <w:t>/</w:t>
      </w:r>
      <w:r>
        <w:rPr>
          <w:rFonts w:hint="eastAsia" w:asciiTheme="minorEastAsia" w:hAnsiTheme="minorEastAsia" w:eastAsiaTheme="minorEastAsia"/>
          <w:sz w:val="24"/>
          <w:szCs w:val="24"/>
        </w:rPr>
        <w:t>二维码），</w:t>
      </w:r>
      <w:r>
        <w:rPr>
          <w:rFonts w:asciiTheme="minorEastAsia" w:hAnsiTheme="minorEastAsia" w:eastAsiaTheme="minorEastAsia"/>
          <w:sz w:val="24"/>
          <w:szCs w:val="24"/>
        </w:rPr>
        <w:t>获得</w:t>
      </w:r>
      <w:r>
        <w:rPr>
          <w:rFonts w:hint="eastAsia" w:asciiTheme="minorEastAsia" w:hAnsiTheme="minorEastAsia" w:eastAsiaTheme="minorEastAsia"/>
          <w:sz w:val="24"/>
          <w:szCs w:val="24"/>
        </w:rPr>
        <w:t>VIN码+车型编码信息，</w:t>
      </w:r>
      <w:r>
        <w:rPr>
          <w:rFonts w:asciiTheme="minorEastAsia" w:hAnsiTheme="minorEastAsia" w:eastAsiaTheme="minorEastAsia"/>
          <w:sz w:val="24"/>
          <w:szCs w:val="24"/>
        </w:rPr>
        <w:t>自动匹配车型</w:t>
      </w:r>
      <w:r>
        <w:rPr>
          <w:rFonts w:hint="eastAsia" w:asciiTheme="minorEastAsia" w:hAnsiTheme="minorEastAsia" w:eastAsiaTheme="minorEastAsia"/>
          <w:sz w:val="24"/>
          <w:szCs w:val="24"/>
        </w:rPr>
        <w:t>及检测</w:t>
      </w:r>
      <w:r>
        <w:rPr>
          <w:rFonts w:asciiTheme="minorEastAsia" w:hAnsiTheme="minorEastAsia" w:eastAsiaTheme="minorEastAsia"/>
          <w:sz w:val="24"/>
          <w:szCs w:val="24"/>
        </w:rPr>
        <w:t>配置</w:t>
      </w:r>
      <w:r>
        <w:rPr>
          <w:rFonts w:hint="eastAsia" w:asciiTheme="minorEastAsia" w:hAnsiTheme="minorEastAsia" w:eastAsiaTheme="minorEastAsia"/>
          <w:sz w:val="24"/>
          <w:szCs w:val="24"/>
        </w:rPr>
        <w:t>参数（保留</w:t>
      </w:r>
      <w:r>
        <w:rPr>
          <w:rFonts w:asciiTheme="minorEastAsia" w:hAnsiTheme="minorEastAsia" w:eastAsiaTheme="minorEastAsia"/>
          <w:sz w:val="24"/>
          <w:szCs w:val="24"/>
        </w:rPr>
        <w:t>手动识别车型功能</w:t>
      </w:r>
      <w:r>
        <w:rPr>
          <w:rFonts w:hint="eastAsia" w:asciiTheme="minorEastAsia" w:hAnsiTheme="minorEastAsia" w:eastAsiaTheme="minorEastAsia"/>
          <w:sz w:val="24"/>
          <w:szCs w:val="24"/>
        </w:rPr>
        <w:t>）</w:t>
      </w:r>
      <w:r>
        <w:rPr>
          <w:rFonts w:asciiTheme="minorEastAsia" w:hAnsiTheme="minorEastAsia" w:eastAsiaTheme="minorEastAsia"/>
          <w:sz w:val="24"/>
          <w:szCs w:val="24"/>
        </w:rPr>
        <w:t>。当</w:t>
      </w:r>
      <w:r>
        <w:rPr>
          <w:rFonts w:hint="eastAsia" w:asciiTheme="minorEastAsia" w:hAnsiTheme="minorEastAsia" w:eastAsiaTheme="minorEastAsia"/>
          <w:sz w:val="24"/>
          <w:szCs w:val="24"/>
        </w:rPr>
        <w:t>agv</w:t>
      </w:r>
      <w:r>
        <w:rPr>
          <w:rFonts w:asciiTheme="minorEastAsia" w:hAnsiTheme="minorEastAsia" w:eastAsiaTheme="minorEastAsia"/>
          <w:sz w:val="24"/>
          <w:szCs w:val="24"/>
        </w:rPr>
        <w:t>/条码扫描枪故障时，应能通过计算机键盘手动输入</w:t>
      </w:r>
      <w:r>
        <w:rPr>
          <w:rFonts w:hint="eastAsia" w:asciiTheme="minorEastAsia" w:hAnsiTheme="minorEastAsia" w:eastAsiaTheme="minorEastAsia"/>
          <w:sz w:val="24"/>
          <w:szCs w:val="24"/>
        </w:rPr>
        <w:t>VIN码+车型编码信息</w:t>
      </w:r>
      <w:r>
        <w:rPr>
          <w:rFonts w:asciiTheme="minorEastAsia" w:hAnsiTheme="minorEastAsia" w:eastAsiaTheme="minorEastAsia"/>
          <w:sz w:val="24"/>
          <w:szCs w:val="24"/>
        </w:rPr>
        <w:t>，并</w:t>
      </w:r>
      <w:r>
        <w:rPr>
          <w:rFonts w:hint="eastAsia" w:asciiTheme="minorEastAsia" w:hAnsiTheme="minorEastAsia" w:eastAsiaTheme="minorEastAsia"/>
          <w:sz w:val="24"/>
          <w:szCs w:val="24"/>
        </w:rPr>
        <w:t>可</w:t>
      </w:r>
      <w:r>
        <w:rPr>
          <w:rFonts w:asciiTheme="minorEastAsia" w:hAnsiTheme="minorEastAsia" w:eastAsiaTheme="minorEastAsia"/>
          <w:sz w:val="24"/>
          <w:szCs w:val="24"/>
        </w:rPr>
        <w:t>显示输入</w:t>
      </w:r>
      <w:r>
        <w:rPr>
          <w:rFonts w:hint="eastAsia" w:asciiTheme="minorEastAsia" w:hAnsiTheme="minorEastAsia" w:eastAsiaTheme="minorEastAsia"/>
          <w:sz w:val="24"/>
          <w:szCs w:val="24"/>
        </w:rPr>
        <w:t>VIN码+车型编码信息</w:t>
      </w:r>
      <w:r>
        <w:rPr>
          <w:rFonts w:asciiTheme="minorEastAsia" w:hAnsiTheme="minorEastAsia" w:eastAsiaTheme="minorEastAsia"/>
          <w:sz w:val="24"/>
          <w:szCs w:val="24"/>
        </w:rPr>
        <w:t>以便操作者</w:t>
      </w:r>
      <w:r>
        <w:rPr>
          <w:rFonts w:hint="eastAsia" w:asciiTheme="minorEastAsia" w:hAnsiTheme="minorEastAsia" w:eastAsiaTheme="minorEastAsia"/>
          <w:sz w:val="24"/>
          <w:szCs w:val="24"/>
        </w:rPr>
        <w:t>进行核对；</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3) </w:t>
      </w:r>
      <w:r>
        <w:rPr>
          <w:rFonts w:hint="eastAsia" w:asciiTheme="minorEastAsia" w:hAnsiTheme="minorEastAsia" w:eastAsiaTheme="minorEastAsia"/>
          <w:sz w:val="24"/>
          <w:szCs w:val="24"/>
        </w:rPr>
        <w:t>控制柜配备在线式</w:t>
      </w:r>
      <w:r>
        <w:rPr>
          <w:rFonts w:asciiTheme="minorEastAsia" w:hAnsiTheme="minorEastAsia" w:eastAsiaTheme="minorEastAsia"/>
          <w:sz w:val="24"/>
          <w:szCs w:val="24"/>
        </w:rPr>
        <w:t>1</w:t>
      </w:r>
      <w:r>
        <w:rPr>
          <w:rFonts w:hint="eastAsia" w:asciiTheme="minorEastAsia" w:hAnsiTheme="minorEastAsia" w:eastAsiaTheme="minorEastAsia"/>
          <w:sz w:val="24"/>
          <w:szCs w:val="24"/>
        </w:rPr>
        <w:t>KW以上的UPS电源，确保突然断电情况下控制系统保持</w:t>
      </w:r>
      <w:r>
        <w:rPr>
          <w:rFonts w:asciiTheme="minorEastAsia" w:hAnsiTheme="minorEastAsia" w:eastAsiaTheme="minorEastAsia"/>
          <w:sz w:val="24"/>
          <w:szCs w:val="24"/>
        </w:rPr>
        <w:t>15</w:t>
      </w:r>
      <w:r>
        <w:rPr>
          <w:rFonts w:hint="eastAsia" w:asciiTheme="minorEastAsia" w:hAnsiTheme="minorEastAsia" w:eastAsiaTheme="minorEastAsia"/>
          <w:sz w:val="24"/>
          <w:szCs w:val="24"/>
        </w:rPr>
        <w:t>分钟以上运转，设备断电10分钟后自动关机；</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 xml:space="preserve"> 控制柜配备标签</w:t>
      </w:r>
      <w:r>
        <w:rPr>
          <w:rFonts w:asciiTheme="minorEastAsia" w:hAnsiTheme="minorEastAsia" w:eastAsiaTheme="minorEastAsia"/>
          <w:sz w:val="24"/>
          <w:szCs w:val="24"/>
        </w:rPr>
        <w:t>打印机</w:t>
      </w:r>
      <w:r>
        <w:rPr>
          <w:rFonts w:hint="eastAsia" w:asciiTheme="minorEastAsia" w:hAnsiTheme="minorEastAsia" w:eastAsiaTheme="minorEastAsia"/>
          <w:sz w:val="24"/>
          <w:szCs w:val="24"/>
        </w:rPr>
        <w:t>，</w:t>
      </w:r>
      <w:r>
        <w:rPr>
          <w:rFonts w:asciiTheme="minorEastAsia" w:hAnsiTheme="minorEastAsia" w:eastAsiaTheme="minorEastAsia"/>
          <w:sz w:val="24"/>
          <w:szCs w:val="24"/>
        </w:rPr>
        <w:t>检测成功后</w:t>
      </w:r>
      <w:r>
        <w:rPr>
          <w:rFonts w:hint="eastAsia" w:asciiTheme="minorEastAsia" w:hAnsiTheme="minorEastAsia" w:eastAsiaTheme="minorEastAsia"/>
          <w:sz w:val="24"/>
          <w:szCs w:val="24"/>
        </w:rPr>
        <w:t>由</w:t>
      </w:r>
      <w:r>
        <w:rPr>
          <w:rFonts w:asciiTheme="minorEastAsia" w:hAnsiTheme="minorEastAsia" w:eastAsiaTheme="minorEastAsia"/>
          <w:sz w:val="24"/>
          <w:szCs w:val="24"/>
        </w:rPr>
        <w:t>打印机</w:t>
      </w:r>
      <w:r>
        <w:rPr>
          <w:rFonts w:hint="eastAsia" w:asciiTheme="minorEastAsia" w:hAnsiTheme="minorEastAsia" w:eastAsiaTheme="minorEastAsia"/>
          <w:sz w:val="24"/>
          <w:szCs w:val="24"/>
        </w:rPr>
        <w:t>打印</w:t>
      </w:r>
      <w:r>
        <w:rPr>
          <w:rFonts w:asciiTheme="minorEastAsia" w:hAnsiTheme="minorEastAsia" w:eastAsiaTheme="minorEastAsia"/>
          <w:sz w:val="24"/>
          <w:szCs w:val="24"/>
        </w:rPr>
        <w:t>标签</w:t>
      </w:r>
      <w:r>
        <w:rPr>
          <w:rFonts w:hint="eastAsia" w:asciiTheme="minorEastAsia" w:hAnsiTheme="minorEastAsia" w:eastAsiaTheme="minorEastAsia"/>
          <w:sz w:val="24"/>
          <w:szCs w:val="24"/>
        </w:rPr>
        <w:t>（打印</w:t>
      </w:r>
      <w:r>
        <w:rPr>
          <w:rFonts w:asciiTheme="minorEastAsia" w:hAnsiTheme="minorEastAsia" w:eastAsiaTheme="minorEastAsia"/>
          <w:sz w:val="24"/>
          <w:szCs w:val="24"/>
        </w:rPr>
        <w:t>格式以双方会签为准</w:t>
      </w:r>
      <w:r>
        <w:rPr>
          <w:rFonts w:hint="eastAsia" w:asciiTheme="minorEastAsia" w:hAnsiTheme="minorEastAsia" w:eastAsiaTheme="minorEastAsia"/>
          <w:sz w:val="24"/>
          <w:szCs w:val="24"/>
        </w:rPr>
        <w:t>），</w:t>
      </w:r>
      <w:r>
        <w:rPr>
          <w:rFonts w:asciiTheme="minorEastAsia" w:hAnsiTheme="minorEastAsia" w:eastAsiaTheme="minorEastAsia"/>
          <w:sz w:val="24"/>
          <w:szCs w:val="24"/>
        </w:rPr>
        <w:t>粘贴</w:t>
      </w:r>
      <w:r>
        <w:rPr>
          <w:rFonts w:hint="eastAsia" w:asciiTheme="minorEastAsia" w:hAnsiTheme="minorEastAsia" w:eastAsiaTheme="minorEastAsia"/>
          <w:sz w:val="24"/>
          <w:szCs w:val="24"/>
        </w:rPr>
        <w:t>随车</w:t>
      </w:r>
      <w:r>
        <w:rPr>
          <w:rFonts w:asciiTheme="minorEastAsia" w:hAnsiTheme="minorEastAsia" w:eastAsiaTheme="minorEastAsia"/>
          <w:sz w:val="24"/>
          <w:szCs w:val="24"/>
        </w:rPr>
        <w:t>检查卡上，检测结果是否打印是可选的</w:t>
      </w:r>
      <w:r>
        <w:rPr>
          <w:rFonts w:hint="eastAsia" w:asciiTheme="minorEastAsia" w:hAnsiTheme="minorEastAsia" w:eastAsiaTheme="minorEastAsia"/>
          <w:sz w:val="24"/>
          <w:szCs w:val="24"/>
        </w:rPr>
        <w:t>；打印</w:t>
      </w:r>
      <w:r>
        <w:rPr>
          <w:rFonts w:asciiTheme="minorEastAsia" w:hAnsiTheme="minorEastAsia" w:eastAsiaTheme="minorEastAsia"/>
          <w:sz w:val="24"/>
          <w:szCs w:val="24"/>
        </w:rPr>
        <w:t>内容默认为中文，检测项目根据车型提前设置好，项目以黑色字体显示</w:t>
      </w:r>
      <w:r>
        <w:rPr>
          <w:rFonts w:hint="eastAsia" w:asciiTheme="minorEastAsia" w:hAnsiTheme="minorEastAsia" w:eastAsiaTheme="minorEastAsia"/>
          <w:sz w:val="24"/>
          <w:szCs w:val="24"/>
        </w:rPr>
        <w:t>，</w:t>
      </w:r>
      <w:r>
        <w:rPr>
          <w:rFonts w:asciiTheme="minorEastAsia" w:hAnsiTheme="minorEastAsia" w:eastAsiaTheme="minorEastAsia"/>
          <w:sz w:val="24"/>
          <w:szCs w:val="24"/>
        </w:rPr>
        <w:t>同时在该条信息下方显示故障信息，内容包括：故障名称</w:t>
      </w:r>
      <w:r>
        <w:rPr>
          <w:rFonts w:hint="eastAsia" w:asciiTheme="minorEastAsia" w:hAnsiTheme="minorEastAsia" w:eastAsiaTheme="minorEastAsia"/>
          <w:sz w:val="24"/>
          <w:szCs w:val="24"/>
        </w:rPr>
        <w:t>、</w:t>
      </w:r>
      <w:r>
        <w:rPr>
          <w:rFonts w:asciiTheme="minorEastAsia" w:hAnsiTheme="minorEastAsia" w:eastAsiaTheme="minorEastAsia"/>
          <w:sz w:val="24"/>
          <w:szCs w:val="24"/>
        </w:rPr>
        <w:t>故障描述</w:t>
      </w:r>
      <w:r>
        <w:rPr>
          <w:rFonts w:hint="eastAsia" w:asciiTheme="minorEastAsia" w:hAnsiTheme="minorEastAsia" w:eastAsiaTheme="minorEastAsia"/>
          <w:sz w:val="24"/>
          <w:szCs w:val="24"/>
        </w:rPr>
        <w:t>。</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5</w:t>
      </w:r>
      <w:r>
        <w:rPr>
          <w:rFonts w:hint="eastAsia" w:asciiTheme="minorEastAsia" w:hAnsiTheme="minorEastAsia" w:eastAsiaTheme="minorEastAsia"/>
          <w:sz w:val="24"/>
          <w:szCs w:val="24"/>
        </w:rPr>
        <w:t>）控制柜配备检测</w:t>
      </w:r>
      <w:r>
        <w:rPr>
          <w:rFonts w:asciiTheme="minorEastAsia" w:hAnsiTheme="minorEastAsia" w:eastAsiaTheme="minorEastAsia"/>
          <w:sz w:val="24"/>
          <w:szCs w:val="24"/>
        </w:rPr>
        <w:t>结果声光报警</w:t>
      </w:r>
      <w:r>
        <w:rPr>
          <w:rFonts w:hint="eastAsia" w:asciiTheme="minorEastAsia" w:hAnsiTheme="minorEastAsia" w:eastAsiaTheme="minorEastAsia"/>
          <w:sz w:val="24"/>
          <w:szCs w:val="24"/>
        </w:rPr>
        <w:t>装置，对检测过程中的各阶段进行声光提示，不同阶段对应的灯的颜色和显示方式均有区分。红灯：设备</w:t>
      </w:r>
      <w:r>
        <w:rPr>
          <w:rFonts w:asciiTheme="minorEastAsia" w:hAnsiTheme="minorEastAsia" w:eastAsiaTheme="minorEastAsia"/>
          <w:sz w:val="24"/>
          <w:szCs w:val="24"/>
        </w:rPr>
        <w:t>故障</w:t>
      </w:r>
      <w:r>
        <w:rPr>
          <w:rFonts w:hint="eastAsia" w:asciiTheme="minorEastAsia" w:hAnsiTheme="minorEastAsia" w:eastAsiaTheme="minorEastAsia"/>
          <w:sz w:val="24"/>
          <w:szCs w:val="24"/>
        </w:rPr>
        <w:t>/检测故障提示；绿灯：检测通过；黄灯常亮：设备检测运行</w:t>
      </w:r>
      <w:r>
        <w:rPr>
          <w:rFonts w:asciiTheme="minorEastAsia" w:hAnsiTheme="minorEastAsia" w:eastAsiaTheme="minorEastAsia"/>
          <w:sz w:val="24"/>
          <w:szCs w:val="24"/>
        </w:rPr>
        <w:t>中</w:t>
      </w:r>
      <w:r>
        <w:rPr>
          <w:rFonts w:hint="eastAsia" w:asciiTheme="minorEastAsia" w:hAnsiTheme="minorEastAsia" w:eastAsiaTheme="minorEastAsia"/>
          <w:sz w:val="24"/>
          <w:szCs w:val="24"/>
        </w:rPr>
        <w:t>。</w:t>
      </w:r>
    </w:p>
    <w:p>
      <w:pPr>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2.4</w:t>
      </w:r>
      <w:r>
        <w:rPr>
          <w:rFonts w:hint="eastAsia" w:asciiTheme="minorEastAsia" w:hAnsiTheme="minorEastAsia" w:eastAsiaTheme="minorEastAsia"/>
          <w:sz w:val="24"/>
          <w:szCs w:val="24"/>
        </w:rPr>
        <w:t>淋雨线</w:t>
      </w:r>
      <w:r>
        <w:rPr>
          <w:rFonts w:asciiTheme="minorEastAsia" w:hAnsiTheme="minorEastAsia" w:eastAsiaTheme="minorEastAsia"/>
          <w:sz w:val="24"/>
          <w:szCs w:val="24"/>
        </w:rPr>
        <w:t>后</w:t>
      </w:r>
      <w:r>
        <w:rPr>
          <w:rFonts w:hint="eastAsia" w:asciiTheme="minorEastAsia" w:hAnsiTheme="minorEastAsia" w:eastAsiaTheme="minorEastAsia"/>
          <w:sz w:val="24"/>
          <w:szCs w:val="24"/>
        </w:rPr>
        <w:t>高压安全综合测试设备(二期调试车间)</w:t>
      </w:r>
    </w:p>
    <w:tbl>
      <w:tblPr>
        <w:tblStyle w:val="76"/>
        <w:tblW w:w="949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0"/>
        <w:gridCol w:w="3234"/>
        <w:gridCol w:w="1134"/>
        <w:gridCol w:w="2245"/>
        <w:gridCol w:w="215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adjustRightInd w:val="0"/>
              <w:snapToGrid w:val="0"/>
              <w:jc w:val="center"/>
            </w:pPr>
            <w:r>
              <w:rPr>
                <w:rFonts w:hint="eastAsia"/>
              </w:rPr>
              <w:t>序号</w:t>
            </w:r>
          </w:p>
        </w:tc>
        <w:tc>
          <w:tcPr>
            <w:tcW w:w="3234" w:type="dxa"/>
            <w:vAlign w:val="center"/>
          </w:tcPr>
          <w:p>
            <w:pPr>
              <w:adjustRightInd w:val="0"/>
              <w:snapToGrid w:val="0"/>
              <w:jc w:val="center"/>
            </w:pPr>
            <w:r>
              <w:rPr>
                <w:rFonts w:hint="eastAsia"/>
              </w:rPr>
              <w:t>部件名称</w:t>
            </w:r>
          </w:p>
        </w:tc>
        <w:tc>
          <w:tcPr>
            <w:tcW w:w="1134" w:type="dxa"/>
            <w:vAlign w:val="center"/>
          </w:tcPr>
          <w:p>
            <w:pPr>
              <w:adjustRightInd w:val="0"/>
              <w:snapToGrid w:val="0"/>
              <w:jc w:val="center"/>
            </w:pPr>
            <w:r>
              <w:rPr>
                <w:rFonts w:hint="eastAsia"/>
              </w:rPr>
              <w:t>数量/套</w:t>
            </w:r>
          </w:p>
        </w:tc>
        <w:tc>
          <w:tcPr>
            <w:tcW w:w="2245" w:type="dxa"/>
            <w:vAlign w:val="center"/>
          </w:tcPr>
          <w:p>
            <w:pPr>
              <w:adjustRightInd w:val="0"/>
              <w:snapToGrid w:val="0"/>
              <w:jc w:val="center"/>
            </w:pPr>
            <w:r>
              <w:rPr>
                <w:rFonts w:hint="eastAsia"/>
              </w:rPr>
              <w:t>品牌（需双方评审后确定）</w:t>
            </w:r>
          </w:p>
        </w:tc>
        <w:tc>
          <w:tcPr>
            <w:tcW w:w="2150" w:type="dxa"/>
          </w:tcPr>
          <w:p>
            <w:pPr>
              <w:adjustRightInd w:val="0"/>
              <w:snapToGrid w:val="0"/>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rPr>
                <w:rFonts w:hint="eastAsia"/>
              </w:rPr>
              <w:t>1</w:t>
            </w:r>
          </w:p>
        </w:tc>
        <w:tc>
          <w:tcPr>
            <w:tcW w:w="3234" w:type="dxa"/>
            <w:vAlign w:val="center"/>
          </w:tcPr>
          <w:p>
            <w:pPr>
              <w:adjustRightInd w:val="0"/>
              <w:snapToGrid w:val="0"/>
              <w:jc w:val="center"/>
              <w:rPr>
                <w:rFonts w:cs="黑体"/>
              </w:rPr>
            </w:pPr>
            <w:r>
              <w:rPr>
                <w:rFonts w:hint="eastAsia"/>
              </w:rPr>
              <w:t>控制柜</w:t>
            </w:r>
          </w:p>
        </w:tc>
        <w:tc>
          <w:tcPr>
            <w:tcW w:w="1134" w:type="dxa"/>
            <w:vAlign w:val="center"/>
          </w:tcPr>
          <w:p>
            <w:pPr>
              <w:adjustRightInd w:val="0"/>
              <w:snapToGrid w:val="0"/>
              <w:jc w:val="center"/>
            </w:pPr>
            <w:r>
              <w:rPr>
                <w:rFonts w:hint="eastAsia"/>
              </w:rPr>
              <w:t>1</w:t>
            </w:r>
          </w:p>
        </w:tc>
        <w:tc>
          <w:tcPr>
            <w:tcW w:w="2245" w:type="dxa"/>
            <w:vAlign w:val="center"/>
          </w:tcPr>
          <w:p>
            <w:pPr>
              <w:adjustRightInd w:val="0"/>
              <w:snapToGrid w:val="0"/>
              <w:jc w:val="center"/>
            </w:pPr>
            <w:r>
              <w:rPr>
                <w:rFonts w:hint="eastAsia"/>
              </w:rPr>
              <w:t>威图、东安</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rPr>
                <w:rFonts w:hint="eastAsia"/>
              </w:rPr>
              <w:t>2</w:t>
            </w:r>
          </w:p>
        </w:tc>
        <w:tc>
          <w:tcPr>
            <w:tcW w:w="3234" w:type="dxa"/>
            <w:vAlign w:val="center"/>
          </w:tcPr>
          <w:p>
            <w:pPr>
              <w:adjustRightInd w:val="0"/>
              <w:snapToGrid w:val="0"/>
              <w:jc w:val="center"/>
            </w:pPr>
            <w:r>
              <w:t>工控机</w:t>
            </w:r>
            <w:r>
              <w:rPr>
                <w:rFonts w:hint="eastAsia"/>
              </w:rPr>
              <w:t>（6</w:t>
            </w:r>
            <w:r>
              <w:t>10</w:t>
            </w:r>
            <w:r>
              <w:rPr>
                <w:rFonts w:hint="eastAsia"/>
              </w:rPr>
              <w:t>）</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研华或西门子</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rPr>
                <w:rFonts w:hint="eastAsia"/>
              </w:rPr>
              <w:t>3</w:t>
            </w:r>
          </w:p>
        </w:tc>
        <w:tc>
          <w:tcPr>
            <w:tcW w:w="3234" w:type="dxa"/>
            <w:vAlign w:val="center"/>
          </w:tcPr>
          <w:p>
            <w:pPr>
              <w:adjustRightInd w:val="0"/>
              <w:snapToGrid w:val="0"/>
              <w:jc w:val="center"/>
            </w:pPr>
            <w:r>
              <w:rPr>
                <w:rFonts w:hint="eastAsia"/>
              </w:rPr>
              <w:t>安全性能分析仪</w:t>
            </w:r>
          </w:p>
          <w:p>
            <w:pPr>
              <w:adjustRightInd w:val="0"/>
              <w:snapToGrid w:val="0"/>
              <w:jc w:val="center"/>
            </w:pPr>
            <w:r>
              <w:rPr>
                <w:rFonts w:hint="eastAsia"/>
              </w:rPr>
              <w:t>（含</w:t>
            </w:r>
            <w:r>
              <w:rPr>
                <w:rFonts w:ascii="Calibri" w:hAnsi="Calibri" w:cs="Calibri"/>
              </w:rPr>
              <w:t>ESRS</w:t>
            </w:r>
            <w:r>
              <w:t>软件</w:t>
            </w:r>
            <w:r>
              <w:rPr>
                <w:rFonts w:hint="eastAsia"/>
              </w:rPr>
              <w:t>）</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华仪、chroma或日置</w:t>
            </w:r>
          </w:p>
        </w:tc>
        <w:tc>
          <w:tcPr>
            <w:tcW w:w="2150" w:type="dxa"/>
          </w:tcPr>
          <w:p>
            <w:pPr>
              <w:adjustRightInd w:val="0"/>
              <w:snapToGrid w:val="0"/>
              <w:jc w:val="center"/>
              <w:rPr>
                <w:highlight w:val="yell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4</w:t>
            </w:r>
          </w:p>
        </w:tc>
        <w:tc>
          <w:tcPr>
            <w:tcW w:w="3234" w:type="dxa"/>
            <w:vAlign w:val="center"/>
          </w:tcPr>
          <w:p>
            <w:pPr>
              <w:adjustRightInd w:val="0"/>
              <w:snapToGrid w:val="0"/>
              <w:jc w:val="center"/>
            </w:pPr>
            <w:r>
              <w:t>21.5</w:t>
            </w:r>
            <w:r>
              <w:rPr>
                <w:rFonts w:hint="eastAsia"/>
              </w:rPr>
              <w:t>英寸工业级液晶显示器</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飞利浦、dell或诺维世纪</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rPr>
                <w:rFonts w:hint="eastAsia"/>
              </w:rPr>
              <w:t>5</w:t>
            </w:r>
          </w:p>
        </w:tc>
        <w:tc>
          <w:tcPr>
            <w:tcW w:w="3234" w:type="dxa"/>
            <w:vAlign w:val="center"/>
          </w:tcPr>
          <w:p>
            <w:pPr>
              <w:adjustRightInd w:val="0"/>
              <w:snapToGrid w:val="0"/>
              <w:jc w:val="center"/>
              <w:rPr>
                <w:rFonts w:ascii="宋体" w:hAnsi="Calibri" w:cs="宋体"/>
              </w:rPr>
            </w:pPr>
            <w:r>
              <w:rPr>
                <w:rFonts w:hint="eastAsia"/>
              </w:rPr>
              <w:t>鼠标</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罗技或研华</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591" w:hRule="atLeast"/>
          <w:jc w:val="center"/>
        </w:trPr>
        <w:tc>
          <w:tcPr>
            <w:tcW w:w="730" w:type="dxa"/>
            <w:vAlign w:val="center"/>
          </w:tcPr>
          <w:p>
            <w:pPr>
              <w:jc w:val="center"/>
            </w:pPr>
            <w:r>
              <w:rPr>
                <w:rFonts w:hint="eastAsia"/>
              </w:rPr>
              <w:t>6</w:t>
            </w:r>
          </w:p>
        </w:tc>
        <w:tc>
          <w:tcPr>
            <w:tcW w:w="3234" w:type="dxa"/>
            <w:vAlign w:val="center"/>
          </w:tcPr>
          <w:p>
            <w:pPr>
              <w:adjustRightInd w:val="0"/>
              <w:snapToGrid w:val="0"/>
              <w:jc w:val="center"/>
              <w:rPr>
                <w:rFonts w:ascii="宋体" w:hAnsi="Calibri" w:cs="宋体"/>
              </w:rPr>
            </w:pPr>
            <w:r>
              <w:rPr>
                <w:rFonts w:hint="eastAsia"/>
              </w:rPr>
              <w:t>键盘</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罗技或研华</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7</w:t>
            </w:r>
          </w:p>
        </w:tc>
        <w:tc>
          <w:tcPr>
            <w:tcW w:w="3234" w:type="dxa"/>
            <w:vAlign w:val="center"/>
          </w:tcPr>
          <w:p>
            <w:pPr>
              <w:adjustRightInd w:val="0"/>
              <w:snapToGrid w:val="0"/>
              <w:jc w:val="center"/>
            </w:pPr>
            <w:r>
              <w:rPr>
                <w:rFonts w:hint="eastAsia" w:ascii="宋体" w:hAnsi="Calibri" w:cs="宋体"/>
              </w:rPr>
              <w:t>无线扫码</w:t>
            </w:r>
            <w:r>
              <w:t>扫描枪</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斑马、迅宝或霍尼韦尔</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8</w:t>
            </w:r>
          </w:p>
        </w:tc>
        <w:tc>
          <w:tcPr>
            <w:tcW w:w="3234" w:type="dxa"/>
            <w:vAlign w:val="center"/>
          </w:tcPr>
          <w:p>
            <w:pPr>
              <w:adjustRightInd w:val="0"/>
              <w:snapToGrid w:val="0"/>
              <w:jc w:val="center"/>
            </w:pPr>
            <w:r>
              <w:t>标签打印机</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斑马、epson或H</w:t>
            </w:r>
            <w:r>
              <w:t>P</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9</w:t>
            </w:r>
          </w:p>
        </w:tc>
        <w:tc>
          <w:tcPr>
            <w:tcW w:w="3234" w:type="dxa"/>
            <w:vAlign w:val="center"/>
          </w:tcPr>
          <w:p>
            <w:pPr>
              <w:adjustRightInd w:val="0"/>
              <w:snapToGrid w:val="0"/>
              <w:jc w:val="center"/>
            </w:pPr>
            <w:r>
              <w:rPr>
                <w:rFonts w:hint="eastAsia"/>
              </w:rPr>
              <w:t>UPS电源（</w:t>
            </w:r>
            <w:r>
              <w:t>1</w:t>
            </w:r>
            <w:r>
              <w:rPr>
                <w:rFonts w:hint="eastAsia"/>
              </w:rPr>
              <w:t>KW）</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山特、艾德克斯或施耐德</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10</w:t>
            </w:r>
          </w:p>
        </w:tc>
        <w:tc>
          <w:tcPr>
            <w:tcW w:w="3234" w:type="dxa"/>
            <w:vAlign w:val="center"/>
          </w:tcPr>
          <w:p>
            <w:pPr>
              <w:adjustRightInd w:val="0"/>
              <w:snapToGrid w:val="0"/>
              <w:jc w:val="center"/>
            </w:pPr>
            <w:r>
              <w:t>测试结果声光报警</w:t>
            </w:r>
          </w:p>
        </w:tc>
        <w:tc>
          <w:tcPr>
            <w:tcW w:w="1134" w:type="dxa"/>
            <w:vAlign w:val="center"/>
          </w:tcPr>
          <w:p>
            <w:pPr>
              <w:adjustRightInd w:val="0"/>
              <w:snapToGrid w:val="0"/>
              <w:jc w:val="center"/>
            </w:pPr>
            <w:r>
              <w:rPr>
                <w:rFonts w:hint="eastAsia"/>
              </w:rPr>
              <w:t>1</w:t>
            </w:r>
          </w:p>
        </w:tc>
        <w:tc>
          <w:tcPr>
            <w:tcW w:w="2245" w:type="dxa"/>
            <w:vAlign w:val="center"/>
          </w:tcPr>
          <w:p>
            <w:pPr>
              <w:adjustRightInd w:val="0"/>
              <w:snapToGrid w:val="0"/>
              <w:jc w:val="center"/>
            </w:pPr>
            <w:r>
              <w:rPr>
                <w:rFonts w:hint="eastAsia"/>
              </w:rPr>
              <w:t>施耐德、威马或正泰</w:t>
            </w:r>
          </w:p>
        </w:tc>
        <w:tc>
          <w:tcPr>
            <w:tcW w:w="2150" w:type="dxa"/>
            <w:vAlign w:val="center"/>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11</w:t>
            </w:r>
          </w:p>
        </w:tc>
        <w:tc>
          <w:tcPr>
            <w:tcW w:w="3234" w:type="dxa"/>
            <w:vAlign w:val="center"/>
          </w:tcPr>
          <w:p>
            <w:pPr>
              <w:adjustRightInd w:val="0"/>
              <w:snapToGrid w:val="0"/>
              <w:jc w:val="center"/>
            </w:pPr>
            <w:r>
              <w:rPr>
                <w:rFonts w:hint="eastAsia"/>
              </w:rPr>
              <w:t>随行机构（摇臂</w:t>
            </w:r>
            <w:r>
              <w:t>形式</w:t>
            </w:r>
            <w:r>
              <w:rPr>
                <w:rFonts w:hint="eastAsia"/>
              </w:rPr>
              <w:t>）</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定制</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12</w:t>
            </w:r>
          </w:p>
        </w:tc>
        <w:tc>
          <w:tcPr>
            <w:tcW w:w="3234" w:type="dxa"/>
            <w:vAlign w:val="center"/>
          </w:tcPr>
          <w:p>
            <w:pPr>
              <w:adjustRightInd w:val="0"/>
              <w:snapToGrid w:val="0"/>
              <w:jc w:val="center"/>
            </w:pPr>
            <w:r>
              <w:rPr>
                <w:rFonts w:hint="eastAsia"/>
              </w:rPr>
              <w:t>测试线束/</w:t>
            </w:r>
            <w:r>
              <w:t>插</w:t>
            </w:r>
            <w:r>
              <w:rPr>
                <w:rFonts w:hint="eastAsia"/>
              </w:rPr>
              <w:t>接件</w:t>
            </w:r>
          </w:p>
        </w:tc>
        <w:tc>
          <w:tcPr>
            <w:tcW w:w="1134" w:type="dxa"/>
            <w:vAlign w:val="center"/>
          </w:tcPr>
          <w:p>
            <w:pPr>
              <w:adjustRightInd w:val="0"/>
              <w:snapToGrid w:val="0"/>
              <w:jc w:val="center"/>
            </w:pPr>
            <w:r>
              <w:rPr>
                <w:rFonts w:hint="eastAsia"/>
              </w:rPr>
              <w:t>若干</w:t>
            </w:r>
          </w:p>
        </w:tc>
        <w:tc>
          <w:tcPr>
            <w:tcW w:w="2245" w:type="dxa"/>
            <w:vAlign w:val="center"/>
          </w:tcPr>
          <w:p>
            <w:pPr>
              <w:adjustRightInd w:val="0"/>
              <w:snapToGrid w:val="0"/>
              <w:jc w:val="center"/>
            </w:pPr>
            <w:r>
              <w:rPr>
                <w:rFonts w:hint="eastAsia"/>
              </w:rPr>
              <w:t>国创</w:t>
            </w:r>
          </w:p>
        </w:tc>
        <w:tc>
          <w:tcPr>
            <w:tcW w:w="2150" w:type="dxa"/>
          </w:tcPr>
          <w:p>
            <w:pPr>
              <w:adjustRightInd w:val="0"/>
              <w:snapToGrid w:val="0"/>
              <w:jc w:val="center"/>
            </w:pPr>
            <w:r>
              <w:rPr>
                <w:rFonts w:hint="eastAsia"/>
              </w:rPr>
              <w:t>工业级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rPr>
                <w:color w:val="000000"/>
              </w:rPr>
              <w:t>13</w:t>
            </w:r>
          </w:p>
        </w:tc>
        <w:tc>
          <w:tcPr>
            <w:tcW w:w="3234" w:type="dxa"/>
            <w:vAlign w:val="center"/>
          </w:tcPr>
          <w:p>
            <w:pPr>
              <w:adjustRightInd w:val="0"/>
              <w:snapToGrid w:val="0"/>
              <w:jc w:val="center"/>
            </w:pPr>
            <w:r>
              <w:rPr>
                <w:rFonts w:hint="eastAsia"/>
                <w:color w:val="000000"/>
              </w:rPr>
              <w:t>快充电枪</w:t>
            </w:r>
          </w:p>
        </w:tc>
        <w:tc>
          <w:tcPr>
            <w:tcW w:w="1134" w:type="dxa"/>
            <w:vAlign w:val="center"/>
          </w:tcPr>
          <w:p>
            <w:pPr>
              <w:adjustRightInd w:val="0"/>
              <w:snapToGrid w:val="0"/>
              <w:jc w:val="center"/>
            </w:pPr>
            <w:r>
              <w:rPr>
                <w:color w:val="000000"/>
              </w:rPr>
              <w:t>2</w:t>
            </w:r>
          </w:p>
        </w:tc>
        <w:tc>
          <w:tcPr>
            <w:tcW w:w="2245" w:type="dxa"/>
            <w:vAlign w:val="center"/>
          </w:tcPr>
          <w:p>
            <w:pPr>
              <w:adjustRightInd w:val="0"/>
              <w:snapToGrid w:val="0"/>
              <w:jc w:val="center"/>
            </w:pPr>
            <w:r>
              <w:rPr>
                <w:rFonts w:hint="eastAsia"/>
                <w:color w:val="000000"/>
              </w:rPr>
              <w:t>定制</w:t>
            </w:r>
          </w:p>
        </w:tc>
        <w:tc>
          <w:tcPr>
            <w:tcW w:w="2150" w:type="dxa"/>
            <w:vAlign w:val="center"/>
          </w:tcPr>
          <w:p>
            <w:pPr>
              <w:adjustRightInd w:val="0"/>
              <w:snapToGrid w:val="0"/>
              <w:jc w:val="center"/>
            </w:pPr>
            <w:r>
              <w:rPr>
                <w:rFonts w:hint="eastAsia"/>
                <w:color w:val="000000"/>
              </w:rPr>
              <w:t>各一把，长</w:t>
            </w:r>
            <w:r>
              <w:rPr>
                <w:color w:val="000000"/>
              </w:rPr>
              <w:t>12</w:t>
            </w:r>
            <w:r>
              <w:rPr>
                <w:rFonts w:hint="eastAsia"/>
                <w:color w:val="000000"/>
              </w:rPr>
              <w:t>米</w:t>
            </w:r>
          </w:p>
        </w:tc>
      </w:tr>
    </w:tbl>
    <w:p>
      <w:pPr>
        <w:spacing w:line="480" w:lineRule="exact"/>
        <w:ind w:firstLine="480" w:firstLineChars="200"/>
        <w:rPr>
          <w:rFonts w:ascii="宋体" w:hAnsi="宋体"/>
          <w:bCs/>
          <w:sz w:val="24"/>
        </w:rPr>
      </w:pPr>
      <w:r>
        <w:rPr>
          <w:rFonts w:ascii="宋体" w:hAnsi="宋体"/>
          <w:bCs/>
          <w:sz w:val="24"/>
        </w:rPr>
        <w:t>2.</w:t>
      </w:r>
      <w:r>
        <w:rPr>
          <w:rFonts w:hint="eastAsia" w:ascii="宋体" w:hAnsi="宋体"/>
          <w:bCs/>
          <w:sz w:val="24"/>
        </w:rPr>
        <w:t>5整车</w:t>
      </w:r>
      <w:r>
        <w:rPr>
          <w:rFonts w:ascii="宋体" w:hAnsi="宋体"/>
          <w:bCs/>
          <w:sz w:val="24"/>
        </w:rPr>
        <w:t>下线</w:t>
      </w:r>
      <w:r>
        <w:rPr>
          <w:rFonts w:hint="eastAsia" w:ascii="宋体" w:hAnsi="宋体"/>
          <w:bCs/>
          <w:sz w:val="24"/>
        </w:rPr>
        <w:t>高压安全</w:t>
      </w:r>
      <w:r>
        <w:rPr>
          <w:rFonts w:ascii="宋体" w:hAnsi="宋体"/>
          <w:bCs/>
          <w:sz w:val="24"/>
        </w:rPr>
        <w:t>综合</w:t>
      </w:r>
      <w:r>
        <w:rPr>
          <w:rFonts w:hint="eastAsia" w:ascii="宋体" w:hAnsi="宋体"/>
          <w:bCs/>
          <w:sz w:val="24"/>
        </w:rPr>
        <w:t>测试设备</w:t>
      </w:r>
      <w:r>
        <w:rPr>
          <w:rFonts w:hint="eastAsia" w:asciiTheme="minorEastAsia" w:hAnsiTheme="minorEastAsia" w:eastAsiaTheme="minorEastAsia"/>
          <w:sz w:val="24"/>
          <w:szCs w:val="24"/>
        </w:rPr>
        <w:t>(二期总装车间)</w:t>
      </w:r>
    </w:p>
    <w:tbl>
      <w:tblPr>
        <w:tblStyle w:val="76"/>
        <w:tblW w:w="949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0"/>
        <w:gridCol w:w="3234"/>
        <w:gridCol w:w="1134"/>
        <w:gridCol w:w="2245"/>
        <w:gridCol w:w="215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adjustRightInd w:val="0"/>
              <w:snapToGrid w:val="0"/>
              <w:jc w:val="center"/>
            </w:pPr>
            <w:r>
              <w:rPr>
                <w:rFonts w:hint="eastAsia"/>
              </w:rPr>
              <w:t>序号</w:t>
            </w:r>
          </w:p>
        </w:tc>
        <w:tc>
          <w:tcPr>
            <w:tcW w:w="3234" w:type="dxa"/>
            <w:vAlign w:val="center"/>
          </w:tcPr>
          <w:p>
            <w:pPr>
              <w:adjustRightInd w:val="0"/>
              <w:snapToGrid w:val="0"/>
              <w:jc w:val="center"/>
            </w:pPr>
            <w:r>
              <w:rPr>
                <w:rFonts w:hint="eastAsia"/>
              </w:rPr>
              <w:t>部件名称</w:t>
            </w:r>
          </w:p>
        </w:tc>
        <w:tc>
          <w:tcPr>
            <w:tcW w:w="1134" w:type="dxa"/>
            <w:vAlign w:val="center"/>
          </w:tcPr>
          <w:p>
            <w:pPr>
              <w:adjustRightInd w:val="0"/>
              <w:snapToGrid w:val="0"/>
              <w:jc w:val="center"/>
            </w:pPr>
            <w:r>
              <w:rPr>
                <w:rFonts w:hint="eastAsia"/>
              </w:rPr>
              <w:t>数量/套</w:t>
            </w:r>
          </w:p>
        </w:tc>
        <w:tc>
          <w:tcPr>
            <w:tcW w:w="2245" w:type="dxa"/>
            <w:vAlign w:val="center"/>
          </w:tcPr>
          <w:p>
            <w:pPr>
              <w:adjustRightInd w:val="0"/>
              <w:snapToGrid w:val="0"/>
              <w:jc w:val="center"/>
            </w:pPr>
            <w:r>
              <w:rPr>
                <w:rFonts w:hint="eastAsia"/>
              </w:rPr>
              <w:t>品牌（需双方评审后确定）</w:t>
            </w:r>
          </w:p>
        </w:tc>
        <w:tc>
          <w:tcPr>
            <w:tcW w:w="2150" w:type="dxa"/>
          </w:tcPr>
          <w:p>
            <w:pPr>
              <w:adjustRightInd w:val="0"/>
              <w:snapToGrid w:val="0"/>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rPr>
                <w:rFonts w:hint="eastAsia"/>
              </w:rPr>
              <w:t>1</w:t>
            </w:r>
          </w:p>
        </w:tc>
        <w:tc>
          <w:tcPr>
            <w:tcW w:w="3234" w:type="dxa"/>
            <w:vAlign w:val="center"/>
          </w:tcPr>
          <w:p>
            <w:pPr>
              <w:adjustRightInd w:val="0"/>
              <w:snapToGrid w:val="0"/>
              <w:jc w:val="center"/>
              <w:rPr>
                <w:rFonts w:cs="黑体"/>
              </w:rPr>
            </w:pPr>
            <w:r>
              <w:rPr>
                <w:rFonts w:hint="eastAsia"/>
              </w:rPr>
              <w:t>控制柜</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威图、东安</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rPr>
                <w:rFonts w:hint="eastAsia"/>
              </w:rPr>
              <w:t>2</w:t>
            </w:r>
          </w:p>
        </w:tc>
        <w:tc>
          <w:tcPr>
            <w:tcW w:w="3234" w:type="dxa"/>
            <w:vAlign w:val="center"/>
          </w:tcPr>
          <w:p>
            <w:pPr>
              <w:adjustRightInd w:val="0"/>
              <w:snapToGrid w:val="0"/>
              <w:jc w:val="center"/>
            </w:pPr>
            <w:r>
              <w:t>工控机</w:t>
            </w:r>
            <w:r>
              <w:rPr>
                <w:rFonts w:hint="eastAsia"/>
              </w:rPr>
              <w:t>（6</w:t>
            </w:r>
            <w:r>
              <w:t>10</w:t>
            </w:r>
            <w:r>
              <w:rPr>
                <w:rFonts w:hint="eastAsia"/>
              </w:rPr>
              <w:t>）</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研华/西门子</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rPr>
                <w:rFonts w:hint="eastAsia"/>
              </w:rPr>
              <w:t>3</w:t>
            </w:r>
          </w:p>
        </w:tc>
        <w:tc>
          <w:tcPr>
            <w:tcW w:w="3234" w:type="dxa"/>
            <w:vAlign w:val="center"/>
          </w:tcPr>
          <w:p>
            <w:pPr>
              <w:adjustRightInd w:val="0"/>
              <w:snapToGrid w:val="0"/>
              <w:jc w:val="center"/>
            </w:pPr>
            <w:r>
              <w:rPr>
                <w:rFonts w:hint="eastAsia"/>
              </w:rPr>
              <w:t>安全性能分析仪</w:t>
            </w:r>
          </w:p>
          <w:p>
            <w:pPr>
              <w:adjustRightInd w:val="0"/>
              <w:snapToGrid w:val="0"/>
              <w:jc w:val="center"/>
            </w:pPr>
            <w:r>
              <w:rPr>
                <w:rFonts w:hint="eastAsia"/>
              </w:rPr>
              <w:t>（含</w:t>
            </w:r>
            <w:r>
              <w:rPr>
                <w:rFonts w:ascii="Calibri" w:hAnsi="Calibri" w:cs="Calibri"/>
              </w:rPr>
              <w:t>ESRS</w:t>
            </w:r>
            <w:r>
              <w:t>软件</w:t>
            </w:r>
            <w:r>
              <w:rPr>
                <w:rFonts w:hint="eastAsia"/>
              </w:rPr>
              <w:t>）</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华仪、chroma或日置</w:t>
            </w:r>
          </w:p>
        </w:tc>
        <w:tc>
          <w:tcPr>
            <w:tcW w:w="2150" w:type="dxa"/>
          </w:tcPr>
          <w:p>
            <w:pPr>
              <w:adjustRightInd w:val="0"/>
              <w:snapToGrid w:val="0"/>
              <w:jc w:val="center"/>
            </w:pPr>
            <w:r>
              <w:rPr>
                <w:rFonts w:hint="eastAsia"/>
              </w:rPr>
              <w:t>绝缘测试、接地测试等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4</w:t>
            </w:r>
          </w:p>
        </w:tc>
        <w:tc>
          <w:tcPr>
            <w:tcW w:w="3234" w:type="dxa"/>
            <w:vAlign w:val="center"/>
          </w:tcPr>
          <w:p>
            <w:pPr>
              <w:adjustRightInd w:val="0"/>
              <w:snapToGrid w:val="0"/>
              <w:jc w:val="center"/>
            </w:pPr>
            <w:r>
              <w:t>21.5</w:t>
            </w:r>
            <w:r>
              <w:rPr>
                <w:rFonts w:hint="eastAsia"/>
              </w:rPr>
              <w:t>英寸工业级液晶显示器</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飞利浦、dell或诺维世纪</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rPr>
                <w:rFonts w:hint="eastAsia"/>
              </w:rPr>
              <w:t>5</w:t>
            </w:r>
          </w:p>
        </w:tc>
        <w:tc>
          <w:tcPr>
            <w:tcW w:w="3234" w:type="dxa"/>
            <w:vAlign w:val="center"/>
          </w:tcPr>
          <w:p>
            <w:pPr>
              <w:adjustRightInd w:val="0"/>
              <w:snapToGrid w:val="0"/>
              <w:jc w:val="center"/>
              <w:rPr>
                <w:rFonts w:ascii="宋体" w:hAnsi="Calibri" w:cs="宋体"/>
              </w:rPr>
            </w:pPr>
            <w:r>
              <w:rPr>
                <w:rFonts w:hint="eastAsia"/>
              </w:rPr>
              <w:t>鼠标</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罗技或研华</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rPr>
                <w:rFonts w:hint="eastAsia"/>
              </w:rPr>
              <w:t>6</w:t>
            </w:r>
          </w:p>
        </w:tc>
        <w:tc>
          <w:tcPr>
            <w:tcW w:w="3234" w:type="dxa"/>
            <w:vAlign w:val="center"/>
          </w:tcPr>
          <w:p>
            <w:pPr>
              <w:adjustRightInd w:val="0"/>
              <w:snapToGrid w:val="0"/>
              <w:jc w:val="center"/>
              <w:rPr>
                <w:rFonts w:ascii="宋体" w:hAnsi="Calibri" w:cs="宋体"/>
              </w:rPr>
            </w:pPr>
            <w:r>
              <w:rPr>
                <w:rFonts w:hint="eastAsia"/>
              </w:rPr>
              <w:t>键盘</w:t>
            </w:r>
          </w:p>
        </w:tc>
        <w:tc>
          <w:tcPr>
            <w:tcW w:w="1134" w:type="dxa"/>
            <w:vAlign w:val="center"/>
          </w:tcPr>
          <w:p>
            <w:pPr>
              <w:adjustRightInd w:val="0"/>
              <w:snapToGrid w:val="0"/>
              <w:jc w:val="center"/>
            </w:pPr>
            <w:r>
              <w:rPr>
                <w:rFonts w:hint="eastAsia"/>
              </w:rPr>
              <w:t>1</w:t>
            </w:r>
          </w:p>
        </w:tc>
        <w:tc>
          <w:tcPr>
            <w:tcW w:w="2245" w:type="dxa"/>
            <w:vAlign w:val="center"/>
          </w:tcPr>
          <w:p>
            <w:pPr>
              <w:adjustRightInd w:val="0"/>
              <w:snapToGrid w:val="0"/>
              <w:jc w:val="center"/>
            </w:pPr>
            <w:r>
              <w:rPr>
                <w:rFonts w:hint="eastAsia"/>
              </w:rPr>
              <w:t>罗技或研华</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7</w:t>
            </w:r>
          </w:p>
        </w:tc>
        <w:tc>
          <w:tcPr>
            <w:tcW w:w="3234" w:type="dxa"/>
            <w:vAlign w:val="center"/>
          </w:tcPr>
          <w:p>
            <w:pPr>
              <w:adjustRightInd w:val="0"/>
              <w:snapToGrid w:val="0"/>
              <w:jc w:val="center"/>
            </w:pPr>
            <w:r>
              <w:rPr>
                <w:rFonts w:hint="eastAsia" w:ascii="宋体" w:hAnsi="Calibri" w:cs="宋体"/>
              </w:rPr>
              <w:t>无线扫码</w:t>
            </w:r>
            <w:r>
              <w:t>扫描枪</w:t>
            </w:r>
          </w:p>
        </w:tc>
        <w:tc>
          <w:tcPr>
            <w:tcW w:w="1134" w:type="dxa"/>
            <w:vAlign w:val="center"/>
          </w:tcPr>
          <w:p>
            <w:pPr>
              <w:adjustRightInd w:val="0"/>
              <w:snapToGrid w:val="0"/>
              <w:jc w:val="center"/>
            </w:pPr>
            <w:r>
              <w:t>1</w:t>
            </w:r>
          </w:p>
        </w:tc>
        <w:tc>
          <w:tcPr>
            <w:tcW w:w="2245" w:type="dxa"/>
            <w:vAlign w:val="center"/>
          </w:tcPr>
          <w:p>
            <w:pPr>
              <w:adjustRightInd w:val="0"/>
              <w:snapToGrid w:val="0"/>
              <w:jc w:val="center"/>
              <w:rPr>
                <w:highlight w:val="yellow"/>
              </w:rPr>
            </w:pPr>
            <w:r>
              <w:rPr>
                <w:rFonts w:hint="eastAsia"/>
              </w:rPr>
              <w:t>迅斑马、迅宝或霍尼韦尔</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8</w:t>
            </w:r>
          </w:p>
        </w:tc>
        <w:tc>
          <w:tcPr>
            <w:tcW w:w="3234" w:type="dxa"/>
            <w:vAlign w:val="center"/>
          </w:tcPr>
          <w:p>
            <w:pPr>
              <w:adjustRightInd w:val="0"/>
              <w:snapToGrid w:val="0"/>
              <w:jc w:val="center"/>
            </w:pPr>
            <w:r>
              <w:t>标签打印机</w:t>
            </w:r>
          </w:p>
        </w:tc>
        <w:tc>
          <w:tcPr>
            <w:tcW w:w="1134" w:type="dxa"/>
            <w:vAlign w:val="center"/>
          </w:tcPr>
          <w:p>
            <w:pPr>
              <w:adjustRightInd w:val="0"/>
              <w:snapToGrid w:val="0"/>
              <w:jc w:val="center"/>
            </w:pPr>
            <w:r>
              <w:t>1</w:t>
            </w:r>
          </w:p>
        </w:tc>
        <w:tc>
          <w:tcPr>
            <w:tcW w:w="2245" w:type="dxa"/>
            <w:vAlign w:val="center"/>
          </w:tcPr>
          <w:p>
            <w:pPr>
              <w:adjustRightInd w:val="0"/>
              <w:snapToGrid w:val="0"/>
              <w:jc w:val="center"/>
              <w:rPr>
                <w:highlight w:val="yellow"/>
              </w:rPr>
            </w:pPr>
            <w:r>
              <w:rPr>
                <w:rFonts w:hint="eastAsia"/>
              </w:rPr>
              <w:t>斑马、epson或H</w:t>
            </w:r>
            <w:r>
              <w:t>P</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9</w:t>
            </w:r>
          </w:p>
        </w:tc>
        <w:tc>
          <w:tcPr>
            <w:tcW w:w="3234" w:type="dxa"/>
            <w:vAlign w:val="center"/>
          </w:tcPr>
          <w:p>
            <w:pPr>
              <w:adjustRightInd w:val="0"/>
              <w:snapToGrid w:val="0"/>
              <w:jc w:val="center"/>
            </w:pPr>
            <w:r>
              <w:rPr>
                <w:rFonts w:hint="eastAsia"/>
              </w:rPr>
              <w:t>UPS电源（</w:t>
            </w:r>
            <w:r>
              <w:t>1</w:t>
            </w:r>
            <w:r>
              <w:rPr>
                <w:rFonts w:hint="eastAsia"/>
              </w:rPr>
              <w:t>KW）</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特、艾德克斯或施耐德</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10</w:t>
            </w:r>
          </w:p>
        </w:tc>
        <w:tc>
          <w:tcPr>
            <w:tcW w:w="3234" w:type="dxa"/>
            <w:vAlign w:val="center"/>
          </w:tcPr>
          <w:p>
            <w:pPr>
              <w:adjustRightInd w:val="0"/>
              <w:snapToGrid w:val="0"/>
              <w:jc w:val="center"/>
            </w:pPr>
            <w:r>
              <w:rPr>
                <w:rFonts w:hint="eastAsia"/>
              </w:rPr>
              <w:t>测试线束/</w:t>
            </w:r>
            <w:r>
              <w:t>插</w:t>
            </w:r>
            <w:r>
              <w:rPr>
                <w:rFonts w:hint="eastAsia"/>
              </w:rPr>
              <w:t>接件</w:t>
            </w:r>
          </w:p>
        </w:tc>
        <w:tc>
          <w:tcPr>
            <w:tcW w:w="1134" w:type="dxa"/>
            <w:vAlign w:val="center"/>
          </w:tcPr>
          <w:p>
            <w:pPr>
              <w:adjustRightInd w:val="0"/>
              <w:snapToGrid w:val="0"/>
              <w:jc w:val="center"/>
            </w:pPr>
            <w:r>
              <w:rPr>
                <w:rFonts w:hint="eastAsia"/>
              </w:rPr>
              <w:t>若干</w:t>
            </w:r>
          </w:p>
        </w:tc>
        <w:tc>
          <w:tcPr>
            <w:tcW w:w="2245" w:type="dxa"/>
            <w:vAlign w:val="center"/>
          </w:tcPr>
          <w:p>
            <w:pPr>
              <w:adjustRightInd w:val="0"/>
              <w:snapToGrid w:val="0"/>
              <w:jc w:val="center"/>
            </w:pPr>
            <w:r>
              <w:rPr>
                <w:rFonts w:hint="eastAsia"/>
              </w:rPr>
              <w:t>国创</w:t>
            </w:r>
          </w:p>
        </w:tc>
        <w:tc>
          <w:tcPr>
            <w:tcW w:w="2150" w:type="dxa"/>
            <w:vAlign w:val="center"/>
          </w:tcPr>
          <w:p>
            <w:pPr>
              <w:adjustRightInd w:val="0"/>
              <w:snapToGrid w:val="0"/>
              <w:jc w:val="center"/>
            </w:pPr>
            <w:r>
              <w:rPr>
                <w:rFonts w:hint="eastAsia"/>
              </w:rPr>
              <w:t>工业级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11</w:t>
            </w:r>
          </w:p>
        </w:tc>
        <w:tc>
          <w:tcPr>
            <w:tcW w:w="3234" w:type="dxa"/>
            <w:vAlign w:val="center"/>
          </w:tcPr>
          <w:p>
            <w:pPr>
              <w:adjustRightInd w:val="0"/>
              <w:snapToGrid w:val="0"/>
              <w:jc w:val="center"/>
            </w:pPr>
            <w:r>
              <w:t>测试结果声光报警</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施耐德、威马或正泰</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12</w:t>
            </w:r>
          </w:p>
        </w:tc>
        <w:tc>
          <w:tcPr>
            <w:tcW w:w="3234" w:type="dxa"/>
            <w:vAlign w:val="center"/>
          </w:tcPr>
          <w:p>
            <w:pPr>
              <w:adjustRightInd w:val="0"/>
              <w:snapToGrid w:val="0"/>
              <w:jc w:val="center"/>
            </w:pPr>
            <w:r>
              <w:rPr>
                <w:rFonts w:hint="eastAsia"/>
              </w:rPr>
              <w:t>随行机构（滑轨</w:t>
            </w:r>
            <w:r>
              <w:t>形式</w:t>
            </w:r>
            <w:r>
              <w:rPr>
                <w:rFonts w:hint="eastAsia"/>
              </w:rPr>
              <w:t>）</w:t>
            </w:r>
          </w:p>
        </w:tc>
        <w:tc>
          <w:tcPr>
            <w:tcW w:w="1134" w:type="dxa"/>
            <w:vAlign w:val="center"/>
          </w:tcPr>
          <w:p>
            <w:pPr>
              <w:adjustRightInd w:val="0"/>
              <w:snapToGrid w:val="0"/>
              <w:jc w:val="center"/>
            </w:pPr>
            <w:r>
              <w:rPr>
                <w:rFonts w:hint="eastAsia"/>
              </w:rPr>
              <w:t>1</w:t>
            </w:r>
          </w:p>
        </w:tc>
        <w:tc>
          <w:tcPr>
            <w:tcW w:w="2245" w:type="dxa"/>
            <w:vAlign w:val="center"/>
          </w:tcPr>
          <w:p>
            <w:pPr>
              <w:adjustRightInd w:val="0"/>
              <w:snapToGrid w:val="0"/>
              <w:jc w:val="center"/>
            </w:pPr>
            <w:r>
              <w:rPr>
                <w:rFonts w:hint="eastAsia"/>
              </w:rPr>
              <w:t>定制</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rPr>
                <w:color w:val="000000"/>
              </w:rPr>
              <w:t>13</w:t>
            </w:r>
          </w:p>
        </w:tc>
        <w:tc>
          <w:tcPr>
            <w:tcW w:w="3234" w:type="dxa"/>
            <w:vAlign w:val="center"/>
          </w:tcPr>
          <w:p>
            <w:pPr>
              <w:adjustRightInd w:val="0"/>
              <w:snapToGrid w:val="0"/>
              <w:jc w:val="center"/>
            </w:pPr>
            <w:r>
              <w:rPr>
                <w:rFonts w:hint="eastAsia"/>
                <w:color w:val="000000"/>
              </w:rPr>
              <w:t>快充电枪</w:t>
            </w:r>
          </w:p>
        </w:tc>
        <w:tc>
          <w:tcPr>
            <w:tcW w:w="1134" w:type="dxa"/>
            <w:vAlign w:val="center"/>
          </w:tcPr>
          <w:p>
            <w:pPr>
              <w:adjustRightInd w:val="0"/>
              <w:snapToGrid w:val="0"/>
              <w:jc w:val="center"/>
            </w:pPr>
            <w:r>
              <w:rPr>
                <w:color w:val="000000"/>
              </w:rPr>
              <w:t>2</w:t>
            </w:r>
          </w:p>
        </w:tc>
        <w:tc>
          <w:tcPr>
            <w:tcW w:w="2245" w:type="dxa"/>
            <w:vAlign w:val="center"/>
          </w:tcPr>
          <w:p>
            <w:pPr>
              <w:adjustRightInd w:val="0"/>
              <w:snapToGrid w:val="0"/>
              <w:jc w:val="center"/>
            </w:pPr>
            <w:r>
              <w:rPr>
                <w:rFonts w:hint="eastAsia"/>
                <w:color w:val="000000"/>
              </w:rPr>
              <w:t>定制</w:t>
            </w:r>
          </w:p>
        </w:tc>
        <w:tc>
          <w:tcPr>
            <w:tcW w:w="2150" w:type="dxa"/>
            <w:vAlign w:val="center"/>
          </w:tcPr>
          <w:p>
            <w:pPr>
              <w:adjustRightInd w:val="0"/>
              <w:snapToGrid w:val="0"/>
              <w:jc w:val="center"/>
            </w:pPr>
            <w:r>
              <w:rPr>
                <w:rFonts w:hint="eastAsia"/>
                <w:color w:val="000000"/>
              </w:rPr>
              <w:t>各一把，长</w:t>
            </w:r>
            <w:r>
              <w:rPr>
                <w:color w:val="000000"/>
              </w:rPr>
              <w:t>12</w:t>
            </w:r>
            <w:r>
              <w:rPr>
                <w:rFonts w:hint="eastAsia"/>
                <w:color w:val="000000"/>
              </w:rPr>
              <w:t>米</w:t>
            </w:r>
          </w:p>
        </w:tc>
      </w:tr>
    </w:tbl>
    <w:p>
      <w:pPr>
        <w:spacing w:line="480" w:lineRule="exact"/>
        <w:ind w:firstLine="480" w:firstLineChars="200"/>
        <w:rPr>
          <w:rFonts w:ascii="宋体" w:hAnsi="宋体"/>
          <w:bCs/>
          <w:sz w:val="24"/>
        </w:rPr>
      </w:pPr>
      <w:r>
        <w:rPr>
          <w:rFonts w:hint="eastAsia" w:ascii="宋体" w:hAnsi="宋体"/>
          <w:bCs/>
          <w:sz w:val="24"/>
        </w:rPr>
        <w:t>2.6快充检测设备</w:t>
      </w:r>
      <w:r>
        <w:rPr>
          <w:rFonts w:hint="eastAsia" w:asciiTheme="minorEastAsia" w:hAnsiTheme="minorEastAsia" w:eastAsiaTheme="minorEastAsia"/>
          <w:sz w:val="24"/>
          <w:szCs w:val="24"/>
        </w:rPr>
        <w:t>(二期总装车间)</w:t>
      </w:r>
    </w:p>
    <w:tbl>
      <w:tblPr>
        <w:tblStyle w:val="76"/>
        <w:tblW w:w="949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0"/>
        <w:gridCol w:w="3234"/>
        <w:gridCol w:w="1134"/>
        <w:gridCol w:w="2245"/>
        <w:gridCol w:w="215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adjustRightInd w:val="0"/>
              <w:snapToGrid w:val="0"/>
              <w:jc w:val="center"/>
            </w:pPr>
            <w:r>
              <w:rPr>
                <w:rFonts w:hint="eastAsia"/>
              </w:rPr>
              <w:t>序号</w:t>
            </w:r>
          </w:p>
        </w:tc>
        <w:tc>
          <w:tcPr>
            <w:tcW w:w="3234" w:type="dxa"/>
            <w:vAlign w:val="center"/>
          </w:tcPr>
          <w:p>
            <w:pPr>
              <w:adjustRightInd w:val="0"/>
              <w:snapToGrid w:val="0"/>
              <w:jc w:val="center"/>
            </w:pPr>
            <w:r>
              <w:rPr>
                <w:rFonts w:hint="eastAsia"/>
              </w:rPr>
              <w:t>部件名称</w:t>
            </w:r>
          </w:p>
        </w:tc>
        <w:tc>
          <w:tcPr>
            <w:tcW w:w="1134" w:type="dxa"/>
            <w:vAlign w:val="center"/>
          </w:tcPr>
          <w:p>
            <w:pPr>
              <w:adjustRightInd w:val="0"/>
              <w:snapToGrid w:val="0"/>
              <w:jc w:val="center"/>
            </w:pPr>
            <w:r>
              <w:rPr>
                <w:rFonts w:hint="eastAsia"/>
              </w:rPr>
              <w:t>数量/套</w:t>
            </w:r>
          </w:p>
        </w:tc>
        <w:tc>
          <w:tcPr>
            <w:tcW w:w="2245" w:type="dxa"/>
            <w:vAlign w:val="center"/>
          </w:tcPr>
          <w:p>
            <w:pPr>
              <w:adjustRightInd w:val="0"/>
              <w:snapToGrid w:val="0"/>
              <w:jc w:val="center"/>
            </w:pPr>
            <w:r>
              <w:rPr>
                <w:rFonts w:hint="eastAsia"/>
              </w:rPr>
              <w:t>品牌（需双方评审后确定）</w:t>
            </w:r>
          </w:p>
        </w:tc>
        <w:tc>
          <w:tcPr>
            <w:tcW w:w="2150" w:type="dxa"/>
          </w:tcPr>
          <w:p>
            <w:pPr>
              <w:adjustRightInd w:val="0"/>
              <w:snapToGrid w:val="0"/>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1</w:t>
            </w:r>
          </w:p>
        </w:tc>
        <w:tc>
          <w:tcPr>
            <w:tcW w:w="3234" w:type="dxa"/>
            <w:vAlign w:val="center"/>
          </w:tcPr>
          <w:p>
            <w:pPr>
              <w:adjustRightInd w:val="0"/>
              <w:snapToGrid w:val="0"/>
              <w:jc w:val="center"/>
            </w:pPr>
            <w:r>
              <w:t>工控机</w:t>
            </w:r>
            <w:r>
              <w:rPr>
                <w:rFonts w:hint="eastAsia"/>
              </w:rPr>
              <w:t>（6</w:t>
            </w:r>
            <w:r>
              <w:t>10</w:t>
            </w:r>
            <w:r>
              <w:rPr>
                <w:rFonts w:hint="eastAsia"/>
              </w:rPr>
              <w:t>）</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研华或西门子</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2</w:t>
            </w:r>
          </w:p>
        </w:tc>
        <w:tc>
          <w:tcPr>
            <w:tcW w:w="3234" w:type="dxa"/>
            <w:vAlign w:val="center"/>
          </w:tcPr>
          <w:p>
            <w:pPr>
              <w:adjustRightInd w:val="0"/>
              <w:snapToGrid w:val="0"/>
              <w:jc w:val="center"/>
            </w:pPr>
            <w:r>
              <w:rPr>
                <w:rFonts w:hint="eastAsia"/>
              </w:rPr>
              <w:t>P</w:t>
            </w:r>
            <w:r>
              <w:t>DU</w:t>
            </w:r>
            <w:r>
              <w:rPr>
                <w:rFonts w:hint="eastAsia"/>
              </w:rPr>
              <w:t>安全系统</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施耐德、国创</w:t>
            </w:r>
          </w:p>
        </w:tc>
        <w:tc>
          <w:tcPr>
            <w:tcW w:w="2150" w:type="dxa"/>
          </w:tcPr>
          <w:p>
            <w:pPr>
              <w:adjustRightInd w:val="0"/>
              <w:snapToGrid w:val="0"/>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3</w:t>
            </w:r>
          </w:p>
        </w:tc>
        <w:tc>
          <w:tcPr>
            <w:tcW w:w="3234" w:type="dxa"/>
            <w:vAlign w:val="center"/>
          </w:tcPr>
          <w:p>
            <w:pPr>
              <w:adjustRightInd w:val="0"/>
              <w:snapToGrid w:val="0"/>
              <w:jc w:val="center"/>
            </w:pPr>
            <w:r>
              <w:rPr>
                <w:rFonts w:hint="eastAsia"/>
              </w:rPr>
              <w:t>安灯系统</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施耐德、威马</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4</w:t>
            </w:r>
          </w:p>
        </w:tc>
        <w:tc>
          <w:tcPr>
            <w:tcW w:w="3234" w:type="dxa"/>
            <w:vAlign w:val="center"/>
          </w:tcPr>
          <w:p>
            <w:pPr>
              <w:adjustRightInd w:val="0"/>
              <w:snapToGrid w:val="0"/>
              <w:jc w:val="center"/>
              <w:rPr>
                <w:rFonts w:ascii="宋体" w:hAnsi="Calibri" w:cs="宋体"/>
              </w:rPr>
            </w:pPr>
            <w:r>
              <w:rPr>
                <w:rFonts w:hint="eastAsia"/>
              </w:rPr>
              <w:t>按键指示灯</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施耐德、美国伊顿</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5</w:t>
            </w:r>
          </w:p>
        </w:tc>
        <w:tc>
          <w:tcPr>
            <w:tcW w:w="3234" w:type="dxa"/>
            <w:vAlign w:val="center"/>
          </w:tcPr>
          <w:p>
            <w:pPr>
              <w:adjustRightInd w:val="0"/>
              <w:snapToGrid w:val="0"/>
              <w:jc w:val="center"/>
              <w:rPr>
                <w:rFonts w:ascii="宋体" w:hAnsi="Calibri" w:cs="宋体"/>
              </w:rPr>
            </w:pPr>
            <w:r>
              <w:rPr>
                <w:rFonts w:hint="eastAsia"/>
              </w:rPr>
              <w:t>显示器</w:t>
            </w:r>
          </w:p>
        </w:tc>
        <w:tc>
          <w:tcPr>
            <w:tcW w:w="1134" w:type="dxa"/>
            <w:vAlign w:val="center"/>
          </w:tcPr>
          <w:p>
            <w:pPr>
              <w:adjustRightInd w:val="0"/>
              <w:snapToGrid w:val="0"/>
              <w:jc w:val="center"/>
            </w:pPr>
            <w:r>
              <w:rPr>
                <w:rFonts w:hint="eastAsia"/>
              </w:rPr>
              <w:t>1</w:t>
            </w:r>
          </w:p>
        </w:tc>
        <w:tc>
          <w:tcPr>
            <w:tcW w:w="2245" w:type="dxa"/>
            <w:vAlign w:val="center"/>
          </w:tcPr>
          <w:p>
            <w:pPr>
              <w:adjustRightInd w:val="0"/>
              <w:snapToGrid w:val="0"/>
              <w:jc w:val="center"/>
            </w:pPr>
            <w:r>
              <w:rPr>
                <w:rFonts w:hint="eastAsia"/>
              </w:rPr>
              <w:t>飞利浦、dell或诺维世纪</w:t>
            </w:r>
          </w:p>
        </w:tc>
        <w:tc>
          <w:tcPr>
            <w:tcW w:w="2150" w:type="dxa"/>
          </w:tcPr>
          <w:p>
            <w:pPr>
              <w:adjustRightInd w:val="0"/>
              <w:snapToGrid w:val="0"/>
              <w:jc w:val="center"/>
            </w:pPr>
            <w:r>
              <w:rPr>
                <w:rFonts w:hint="eastAsia"/>
              </w:rPr>
              <w:t>工业级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6</w:t>
            </w:r>
          </w:p>
        </w:tc>
        <w:tc>
          <w:tcPr>
            <w:tcW w:w="3234" w:type="dxa"/>
            <w:vAlign w:val="center"/>
          </w:tcPr>
          <w:p>
            <w:pPr>
              <w:adjustRightInd w:val="0"/>
              <w:snapToGrid w:val="0"/>
              <w:jc w:val="center"/>
            </w:pPr>
            <w:r>
              <w:rPr>
                <w:rFonts w:hint="eastAsia" w:ascii="宋体" w:hAnsi="Calibri" w:cs="宋体"/>
              </w:rPr>
              <w:t>扫码</w:t>
            </w:r>
            <w:r>
              <w:t>枪</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斑马、迅宝或霍尼韦尔</w:t>
            </w:r>
          </w:p>
        </w:tc>
        <w:tc>
          <w:tcPr>
            <w:tcW w:w="2150" w:type="dxa"/>
          </w:tcPr>
          <w:p>
            <w:pPr>
              <w:adjustRightInd w:val="0"/>
              <w:snapToGrid w:val="0"/>
              <w:jc w:val="center"/>
            </w:pPr>
            <w:r>
              <w:rPr>
                <w:rFonts w:hint="eastAsia"/>
              </w:rPr>
              <w:t>无线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7</w:t>
            </w:r>
          </w:p>
        </w:tc>
        <w:tc>
          <w:tcPr>
            <w:tcW w:w="3234" w:type="dxa"/>
            <w:vAlign w:val="center"/>
          </w:tcPr>
          <w:p>
            <w:pPr>
              <w:adjustRightInd w:val="0"/>
              <w:snapToGrid w:val="0"/>
              <w:jc w:val="center"/>
            </w:pPr>
            <w:r>
              <w:t>标签打印机</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爱普生/斑马或H</w:t>
            </w:r>
            <w:r>
              <w:t xml:space="preserve">P </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8</w:t>
            </w:r>
          </w:p>
        </w:tc>
        <w:tc>
          <w:tcPr>
            <w:tcW w:w="3234" w:type="dxa"/>
            <w:vAlign w:val="center"/>
          </w:tcPr>
          <w:p>
            <w:pPr>
              <w:adjustRightInd w:val="0"/>
              <w:snapToGrid w:val="0"/>
              <w:jc w:val="center"/>
            </w:pPr>
            <w:r>
              <w:t>DC</w:t>
            </w:r>
            <w:r>
              <w:rPr>
                <w:rFonts w:hint="eastAsia"/>
              </w:rPr>
              <w:t>充电模拟器</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追日或科威尔</w:t>
            </w:r>
          </w:p>
        </w:tc>
        <w:tc>
          <w:tcPr>
            <w:tcW w:w="2150" w:type="dxa"/>
          </w:tcPr>
          <w:p>
            <w:pPr>
              <w:adjustRightInd w:val="0"/>
              <w:snapToGrid w:val="0"/>
              <w:ind w:firstLine="105" w:firstLineChars="50"/>
              <w:jc w:val="center"/>
            </w:pPr>
            <w:r>
              <w:rPr>
                <w:rFonts w:hint="eastAsia"/>
              </w:rPr>
              <w:t>1</w:t>
            </w:r>
            <w:r>
              <w:t>5KW</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9</w:t>
            </w:r>
          </w:p>
        </w:tc>
        <w:tc>
          <w:tcPr>
            <w:tcW w:w="3234" w:type="dxa"/>
            <w:vAlign w:val="center"/>
          </w:tcPr>
          <w:p>
            <w:pPr>
              <w:adjustRightInd w:val="0"/>
              <w:snapToGrid w:val="0"/>
              <w:jc w:val="center"/>
            </w:pPr>
            <w:r>
              <w:t>AC</w:t>
            </w:r>
            <w:r>
              <w:rPr>
                <w:rFonts w:hint="eastAsia"/>
              </w:rPr>
              <w:t>充电模拟器</w:t>
            </w:r>
          </w:p>
        </w:tc>
        <w:tc>
          <w:tcPr>
            <w:tcW w:w="1134" w:type="dxa"/>
            <w:vAlign w:val="center"/>
          </w:tcPr>
          <w:p>
            <w:pPr>
              <w:adjustRightInd w:val="0"/>
              <w:snapToGrid w:val="0"/>
              <w:jc w:val="center"/>
            </w:pPr>
            <w:r>
              <w:rPr>
                <w:rFonts w:hint="eastAsia"/>
              </w:rPr>
              <w:t>若干</w:t>
            </w:r>
          </w:p>
        </w:tc>
        <w:tc>
          <w:tcPr>
            <w:tcW w:w="2245" w:type="dxa"/>
            <w:vAlign w:val="center"/>
          </w:tcPr>
          <w:p>
            <w:pPr>
              <w:adjustRightInd w:val="0"/>
              <w:snapToGrid w:val="0"/>
              <w:jc w:val="center"/>
            </w:pPr>
            <w:r>
              <w:rPr>
                <w:rFonts w:hint="eastAsia"/>
              </w:rPr>
              <w:t>追日或科威尔</w:t>
            </w:r>
          </w:p>
        </w:tc>
        <w:tc>
          <w:tcPr>
            <w:tcW w:w="2150" w:type="dxa"/>
            <w:vAlign w:val="center"/>
          </w:tcPr>
          <w:p>
            <w:pPr>
              <w:adjustRightInd w:val="0"/>
              <w:snapToGrid w:val="0"/>
              <w:jc w:val="center"/>
            </w:pPr>
            <w:r>
              <w:rPr>
                <w:rFonts w:hint="eastAsia"/>
              </w:rPr>
              <w:t>7</w:t>
            </w:r>
            <w:r>
              <w:t>WK</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10</w:t>
            </w:r>
          </w:p>
        </w:tc>
        <w:tc>
          <w:tcPr>
            <w:tcW w:w="3234" w:type="dxa"/>
            <w:vAlign w:val="center"/>
          </w:tcPr>
          <w:p>
            <w:pPr>
              <w:adjustRightInd w:val="0"/>
              <w:snapToGrid w:val="0"/>
              <w:jc w:val="center"/>
            </w:pPr>
            <w:r>
              <w:rPr>
                <w:rFonts w:hint="eastAsia"/>
              </w:rPr>
              <w:t>不间断电源</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山特、艾德克斯或施耐德</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11</w:t>
            </w:r>
          </w:p>
        </w:tc>
        <w:tc>
          <w:tcPr>
            <w:tcW w:w="3234" w:type="dxa"/>
            <w:vAlign w:val="center"/>
          </w:tcPr>
          <w:p>
            <w:pPr>
              <w:adjustRightInd w:val="0"/>
              <w:snapToGrid w:val="0"/>
              <w:jc w:val="center"/>
            </w:pPr>
            <w:r>
              <w:rPr>
                <w:rFonts w:hint="eastAsia"/>
              </w:rPr>
              <w:t>控制柜）</w:t>
            </w:r>
          </w:p>
        </w:tc>
        <w:tc>
          <w:tcPr>
            <w:tcW w:w="1134" w:type="dxa"/>
            <w:vAlign w:val="center"/>
          </w:tcPr>
          <w:p>
            <w:pPr>
              <w:adjustRightInd w:val="0"/>
              <w:snapToGrid w:val="0"/>
              <w:jc w:val="center"/>
            </w:pPr>
            <w:r>
              <w:rPr>
                <w:rFonts w:hint="eastAsia"/>
              </w:rPr>
              <w:t>1</w:t>
            </w:r>
          </w:p>
        </w:tc>
        <w:tc>
          <w:tcPr>
            <w:tcW w:w="2245" w:type="dxa"/>
            <w:vAlign w:val="center"/>
          </w:tcPr>
          <w:p>
            <w:pPr>
              <w:adjustRightInd w:val="0"/>
              <w:snapToGrid w:val="0"/>
              <w:jc w:val="center"/>
            </w:pPr>
            <w:r>
              <w:rPr>
                <w:rFonts w:hint="eastAsia"/>
              </w:rPr>
              <w:t>威图、东安</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t>12</w:t>
            </w:r>
          </w:p>
        </w:tc>
        <w:tc>
          <w:tcPr>
            <w:tcW w:w="3234" w:type="dxa"/>
            <w:vAlign w:val="center"/>
          </w:tcPr>
          <w:p>
            <w:pPr>
              <w:adjustRightInd w:val="0"/>
              <w:snapToGrid w:val="0"/>
              <w:jc w:val="center"/>
            </w:pPr>
            <w:r>
              <w:rPr>
                <w:rFonts w:hint="eastAsia"/>
              </w:rPr>
              <w:t>手持端</w:t>
            </w:r>
          </w:p>
        </w:tc>
        <w:tc>
          <w:tcPr>
            <w:tcW w:w="1134" w:type="dxa"/>
            <w:vAlign w:val="center"/>
          </w:tcPr>
          <w:p>
            <w:pPr>
              <w:adjustRightInd w:val="0"/>
              <w:snapToGrid w:val="0"/>
              <w:jc w:val="center"/>
            </w:pPr>
            <w:r>
              <w:t>1</w:t>
            </w:r>
          </w:p>
        </w:tc>
        <w:tc>
          <w:tcPr>
            <w:tcW w:w="2245" w:type="dxa"/>
            <w:vAlign w:val="center"/>
          </w:tcPr>
          <w:p>
            <w:pPr>
              <w:adjustRightInd w:val="0"/>
              <w:snapToGrid w:val="0"/>
              <w:jc w:val="center"/>
            </w:pPr>
            <w:r>
              <w:rPr>
                <w:rFonts w:hint="eastAsia"/>
              </w:rPr>
              <w:t>定谊、神机或松下</w:t>
            </w:r>
          </w:p>
        </w:tc>
        <w:tc>
          <w:tcPr>
            <w:tcW w:w="2150" w:type="dxa"/>
          </w:tcPr>
          <w:p>
            <w:pPr>
              <w:adjustRightInd w:val="0"/>
              <w:snapToGrid w:val="0"/>
              <w:jc w:val="center"/>
            </w:pPr>
            <w:r>
              <w:rPr>
                <w:rFonts w:hint="eastAsia"/>
              </w:rPr>
              <w:t>各</w:t>
            </w:r>
            <w:r>
              <w:t>一</w:t>
            </w:r>
            <w:r>
              <w:rPr>
                <w:rFonts w:hint="eastAsia"/>
              </w:rPr>
              <w:t>把，</w:t>
            </w:r>
            <w:r>
              <w:t>长</w:t>
            </w:r>
            <w:r>
              <w:rPr>
                <w:rFonts w:hint="eastAsia"/>
              </w:rPr>
              <w:t>1</w:t>
            </w:r>
            <w:r>
              <w:t>2</w:t>
            </w:r>
            <w:r>
              <w:rPr>
                <w:rFonts w:hint="eastAsia"/>
              </w:rPr>
              <w:t>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rPr>
                <w:rFonts w:hint="eastAsia"/>
              </w:rPr>
              <w:t>1</w:t>
            </w:r>
            <w:r>
              <w:t>3</w:t>
            </w:r>
          </w:p>
        </w:tc>
        <w:tc>
          <w:tcPr>
            <w:tcW w:w="3234" w:type="dxa"/>
            <w:vAlign w:val="center"/>
          </w:tcPr>
          <w:p>
            <w:pPr>
              <w:adjustRightInd w:val="0"/>
              <w:snapToGrid w:val="0"/>
              <w:jc w:val="center"/>
            </w:pPr>
            <w:r>
              <w:rPr>
                <w:rFonts w:hint="eastAsia"/>
              </w:rPr>
              <w:t>测试线束</w:t>
            </w:r>
          </w:p>
        </w:tc>
        <w:tc>
          <w:tcPr>
            <w:tcW w:w="1134" w:type="dxa"/>
            <w:vAlign w:val="center"/>
          </w:tcPr>
          <w:p>
            <w:pPr>
              <w:adjustRightInd w:val="0"/>
              <w:snapToGrid w:val="0"/>
              <w:jc w:val="center"/>
            </w:pPr>
            <w:r>
              <w:rPr>
                <w:rFonts w:hint="eastAsia"/>
              </w:rPr>
              <w:t>1</w:t>
            </w:r>
          </w:p>
        </w:tc>
        <w:tc>
          <w:tcPr>
            <w:tcW w:w="2245" w:type="dxa"/>
            <w:vAlign w:val="center"/>
          </w:tcPr>
          <w:p>
            <w:pPr>
              <w:adjustRightInd w:val="0"/>
              <w:snapToGrid w:val="0"/>
              <w:jc w:val="center"/>
            </w:pPr>
            <w:r>
              <w:rPr>
                <w:rFonts w:hint="eastAsia"/>
              </w:rPr>
              <w:t>国创</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rPr>
                <w:rFonts w:hint="eastAsia"/>
              </w:rPr>
              <w:t>1</w:t>
            </w:r>
            <w:r>
              <w:t>4</w:t>
            </w:r>
          </w:p>
        </w:tc>
        <w:tc>
          <w:tcPr>
            <w:tcW w:w="3234" w:type="dxa"/>
            <w:vAlign w:val="center"/>
          </w:tcPr>
          <w:p>
            <w:pPr>
              <w:adjustRightInd w:val="0"/>
              <w:snapToGrid w:val="0"/>
              <w:jc w:val="center"/>
            </w:pPr>
            <w:r>
              <w:rPr>
                <w:rFonts w:hint="eastAsia"/>
              </w:rPr>
              <w:t>测试系统</w:t>
            </w:r>
          </w:p>
        </w:tc>
        <w:tc>
          <w:tcPr>
            <w:tcW w:w="1134" w:type="dxa"/>
            <w:vAlign w:val="center"/>
          </w:tcPr>
          <w:p>
            <w:pPr>
              <w:adjustRightInd w:val="0"/>
              <w:snapToGrid w:val="0"/>
              <w:jc w:val="center"/>
            </w:pPr>
            <w:r>
              <w:rPr>
                <w:rFonts w:hint="eastAsia"/>
              </w:rPr>
              <w:t>1</w:t>
            </w:r>
          </w:p>
        </w:tc>
        <w:tc>
          <w:tcPr>
            <w:tcW w:w="2245" w:type="dxa"/>
            <w:vAlign w:val="center"/>
          </w:tcPr>
          <w:p>
            <w:pPr>
              <w:adjustRightInd w:val="0"/>
              <w:snapToGrid w:val="0"/>
              <w:jc w:val="center"/>
            </w:pPr>
            <w:r>
              <w:rPr>
                <w:rFonts w:hint="eastAsia"/>
              </w:rPr>
              <w:t>国创</w:t>
            </w:r>
          </w:p>
        </w:tc>
        <w:tc>
          <w:tcPr>
            <w:tcW w:w="2150" w:type="dxa"/>
          </w:tcPr>
          <w:p>
            <w:pPr>
              <w:adjustRightInd w:val="0"/>
              <w:snapToGrid w:val="0"/>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730" w:type="dxa"/>
            <w:vAlign w:val="center"/>
          </w:tcPr>
          <w:p>
            <w:pPr>
              <w:jc w:val="center"/>
            </w:pPr>
            <w:r>
              <w:rPr>
                <w:color w:val="000000"/>
              </w:rPr>
              <w:t>15</w:t>
            </w:r>
          </w:p>
        </w:tc>
        <w:tc>
          <w:tcPr>
            <w:tcW w:w="3234" w:type="dxa"/>
            <w:vAlign w:val="center"/>
          </w:tcPr>
          <w:p>
            <w:pPr>
              <w:adjustRightInd w:val="0"/>
              <w:snapToGrid w:val="0"/>
              <w:jc w:val="center"/>
            </w:pPr>
            <w:r>
              <w:rPr>
                <w:rFonts w:hint="eastAsia"/>
                <w:color w:val="000000"/>
              </w:rPr>
              <w:t>快充电枪</w:t>
            </w:r>
          </w:p>
        </w:tc>
        <w:tc>
          <w:tcPr>
            <w:tcW w:w="1134" w:type="dxa"/>
            <w:vAlign w:val="center"/>
          </w:tcPr>
          <w:p>
            <w:pPr>
              <w:adjustRightInd w:val="0"/>
              <w:snapToGrid w:val="0"/>
              <w:jc w:val="center"/>
            </w:pPr>
            <w:r>
              <w:rPr>
                <w:color w:val="000000"/>
              </w:rPr>
              <w:t>2</w:t>
            </w:r>
          </w:p>
        </w:tc>
        <w:tc>
          <w:tcPr>
            <w:tcW w:w="2245" w:type="dxa"/>
            <w:vAlign w:val="center"/>
          </w:tcPr>
          <w:p>
            <w:pPr>
              <w:adjustRightInd w:val="0"/>
              <w:snapToGrid w:val="0"/>
              <w:jc w:val="center"/>
            </w:pPr>
            <w:r>
              <w:rPr>
                <w:rFonts w:hint="eastAsia"/>
                <w:color w:val="000000"/>
              </w:rPr>
              <w:t>定制</w:t>
            </w:r>
          </w:p>
        </w:tc>
        <w:tc>
          <w:tcPr>
            <w:tcW w:w="2150" w:type="dxa"/>
            <w:vAlign w:val="center"/>
          </w:tcPr>
          <w:p>
            <w:pPr>
              <w:adjustRightInd w:val="0"/>
              <w:snapToGrid w:val="0"/>
              <w:jc w:val="center"/>
            </w:pPr>
            <w:r>
              <w:rPr>
                <w:rFonts w:hint="eastAsia"/>
                <w:color w:val="000000"/>
              </w:rPr>
              <w:t>各一把，长</w:t>
            </w:r>
            <w:r>
              <w:rPr>
                <w:color w:val="000000"/>
              </w:rPr>
              <w:t>12</w:t>
            </w:r>
            <w:r>
              <w:rPr>
                <w:rFonts w:hint="eastAsia"/>
                <w:color w:val="000000"/>
              </w:rPr>
              <w:t>米</w:t>
            </w:r>
          </w:p>
        </w:tc>
      </w:tr>
    </w:tbl>
    <w:p>
      <w:pPr>
        <w:spacing w:line="360" w:lineRule="auto"/>
        <w:rPr>
          <w:rFonts w:ascii="宋体" w:hAnsi="宋体"/>
          <w:b/>
          <w:bCs/>
          <w:sz w:val="24"/>
          <w:szCs w:val="24"/>
        </w:rPr>
      </w:pPr>
    </w:p>
    <w:p>
      <w:pPr>
        <w:spacing w:line="360" w:lineRule="auto"/>
        <w:rPr>
          <w:rFonts w:ascii="宋体" w:hAnsi="宋体"/>
          <w:b/>
          <w:bCs/>
          <w:sz w:val="24"/>
          <w:szCs w:val="24"/>
        </w:rPr>
      </w:pPr>
      <w:r>
        <w:rPr>
          <w:rFonts w:hint="eastAsia" w:ascii="宋体" w:hAnsi="宋体"/>
          <w:b/>
          <w:bCs/>
          <w:sz w:val="24"/>
          <w:szCs w:val="24"/>
        </w:rPr>
        <w:t>3、全生命周期费用（LCC）</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3.1 投标方应测算设备的全生命周期费用（LCC）、运行维持费用及费用分解构成，并在投标文件中列出。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3.2 全生命周期费用（LCC）主要指设备的维持费用，包括设备在设计使用寿命内的备品备件投入，日常维护（维保）费用，大（项）修费用，及检修方法。</w:t>
      </w:r>
    </w:p>
    <w:p>
      <w:pPr>
        <w:spacing w:line="360" w:lineRule="auto"/>
        <w:rPr>
          <w:rFonts w:ascii="宋体" w:hAnsi="宋体"/>
          <w:b/>
          <w:bCs/>
          <w:sz w:val="24"/>
          <w:szCs w:val="24"/>
        </w:rPr>
      </w:pPr>
      <w:r>
        <w:rPr>
          <w:rFonts w:hint="eastAsia" w:ascii="宋体" w:hAnsi="宋体"/>
          <w:b/>
          <w:bCs/>
          <w:sz w:val="24"/>
          <w:szCs w:val="24"/>
        </w:rPr>
        <w:t>4、备件供给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4.1 投标方应保证备品备件长期稳定的供货。对主要设备或与主设备功能相同的兼容性替代品，其备品的供货期至少是设备验收后十五年或该设备退出市场后五年(二者之中取时间长的一种)。当投标方决定中断所提供的备品备件供应时，应预先告知招标方，以便招标方增加这些备品备件储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4.2 投标方应提供有关备品备件的保管资料，如：存放期限、温度、湿度、是否需干燥剂等。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4.3 招标文件所指备品备件、易损件和专用耗材，是招标方为保证设备质保期之后正常运行一年所自备自用的备品备件、易损件和专用耗材；质保期内需更换的备品备件、易损件和专用耗材等均应包含在总价内，招标方不承担质保期内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4.4 投标方应免费提供满足设备正常运行一年所需的备品备件、易损件和专用耗材，并附详细清单（包括名称、型号、规格、单位、数量、生产厂家、单价、总价等条目）。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4.5</w:t>
      </w:r>
      <w:r>
        <w:rPr>
          <w:rFonts w:hint="eastAsia" w:ascii="宋体" w:hAnsi="宋体" w:cs="宋体"/>
          <w:kern w:val="0"/>
          <w:sz w:val="24"/>
          <w:szCs w:val="24"/>
          <w:lang w:val="it-IT" w:eastAsia="it-IT"/>
        </w:rPr>
        <w:t>随</w:t>
      </w:r>
      <w:r>
        <w:rPr>
          <w:rFonts w:hint="eastAsia" w:ascii="宋体" w:hAnsi="宋体"/>
          <w:kern w:val="0"/>
          <w:sz w:val="24"/>
          <w:szCs w:val="24"/>
          <w:lang w:val="it-IT" w:eastAsia="it-IT"/>
        </w:rPr>
        <w:t>机备件和易损件占本项目合同总价</w:t>
      </w:r>
      <w:r>
        <w:rPr>
          <w:kern w:val="0"/>
          <w:sz w:val="24"/>
          <w:szCs w:val="24"/>
          <w:lang w:val="it-IT"/>
        </w:rPr>
        <w:t>1</w:t>
      </w:r>
      <w:r>
        <w:rPr>
          <w:kern w:val="0"/>
          <w:sz w:val="24"/>
          <w:szCs w:val="24"/>
          <w:lang w:val="it-IT" w:eastAsia="it-IT"/>
        </w:rPr>
        <w:t>%</w:t>
      </w:r>
      <w:r>
        <w:rPr>
          <w:rFonts w:hint="eastAsia" w:ascii="宋体" w:hAnsi="宋体"/>
          <w:kern w:val="0"/>
          <w:sz w:val="24"/>
          <w:szCs w:val="24"/>
          <w:lang w:val="it-IT" w:eastAsia="it-IT"/>
        </w:rPr>
        <w:t>，在图纸会签时，</w:t>
      </w:r>
      <w:r>
        <w:rPr>
          <w:rFonts w:hint="eastAsia" w:ascii="宋体" w:hAnsi="宋体"/>
          <w:kern w:val="0"/>
          <w:sz w:val="24"/>
          <w:szCs w:val="24"/>
          <w:lang w:val="it-IT"/>
        </w:rPr>
        <w:t>投标</w:t>
      </w:r>
      <w:r>
        <w:rPr>
          <w:rFonts w:hint="eastAsia" w:ascii="宋体" w:hAnsi="宋体"/>
          <w:kern w:val="0"/>
          <w:sz w:val="24"/>
          <w:szCs w:val="24"/>
          <w:lang w:val="it-IT" w:eastAsia="it-IT"/>
        </w:rPr>
        <w:t>方应提供所有机械和电气元件清单（备件名称、型号规格或订货号、装机数量、生产厂家、单价、金额），由</w:t>
      </w:r>
      <w:r>
        <w:rPr>
          <w:rFonts w:hint="eastAsia" w:ascii="宋体" w:hAnsi="宋体"/>
          <w:kern w:val="0"/>
          <w:sz w:val="24"/>
          <w:szCs w:val="24"/>
          <w:lang w:val="it-IT"/>
        </w:rPr>
        <w:t>招标方</w:t>
      </w:r>
      <w:r>
        <w:rPr>
          <w:rFonts w:hint="eastAsia" w:ascii="宋体" w:hAnsi="宋体"/>
          <w:kern w:val="0"/>
          <w:sz w:val="24"/>
          <w:szCs w:val="24"/>
          <w:lang w:val="it-IT" w:eastAsia="it-IT"/>
        </w:rPr>
        <w:t>挑选、确认。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4.6投标方应提供易损件和专用耗材的制造图纸及其技术要求等资料。</w:t>
      </w:r>
    </w:p>
    <w:p>
      <w:pPr>
        <w:spacing w:line="360" w:lineRule="auto"/>
        <w:rPr>
          <w:rFonts w:ascii="宋体" w:hAnsi="宋体"/>
          <w:b/>
          <w:bCs/>
          <w:sz w:val="24"/>
          <w:szCs w:val="24"/>
        </w:rPr>
      </w:pPr>
      <w:r>
        <w:rPr>
          <w:rFonts w:hint="eastAsia" w:ascii="宋体" w:hAnsi="宋体"/>
          <w:b/>
          <w:bCs/>
          <w:sz w:val="24"/>
          <w:szCs w:val="24"/>
        </w:rPr>
        <w:t>5、节能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5.1 优先采购节能产品和环境标志产品。可参照节能机电设备（产品）推荐目录（工信部）、“能效之星”产品目录（工信部）。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5.2 建议电动机等部件的能效等级不低于国家现行标准二级能效。进口产品的能效不应低于原产国现行能效标准二级能效。如：对应欧洲标准电动机的能效等级不低于IE3。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5.3 不应采购列入国家高耗能落后机电设备（产品）淘汰目录的产品（工信部）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5.4 能源计量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5.4.1 主要用能设备应当按照GB17167《用能单位能源计量器具配备和管理通则》的要求配备能源计量器具。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5.4.2 当主要用能设备能源消耗量（或功率）达到下列限定值时，应当配备能源计量器具：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--电力：100KW; 多功能电能表的准确度等级应不低于2.0级。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--其他：29.26GJ/h；计量表的准确度等级应不低于2.0级。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5.4.3 设备能源消耗（或功率）虽达不到5.4.2的要求，但对需要测量能源消耗或能效的关键设备应当加装能源计量仪表。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5.4.4 能源计量仪表应带远传功能，通讯应满足工业通讯的要求。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5.4.5 加装能源计量仪表的要求应写入设备招标文件，并包含在投标价格内。</w:t>
      </w:r>
    </w:p>
    <w:p>
      <w:pPr>
        <w:spacing w:line="360" w:lineRule="auto"/>
        <w:rPr>
          <w:rFonts w:ascii="宋体" w:hAnsi="宋体"/>
          <w:b/>
          <w:bCs/>
          <w:sz w:val="24"/>
          <w:szCs w:val="24"/>
        </w:rPr>
      </w:pPr>
      <w:r>
        <w:rPr>
          <w:rFonts w:hint="eastAsia" w:ascii="宋体" w:hAnsi="宋体"/>
          <w:b/>
          <w:bCs/>
          <w:sz w:val="24"/>
          <w:szCs w:val="24"/>
        </w:rPr>
        <w:t>6、设备设计使用寿命（年限）</w:t>
      </w:r>
    </w:p>
    <w:p>
      <w:pPr>
        <w:spacing w:line="360" w:lineRule="auto"/>
        <w:ind w:firstLine="480" w:firstLineChars="200"/>
        <w:rPr>
          <w:rFonts w:ascii="宋体" w:hAnsi="宋体"/>
          <w:sz w:val="24"/>
          <w:szCs w:val="24"/>
        </w:rPr>
      </w:pPr>
      <w:r>
        <w:rPr>
          <w:rFonts w:hint="eastAsia" w:ascii="宋体" w:hAnsi="宋体"/>
          <w:sz w:val="24"/>
          <w:szCs w:val="24"/>
        </w:rPr>
        <w:t>设备设计使用寿命不应低于15年。</w:t>
      </w:r>
    </w:p>
    <w:p>
      <w:pPr>
        <w:spacing w:line="360" w:lineRule="auto"/>
        <w:rPr>
          <w:rFonts w:ascii="宋体" w:hAnsi="宋体"/>
          <w:b/>
          <w:bCs/>
          <w:sz w:val="24"/>
          <w:szCs w:val="24"/>
        </w:rPr>
      </w:pPr>
      <w:r>
        <w:rPr>
          <w:rFonts w:hint="eastAsia" w:ascii="宋体" w:hAnsi="宋体"/>
          <w:b/>
          <w:bCs/>
          <w:sz w:val="24"/>
          <w:szCs w:val="24"/>
        </w:rPr>
        <w:t>7、易维修性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7.1 投标方对设备可维修性进行描述，设备在设计、制造、布局、安装时应充分考虑了后续维修的易维修性、可修复性和维修作业的安全、可操作性。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7.2 在正式提交的设备资料中应当包含设备的维修作业文件。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7.3 投标方在投标文件中应说明设备在维保方面的信息，包含但不限于：易损件清单、耗材清单、定期维保项目清单等，上述清单应包含单价。</w:t>
      </w:r>
    </w:p>
    <w:bookmarkEnd w:id="68"/>
    <w:p>
      <w:pPr>
        <w:pStyle w:val="3"/>
        <w:tabs>
          <w:tab w:val="left" w:pos="2400"/>
          <w:tab w:val="clear" w:pos="9061"/>
        </w:tabs>
        <w:spacing w:line="360" w:lineRule="auto"/>
        <w:jc w:val="both"/>
        <w:rPr>
          <w:rFonts w:hint="eastAsia" w:ascii="仿宋_GB2312" w:hAnsi="宋体" w:eastAsia="仿宋_GB2312"/>
          <w:sz w:val="32"/>
          <w:szCs w:val="32"/>
        </w:rPr>
      </w:pPr>
      <w:bookmarkStart w:id="81" w:name="_Toc159998021"/>
      <w:bookmarkStart w:id="82" w:name="_Toc44953432"/>
      <w:bookmarkStart w:id="83" w:name="_Toc100395320"/>
      <w:r>
        <w:rPr>
          <w:rFonts w:hint="eastAsia" w:ascii="仿宋_GB2312" w:hAnsi="宋体" w:eastAsia="仿宋_GB2312"/>
          <w:sz w:val="32"/>
          <w:szCs w:val="32"/>
        </w:rPr>
        <w:t>四、技术要求</w:t>
      </w:r>
      <w:bookmarkEnd w:id="81"/>
      <w:bookmarkEnd w:id="82"/>
      <w:r>
        <w:rPr>
          <w:rFonts w:hint="eastAsia" w:ascii="仿宋_GB2312" w:hAnsi="宋体" w:eastAsia="仿宋_GB2312"/>
          <w:sz w:val="32"/>
          <w:szCs w:val="32"/>
        </w:rPr>
        <w:t>及工艺流程</w:t>
      </w:r>
      <w:bookmarkEnd w:id="83"/>
    </w:p>
    <w:p>
      <w:pPr>
        <w:spacing w:line="360" w:lineRule="auto"/>
        <w:rPr>
          <w:rFonts w:ascii="宋体" w:hAnsi="宋体"/>
          <w:sz w:val="24"/>
          <w:szCs w:val="24"/>
        </w:rPr>
      </w:pPr>
      <w:r>
        <w:rPr>
          <w:rFonts w:hint="eastAsia" w:ascii="宋体" w:hAnsi="宋体"/>
          <w:b/>
          <w:bCs/>
          <w:sz w:val="24"/>
          <w:szCs w:val="24"/>
        </w:rPr>
        <w:t>1.招标设备技术要求</w:t>
      </w:r>
    </w:p>
    <w:p>
      <w:pPr>
        <w:spacing w:line="360" w:lineRule="auto"/>
        <w:rPr>
          <w:rFonts w:ascii="宋体" w:hAnsi="宋体"/>
          <w:b/>
          <w:sz w:val="24"/>
          <w:szCs w:val="24"/>
        </w:rPr>
      </w:pPr>
      <w:r>
        <w:rPr>
          <w:rFonts w:hint="eastAsia" w:ascii="宋体" w:hAnsi="宋体"/>
          <w:b/>
          <w:sz w:val="24"/>
          <w:szCs w:val="24"/>
        </w:rPr>
        <w:t>1.1 基本要求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1.1.1 投标方所供设备（或材料），必须符合中国最新版的法律、法规和相关标准、规范的要求，符合项目所在地政府有关特殊要求；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1.1.2 投标方应对招标方提出的各项技术要求同意进行技术（担保）承诺，并保证招标方不因此受到任何侵权指控和实际损失；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1.1.3 投标方应保证所供设备（或材料）的先进性、可靠性、经济性和实用性，并为全新设备（或材料）；</w:t>
      </w:r>
    </w:p>
    <w:p>
      <w:pPr>
        <w:spacing w:line="360" w:lineRule="auto"/>
        <w:jc w:val="left"/>
        <w:rPr>
          <w:rFonts w:ascii="宋体" w:hAnsi="宋体"/>
          <w:b/>
          <w:sz w:val="24"/>
          <w:szCs w:val="24"/>
        </w:rPr>
      </w:pPr>
      <w:r>
        <w:rPr>
          <w:rFonts w:hint="eastAsia" w:ascii="宋体" w:hAnsi="宋体"/>
          <w:b/>
          <w:sz w:val="24"/>
          <w:szCs w:val="24"/>
        </w:rPr>
        <w:t>1.2 执行标准</w:t>
      </w:r>
    </w:p>
    <w:p>
      <w:pPr>
        <w:spacing w:line="360" w:lineRule="auto"/>
        <w:ind w:firstLine="480" w:firstLineChars="200"/>
        <w:rPr>
          <w:rFonts w:ascii="宋体" w:hAnsi="宋体"/>
          <w:sz w:val="24"/>
          <w:szCs w:val="24"/>
        </w:rPr>
      </w:pPr>
      <w:r>
        <w:rPr>
          <w:rFonts w:hint="eastAsia" w:ascii="宋体" w:hAnsi="宋体"/>
          <w:sz w:val="24"/>
          <w:szCs w:val="24"/>
        </w:rPr>
        <w:t>投标方应提供与设备设计、制造、安装相关的国家、行业的标准，标准应为有效的。设备制造、安装调试、检验和验收按下列标准、规范、规程等技术文件执行。若中标方厂标高于所述标准时优先选用厂家标准。</w:t>
      </w:r>
    </w:p>
    <w:p>
      <w:pPr>
        <w:spacing w:line="360" w:lineRule="auto"/>
        <w:ind w:firstLine="480" w:firstLineChars="200"/>
        <w:rPr>
          <w:rFonts w:ascii="宋体" w:hAnsi="宋体"/>
          <w:sz w:val="24"/>
          <w:szCs w:val="24"/>
        </w:rPr>
      </w:pPr>
      <w:r>
        <w:rPr>
          <w:rFonts w:hint="eastAsia" w:ascii="宋体" w:hAnsi="宋体"/>
          <w:sz w:val="24"/>
          <w:szCs w:val="24"/>
        </w:rPr>
        <w:t>设备颜色标识满足重汽《设备设施颜色标识》标准Q/ZZ 30070-2020。</w:t>
      </w:r>
    </w:p>
    <w:p>
      <w:pPr>
        <w:adjustRightInd w:val="0"/>
        <w:snapToGrid w:val="0"/>
        <w:spacing w:line="360" w:lineRule="auto"/>
        <w:ind w:firstLine="480" w:firstLineChars="200"/>
        <w:rPr>
          <w:rFonts w:ascii="宋体" w:hAnsi="宋体"/>
          <w:sz w:val="24"/>
          <w:szCs w:val="24"/>
        </w:rPr>
      </w:pPr>
      <w:r>
        <w:rPr>
          <w:rFonts w:hint="eastAsia" w:ascii="宋体" w:hAnsi="宋体"/>
          <w:sz w:val="24"/>
          <w:szCs w:val="24"/>
        </w:rPr>
        <w:t>设备的测试符合各种安全法规包括 IEC、EN、UL、CSA、GB、JIS 等。</w:t>
      </w:r>
    </w:p>
    <w:p>
      <w:pPr>
        <w:adjustRightInd w:val="0"/>
        <w:snapToGrid w:val="0"/>
        <w:spacing w:line="360" w:lineRule="auto"/>
        <w:ind w:firstLine="480" w:firstLineChars="200"/>
        <w:rPr>
          <w:rFonts w:ascii="宋体" w:hAnsi="宋体"/>
          <w:sz w:val="24"/>
          <w:szCs w:val="24"/>
        </w:rPr>
      </w:pPr>
      <w:r>
        <w:rPr>
          <w:rFonts w:hint="eastAsia" w:ascii="宋体" w:hAnsi="宋体"/>
          <w:sz w:val="24"/>
          <w:szCs w:val="24"/>
        </w:rPr>
        <w:t>按照国标GB7258《机动车安全运行技术条件》、</w:t>
      </w:r>
      <w:r>
        <w:rPr>
          <w:rFonts w:ascii="宋体" w:hAnsi="宋体"/>
          <w:sz w:val="24"/>
          <w:szCs w:val="24"/>
        </w:rPr>
        <w:t>GBT 18384</w:t>
      </w:r>
      <w:r>
        <w:rPr>
          <w:rFonts w:hint="eastAsia" w:ascii="宋体" w:hAnsi="宋体"/>
          <w:sz w:val="24"/>
          <w:szCs w:val="24"/>
        </w:rPr>
        <w:t>以及《新能源汽车生产企业及产品准入管理规定》规定的要求和检验方法进行。设备应满足下列文件相关</w:t>
      </w:r>
      <w:r>
        <w:rPr>
          <w:rFonts w:ascii="宋体" w:hAnsi="宋体"/>
          <w:sz w:val="24"/>
          <w:szCs w:val="24"/>
        </w:rPr>
        <w:t>要求</w:t>
      </w:r>
      <w:r>
        <w:rPr>
          <w:rFonts w:hint="eastAsia" w:ascii="宋体" w:hAnsi="宋体"/>
          <w:sz w:val="24"/>
          <w:szCs w:val="24"/>
        </w:rPr>
        <w:t>：</w:t>
      </w:r>
    </w:p>
    <w:p>
      <w:pPr>
        <w:pStyle w:val="69"/>
        <w:spacing w:before="0" w:beforeAutospacing="0" w:after="0" w:afterAutospacing="0" w:line="360" w:lineRule="auto"/>
        <w:ind w:left="840" w:hanging="420"/>
        <w:jc w:val="both"/>
        <w:rPr>
          <w:rFonts w:cs="Times New Roman"/>
          <w:kern w:val="2"/>
        </w:rPr>
      </w:pPr>
      <w:r>
        <w:rPr>
          <w:rFonts w:cs="Times New Roman"/>
          <w:kern w:val="2"/>
        </w:rPr>
        <w:t xml:space="preserve">GB 18384-2020电动汽车安全要求 </w:t>
      </w:r>
    </w:p>
    <w:p>
      <w:pPr>
        <w:pStyle w:val="69"/>
        <w:spacing w:before="0" w:beforeAutospacing="0" w:after="0" w:afterAutospacing="0" w:line="360" w:lineRule="auto"/>
        <w:ind w:left="840" w:hanging="420"/>
        <w:jc w:val="both"/>
        <w:rPr>
          <w:rFonts w:cs="Times New Roman"/>
          <w:kern w:val="2"/>
        </w:rPr>
      </w:pPr>
      <w:r>
        <w:rPr>
          <w:rFonts w:cs="Times New Roman"/>
          <w:kern w:val="2"/>
        </w:rPr>
        <w:t xml:space="preserve">GB 38032-2020  </w:t>
      </w:r>
      <w:r>
        <w:rPr>
          <w:rFonts w:hint="eastAsia" w:cs="Times New Roman"/>
          <w:kern w:val="2"/>
        </w:rPr>
        <w:t>电动客车安全要求</w:t>
      </w:r>
      <w:r>
        <w:rPr>
          <w:rFonts w:cs="Times New Roman"/>
          <w:kern w:val="2"/>
        </w:rPr>
        <w:t xml:space="preserve"> </w:t>
      </w:r>
    </w:p>
    <w:p>
      <w:pPr>
        <w:adjustRightInd w:val="0"/>
        <w:snapToGrid w:val="0"/>
        <w:spacing w:line="360" w:lineRule="auto"/>
        <w:ind w:firstLine="480" w:firstLineChars="200"/>
        <w:rPr>
          <w:rFonts w:ascii="宋体" w:hAnsi="宋体"/>
          <w:sz w:val="24"/>
          <w:szCs w:val="24"/>
        </w:rPr>
      </w:pPr>
      <w:r>
        <w:rPr>
          <w:rFonts w:ascii="宋体" w:hAnsi="宋体"/>
          <w:sz w:val="24"/>
          <w:szCs w:val="24"/>
        </w:rPr>
        <w:t>GBT 18487.1电动汽车传导充电系统+第1部分：通用要求</w:t>
      </w:r>
    </w:p>
    <w:p>
      <w:pPr>
        <w:adjustRightInd w:val="0"/>
        <w:snapToGrid w:val="0"/>
        <w:spacing w:line="360" w:lineRule="auto"/>
        <w:ind w:firstLine="480" w:firstLineChars="200"/>
        <w:rPr>
          <w:rFonts w:ascii="宋体" w:hAnsi="宋体"/>
          <w:sz w:val="24"/>
          <w:szCs w:val="24"/>
        </w:rPr>
      </w:pPr>
      <w:r>
        <w:rPr>
          <w:rFonts w:ascii="宋体" w:hAnsi="宋体"/>
          <w:sz w:val="24"/>
          <w:szCs w:val="24"/>
        </w:rPr>
        <w:t>GBT 18487.2电动车辆传导充电系统  电动车辆与交流直流电源的连接要求</w:t>
      </w:r>
    </w:p>
    <w:p>
      <w:pPr>
        <w:adjustRightInd w:val="0"/>
        <w:snapToGrid w:val="0"/>
        <w:spacing w:line="360" w:lineRule="auto"/>
        <w:ind w:firstLine="480" w:firstLineChars="200"/>
        <w:rPr>
          <w:rFonts w:ascii="宋体" w:hAnsi="宋体"/>
          <w:sz w:val="24"/>
          <w:szCs w:val="24"/>
        </w:rPr>
      </w:pPr>
      <w:r>
        <w:rPr>
          <w:rFonts w:ascii="宋体" w:hAnsi="宋体"/>
          <w:sz w:val="24"/>
          <w:szCs w:val="24"/>
        </w:rPr>
        <w:t>GBT 18487.3电动车辆传导充电系统_电动车辆交流、直流充电机(站)</w:t>
      </w:r>
    </w:p>
    <w:p>
      <w:pPr>
        <w:adjustRightInd w:val="0"/>
        <w:snapToGrid w:val="0"/>
        <w:spacing w:line="360" w:lineRule="auto"/>
        <w:ind w:firstLine="480" w:firstLineChars="200"/>
        <w:rPr>
          <w:rFonts w:ascii="宋体" w:hAnsi="宋体"/>
          <w:sz w:val="24"/>
          <w:szCs w:val="24"/>
        </w:rPr>
      </w:pPr>
      <w:r>
        <w:rPr>
          <w:rFonts w:ascii="宋体" w:hAnsi="宋体"/>
          <w:sz w:val="24"/>
          <w:szCs w:val="24"/>
        </w:rPr>
        <w:t>GBT 27930电动汽车非车载传导式充电机与电池管理系统之间的通信协议</w:t>
      </w:r>
    </w:p>
    <w:p>
      <w:pPr>
        <w:adjustRightInd w:val="0"/>
        <w:snapToGrid w:val="0"/>
        <w:spacing w:line="360" w:lineRule="auto"/>
        <w:ind w:firstLine="480" w:firstLineChars="200"/>
        <w:rPr>
          <w:rFonts w:ascii="宋体" w:hAnsi="宋体"/>
          <w:sz w:val="24"/>
          <w:szCs w:val="24"/>
        </w:rPr>
      </w:pPr>
      <w:r>
        <w:rPr>
          <w:rFonts w:ascii="宋体" w:hAnsi="宋体"/>
          <w:sz w:val="24"/>
          <w:szCs w:val="24"/>
        </w:rPr>
        <w:t>GBT 34658《电动汽车非车载传导式充电机与电池管理系统之间的通信协议一致性测试 》</w:t>
      </w:r>
    </w:p>
    <w:p>
      <w:pPr>
        <w:adjustRightInd w:val="0"/>
        <w:snapToGrid w:val="0"/>
        <w:spacing w:line="360" w:lineRule="auto"/>
        <w:ind w:firstLine="480" w:firstLineChars="200"/>
        <w:rPr>
          <w:rFonts w:ascii="宋体" w:hAnsi="宋体"/>
          <w:sz w:val="24"/>
          <w:szCs w:val="24"/>
        </w:rPr>
      </w:pPr>
      <w:r>
        <w:rPr>
          <w:rFonts w:ascii="宋体" w:hAnsi="宋体"/>
          <w:sz w:val="24"/>
          <w:szCs w:val="24"/>
        </w:rPr>
        <w:t>GBT 20234.1电动汽车传导充电用连接装置 第1部分 通用要求</w:t>
      </w:r>
    </w:p>
    <w:p>
      <w:pPr>
        <w:adjustRightInd w:val="0"/>
        <w:snapToGrid w:val="0"/>
        <w:spacing w:line="360" w:lineRule="auto"/>
        <w:ind w:firstLine="480" w:firstLineChars="200"/>
        <w:rPr>
          <w:rFonts w:ascii="宋体" w:hAnsi="宋体"/>
          <w:sz w:val="24"/>
          <w:szCs w:val="24"/>
        </w:rPr>
      </w:pPr>
      <w:r>
        <w:rPr>
          <w:rFonts w:ascii="宋体" w:hAnsi="宋体"/>
          <w:sz w:val="24"/>
          <w:szCs w:val="24"/>
        </w:rPr>
        <w:t>GBT 20234.2电动汽车传导充电用连接装置 第2部分 交流充电接口</w:t>
      </w:r>
    </w:p>
    <w:p>
      <w:pPr>
        <w:adjustRightInd w:val="0"/>
        <w:snapToGrid w:val="0"/>
        <w:spacing w:line="360" w:lineRule="auto"/>
        <w:ind w:firstLine="480" w:firstLineChars="200"/>
        <w:rPr>
          <w:rFonts w:ascii="宋体" w:hAnsi="宋体"/>
          <w:sz w:val="24"/>
          <w:szCs w:val="24"/>
        </w:rPr>
      </w:pPr>
      <w:r>
        <w:rPr>
          <w:rFonts w:ascii="宋体" w:hAnsi="宋体"/>
          <w:sz w:val="24"/>
          <w:szCs w:val="24"/>
        </w:rPr>
        <w:t>GBT 20234.3电动汽车传导充电用连接装置 第3部分 直流充电接口</w:t>
      </w:r>
    </w:p>
    <w:p>
      <w:pPr>
        <w:adjustRightInd w:val="0"/>
        <w:snapToGrid w:val="0"/>
        <w:spacing w:line="360" w:lineRule="auto"/>
        <w:ind w:firstLine="480" w:firstLineChars="200"/>
        <w:rPr>
          <w:rFonts w:ascii="宋体" w:hAnsi="宋体"/>
          <w:sz w:val="24"/>
          <w:szCs w:val="24"/>
        </w:rPr>
      </w:pPr>
      <w:r>
        <w:rPr>
          <w:rFonts w:hint="eastAsia" w:ascii="宋体" w:hAnsi="宋体"/>
          <w:sz w:val="24"/>
          <w:szCs w:val="24"/>
        </w:rPr>
        <w:t>噪音符合中华人民共和国国家职业卫生标准 工业企业设计卫生标准（GBZ1-2002）。</w:t>
      </w:r>
    </w:p>
    <w:p>
      <w:pPr>
        <w:pStyle w:val="69"/>
        <w:spacing w:before="0" w:beforeAutospacing="0" w:after="0" w:afterAutospacing="0" w:line="360" w:lineRule="auto"/>
        <w:ind w:left="840" w:hanging="420"/>
        <w:jc w:val="both"/>
        <w:rPr>
          <w:rFonts w:cs="Times New Roman"/>
          <w:kern w:val="2"/>
        </w:rPr>
      </w:pPr>
      <w:r>
        <w:rPr>
          <w:rFonts w:hint="eastAsia" w:cs="Times New Roman"/>
          <w:kern w:val="2"/>
        </w:rPr>
        <w:t>注：凡是不注日期的标准文件，如在设备制造时标准更新，应以最新标准为准。</w:t>
      </w:r>
      <w:r>
        <w:rPr>
          <w:rFonts w:cs="Times New Roman"/>
          <w:kern w:val="2"/>
        </w:rPr>
        <w:t xml:space="preserve"> </w:t>
      </w:r>
    </w:p>
    <w:p>
      <w:pPr>
        <w:spacing w:line="360" w:lineRule="auto"/>
        <w:jc w:val="left"/>
        <w:rPr>
          <w:rFonts w:ascii="宋体" w:hAnsi="宋体"/>
          <w:b/>
          <w:sz w:val="24"/>
          <w:szCs w:val="24"/>
        </w:rPr>
      </w:pPr>
      <w:r>
        <w:rPr>
          <w:rFonts w:hint="eastAsia" w:ascii="宋体" w:hAnsi="宋体"/>
          <w:b/>
          <w:sz w:val="24"/>
          <w:szCs w:val="24"/>
        </w:rPr>
        <w:t>1.3.项目内容：</w:t>
      </w:r>
    </w:p>
    <w:p>
      <w:pPr>
        <w:spacing w:line="360" w:lineRule="auto"/>
        <w:ind w:firstLine="480" w:firstLineChars="200"/>
        <w:jc w:val="left"/>
        <w:rPr>
          <w:rFonts w:ascii="宋体" w:hAnsi="宋体"/>
          <w:sz w:val="24"/>
          <w:szCs w:val="24"/>
        </w:rPr>
      </w:pPr>
      <w:r>
        <w:rPr>
          <w:rFonts w:hint="eastAsia" w:ascii="宋体" w:hAnsi="宋体"/>
          <w:sz w:val="24"/>
          <w:szCs w:val="24"/>
        </w:rPr>
        <w:t>本项目的总体设计和项目管理，提供以下供货范围设计的所有具体设计、项目管理、制造、包装、运输、存储、安装、调试、培训、试生产、验收、生产陪伴及售后服务等工作。</w:t>
      </w:r>
    </w:p>
    <w:p>
      <w:pPr>
        <w:spacing w:line="360" w:lineRule="auto"/>
        <w:ind w:firstLine="480" w:firstLineChars="200"/>
        <w:jc w:val="left"/>
        <w:rPr>
          <w:rFonts w:ascii="宋体" w:hAnsi="宋体"/>
          <w:sz w:val="24"/>
          <w:szCs w:val="24"/>
        </w:rPr>
      </w:pPr>
      <w:r>
        <w:rPr>
          <w:rFonts w:hint="eastAsia" w:ascii="宋体" w:hAnsi="宋体"/>
          <w:sz w:val="24"/>
          <w:szCs w:val="24"/>
        </w:rPr>
        <w:t>项目工作内容包括但不限于以下部分，投标方对方案的完整性负责。</w:t>
      </w:r>
    </w:p>
    <w:p>
      <w:pPr>
        <w:spacing w:line="360" w:lineRule="auto"/>
        <w:ind w:firstLine="480" w:firstLineChars="200"/>
        <w:jc w:val="left"/>
        <w:rPr>
          <w:rFonts w:ascii="宋体" w:hAnsi="宋体"/>
          <w:sz w:val="24"/>
          <w:szCs w:val="24"/>
        </w:rPr>
      </w:pPr>
      <w:r>
        <w:rPr>
          <w:rFonts w:hint="eastAsia" w:ascii="宋体" w:hAnsi="宋体"/>
          <w:sz w:val="24"/>
          <w:szCs w:val="24"/>
        </w:rPr>
        <w:t>1）工艺方案的详细设计；</w:t>
      </w:r>
    </w:p>
    <w:p>
      <w:pPr>
        <w:spacing w:line="360" w:lineRule="auto"/>
        <w:ind w:firstLine="480" w:firstLineChars="200"/>
        <w:jc w:val="left"/>
        <w:rPr>
          <w:rFonts w:ascii="宋体" w:hAnsi="宋体"/>
          <w:sz w:val="24"/>
          <w:szCs w:val="24"/>
        </w:rPr>
      </w:pPr>
      <w:r>
        <w:rPr>
          <w:rFonts w:hint="eastAsia" w:ascii="宋体" w:hAnsi="宋体"/>
          <w:sz w:val="24"/>
          <w:szCs w:val="24"/>
        </w:rPr>
        <w:t>2）项目实施后的试生产陪伴、验收及项目管理。</w:t>
      </w:r>
    </w:p>
    <w:p>
      <w:pPr>
        <w:spacing w:line="360" w:lineRule="auto"/>
        <w:jc w:val="left"/>
        <w:rPr>
          <w:rFonts w:hint="eastAsia" w:ascii="宋体" w:hAnsi="宋体"/>
          <w:b/>
          <w:sz w:val="24"/>
          <w:szCs w:val="24"/>
        </w:rPr>
      </w:pPr>
      <w:r>
        <w:rPr>
          <w:rFonts w:hint="eastAsia" w:ascii="宋体" w:hAnsi="宋体"/>
          <w:b/>
          <w:sz w:val="24"/>
          <w:szCs w:val="24"/>
        </w:rPr>
        <w:t xml:space="preserve">1.4设备用途： </w:t>
      </w:r>
    </w:p>
    <w:p>
      <w:pPr>
        <w:spacing w:line="360" w:lineRule="auto"/>
        <w:ind w:firstLine="480" w:firstLineChars="200"/>
        <w:jc w:val="left"/>
        <w:rPr>
          <w:rFonts w:ascii="宋体" w:hAnsi="宋体"/>
          <w:sz w:val="24"/>
          <w:szCs w:val="24"/>
        </w:rPr>
      </w:pPr>
      <w:r>
        <w:rPr>
          <w:rFonts w:hint="eastAsia" w:ascii="宋体" w:hAnsi="宋体"/>
          <w:sz w:val="24"/>
          <w:szCs w:val="24"/>
        </w:rPr>
        <w:t>1）淋雨线</w:t>
      </w:r>
      <w:r>
        <w:rPr>
          <w:rFonts w:ascii="宋体" w:hAnsi="宋体"/>
          <w:sz w:val="24"/>
          <w:szCs w:val="24"/>
        </w:rPr>
        <w:t>后</w:t>
      </w:r>
      <w:r>
        <w:rPr>
          <w:rFonts w:hint="eastAsia" w:ascii="宋体" w:hAnsi="宋体"/>
          <w:sz w:val="24"/>
          <w:szCs w:val="24"/>
        </w:rPr>
        <w:t>新能源安规检测设备，布置在二期调试车间，设备用于完成总装车间淋雨后绝缘电阻</w:t>
      </w:r>
      <w:r>
        <w:rPr>
          <w:rFonts w:ascii="宋体" w:hAnsi="宋体"/>
          <w:sz w:val="24"/>
          <w:szCs w:val="24"/>
        </w:rPr>
        <w:t>检测</w:t>
      </w:r>
      <w:r>
        <w:rPr>
          <w:rFonts w:hint="eastAsia" w:ascii="宋体" w:hAnsi="宋体"/>
          <w:sz w:val="24"/>
          <w:szCs w:val="24"/>
        </w:rPr>
        <w:t>、交、直流充电口安规测试(</w:t>
      </w:r>
      <w:r>
        <w:rPr>
          <w:rFonts w:hint="eastAsia" w:asciiTheme="minorEastAsia" w:hAnsiTheme="minorEastAsia" w:eastAsiaTheme="minorEastAsia"/>
          <w:color w:val="000000" w:themeColor="text1"/>
          <w:sz w:val="24"/>
          <w:szCs w:val="24"/>
          <w14:textFill>
            <w14:solidFill>
              <w14:schemeClr w14:val="tx1"/>
            </w14:solidFill>
          </w14:textFill>
        </w:rPr>
        <w:t>纯电动皮卡</w:t>
      </w:r>
      <w:r>
        <w:rPr>
          <w:rFonts w:ascii="宋体" w:hAnsi="宋体"/>
          <w:sz w:val="24"/>
          <w:szCs w:val="24"/>
        </w:rPr>
        <w:t>车型</w:t>
      </w:r>
      <w:r>
        <w:rPr>
          <w:rFonts w:hint="eastAsia" w:ascii="宋体" w:hAnsi="宋体"/>
          <w:sz w:val="24"/>
          <w:szCs w:val="24"/>
        </w:rPr>
        <w:t>)。</w:t>
      </w:r>
    </w:p>
    <w:p>
      <w:pPr>
        <w:spacing w:line="360" w:lineRule="auto"/>
        <w:ind w:firstLine="480" w:firstLineChars="200"/>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sz w:val="24"/>
          <w:szCs w:val="24"/>
        </w:rPr>
        <w:t>2）</w:t>
      </w:r>
      <w:r>
        <w:rPr>
          <w:rFonts w:hint="eastAsia" w:asciiTheme="minorEastAsia" w:hAnsiTheme="minorEastAsia" w:eastAsiaTheme="minorEastAsia"/>
          <w:color w:val="000000" w:themeColor="text1"/>
          <w:sz w:val="24"/>
          <w:szCs w:val="24"/>
          <w14:textFill>
            <w14:solidFill>
              <w14:schemeClr w14:val="tx1"/>
            </w14:solidFill>
          </w14:textFill>
        </w:rPr>
        <w:t>新能源安规下线检测设备，</w:t>
      </w:r>
      <w:r>
        <w:rPr>
          <w:rFonts w:hint="eastAsia" w:asciiTheme="minorEastAsia" w:hAnsiTheme="minorEastAsia" w:eastAsiaTheme="minorEastAsia"/>
          <w:sz w:val="24"/>
          <w:szCs w:val="24"/>
        </w:rPr>
        <w:t>布置在二期总装车间，设备用于纯电皮卡的安规检测，包括充电绝缘电阻测试、整车绝缘电阻测试插座、电位均衡测试、电容耦合及BMS数据分析等。。</w:t>
      </w:r>
    </w:p>
    <w:p>
      <w:pPr>
        <w:spacing w:line="360" w:lineRule="auto"/>
        <w:ind w:firstLine="480" w:firstLineChars="200"/>
        <w:jc w:val="left"/>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3）快充检测设备，布置在总装车间内总装皮卡车间，用于纯电皮卡检测快充电口功能是否正常及BMS数据分析等；</w:t>
      </w:r>
    </w:p>
    <w:p>
      <w:pPr>
        <w:spacing w:line="360" w:lineRule="auto"/>
        <w:jc w:val="left"/>
        <w:rPr>
          <w:rFonts w:hint="eastAsia" w:ascii="宋体" w:hAnsi="宋体"/>
          <w:b/>
          <w:sz w:val="24"/>
          <w:szCs w:val="24"/>
        </w:rPr>
      </w:pPr>
      <w:r>
        <w:rPr>
          <w:rFonts w:hint="eastAsia" w:ascii="宋体" w:hAnsi="宋体"/>
          <w:b/>
          <w:sz w:val="24"/>
          <w:szCs w:val="24"/>
        </w:rPr>
        <w:t>1.5主要检测内容：</w:t>
      </w:r>
    </w:p>
    <w:p>
      <w:pPr>
        <w:spacing w:line="360" w:lineRule="auto"/>
        <w:ind w:firstLine="480" w:firstLineChars="200"/>
        <w:jc w:val="left"/>
        <w:rPr>
          <w:rFonts w:ascii="宋体" w:hAnsi="宋体"/>
          <w:sz w:val="24"/>
          <w:szCs w:val="24"/>
        </w:rPr>
      </w:pPr>
      <w:r>
        <w:rPr>
          <w:rFonts w:ascii="宋体" w:hAnsi="宋体"/>
          <w:sz w:val="24"/>
          <w:szCs w:val="24"/>
        </w:rPr>
        <w:t>1</w:t>
      </w:r>
      <w:r>
        <w:rPr>
          <w:rFonts w:hint="eastAsia" w:ascii="宋体" w:hAnsi="宋体"/>
          <w:sz w:val="24"/>
          <w:szCs w:val="24"/>
        </w:rPr>
        <w:t>） 整车绝缘电阻测试：负载的绝缘电阻测试，需在整车断电情况下进行。测试共</w:t>
      </w:r>
      <w:r>
        <w:rPr>
          <w:rFonts w:ascii="宋体" w:hAnsi="宋体"/>
          <w:sz w:val="24"/>
          <w:szCs w:val="24"/>
        </w:rPr>
        <w:t>2</w:t>
      </w:r>
      <w:r>
        <w:rPr>
          <w:rFonts w:hint="eastAsia" w:ascii="宋体" w:hAnsi="宋体"/>
          <w:sz w:val="24"/>
          <w:szCs w:val="24"/>
        </w:rPr>
        <w:t>步，分别测试正、负极对电平台的绝缘电阻。测试仪提供直流高压，加载至高压电线和车架之间，通过测试电阻值确定整车高压负载的绝缘能力；</w:t>
      </w:r>
      <w:r>
        <w:rPr>
          <w:rFonts w:ascii="宋体" w:hAnsi="宋体"/>
          <w:sz w:val="24"/>
          <w:szCs w:val="24"/>
        </w:rPr>
        <w:t>同时进行</w:t>
      </w:r>
      <w:r>
        <w:rPr>
          <w:rFonts w:hint="eastAsia" w:ascii="宋体" w:hAnsi="宋体"/>
          <w:sz w:val="24"/>
          <w:szCs w:val="24"/>
        </w:rPr>
        <w:t>充电</w:t>
      </w:r>
      <w:r>
        <w:rPr>
          <w:rFonts w:ascii="宋体" w:hAnsi="宋体"/>
          <w:sz w:val="24"/>
          <w:szCs w:val="24"/>
        </w:rPr>
        <w:t>插座</w:t>
      </w:r>
      <w:r>
        <w:rPr>
          <w:rFonts w:hint="eastAsia" w:ascii="宋体" w:hAnsi="宋体"/>
          <w:sz w:val="24"/>
          <w:szCs w:val="24"/>
        </w:rPr>
        <w:t>绝缘电阻测试。</w:t>
      </w:r>
    </w:p>
    <w:p>
      <w:pPr>
        <w:spacing w:line="360" w:lineRule="auto"/>
        <w:ind w:firstLine="480" w:firstLineChars="200"/>
        <w:jc w:val="left"/>
        <w:rPr>
          <w:rFonts w:ascii="宋体" w:hAnsi="宋体"/>
          <w:sz w:val="24"/>
          <w:szCs w:val="24"/>
        </w:rPr>
      </w:pPr>
      <w:r>
        <w:rPr>
          <w:rFonts w:hint="eastAsia" w:ascii="宋体" w:hAnsi="宋体"/>
          <w:sz w:val="24"/>
          <w:szCs w:val="24"/>
        </w:rPr>
        <w:t>A.</w:t>
      </w:r>
      <w:r>
        <w:rPr>
          <w:rFonts w:ascii="宋体" w:hAnsi="宋体"/>
          <w:sz w:val="24"/>
          <w:szCs w:val="24"/>
        </w:rPr>
        <w:t xml:space="preserve"> </w:t>
      </w:r>
      <w:r>
        <w:rPr>
          <w:rFonts w:hint="eastAsia" w:ascii="宋体" w:hAnsi="宋体"/>
          <w:sz w:val="24"/>
          <w:szCs w:val="24"/>
        </w:rPr>
        <w:t>含</w:t>
      </w:r>
      <w:r>
        <w:rPr>
          <w:rFonts w:hint="eastAsia" w:asciiTheme="minorEastAsia" w:hAnsiTheme="minorEastAsia" w:eastAsiaTheme="minorEastAsia"/>
          <w:sz w:val="24"/>
          <w:szCs w:val="24"/>
        </w:rPr>
        <w:t>B级</w:t>
      </w:r>
      <w:r>
        <w:rPr>
          <w:rFonts w:hint="eastAsia" w:ascii="宋体" w:hAnsi="宋体"/>
          <w:sz w:val="24"/>
          <w:szCs w:val="24"/>
        </w:rPr>
        <w:t>整车绝缘电阻测试方法（快充口方式，通过快充口可连通到整车母线的车型）:</w:t>
      </w:r>
    </w:p>
    <w:p>
      <w:pPr>
        <w:spacing w:line="360" w:lineRule="auto"/>
        <w:ind w:firstLine="480" w:firstLineChars="200"/>
        <w:jc w:val="left"/>
        <w:rPr>
          <w:rFonts w:ascii="宋体" w:hAnsi="宋体"/>
          <w:sz w:val="24"/>
          <w:szCs w:val="24"/>
        </w:rPr>
      </w:pPr>
      <w:r>
        <w:rPr>
          <w:rFonts w:hint="eastAsia" w:ascii="宋体" w:hAnsi="宋体"/>
          <w:sz w:val="24"/>
          <w:szCs w:val="24"/>
        </w:rPr>
        <w:t>a）车辆断电，保证整车的所有电力，电子开关处于非激活状态；</w:t>
      </w:r>
    </w:p>
    <w:p>
      <w:pPr>
        <w:spacing w:line="360" w:lineRule="auto"/>
        <w:ind w:firstLine="480" w:firstLineChars="200"/>
        <w:jc w:val="left"/>
        <w:rPr>
          <w:rFonts w:ascii="宋体" w:hAnsi="宋体"/>
          <w:sz w:val="24"/>
          <w:szCs w:val="24"/>
        </w:rPr>
      </w:pPr>
      <w:r>
        <w:rPr>
          <w:rFonts w:hint="eastAsia" w:ascii="宋体" w:hAnsi="宋体"/>
          <w:sz w:val="24"/>
          <w:szCs w:val="24"/>
        </w:rPr>
        <w:t>b) 插快充枪，通过快充口使车辆上电激活，闭合相关继电器，通过CAN协议关闭车辆绝缘监测功能；</w:t>
      </w:r>
    </w:p>
    <w:p>
      <w:pPr>
        <w:spacing w:line="360" w:lineRule="auto"/>
        <w:ind w:firstLine="480" w:firstLineChars="200"/>
        <w:jc w:val="left"/>
        <w:rPr>
          <w:rFonts w:ascii="宋体" w:hAnsi="宋体"/>
          <w:sz w:val="24"/>
          <w:szCs w:val="24"/>
        </w:rPr>
      </w:pPr>
      <w:r>
        <w:rPr>
          <w:rFonts w:hint="eastAsia" w:ascii="宋体" w:hAnsi="宋体"/>
          <w:sz w:val="24"/>
          <w:szCs w:val="24"/>
        </w:rPr>
        <w:t>c) 用相同的两个电压检测工具同时测量 REESS 的两个端子和电平台之间的电压；</w:t>
      </w:r>
    </w:p>
    <w:p>
      <w:pPr>
        <w:spacing w:line="360" w:lineRule="auto"/>
        <w:ind w:firstLine="480" w:firstLineChars="200"/>
        <w:jc w:val="left"/>
        <w:rPr>
          <w:rFonts w:ascii="宋体" w:hAnsi="宋体"/>
          <w:sz w:val="24"/>
          <w:szCs w:val="24"/>
        </w:rPr>
      </w:pPr>
      <w:r>
        <w:rPr>
          <w:rFonts w:hint="eastAsia" w:ascii="宋体" w:hAnsi="宋体"/>
          <w:sz w:val="24"/>
          <w:szCs w:val="24"/>
        </w:rPr>
        <w:t>d）施加一个已知电阻到REESS的两个端子与电平台中电压高的一端；</w:t>
      </w:r>
    </w:p>
    <w:p>
      <w:pPr>
        <w:spacing w:line="360" w:lineRule="auto"/>
        <w:ind w:firstLine="480" w:firstLineChars="200"/>
        <w:jc w:val="left"/>
        <w:rPr>
          <w:rFonts w:ascii="宋体" w:hAnsi="宋体"/>
          <w:sz w:val="24"/>
          <w:szCs w:val="24"/>
        </w:rPr>
      </w:pPr>
      <w:r>
        <w:rPr>
          <w:rFonts w:hint="eastAsia" w:ascii="宋体" w:hAnsi="宋体"/>
          <w:sz w:val="24"/>
          <w:szCs w:val="24"/>
        </w:rPr>
        <w:t>e) 用相同的两个电压检测工具再次同时测量 REESS 的两个端子和电平台之间的电压；</w:t>
      </w:r>
    </w:p>
    <w:p>
      <w:pPr>
        <w:spacing w:line="360" w:lineRule="auto"/>
        <w:ind w:firstLine="480" w:firstLineChars="200"/>
        <w:jc w:val="left"/>
        <w:rPr>
          <w:rFonts w:ascii="宋体" w:hAnsi="宋体"/>
          <w:sz w:val="24"/>
          <w:szCs w:val="24"/>
        </w:rPr>
      </w:pPr>
      <w:r>
        <w:rPr>
          <w:rFonts w:hint="eastAsia" w:ascii="宋体" w:hAnsi="宋体"/>
          <w:sz w:val="24"/>
          <w:szCs w:val="24"/>
        </w:rPr>
        <w:t>f) 将测量的4个电压值代入GB 18384-2020国标中的公式计算出绝缘电阻值；</w:t>
      </w:r>
    </w:p>
    <w:p>
      <w:pPr>
        <w:spacing w:line="360" w:lineRule="auto"/>
        <w:ind w:firstLine="480" w:firstLineChars="200"/>
        <w:jc w:val="left"/>
        <w:rPr>
          <w:rFonts w:ascii="宋体" w:hAnsi="宋体"/>
          <w:sz w:val="24"/>
          <w:szCs w:val="24"/>
        </w:rPr>
      </w:pPr>
      <w:r>
        <w:rPr>
          <w:rFonts w:ascii="宋体" w:hAnsi="宋体"/>
          <w:sz w:val="24"/>
          <w:szCs w:val="24"/>
        </w:rPr>
        <w:t xml:space="preserve">B. </w:t>
      </w:r>
      <w:r>
        <w:rPr>
          <w:rFonts w:hint="eastAsia" w:ascii="宋体" w:hAnsi="宋体"/>
          <w:sz w:val="24"/>
          <w:szCs w:val="24"/>
        </w:rPr>
        <w:t>含</w:t>
      </w:r>
      <w:r>
        <w:rPr>
          <w:rFonts w:hint="eastAsia" w:asciiTheme="minorEastAsia" w:hAnsiTheme="minorEastAsia" w:eastAsiaTheme="minorEastAsia"/>
          <w:sz w:val="24"/>
          <w:szCs w:val="24"/>
        </w:rPr>
        <w:t>B级</w:t>
      </w:r>
      <w:r>
        <w:rPr>
          <w:rFonts w:hint="eastAsia" w:ascii="宋体" w:hAnsi="宋体"/>
          <w:sz w:val="24"/>
          <w:szCs w:val="24"/>
        </w:rPr>
        <w:t>整车绝缘电阻测试方法（对接口方式）: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sz w:val="24"/>
          <w:szCs w:val="24"/>
        </w:rPr>
      </w:pPr>
      <w:r>
        <w:rPr>
          <w:rFonts w:hint="eastAsia" w:ascii="宋体" w:hAnsi="宋体"/>
          <w:sz w:val="24"/>
          <w:szCs w:val="24"/>
        </w:rPr>
        <w:t>a）将测试线通过对接口接入测试车辆的高压母线；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sz w:val="24"/>
          <w:szCs w:val="24"/>
        </w:rPr>
      </w:pPr>
      <w:r>
        <w:rPr>
          <w:rFonts w:hint="eastAsia" w:ascii="宋体" w:hAnsi="宋体"/>
          <w:sz w:val="24"/>
          <w:szCs w:val="24"/>
        </w:rPr>
        <w:t>b) 车辆上电，保证整车的所有电力，电子开关处于激活状态；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sz w:val="24"/>
          <w:szCs w:val="24"/>
        </w:rPr>
      </w:pPr>
      <w:r>
        <w:rPr>
          <w:rFonts w:hint="eastAsia" w:ascii="宋体" w:hAnsi="宋体"/>
          <w:sz w:val="24"/>
          <w:szCs w:val="24"/>
        </w:rPr>
        <w:t>c) 通过CAN协议关闭车辆绝缘监测功能；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sz w:val="24"/>
          <w:szCs w:val="24"/>
        </w:rPr>
      </w:pPr>
      <w:r>
        <w:rPr>
          <w:rFonts w:hint="eastAsia" w:ascii="宋体" w:hAnsi="宋体"/>
          <w:sz w:val="24"/>
          <w:szCs w:val="24"/>
        </w:rPr>
        <w:t>d) 用相同的两个电压检测工具同时测量 REESS 的两个端子和电平台之间的电压；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sz w:val="24"/>
          <w:szCs w:val="24"/>
        </w:rPr>
      </w:pPr>
      <w:r>
        <w:rPr>
          <w:rFonts w:hint="eastAsia" w:ascii="宋体" w:hAnsi="宋体"/>
          <w:sz w:val="24"/>
          <w:szCs w:val="24"/>
        </w:rPr>
        <w:t>e）施加一个已知电阻到REESS的两个端子与电平台中电压高的一端；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sz w:val="24"/>
          <w:szCs w:val="24"/>
        </w:rPr>
      </w:pPr>
      <w:r>
        <w:rPr>
          <w:rFonts w:hint="eastAsia" w:ascii="宋体" w:hAnsi="宋体"/>
          <w:sz w:val="24"/>
          <w:szCs w:val="24"/>
        </w:rPr>
        <w:t>f) 用相同的两个电压检测工具再次同时测量 REESS 的两个端子和电平台之间的电压；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sz w:val="24"/>
          <w:szCs w:val="24"/>
        </w:rPr>
      </w:pPr>
      <w:r>
        <w:rPr>
          <w:rFonts w:hint="eastAsia" w:ascii="宋体" w:hAnsi="宋体"/>
          <w:sz w:val="24"/>
          <w:szCs w:val="24"/>
        </w:rPr>
        <w:t>g) 将测量的4个电压值代入GB 18384-2020国标中的公式计算出绝缘电阻值；</w:t>
      </w:r>
    </w:p>
    <w:p>
      <w:pPr>
        <w:spacing w:line="360" w:lineRule="auto"/>
        <w:ind w:firstLine="480" w:firstLineChars="200"/>
        <w:jc w:val="left"/>
        <w:rPr>
          <w:rFonts w:ascii="宋体" w:hAnsi="宋体"/>
          <w:sz w:val="24"/>
          <w:szCs w:val="24"/>
        </w:rPr>
      </w:pPr>
      <w:r>
        <w:rPr>
          <w:rFonts w:hint="eastAsia" w:ascii="宋体" w:hAnsi="宋体"/>
          <w:sz w:val="24"/>
          <w:szCs w:val="24"/>
        </w:rPr>
        <w:t>C.</w:t>
      </w:r>
      <w:r>
        <w:rPr>
          <w:rFonts w:ascii="宋体" w:hAnsi="宋体"/>
          <w:sz w:val="24"/>
          <w:szCs w:val="24"/>
        </w:rPr>
        <w:t xml:space="preserve"> </w:t>
      </w:r>
      <w:r>
        <w:rPr>
          <w:rFonts w:hint="eastAsia" w:ascii="宋体" w:hAnsi="宋体"/>
          <w:sz w:val="24"/>
          <w:szCs w:val="24"/>
        </w:rPr>
        <w:t>不含</w:t>
      </w:r>
      <w:r>
        <w:rPr>
          <w:rFonts w:hint="eastAsia" w:asciiTheme="minorEastAsia" w:hAnsiTheme="minorEastAsia" w:eastAsiaTheme="minorEastAsia"/>
          <w:sz w:val="24"/>
          <w:szCs w:val="24"/>
        </w:rPr>
        <w:t>轻卡</w:t>
      </w:r>
      <w:r>
        <w:rPr>
          <w:rFonts w:hint="eastAsia" w:ascii="宋体" w:hAnsi="宋体"/>
          <w:sz w:val="24"/>
          <w:szCs w:val="24"/>
        </w:rPr>
        <w:t>整车绝缘电阻测试方法：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sz w:val="24"/>
          <w:szCs w:val="24"/>
        </w:rPr>
      </w:pPr>
      <w:r>
        <w:rPr>
          <w:rFonts w:hint="eastAsia" w:ascii="宋体" w:hAnsi="宋体"/>
          <w:sz w:val="24"/>
          <w:szCs w:val="24"/>
        </w:rPr>
        <w:t>a）将测试线通过对接口接入测试车辆的高压母线；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sz w:val="24"/>
          <w:szCs w:val="24"/>
        </w:rPr>
      </w:pPr>
      <w:r>
        <w:rPr>
          <w:rFonts w:hint="eastAsia" w:ascii="宋体" w:hAnsi="宋体"/>
          <w:sz w:val="24"/>
          <w:szCs w:val="24"/>
        </w:rPr>
        <w:t>b) 车辆断高压电，保证车辆电池包主继电器断开，通过低压电控制母线与各高压部件继电器闭合；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sz w:val="24"/>
          <w:szCs w:val="24"/>
        </w:rPr>
      </w:pPr>
      <w:r>
        <w:rPr>
          <w:rFonts w:hint="eastAsia" w:ascii="宋体" w:hAnsi="宋体"/>
          <w:sz w:val="24"/>
          <w:szCs w:val="24"/>
        </w:rPr>
        <w:t xml:space="preserve">c) 测试设备通过测试线对整车高压母线与车架之间施加直流高压，测量绝缘电阻值；  </w:t>
      </w:r>
    </w:p>
    <w:p>
      <w:pPr>
        <w:spacing w:line="360" w:lineRule="auto"/>
        <w:ind w:firstLine="480" w:firstLineChars="200"/>
        <w:jc w:val="left"/>
        <w:rPr>
          <w:rFonts w:ascii="宋体" w:hAnsi="宋体"/>
          <w:sz w:val="24"/>
          <w:szCs w:val="24"/>
        </w:rPr>
      </w:pPr>
      <w:r>
        <w:rPr>
          <w:rFonts w:ascii="宋体" w:hAnsi="宋体"/>
          <w:sz w:val="24"/>
          <w:szCs w:val="24"/>
        </w:rPr>
        <w:t>2）</w:t>
      </w:r>
      <w:r>
        <w:rPr>
          <w:rFonts w:hint="eastAsia" w:ascii="宋体" w:hAnsi="宋体"/>
          <w:sz w:val="24"/>
          <w:szCs w:val="24"/>
        </w:rPr>
        <w:t>充电</w:t>
      </w:r>
      <w:r>
        <w:rPr>
          <w:rFonts w:ascii="宋体" w:hAnsi="宋体"/>
          <w:sz w:val="24"/>
          <w:szCs w:val="24"/>
        </w:rPr>
        <w:t>插座</w:t>
      </w:r>
      <w:r>
        <w:rPr>
          <w:rFonts w:hint="eastAsia" w:ascii="宋体" w:hAnsi="宋体"/>
          <w:sz w:val="24"/>
          <w:szCs w:val="24"/>
        </w:rPr>
        <w:t>绝缘电阻测试：</w:t>
      </w:r>
    </w:p>
    <w:p>
      <w:pPr>
        <w:spacing w:line="360" w:lineRule="auto"/>
        <w:ind w:firstLine="480" w:firstLineChars="200"/>
        <w:jc w:val="left"/>
        <w:rPr>
          <w:rFonts w:ascii="宋体" w:hAnsi="宋体"/>
          <w:sz w:val="24"/>
          <w:szCs w:val="24"/>
        </w:rPr>
      </w:pPr>
      <w:r>
        <w:rPr>
          <w:rFonts w:hint="eastAsia" w:ascii="宋体" w:hAnsi="宋体"/>
          <w:sz w:val="24"/>
          <w:szCs w:val="24"/>
        </w:rPr>
        <w:t>测试方法及条件：</w:t>
      </w:r>
    </w:p>
    <w:p>
      <w:pPr>
        <w:spacing w:line="360" w:lineRule="auto"/>
        <w:ind w:firstLine="480" w:firstLineChars="200"/>
        <w:rPr>
          <w:rFonts w:ascii="宋体" w:hAnsi="宋体"/>
          <w:sz w:val="24"/>
          <w:szCs w:val="24"/>
        </w:rPr>
      </w:pPr>
      <w:r>
        <w:rPr>
          <w:rFonts w:hint="eastAsia" w:ascii="宋体" w:hAnsi="宋体"/>
          <w:sz w:val="24"/>
          <w:szCs w:val="24"/>
        </w:rPr>
        <w:t>a）使车辆断电，保证整车的所有电力，电子开关处于非激活状态；</w:t>
      </w:r>
    </w:p>
    <w:p>
      <w:pPr>
        <w:spacing w:line="360" w:lineRule="auto"/>
        <w:ind w:firstLine="480" w:firstLineChars="200"/>
        <w:rPr>
          <w:rFonts w:ascii="宋体" w:hAnsi="宋体"/>
          <w:sz w:val="24"/>
          <w:szCs w:val="24"/>
        </w:rPr>
      </w:pPr>
      <w:r>
        <w:rPr>
          <w:rFonts w:hint="eastAsia" w:ascii="宋体" w:hAnsi="宋体"/>
          <w:sz w:val="24"/>
          <w:szCs w:val="24"/>
        </w:rPr>
        <w:t>b）工控机控制启动绝缘电阻测试设备，分别测试充电插座各高压端子与PE线之间的绝缘电阻值，测试设备的检测电压要求大于最高充电电压；</w:t>
      </w:r>
    </w:p>
    <w:p>
      <w:pPr>
        <w:spacing w:line="360" w:lineRule="auto"/>
        <w:ind w:firstLine="480" w:firstLineChars="200"/>
        <w:rPr>
          <w:rFonts w:ascii="宋体" w:hAnsi="宋体"/>
          <w:sz w:val="24"/>
          <w:szCs w:val="24"/>
        </w:rPr>
      </w:pPr>
      <w:r>
        <w:rPr>
          <w:rFonts w:hint="eastAsia" w:ascii="宋体" w:hAnsi="宋体"/>
          <w:sz w:val="24"/>
          <w:szCs w:val="24"/>
        </w:rPr>
        <w:t>c）计算测得电阻值并联的电阻值，即为充电插座的绝缘电阻。</w:t>
      </w:r>
    </w:p>
    <w:p>
      <w:pPr>
        <w:spacing w:line="360" w:lineRule="auto"/>
        <w:ind w:firstLine="480" w:firstLineChars="200"/>
        <w:rPr>
          <w:rFonts w:ascii="宋体" w:hAnsi="宋体"/>
          <w:sz w:val="24"/>
          <w:szCs w:val="24"/>
        </w:rPr>
      </w:pPr>
      <w:r>
        <w:rPr>
          <w:rFonts w:hint="eastAsia" w:ascii="宋体" w:hAnsi="宋体"/>
          <w:sz w:val="24"/>
          <w:szCs w:val="24"/>
        </w:rPr>
        <w:t>3）电池组绝缘测试，需在整车断电情况下进行</w:t>
      </w:r>
    </w:p>
    <w:p>
      <w:pPr>
        <w:widowControl/>
        <w:numPr>
          <w:ilvl w:val="0"/>
          <w:numId w:val="14"/>
        </w:numPr>
        <w:spacing w:line="360" w:lineRule="auto"/>
        <w:ind w:left="1080"/>
        <w:jc w:val="left"/>
        <w:rPr>
          <w:rFonts w:ascii="宋体" w:hAnsi="宋体"/>
          <w:sz w:val="24"/>
          <w:szCs w:val="24"/>
        </w:rPr>
      </w:pPr>
      <w:r>
        <w:rPr>
          <w:rFonts w:hint="eastAsia" w:ascii="宋体" w:hAnsi="宋体"/>
          <w:sz w:val="24"/>
          <w:szCs w:val="24"/>
        </w:rPr>
        <w:t>依据</w:t>
      </w:r>
      <w:r>
        <w:rPr>
          <w:rFonts w:ascii="宋体" w:hAnsi="宋体"/>
          <w:sz w:val="24"/>
          <w:szCs w:val="24"/>
        </w:rPr>
        <w:t>GB 18384</w:t>
      </w:r>
      <w:r>
        <w:rPr>
          <w:rFonts w:hint="eastAsia" w:ascii="宋体" w:hAnsi="宋体"/>
          <w:sz w:val="24"/>
          <w:szCs w:val="24"/>
        </w:rPr>
        <w:t>对电源部分绝缘电阻的测试要求，测试分两步：</w:t>
      </w:r>
    </w:p>
    <w:p>
      <w:pPr>
        <w:widowControl/>
        <w:numPr>
          <w:ilvl w:val="0"/>
          <w:numId w:val="14"/>
        </w:numPr>
        <w:spacing w:line="360" w:lineRule="auto"/>
        <w:ind w:left="1080"/>
        <w:jc w:val="left"/>
        <w:rPr>
          <w:rFonts w:ascii="宋体" w:hAnsi="宋体"/>
          <w:sz w:val="24"/>
          <w:szCs w:val="24"/>
        </w:rPr>
      </w:pPr>
      <w:r>
        <w:rPr>
          <w:rFonts w:hint="eastAsia" w:ascii="宋体" w:hAnsi="宋体"/>
          <w:sz w:val="24"/>
          <w:szCs w:val="24"/>
        </w:rPr>
        <w:t>第一步分别测试电池组输出正、输出负与车身的电压值；</w:t>
      </w:r>
    </w:p>
    <w:p>
      <w:pPr>
        <w:widowControl/>
        <w:numPr>
          <w:ilvl w:val="0"/>
          <w:numId w:val="14"/>
        </w:numPr>
        <w:spacing w:line="360" w:lineRule="auto"/>
        <w:ind w:left="1080"/>
        <w:jc w:val="left"/>
        <w:rPr>
          <w:rFonts w:ascii="宋体" w:hAnsi="宋体"/>
          <w:sz w:val="24"/>
          <w:szCs w:val="24"/>
        </w:rPr>
      </w:pPr>
      <w:r>
        <w:rPr>
          <w:rFonts w:hint="eastAsia" w:ascii="宋体" w:hAnsi="宋体"/>
          <w:sz w:val="24"/>
          <w:szCs w:val="24"/>
        </w:rPr>
        <w:t>第二步将一标准电阻并联到电池组输出极与车身之间电压较大的一侧，再分别测试电池包输出正、输出负与车身的电压值。</w:t>
      </w:r>
    </w:p>
    <w:p>
      <w:pPr>
        <w:widowControl/>
        <w:numPr>
          <w:ilvl w:val="0"/>
          <w:numId w:val="14"/>
        </w:numPr>
        <w:spacing w:line="360" w:lineRule="auto"/>
        <w:ind w:left="1080"/>
        <w:jc w:val="left"/>
        <w:rPr>
          <w:rFonts w:ascii="宋体" w:hAnsi="宋体"/>
          <w:sz w:val="24"/>
          <w:szCs w:val="24"/>
        </w:rPr>
      </w:pPr>
      <w:r>
        <w:rPr>
          <w:rFonts w:hint="eastAsia" w:ascii="宋体" w:hAnsi="宋体"/>
          <w:sz w:val="24"/>
          <w:szCs w:val="24"/>
        </w:rPr>
        <w:t>通过测量的电压值和已知标准电阻，根据</w:t>
      </w:r>
      <w:r>
        <w:rPr>
          <w:rFonts w:ascii="宋体" w:hAnsi="宋体"/>
          <w:sz w:val="24"/>
          <w:szCs w:val="24"/>
        </w:rPr>
        <w:t>GB 18384</w:t>
      </w:r>
      <w:r>
        <w:rPr>
          <w:rFonts w:hint="eastAsia" w:ascii="宋体" w:hAnsi="宋体"/>
          <w:sz w:val="24"/>
          <w:szCs w:val="24"/>
        </w:rPr>
        <w:t>公式计算得到电池组绝缘电阻。</w:t>
      </w:r>
    </w:p>
    <w:p>
      <w:pPr>
        <w:widowControl/>
        <w:numPr>
          <w:ilvl w:val="0"/>
          <w:numId w:val="14"/>
        </w:numPr>
        <w:spacing w:line="360" w:lineRule="auto"/>
        <w:ind w:left="1080"/>
        <w:jc w:val="left"/>
        <w:rPr>
          <w:rFonts w:ascii="宋体" w:hAnsi="宋体"/>
          <w:sz w:val="24"/>
          <w:szCs w:val="24"/>
        </w:rPr>
      </w:pPr>
      <w:r>
        <w:rPr>
          <w:rFonts w:hint="eastAsia" w:ascii="宋体" w:hAnsi="宋体"/>
          <w:sz w:val="24"/>
          <w:szCs w:val="24"/>
        </w:rPr>
        <w:t>测试用已知标准电阻器内置在测试系统内部，整个测过程的测试接线变动在系统内自动切换完成，无需人工变动接线。</w:t>
      </w:r>
    </w:p>
    <w:p>
      <w:pPr>
        <w:spacing w:line="360" w:lineRule="auto"/>
        <w:ind w:firstLine="480" w:firstLineChars="200"/>
        <w:rPr>
          <w:rFonts w:ascii="宋体" w:hAnsi="宋体"/>
          <w:sz w:val="24"/>
          <w:szCs w:val="24"/>
        </w:rPr>
      </w:pPr>
      <w:r>
        <w:rPr>
          <w:rFonts w:ascii="宋体" w:hAnsi="宋体"/>
          <w:sz w:val="24"/>
          <w:szCs w:val="24"/>
        </w:rPr>
        <w:t>4）</w:t>
      </w:r>
      <w:r>
        <w:rPr>
          <w:rFonts w:hint="eastAsia" w:ascii="宋体" w:hAnsi="宋体"/>
          <w:sz w:val="24"/>
          <w:szCs w:val="24"/>
        </w:rPr>
        <w:t>高压负载电位均衡测试：车载充电机、前后电机控制器、前后驱动电机、高压配电盒、空调压缩机、动力电池、快充电口接地线、DC/DC接地线等至少</w:t>
      </w:r>
      <w:r>
        <w:rPr>
          <w:rFonts w:ascii="宋体" w:hAnsi="宋体"/>
          <w:sz w:val="24"/>
          <w:szCs w:val="24"/>
        </w:rPr>
        <w:t>8</w:t>
      </w:r>
      <w:r>
        <w:rPr>
          <w:rFonts w:hint="eastAsia" w:ascii="宋体" w:hAnsi="宋体"/>
          <w:sz w:val="24"/>
          <w:szCs w:val="24"/>
        </w:rPr>
        <w:t>高压</w:t>
      </w:r>
      <w:r>
        <w:rPr>
          <w:rFonts w:ascii="宋体" w:hAnsi="宋体"/>
          <w:sz w:val="24"/>
          <w:szCs w:val="24"/>
        </w:rPr>
        <w:t>组件</w:t>
      </w:r>
      <w:r>
        <w:rPr>
          <w:rFonts w:hint="eastAsia" w:ascii="宋体" w:hAnsi="宋体"/>
          <w:sz w:val="24"/>
          <w:szCs w:val="24"/>
        </w:rPr>
        <w:t>同时</w:t>
      </w:r>
      <w:r>
        <w:rPr>
          <w:rFonts w:ascii="宋体" w:hAnsi="宋体"/>
          <w:sz w:val="24"/>
          <w:szCs w:val="24"/>
        </w:rPr>
        <w:t>测</w:t>
      </w:r>
      <w:r>
        <w:rPr>
          <w:rFonts w:hint="eastAsia" w:ascii="宋体" w:hAnsi="宋体"/>
          <w:sz w:val="24"/>
          <w:szCs w:val="24"/>
        </w:rPr>
        <w:t>试</w:t>
      </w:r>
      <w:r>
        <w:rPr>
          <w:rFonts w:ascii="宋体" w:hAnsi="宋体"/>
          <w:sz w:val="24"/>
          <w:szCs w:val="24"/>
        </w:rPr>
        <w:t>。</w:t>
      </w:r>
    </w:p>
    <w:p>
      <w:pPr>
        <w:spacing w:line="360" w:lineRule="auto"/>
        <w:ind w:firstLine="480" w:firstLineChars="200"/>
        <w:rPr>
          <w:rFonts w:ascii="宋体" w:hAnsi="宋体"/>
          <w:sz w:val="24"/>
          <w:szCs w:val="24"/>
        </w:rPr>
      </w:pPr>
      <w:r>
        <w:rPr>
          <w:rFonts w:hint="eastAsia" w:ascii="宋体" w:hAnsi="宋体"/>
          <w:sz w:val="24"/>
          <w:szCs w:val="24"/>
        </w:rPr>
        <w:t>可用直流电阻测试仪测量新能源汽车高压零部件连接外露的可导电外壳与距离不超过</w:t>
      </w:r>
      <w:r>
        <w:rPr>
          <w:rFonts w:ascii="宋体" w:hAnsi="宋体"/>
          <w:sz w:val="24"/>
          <w:szCs w:val="24"/>
        </w:rPr>
        <w:t xml:space="preserve">2.5 m </w:t>
      </w:r>
      <w:r>
        <w:rPr>
          <w:rFonts w:hint="eastAsia" w:ascii="宋体" w:hAnsi="宋体"/>
          <w:sz w:val="24"/>
          <w:szCs w:val="24"/>
        </w:rPr>
        <w:t>的车架之间的导通电阻；所有外露导电体与车架间的连接阻抗应不超过</w:t>
      </w:r>
      <w:r>
        <w:rPr>
          <w:rFonts w:ascii="宋体" w:hAnsi="宋体"/>
          <w:sz w:val="24"/>
          <w:szCs w:val="24"/>
        </w:rPr>
        <w:t>0.1Ω</w:t>
      </w:r>
      <w:r>
        <w:rPr>
          <w:rFonts w:hint="eastAsia" w:ascii="宋体" w:hAnsi="宋体"/>
          <w:sz w:val="24"/>
          <w:szCs w:val="24"/>
        </w:rPr>
        <w:t>。</w:t>
      </w:r>
    </w:p>
    <w:p>
      <w:pPr>
        <w:spacing w:line="360" w:lineRule="auto"/>
        <w:ind w:firstLine="480" w:firstLineChars="200"/>
        <w:rPr>
          <w:rFonts w:ascii="宋体" w:hAnsi="宋体"/>
          <w:sz w:val="24"/>
          <w:szCs w:val="24"/>
        </w:rPr>
      </w:pPr>
      <w:r>
        <w:rPr>
          <w:rFonts w:hint="eastAsia" w:ascii="宋体" w:hAnsi="宋体"/>
          <w:sz w:val="24"/>
          <w:szCs w:val="24"/>
        </w:rPr>
        <w:t>通路中，任意两个可以被人同时触碰到的外露可导电部分，即距离不超过</w:t>
      </w:r>
      <w:r>
        <w:rPr>
          <w:rFonts w:ascii="宋体" w:hAnsi="宋体"/>
          <w:sz w:val="24"/>
          <w:szCs w:val="24"/>
        </w:rPr>
        <w:t>2.5 m</w:t>
      </w:r>
      <w:r>
        <w:rPr>
          <w:rFonts w:hint="eastAsia" w:ascii="宋体" w:hAnsi="宋体"/>
          <w:sz w:val="24"/>
          <w:szCs w:val="24"/>
        </w:rPr>
        <w:t>的两个可导电部分间电阻应不超过</w:t>
      </w:r>
      <w:r>
        <w:rPr>
          <w:rFonts w:ascii="宋体" w:hAnsi="宋体"/>
          <w:sz w:val="24"/>
          <w:szCs w:val="24"/>
        </w:rPr>
        <w:t>0.2 Ω</w:t>
      </w:r>
      <w:r>
        <w:rPr>
          <w:rFonts w:hint="eastAsia" w:ascii="宋体" w:hAnsi="宋体"/>
          <w:sz w:val="24"/>
          <w:szCs w:val="24"/>
        </w:rPr>
        <w:t>。</w:t>
      </w:r>
    </w:p>
    <w:tbl>
      <w:tblPr>
        <w:tblStyle w:val="76"/>
        <w:tblW w:w="8687" w:type="dxa"/>
        <w:tblInd w:w="6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5094"/>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Merge w:val="restart"/>
          </w:tcPr>
          <w:p>
            <w:pPr>
              <w:autoSpaceDE w:val="0"/>
              <w:autoSpaceDN w:val="0"/>
              <w:adjustRightInd w:val="0"/>
              <w:spacing w:line="360" w:lineRule="auto"/>
              <w:ind w:firstLine="315" w:firstLineChars="150"/>
            </w:pPr>
          </w:p>
          <w:p>
            <w:pPr>
              <w:autoSpaceDE w:val="0"/>
              <w:autoSpaceDN w:val="0"/>
              <w:adjustRightInd w:val="0"/>
              <w:spacing w:line="360" w:lineRule="auto"/>
              <w:ind w:firstLine="315" w:firstLineChars="150"/>
            </w:pPr>
          </w:p>
          <w:p>
            <w:pPr>
              <w:autoSpaceDE w:val="0"/>
              <w:autoSpaceDN w:val="0"/>
              <w:adjustRightInd w:val="0"/>
              <w:spacing w:line="360" w:lineRule="auto"/>
              <w:ind w:firstLine="315" w:firstLineChars="150"/>
            </w:pPr>
          </w:p>
          <w:p>
            <w:pPr>
              <w:autoSpaceDE w:val="0"/>
              <w:autoSpaceDN w:val="0"/>
              <w:adjustRightInd w:val="0"/>
              <w:spacing w:line="360" w:lineRule="auto"/>
              <w:rPr>
                <w:sz w:val="32"/>
                <w:szCs w:val="32"/>
              </w:rPr>
            </w:pPr>
            <w:r>
              <w:rPr>
                <w:rFonts w:hint="eastAsia"/>
                <w:sz w:val="32"/>
                <w:szCs w:val="32"/>
              </w:rPr>
              <w:t>电位</w:t>
            </w:r>
            <w:r>
              <w:rPr>
                <w:sz w:val="32"/>
                <w:szCs w:val="32"/>
              </w:rPr>
              <w:t>均衡单元</w:t>
            </w:r>
          </w:p>
        </w:tc>
        <w:tc>
          <w:tcPr>
            <w:tcW w:w="5094" w:type="dxa"/>
          </w:tcPr>
          <w:p>
            <w:pPr>
              <w:autoSpaceDE w:val="0"/>
              <w:autoSpaceDN w:val="0"/>
              <w:adjustRightInd w:val="0"/>
              <w:spacing w:line="360" w:lineRule="auto"/>
            </w:pPr>
            <w:r>
              <w:t>1.</w:t>
            </w:r>
            <w:r>
              <w:rPr>
                <w:rFonts w:hint="eastAsia"/>
              </w:rPr>
              <w:t>蓄电池负级搭铁</w:t>
            </w:r>
            <w:r>
              <w:t>点与MCU</w:t>
            </w:r>
            <w:r>
              <w:rPr>
                <w:rFonts w:hint="eastAsia"/>
              </w:rPr>
              <w:t>壳体</w:t>
            </w:r>
            <w:r>
              <w:t>之间电阻</w:t>
            </w:r>
            <w:r>
              <w:rPr>
                <w:rFonts w:hint="eastAsia"/>
              </w:rPr>
              <w:t>；</w:t>
            </w:r>
          </w:p>
        </w:tc>
        <w:tc>
          <w:tcPr>
            <w:tcW w:w="1483" w:type="dxa"/>
          </w:tcPr>
          <w:p>
            <w:pPr>
              <w:autoSpaceDE w:val="0"/>
              <w:autoSpaceDN w:val="0"/>
              <w:adjustRightInd w:val="0"/>
              <w:spacing w:line="360" w:lineRule="auto"/>
            </w:pPr>
            <w:r>
              <w:rPr>
                <w:rFonts w:hint="eastAsia"/>
              </w:rPr>
              <w:t>电机</w:t>
            </w:r>
            <w:r>
              <w:t>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Merge w:val="continue"/>
          </w:tcPr>
          <w:p>
            <w:pPr>
              <w:autoSpaceDE w:val="0"/>
              <w:autoSpaceDN w:val="0"/>
              <w:adjustRightInd w:val="0"/>
              <w:spacing w:line="360" w:lineRule="auto"/>
            </w:pPr>
          </w:p>
        </w:tc>
        <w:tc>
          <w:tcPr>
            <w:tcW w:w="5094" w:type="dxa"/>
          </w:tcPr>
          <w:p>
            <w:pPr>
              <w:autoSpaceDE w:val="0"/>
              <w:autoSpaceDN w:val="0"/>
              <w:adjustRightInd w:val="0"/>
              <w:spacing w:line="360" w:lineRule="auto"/>
            </w:pPr>
            <w:r>
              <w:t>2.</w:t>
            </w:r>
            <w:r>
              <w:rPr>
                <w:rFonts w:hint="eastAsia"/>
              </w:rPr>
              <w:t>蓄电池负级搭铁</w:t>
            </w:r>
            <w:r>
              <w:t>点与</w:t>
            </w:r>
            <w:r>
              <w:rPr>
                <w:rFonts w:hint="eastAsia"/>
              </w:rPr>
              <w:t>驱动电机壳体</w:t>
            </w:r>
            <w:r>
              <w:t>之间电阻</w:t>
            </w:r>
            <w:r>
              <w:rPr>
                <w:rFonts w:hint="eastAsia"/>
              </w:rPr>
              <w:t>；</w:t>
            </w:r>
          </w:p>
        </w:tc>
        <w:tc>
          <w:tcPr>
            <w:tcW w:w="1483" w:type="dxa"/>
          </w:tcPr>
          <w:p>
            <w:pPr>
              <w:autoSpaceDE w:val="0"/>
              <w:autoSpaceDN w:val="0"/>
              <w:adjustRightInd w:val="0"/>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Merge w:val="continue"/>
          </w:tcPr>
          <w:p>
            <w:pPr>
              <w:autoSpaceDE w:val="0"/>
              <w:autoSpaceDN w:val="0"/>
              <w:adjustRightInd w:val="0"/>
              <w:spacing w:line="360" w:lineRule="auto"/>
            </w:pPr>
          </w:p>
        </w:tc>
        <w:tc>
          <w:tcPr>
            <w:tcW w:w="5094" w:type="dxa"/>
          </w:tcPr>
          <w:p>
            <w:pPr>
              <w:autoSpaceDE w:val="0"/>
              <w:autoSpaceDN w:val="0"/>
              <w:adjustRightInd w:val="0"/>
              <w:spacing w:line="360" w:lineRule="auto"/>
            </w:pPr>
            <w:r>
              <w:t>3.</w:t>
            </w:r>
            <w:r>
              <w:rPr>
                <w:rFonts w:hint="eastAsia"/>
              </w:rPr>
              <w:t>蓄电池负级搭铁</w:t>
            </w:r>
            <w:r>
              <w:t>点与</w:t>
            </w:r>
            <w:r>
              <w:rPr>
                <w:rFonts w:hint="eastAsia"/>
              </w:rPr>
              <w:t>充电机壳体</w:t>
            </w:r>
            <w:r>
              <w:t>之间电阻</w:t>
            </w:r>
            <w:r>
              <w:rPr>
                <w:rFonts w:hint="eastAsia"/>
              </w:rPr>
              <w:t>；</w:t>
            </w:r>
          </w:p>
        </w:tc>
        <w:tc>
          <w:tcPr>
            <w:tcW w:w="1483" w:type="dxa"/>
          </w:tcPr>
          <w:p>
            <w:pPr>
              <w:autoSpaceDE w:val="0"/>
              <w:autoSpaceDN w:val="0"/>
              <w:adjustRightInd w:val="0"/>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Merge w:val="continue"/>
          </w:tcPr>
          <w:p>
            <w:pPr>
              <w:autoSpaceDE w:val="0"/>
              <w:autoSpaceDN w:val="0"/>
              <w:adjustRightInd w:val="0"/>
              <w:spacing w:line="360" w:lineRule="auto"/>
            </w:pPr>
          </w:p>
        </w:tc>
        <w:tc>
          <w:tcPr>
            <w:tcW w:w="5094" w:type="dxa"/>
          </w:tcPr>
          <w:p>
            <w:pPr>
              <w:autoSpaceDE w:val="0"/>
              <w:autoSpaceDN w:val="0"/>
              <w:adjustRightInd w:val="0"/>
              <w:spacing w:line="360" w:lineRule="auto"/>
            </w:pPr>
            <w:r>
              <w:t>4.</w:t>
            </w:r>
            <w:r>
              <w:rPr>
                <w:rFonts w:hint="eastAsia"/>
              </w:rPr>
              <w:t>蓄电池负级搭铁</w:t>
            </w:r>
            <w:r>
              <w:t>点与</w:t>
            </w:r>
            <w:r>
              <w:rPr>
                <w:rFonts w:hint="eastAsia"/>
              </w:rPr>
              <w:t>P</w:t>
            </w:r>
            <w:r>
              <w:t>TC</w:t>
            </w:r>
            <w:r>
              <w:rPr>
                <w:rFonts w:hint="eastAsia"/>
              </w:rPr>
              <w:t>壳体</w:t>
            </w:r>
            <w:r>
              <w:t>之间电阻</w:t>
            </w:r>
            <w:r>
              <w:rPr>
                <w:rFonts w:hint="eastAsia"/>
              </w:rPr>
              <w:t>；</w:t>
            </w:r>
          </w:p>
        </w:tc>
        <w:tc>
          <w:tcPr>
            <w:tcW w:w="1483" w:type="dxa"/>
          </w:tcPr>
          <w:p>
            <w:pPr>
              <w:autoSpaceDE w:val="0"/>
              <w:autoSpaceDN w:val="0"/>
              <w:adjustRightInd w:val="0"/>
              <w:spacing w:line="360" w:lineRule="auto"/>
            </w:pPr>
            <w:r>
              <w:rPr>
                <w:rFonts w:hint="eastAsia"/>
              </w:rPr>
              <w:t>车载加热器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Merge w:val="continue"/>
          </w:tcPr>
          <w:p>
            <w:pPr>
              <w:autoSpaceDE w:val="0"/>
              <w:autoSpaceDN w:val="0"/>
              <w:adjustRightInd w:val="0"/>
              <w:spacing w:line="360" w:lineRule="auto"/>
            </w:pPr>
          </w:p>
        </w:tc>
        <w:tc>
          <w:tcPr>
            <w:tcW w:w="5094" w:type="dxa"/>
          </w:tcPr>
          <w:p>
            <w:pPr>
              <w:autoSpaceDE w:val="0"/>
              <w:autoSpaceDN w:val="0"/>
              <w:adjustRightInd w:val="0"/>
              <w:spacing w:line="360" w:lineRule="auto"/>
            </w:pPr>
            <w:r>
              <w:t>5.</w:t>
            </w:r>
            <w:r>
              <w:rPr>
                <w:rFonts w:hint="eastAsia"/>
              </w:rPr>
              <w:t>蓄电池负级搭铁</w:t>
            </w:r>
            <w:r>
              <w:t>点与</w:t>
            </w:r>
            <w:r>
              <w:rPr>
                <w:rFonts w:hint="eastAsia"/>
              </w:rPr>
              <w:t>空调压缩机壳体</w:t>
            </w:r>
            <w:r>
              <w:t>之间电阻</w:t>
            </w:r>
            <w:r>
              <w:rPr>
                <w:rFonts w:hint="eastAsia"/>
              </w:rPr>
              <w:t>；</w:t>
            </w:r>
          </w:p>
        </w:tc>
        <w:tc>
          <w:tcPr>
            <w:tcW w:w="1483" w:type="dxa"/>
          </w:tcPr>
          <w:p>
            <w:pPr>
              <w:autoSpaceDE w:val="0"/>
              <w:autoSpaceDN w:val="0"/>
              <w:adjustRightInd w:val="0"/>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Merge w:val="continue"/>
          </w:tcPr>
          <w:p>
            <w:pPr>
              <w:autoSpaceDE w:val="0"/>
              <w:autoSpaceDN w:val="0"/>
              <w:adjustRightInd w:val="0"/>
              <w:spacing w:line="360" w:lineRule="auto"/>
            </w:pPr>
          </w:p>
        </w:tc>
        <w:tc>
          <w:tcPr>
            <w:tcW w:w="5094" w:type="dxa"/>
          </w:tcPr>
          <w:p>
            <w:pPr>
              <w:autoSpaceDE w:val="0"/>
              <w:autoSpaceDN w:val="0"/>
              <w:adjustRightInd w:val="0"/>
              <w:spacing w:line="360" w:lineRule="auto"/>
            </w:pPr>
            <w:r>
              <w:t>6.</w:t>
            </w:r>
            <w:r>
              <w:rPr>
                <w:rFonts w:hint="eastAsia"/>
              </w:rPr>
              <w:t>蓄电池负级搭铁</w:t>
            </w:r>
            <w:r>
              <w:t>点与</w:t>
            </w:r>
            <w:r>
              <w:rPr>
                <w:rFonts w:hint="eastAsia"/>
              </w:rPr>
              <w:t>转向机壳体</w:t>
            </w:r>
            <w:r>
              <w:t>之间电阻</w:t>
            </w:r>
            <w:r>
              <w:rPr>
                <w:rFonts w:hint="eastAsia"/>
              </w:rPr>
              <w:t>；</w:t>
            </w:r>
          </w:p>
        </w:tc>
        <w:tc>
          <w:tcPr>
            <w:tcW w:w="1483" w:type="dxa"/>
          </w:tcPr>
          <w:p>
            <w:pPr>
              <w:autoSpaceDE w:val="0"/>
              <w:autoSpaceDN w:val="0"/>
              <w:adjustRightInd w:val="0"/>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Merge w:val="continue"/>
          </w:tcPr>
          <w:p>
            <w:pPr>
              <w:autoSpaceDE w:val="0"/>
              <w:autoSpaceDN w:val="0"/>
              <w:adjustRightInd w:val="0"/>
              <w:spacing w:line="360" w:lineRule="auto"/>
            </w:pPr>
          </w:p>
        </w:tc>
        <w:tc>
          <w:tcPr>
            <w:tcW w:w="5094" w:type="dxa"/>
          </w:tcPr>
          <w:p>
            <w:pPr>
              <w:autoSpaceDE w:val="0"/>
              <w:autoSpaceDN w:val="0"/>
              <w:adjustRightInd w:val="0"/>
              <w:spacing w:line="360" w:lineRule="auto"/>
            </w:pPr>
            <w:r>
              <w:t>7.</w:t>
            </w:r>
            <w:r>
              <w:rPr>
                <w:rFonts w:hint="eastAsia"/>
              </w:rPr>
              <w:t>蓄电池负级搭铁</w:t>
            </w:r>
            <w:r>
              <w:t>点与</w:t>
            </w:r>
            <w:r>
              <w:rPr>
                <w:rFonts w:hint="eastAsia"/>
              </w:rPr>
              <w:t>气泵壳体</w:t>
            </w:r>
            <w:r>
              <w:t>之间电阻</w:t>
            </w:r>
            <w:r>
              <w:rPr>
                <w:rFonts w:hint="eastAsia"/>
              </w:rPr>
              <w:t>；</w:t>
            </w:r>
          </w:p>
        </w:tc>
        <w:tc>
          <w:tcPr>
            <w:tcW w:w="1483" w:type="dxa"/>
          </w:tcPr>
          <w:p>
            <w:pPr>
              <w:autoSpaceDE w:val="0"/>
              <w:autoSpaceDN w:val="0"/>
              <w:adjustRightInd w:val="0"/>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dxa"/>
            <w:vMerge w:val="continue"/>
          </w:tcPr>
          <w:p>
            <w:pPr>
              <w:autoSpaceDE w:val="0"/>
              <w:autoSpaceDN w:val="0"/>
              <w:adjustRightInd w:val="0"/>
              <w:spacing w:line="360" w:lineRule="auto"/>
            </w:pPr>
          </w:p>
        </w:tc>
        <w:tc>
          <w:tcPr>
            <w:tcW w:w="5094" w:type="dxa"/>
          </w:tcPr>
          <w:p>
            <w:pPr>
              <w:autoSpaceDE w:val="0"/>
              <w:autoSpaceDN w:val="0"/>
              <w:adjustRightInd w:val="0"/>
              <w:spacing w:line="360" w:lineRule="auto"/>
            </w:pPr>
            <w:r>
              <w:t>8.</w:t>
            </w:r>
            <w:r>
              <w:rPr>
                <w:rFonts w:hint="eastAsia"/>
              </w:rPr>
              <w:t>蓄电池负级搭铁</w:t>
            </w:r>
            <w:r>
              <w:t>点与</w:t>
            </w:r>
            <w:r>
              <w:rPr>
                <w:rFonts w:hint="eastAsia"/>
              </w:rPr>
              <w:t>电池上盖紧固</w:t>
            </w:r>
            <w:r>
              <w:t>螺钉之间电阻</w:t>
            </w:r>
            <w:r>
              <w:rPr>
                <w:rFonts w:hint="eastAsia"/>
              </w:rPr>
              <w:t>；</w:t>
            </w:r>
          </w:p>
        </w:tc>
        <w:tc>
          <w:tcPr>
            <w:tcW w:w="1483" w:type="dxa"/>
          </w:tcPr>
          <w:p>
            <w:pPr>
              <w:autoSpaceDE w:val="0"/>
              <w:autoSpaceDN w:val="0"/>
              <w:adjustRightInd w:val="0"/>
              <w:spacing w:line="360" w:lineRule="auto"/>
            </w:pPr>
          </w:p>
        </w:tc>
      </w:tr>
    </w:tbl>
    <w:p>
      <w:pPr>
        <w:autoSpaceDE w:val="0"/>
        <w:autoSpaceDN w:val="0"/>
        <w:adjustRightInd w:val="0"/>
        <w:spacing w:line="360" w:lineRule="auto"/>
        <w:ind w:left="525" w:hanging="525" w:hangingChars="250"/>
      </w:pPr>
    </w:p>
    <w:p>
      <w:pPr>
        <w:numPr>
          <w:ilvl w:val="0"/>
          <w:numId w:val="15"/>
        </w:numPr>
        <w:spacing w:line="360" w:lineRule="auto"/>
        <w:ind w:firstLine="480" w:firstLineChars="200"/>
        <w:rPr>
          <w:rFonts w:ascii="宋体" w:hAnsi="宋体"/>
          <w:sz w:val="24"/>
          <w:szCs w:val="24"/>
        </w:rPr>
      </w:pPr>
      <w:r>
        <w:rPr>
          <w:rFonts w:hint="eastAsia" w:ascii="宋体" w:hAnsi="宋体"/>
          <w:sz w:val="24"/>
          <w:szCs w:val="24"/>
        </w:rPr>
        <w:t>绝缘监测器测试：车载绝缘监测器测试，需在整车正常接电情况下进行。通过</w:t>
      </w:r>
      <w:r>
        <w:rPr>
          <w:rFonts w:ascii="宋体" w:hAnsi="宋体"/>
          <w:sz w:val="24"/>
          <w:szCs w:val="24"/>
        </w:rPr>
        <w:t>CAN</w:t>
      </w:r>
      <w:r>
        <w:rPr>
          <w:rFonts w:hint="eastAsia" w:ascii="宋体" w:hAnsi="宋体"/>
          <w:sz w:val="24"/>
          <w:szCs w:val="24"/>
        </w:rPr>
        <w:t>盒与车载电子控制单元通讯，控制绝缘监测器启动整车绝缘电阻值测量，并入测量电阻后再测一次。通过两次测值结果，对比绝缘监测器是否正常工作。</w:t>
      </w:r>
    </w:p>
    <w:p>
      <w:pPr>
        <w:numPr>
          <w:ilvl w:val="0"/>
          <w:numId w:val="15"/>
        </w:numPr>
        <w:spacing w:line="360" w:lineRule="auto"/>
        <w:ind w:firstLine="480" w:firstLineChars="200"/>
        <w:rPr>
          <w:rFonts w:ascii="宋体" w:hAnsi="宋体"/>
          <w:sz w:val="24"/>
          <w:szCs w:val="24"/>
        </w:rPr>
      </w:pPr>
      <w:r>
        <w:rPr>
          <w:rFonts w:hint="eastAsia" w:ascii="宋体" w:hAnsi="宋体"/>
          <w:sz w:val="24"/>
          <w:szCs w:val="24"/>
        </w:rPr>
        <w:t>可通过OBD接口读取整车VCU通讯，确保整车控制逻辑无问题。</w:t>
      </w:r>
    </w:p>
    <w:p>
      <w:pPr>
        <w:spacing w:line="360" w:lineRule="auto"/>
        <w:jc w:val="left"/>
        <w:rPr>
          <w:rFonts w:hint="eastAsia" w:ascii="宋体" w:hAnsi="宋体"/>
          <w:b/>
          <w:sz w:val="24"/>
          <w:szCs w:val="24"/>
        </w:rPr>
      </w:pPr>
      <w:r>
        <w:rPr>
          <w:rFonts w:hint="eastAsia" w:ascii="宋体" w:hAnsi="宋体"/>
          <w:b/>
          <w:sz w:val="24"/>
          <w:szCs w:val="24"/>
        </w:rPr>
        <w:t>1.6 设备组成</w:t>
      </w:r>
    </w:p>
    <w:p>
      <w:pPr>
        <w:spacing w:line="360" w:lineRule="auto"/>
        <w:ind w:firstLine="480" w:firstLineChars="200"/>
        <w:rPr>
          <w:rFonts w:ascii="宋体" w:hAnsi="宋体"/>
          <w:sz w:val="24"/>
          <w:szCs w:val="24"/>
        </w:rPr>
      </w:pPr>
      <w:r>
        <w:rPr>
          <w:rFonts w:hint="eastAsia" w:ascii="宋体" w:hAnsi="宋体"/>
          <w:sz w:val="24"/>
          <w:szCs w:val="24"/>
        </w:rPr>
        <w:t>1)设备主要组成构件：</w:t>
      </w:r>
    </w:p>
    <w:p>
      <w:pPr>
        <w:spacing w:line="360" w:lineRule="auto"/>
        <w:ind w:firstLine="480" w:firstLineChars="200"/>
        <w:rPr>
          <w:rFonts w:ascii="宋体" w:hAnsi="宋体"/>
          <w:sz w:val="24"/>
          <w:szCs w:val="24"/>
        </w:rPr>
      </w:pPr>
      <w:r>
        <w:rPr>
          <w:rFonts w:hint="eastAsia" w:ascii="宋体" w:hAnsi="宋体"/>
          <w:sz w:val="24"/>
          <w:szCs w:val="24"/>
        </w:rPr>
        <w:t>a)淋雨线</w:t>
      </w:r>
      <w:r>
        <w:rPr>
          <w:rFonts w:ascii="宋体" w:hAnsi="宋体"/>
          <w:sz w:val="24"/>
          <w:szCs w:val="24"/>
        </w:rPr>
        <w:t>后</w:t>
      </w:r>
      <w:r>
        <w:rPr>
          <w:rFonts w:hint="eastAsia" w:ascii="宋体" w:hAnsi="宋体"/>
          <w:sz w:val="24"/>
          <w:szCs w:val="24"/>
        </w:rPr>
        <w:t>高压安全综合测试设备：控制柜、工业控制计算机</w:t>
      </w:r>
      <w:r>
        <w:rPr>
          <w:rFonts w:ascii="宋体" w:hAnsi="宋体"/>
          <w:sz w:val="24"/>
          <w:szCs w:val="24"/>
        </w:rPr>
        <w:t>、</w:t>
      </w:r>
      <w:r>
        <w:rPr>
          <w:rFonts w:hint="eastAsia" w:ascii="宋体" w:hAnsi="宋体"/>
          <w:sz w:val="24"/>
          <w:szCs w:val="24"/>
        </w:rPr>
        <w:t>UPS不间断</w:t>
      </w:r>
      <w:r>
        <w:rPr>
          <w:rFonts w:ascii="宋体" w:hAnsi="宋体"/>
          <w:sz w:val="24"/>
          <w:szCs w:val="24"/>
        </w:rPr>
        <w:t>电源</w:t>
      </w:r>
      <w:r>
        <w:rPr>
          <w:rFonts w:hint="eastAsia" w:ascii="宋体" w:hAnsi="宋体"/>
          <w:sz w:val="24"/>
          <w:szCs w:val="24"/>
        </w:rPr>
        <w:t>、</w:t>
      </w:r>
      <w:r>
        <w:rPr>
          <w:rFonts w:ascii="宋体" w:hAnsi="宋体"/>
          <w:sz w:val="24"/>
          <w:szCs w:val="24"/>
        </w:rPr>
        <w:t>21.5</w:t>
      </w:r>
      <w:r>
        <w:rPr>
          <w:rFonts w:hint="eastAsia" w:ascii="宋体" w:hAnsi="宋体"/>
          <w:sz w:val="24"/>
          <w:szCs w:val="24"/>
        </w:rPr>
        <w:t>英寸工业级液晶显示器、检测</w:t>
      </w:r>
      <w:r>
        <w:rPr>
          <w:rFonts w:ascii="宋体" w:hAnsi="宋体"/>
          <w:sz w:val="24"/>
          <w:szCs w:val="24"/>
        </w:rPr>
        <w:t>结果声光报警</w:t>
      </w:r>
      <w:r>
        <w:rPr>
          <w:rFonts w:hint="eastAsia" w:ascii="宋体" w:hAnsi="宋体"/>
          <w:sz w:val="24"/>
          <w:szCs w:val="24"/>
        </w:rPr>
        <w:t>装置</w:t>
      </w:r>
      <w:r>
        <w:rPr>
          <w:rFonts w:ascii="宋体" w:hAnsi="宋体"/>
          <w:sz w:val="24"/>
          <w:szCs w:val="24"/>
        </w:rPr>
        <w:t>、</w:t>
      </w:r>
      <w:r>
        <w:rPr>
          <w:rFonts w:hint="eastAsia" w:ascii="宋体" w:hAnsi="宋体"/>
          <w:sz w:val="24"/>
          <w:szCs w:val="24"/>
        </w:rPr>
        <w:t>测试功能检测模块、检测随行机构</w:t>
      </w:r>
      <w:r>
        <w:rPr>
          <w:rFonts w:ascii="宋体" w:hAnsi="宋体"/>
          <w:sz w:val="24"/>
          <w:szCs w:val="24"/>
        </w:rPr>
        <w:t>以及检测</w:t>
      </w:r>
      <w:r>
        <w:rPr>
          <w:rFonts w:hint="eastAsia" w:ascii="宋体" w:hAnsi="宋体"/>
          <w:sz w:val="24"/>
          <w:szCs w:val="24"/>
        </w:rPr>
        <w:t>线</w:t>
      </w:r>
      <w:r>
        <w:rPr>
          <w:rFonts w:ascii="宋体" w:hAnsi="宋体"/>
          <w:sz w:val="24"/>
          <w:szCs w:val="24"/>
        </w:rPr>
        <w:t>束</w:t>
      </w:r>
      <w:r>
        <w:rPr>
          <w:rFonts w:hint="eastAsia" w:ascii="宋体" w:hAnsi="宋体"/>
          <w:sz w:val="24"/>
          <w:szCs w:val="24"/>
        </w:rPr>
        <w:t>、</w:t>
      </w:r>
      <w:r>
        <w:rPr>
          <w:rFonts w:ascii="宋体" w:hAnsi="宋体"/>
          <w:sz w:val="24"/>
          <w:szCs w:val="24"/>
        </w:rPr>
        <w:t>打印机、扫描枪、鼠标</w:t>
      </w:r>
      <w:r>
        <w:rPr>
          <w:rFonts w:hint="eastAsia" w:ascii="宋体" w:hAnsi="宋体"/>
          <w:sz w:val="24"/>
          <w:szCs w:val="24"/>
        </w:rPr>
        <w:t>和键盘、电源</w:t>
      </w:r>
      <w:r>
        <w:rPr>
          <w:rFonts w:ascii="宋体" w:hAnsi="宋体"/>
          <w:sz w:val="24"/>
          <w:szCs w:val="24"/>
        </w:rPr>
        <w:t>插座</w:t>
      </w:r>
      <w:r>
        <w:rPr>
          <w:rFonts w:hint="eastAsia" w:ascii="宋体" w:hAnsi="宋体"/>
          <w:sz w:val="24"/>
          <w:szCs w:val="24"/>
        </w:rPr>
        <w:t>等。</w:t>
      </w:r>
    </w:p>
    <w:p>
      <w:pPr>
        <w:spacing w:line="360" w:lineRule="auto"/>
        <w:ind w:firstLine="480" w:firstLineChars="200"/>
        <w:rPr>
          <w:rFonts w:asciiTheme="minorEastAsia" w:hAnsiTheme="minorEastAsia" w:eastAsiaTheme="minorEastAsia"/>
          <w:sz w:val="24"/>
          <w:szCs w:val="24"/>
        </w:rPr>
      </w:pPr>
      <w:r>
        <w:rPr>
          <w:rFonts w:hint="eastAsia" w:ascii="宋体" w:hAnsi="宋体"/>
          <w:sz w:val="24"/>
          <w:szCs w:val="24"/>
        </w:rPr>
        <w:t>b)</w:t>
      </w:r>
      <w:r>
        <w:rPr>
          <w:rFonts w:hint="eastAsia" w:asciiTheme="minorEastAsia" w:hAnsiTheme="minorEastAsia" w:eastAsiaTheme="minorEastAsia"/>
          <w:sz w:val="24"/>
          <w:szCs w:val="24"/>
        </w:rPr>
        <w:t>整车下线高压安全综合测试设备</w:t>
      </w:r>
      <w:r>
        <w:rPr>
          <w:rFonts w:hint="eastAsia" w:ascii="宋体" w:hAnsi="宋体"/>
          <w:sz w:val="24"/>
          <w:szCs w:val="24"/>
        </w:rPr>
        <w:t>：</w:t>
      </w:r>
      <w:r>
        <w:rPr>
          <w:rFonts w:hint="eastAsia" w:asciiTheme="minorEastAsia" w:hAnsiTheme="minorEastAsia" w:eastAsiaTheme="minorEastAsia"/>
          <w:sz w:val="24"/>
          <w:szCs w:val="24"/>
        </w:rPr>
        <w:t>控制柜、工业控制计算机</w:t>
      </w:r>
      <w:r>
        <w:rPr>
          <w:rFonts w:asciiTheme="minorEastAsia" w:hAnsiTheme="minorEastAsia" w:eastAsiaTheme="minorEastAsia"/>
          <w:sz w:val="24"/>
          <w:szCs w:val="24"/>
        </w:rPr>
        <w:t>、</w:t>
      </w:r>
      <w:r>
        <w:rPr>
          <w:rFonts w:hint="eastAsia" w:asciiTheme="minorEastAsia" w:hAnsiTheme="minorEastAsia" w:eastAsiaTheme="minorEastAsia"/>
          <w:sz w:val="24"/>
          <w:szCs w:val="24"/>
        </w:rPr>
        <w:t>UPS不间断</w:t>
      </w:r>
      <w:r>
        <w:rPr>
          <w:rFonts w:asciiTheme="minorEastAsia" w:hAnsiTheme="minorEastAsia" w:eastAsiaTheme="minorEastAsia"/>
          <w:sz w:val="24"/>
          <w:szCs w:val="24"/>
        </w:rPr>
        <w:t>电源</w:t>
      </w:r>
      <w:r>
        <w:rPr>
          <w:rFonts w:hint="eastAsia" w:asciiTheme="minorEastAsia" w:hAnsiTheme="minorEastAsia" w:eastAsiaTheme="minorEastAsia"/>
          <w:sz w:val="24"/>
          <w:szCs w:val="24"/>
        </w:rPr>
        <w:t>、</w:t>
      </w:r>
      <w:r>
        <w:rPr>
          <w:rFonts w:asciiTheme="minorEastAsia" w:hAnsiTheme="minorEastAsia" w:eastAsiaTheme="minorEastAsia"/>
          <w:sz w:val="24"/>
          <w:szCs w:val="24"/>
        </w:rPr>
        <w:t>21.5</w:t>
      </w:r>
      <w:r>
        <w:rPr>
          <w:rFonts w:hint="eastAsia" w:asciiTheme="minorEastAsia" w:hAnsiTheme="minorEastAsia" w:eastAsiaTheme="minorEastAsia"/>
          <w:sz w:val="24"/>
          <w:szCs w:val="24"/>
        </w:rPr>
        <w:t>英寸工业级液晶显示器、检测</w:t>
      </w:r>
      <w:r>
        <w:rPr>
          <w:rFonts w:asciiTheme="minorEastAsia" w:hAnsiTheme="minorEastAsia" w:eastAsiaTheme="minorEastAsia"/>
          <w:sz w:val="24"/>
          <w:szCs w:val="24"/>
        </w:rPr>
        <w:t>结果声光报警</w:t>
      </w:r>
      <w:r>
        <w:rPr>
          <w:rFonts w:hint="eastAsia" w:asciiTheme="minorEastAsia" w:hAnsiTheme="minorEastAsia" w:eastAsiaTheme="minorEastAsia"/>
          <w:sz w:val="24"/>
          <w:szCs w:val="24"/>
        </w:rPr>
        <w:t>装置</w:t>
      </w:r>
      <w:r>
        <w:rPr>
          <w:rFonts w:asciiTheme="minorEastAsia" w:hAnsiTheme="minorEastAsia" w:eastAsiaTheme="minorEastAsia"/>
          <w:sz w:val="24"/>
          <w:szCs w:val="24"/>
        </w:rPr>
        <w:t>、</w:t>
      </w:r>
      <w:r>
        <w:rPr>
          <w:rFonts w:hint="eastAsia" w:asciiTheme="minorEastAsia" w:hAnsiTheme="minorEastAsia" w:eastAsiaTheme="minorEastAsia"/>
          <w:sz w:val="24"/>
          <w:szCs w:val="24"/>
        </w:rPr>
        <w:t>测试功能检测模块、检测随行机构</w:t>
      </w:r>
      <w:r>
        <w:rPr>
          <w:rFonts w:asciiTheme="minorEastAsia" w:hAnsiTheme="minorEastAsia" w:eastAsiaTheme="minorEastAsia"/>
          <w:sz w:val="24"/>
          <w:szCs w:val="24"/>
        </w:rPr>
        <w:t>以及检测</w:t>
      </w:r>
      <w:r>
        <w:rPr>
          <w:rFonts w:hint="eastAsia" w:asciiTheme="minorEastAsia" w:hAnsiTheme="minorEastAsia" w:eastAsiaTheme="minorEastAsia"/>
          <w:sz w:val="24"/>
          <w:szCs w:val="24"/>
        </w:rPr>
        <w:t>线</w:t>
      </w:r>
      <w:r>
        <w:rPr>
          <w:rFonts w:asciiTheme="minorEastAsia" w:hAnsiTheme="minorEastAsia" w:eastAsiaTheme="minorEastAsia"/>
          <w:sz w:val="24"/>
          <w:szCs w:val="24"/>
        </w:rPr>
        <w:t>束</w:t>
      </w:r>
      <w:r>
        <w:rPr>
          <w:rFonts w:hint="eastAsia" w:asciiTheme="minorEastAsia" w:hAnsiTheme="minorEastAsia" w:eastAsiaTheme="minorEastAsia"/>
          <w:sz w:val="24"/>
          <w:szCs w:val="24"/>
        </w:rPr>
        <w:t>、</w:t>
      </w:r>
      <w:r>
        <w:rPr>
          <w:rFonts w:asciiTheme="minorEastAsia" w:hAnsiTheme="minorEastAsia" w:eastAsiaTheme="minorEastAsia"/>
          <w:sz w:val="24"/>
          <w:szCs w:val="24"/>
        </w:rPr>
        <w:t>打印机、扫描枪、鼠标</w:t>
      </w:r>
      <w:r>
        <w:rPr>
          <w:rFonts w:hint="eastAsia" w:asciiTheme="minorEastAsia" w:hAnsiTheme="minorEastAsia" w:eastAsiaTheme="minorEastAsia"/>
          <w:sz w:val="24"/>
          <w:szCs w:val="24"/>
        </w:rPr>
        <w:t>和键盘、电源</w:t>
      </w:r>
      <w:r>
        <w:rPr>
          <w:rFonts w:asciiTheme="minorEastAsia" w:hAnsiTheme="minorEastAsia" w:eastAsiaTheme="minorEastAsia"/>
          <w:sz w:val="24"/>
          <w:szCs w:val="24"/>
        </w:rPr>
        <w:t>插座</w:t>
      </w:r>
      <w:r>
        <w:rPr>
          <w:rFonts w:hint="eastAsia" w:asciiTheme="minorEastAsia" w:hAnsiTheme="minorEastAsia" w:eastAsiaTheme="minorEastAsia"/>
          <w:sz w:val="24"/>
          <w:szCs w:val="24"/>
        </w:rPr>
        <w:t>等。</w:t>
      </w:r>
    </w:p>
    <w:p>
      <w:pPr>
        <w:spacing w:line="360" w:lineRule="auto"/>
        <w:ind w:firstLine="480" w:firstLineChars="200"/>
        <w:rPr>
          <w:rFonts w:ascii="宋体" w:hAnsi="宋体"/>
          <w:sz w:val="24"/>
          <w:szCs w:val="24"/>
        </w:rPr>
      </w:pPr>
      <w:r>
        <w:rPr>
          <w:rFonts w:hint="eastAsia" w:asciiTheme="minorEastAsia" w:hAnsiTheme="minorEastAsia" w:eastAsiaTheme="minorEastAsia"/>
          <w:sz w:val="24"/>
          <w:szCs w:val="24"/>
        </w:rPr>
        <w:t>c</w:t>
      </w:r>
      <w:r>
        <w:rPr>
          <w:rFonts w:asciiTheme="minorEastAsia" w:hAnsiTheme="minorEastAsia" w:eastAsiaTheme="minorEastAsia"/>
          <w:sz w:val="24"/>
          <w:szCs w:val="24"/>
        </w:rPr>
        <w:t>)</w:t>
      </w:r>
      <w:r>
        <w:rPr>
          <w:rFonts w:hint="eastAsia" w:asciiTheme="minorEastAsia" w:hAnsiTheme="minorEastAsia" w:eastAsiaTheme="minorEastAsia"/>
          <w:sz w:val="24"/>
          <w:szCs w:val="24"/>
        </w:rPr>
        <w:t>快充检测设备：控制柜、工控机、PDU安全系统、安灯系统、按键指示灯、显示器、扫码枪、标签打印机、DC充电模拟器、AC充电模拟器、不间断电源、手持端、测试线束、测试系统。</w:t>
      </w:r>
    </w:p>
    <w:p>
      <w:pPr>
        <w:spacing w:line="360" w:lineRule="auto"/>
        <w:ind w:firstLine="480" w:firstLineChars="200"/>
        <w:rPr>
          <w:rFonts w:ascii="宋体" w:hAnsi="宋体"/>
          <w:sz w:val="24"/>
          <w:szCs w:val="24"/>
        </w:rPr>
      </w:pPr>
      <w:r>
        <w:rPr>
          <w:rFonts w:hint="eastAsia" w:ascii="宋体" w:hAnsi="宋体"/>
          <w:sz w:val="24"/>
          <w:szCs w:val="24"/>
        </w:rPr>
        <w:t>2）非</w:t>
      </w:r>
      <w:r>
        <w:rPr>
          <w:rFonts w:ascii="宋体" w:hAnsi="宋体"/>
          <w:sz w:val="24"/>
          <w:szCs w:val="24"/>
        </w:rPr>
        <w:t>通用</w:t>
      </w:r>
      <w:r>
        <w:rPr>
          <w:rFonts w:hint="eastAsia" w:ascii="宋体" w:hAnsi="宋体"/>
          <w:sz w:val="24"/>
          <w:szCs w:val="24"/>
        </w:rPr>
        <w:t>部分的技术要求如下：</w:t>
      </w:r>
    </w:p>
    <w:p>
      <w:pPr>
        <w:spacing w:line="360" w:lineRule="auto"/>
        <w:ind w:firstLine="480" w:firstLineChars="200"/>
        <w:rPr>
          <w:rFonts w:ascii="宋体" w:hAnsi="宋体"/>
          <w:sz w:val="24"/>
          <w:szCs w:val="24"/>
        </w:rPr>
      </w:pPr>
      <w:r>
        <w:rPr>
          <w:rFonts w:hint="eastAsia" w:ascii="宋体" w:hAnsi="宋体"/>
          <w:sz w:val="24"/>
          <w:szCs w:val="24"/>
        </w:rPr>
        <w:t>一套采用具有耐磨、抗拉伸特性的工业级专用测试线缆，</w:t>
      </w:r>
      <w:r>
        <w:rPr>
          <w:rFonts w:ascii="宋体" w:hAnsi="宋体"/>
          <w:sz w:val="24"/>
          <w:szCs w:val="24"/>
        </w:rPr>
        <w:t>和被测车辆之间通过坚固耐用的工业级插头连接</w:t>
      </w:r>
      <w:r>
        <w:rPr>
          <w:rFonts w:hint="eastAsia" w:ascii="宋体" w:hAnsi="宋体"/>
          <w:sz w:val="24"/>
          <w:szCs w:val="24"/>
        </w:rPr>
        <w:t>，测试线束放置在工艺吊架挂钩上</w:t>
      </w:r>
      <w:r>
        <w:rPr>
          <w:rFonts w:ascii="宋体" w:hAnsi="宋体"/>
          <w:sz w:val="24"/>
          <w:szCs w:val="24"/>
        </w:rPr>
        <w:t>；测量绝缘时</w:t>
      </w:r>
      <w:r>
        <w:rPr>
          <w:rFonts w:hint="eastAsia" w:ascii="宋体" w:hAnsi="宋体"/>
          <w:sz w:val="24"/>
          <w:szCs w:val="24"/>
        </w:rPr>
        <w:t>采用</w:t>
      </w:r>
      <w:r>
        <w:rPr>
          <w:rFonts w:ascii="宋体" w:hAnsi="宋体"/>
          <w:sz w:val="24"/>
          <w:szCs w:val="24"/>
        </w:rPr>
        <w:t>标准的交、直流充电枪</w:t>
      </w:r>
      <w:r>
        <w:rPr>
          <w:rFonts w:hint="eastAsia" w:ascii="宋体" w:hAnsi="宋体"/>
          <w:sz w:val="24"/>
          <w:szCs w:val="24"/>
        </w:rPr>
        <w:t>，</w:t>
      </w:r>
      <w:r>
        <w:rPr>
          <w:rFonts w:ascii="宋体" w:hAnsi="宋体"/>
          <w:sz w:val="24"/>
          <w:szCs w:val="24"/>
        </w:rPr>
        <w:t>可满足</w:t>
      </w:r>
      <w:r>
        <w:rPr>
          <w:rFonts w:hint="eastAsia" w:ascii="宋体" w:hAnsi="宋体"/>
          <w:sz w:val="24"/>
          <w:szCs w:val="24"/>
        </w:rPr>
        <w:t>100万</w:t>
      </w:r>
      <w:r>
        <w:rPr>
          <w:rFonts w:ascii="宋体" w:hAnsi="宋体"/>
          <w:sz w:val="24"/>
          <w:szCs w:val="24"/>
        </w:rPr>
        <w:t>次插拔</w:t>
      </w:r>
      <w:r>
        <w:rPr>
          <w:rFonts w:hint="eastAsia" w:ascii="宋体" w:hAnsi="宋体"/>
          <w:sz w:val="24"/>
          <w:szCs w:val="24"/>
        </w:rPr>
        <w:t>不损坏。线缆</w:t>
      </w:r>
      <w:r>
        <w:rPr>
          <w:rFonts w:ascii="宋体" w:hAnsi="宋体"/>
          <w:sz w:val="24"/>
          <w:szCs w:val="24"/>
        </w:rPr>
        <w:t>与车身</w:t>
      </w:r>
      <w:r>
        <w:rPr>
          <w:rFonts w:hint="eastAsia" w:ascii="宋体" w:hAnsi="宋体"/>
          <w:sz w:val="24"/>
          <w:szCs w:val="24"/>
        </w:rPr>
        <w:t>内</w:t>
      </w:r>
      <w:r>
        <w:rPr>
          <w:rFonts w:ascii="宋体" w:hAnsi="宋体"/>
          <w:sz w:val="24"/>
          <w:szCs w:val="24"/>
        </w:rPr>
        <w:t>外饰件</w:t>
      </w:r>
      <w:r>
        <w:rPr>
          <w:rFonts w:hint="eastAsia" w:ascii="宋体" w:hAnsi="宋体"/>
          <w:sz w:val="24"/>
          <w:szCs w:val="24"/>
        </w:rPr>
        <w:t>接触处进行防护处理</w:t>
      </w:r>
      <w:r>
        <w:rPr>
          <w:rFonts w:ascii="宋体" w:hAnsi="宋体"/>
          <w:sz w:val="24"/>
          <w:szCs w:val="24"/>
        </w:rPr>
        <w:t>，</w:t>
      </w:r>
      <w:r>
        <w:rPr>
          <w:rFonts w:hint="eastAsia" w:ascii="宋体" w:hAnsi="宋体"/>
          <w:sz w:val="24"/>
          <w:szCs w:val="24"/>
        </w:rPr>
        <w:t>具有防划伤内</w:t>
      </w:r>
      <w:r>
        <w:rPr>
          <w:rFonts w:ascii="宋体" w:hAnsi="宋体"/>
          <w:sz w:val="24"/>
          <w:szCs w:val="24"/>
        </w:rPr>
        <w:t>外饰件功能</w:t>
      </w:r>
      <w:r>
        <w:rPr>
          <w:rFonts w:hint="eastAsia" w:ascii="宋体" w:hAnsi="宋体"/>
          <w:sz w:val="24"/>
          <w:szCs w:val="24"/>
        </w:rPr>
        <w:t>。</w:t>
      </w:r>
    </w:p>
    <w:p>
      <w:pPr>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一套符合轻卡公司车辆长度的滑轨检测随行机构</w:t>
      </w:r>
      <w:r>
        <w:rPr>
          <w:rFonts w:asciiTheme="minorEastAsia" w:hAnsiTheme="minorEastAsia" w:eastAsiaTheme="minorEastAsia"/>
          <w:sz w:val="24"/>
          <w:szCs w:val="24"/>
        </w:rPr>
        <w:t>以及检测</w:t>
      </w:r>
      <w:r>
        <w:rPr>
          <w:rFonts w:hint="eastAsia" w:asciiTheme="minorEastAsia" w:hAnsiTheme="minorEastAsia" w:eastAsiaTheme="minorEastAsia"/>
          <w:sz w:val="24"/>
          <w:szCs w:val="24"/>
        </w:rPr>
        <w:t>线,检测随行机构能满足</w:t>
      </w:r>
      <w:r>
        <w:rPr>
          <w:rFonts w:asciiTheme="minorEastAsia" w:hAnsiTheme="minorEastAsia" w:eastAsiaTheme="minorEastAsia"/>
          <w:sz w:val="24"/>
          <w:szCs w:val="24"/>
        </w:rPr>
        <w:t>检测节拍</w:t>
      </w:r>
      <w:r>
        <w:rPr>
          <w:rFonts w:hint="eastAsia" w:asciiTheme="minorEastAsia" w:hAnsiTheme="minorEastAsia" w:eastAsiaTheme="minorEastAsia"/>
          <w:sz w:val="24"/>
          <w:szCs w:val="24"/>
        </w:rPr>
        <w:t>、工位</w:t>
      </w:r>
      <w:r>
        <w:rPr>
          <w:rFonts w:asciiTheme="minorEastAsia" w:hAnsiTheme="minorEastAsia" w:eastAsiaTheme="minorEastAsia"/>
          <w:sz w:val="24"/>
          <w:szCs w:val="24"/>
        </w:rPr>
        <w:t>节</w:t>
      </w:r>
      <w:r>
        <w:rPr>
          <w:rFonts w:hint="eastAsia" w:asciiTheme="minorEastAsia" w:hAnsiTheme="minorEastAsia" w:eastAsiaTheme="minorEastAsia"/>
          <w:sz w:val="24"/>
          <w:szCs w:val="24"/>
        </w:rPr>
        <w:t>距</w:t>
      </w:r>
      <w:r>
        <w:rPr>
          <w:rFonts w:asciiTheme="minorEastAsia" w:hAnsiTheme="minorEastAsia" w:eastAsiaTheme="minorEastAsia"/>
          <w:sz w:val="24"/>
          <w:szCs w:val="24"/>
        </w:rPr>
        <w:t>要求</w:t>
      </w:r>
      <w:r>
        <w:rPr>
          <w:rFonts w:hint="eastAsia" w:asciiTheme="minorEastAsia" w:hAnsiTheme="minorEastAsia" w:eastAsiaTheme="minorEastAsia"/>
          <w:sz w:val="24"/>
          <w:szCs w:val="24"/>
        </w:rPr>
        <w:t>；滑轨末端设有两个行程开关，第一个为越位预警，第二个为越位报警，均为声光报警。</w:t>
      </w:r>
      <w:r>
        <w:rPr>
          <w:rFonts w:asciiTheme="minorEastAsia" w:hAnsiTheme="minorEastAsia" w:eastAsiaTheme="minorEastAsia"/>
          <w:sz w:val="24"/>
          <w:szCs w:val="24"/>
        </w:rPr>
        <w:t>检测</w:t>
      </w:r>
      <w:r>
        <w:rPr>
          <w:rFonts w:hint="eastAsia" w:asciiTheme="minorEastAsia" w:hAnsiTheme="minorEastAsia" w:eastAsiaTheme="minorEastAsia"/>
          <w:sz w:val="24"/>
          <w:szCs w:val="24"/>
        </w:rPr>
        <w:t>线采用具有耐磨、抗拉伸特性的工业级专用测试线缆，</w:t>
      </w:r>
      <w:r>
        <w:rPr>
          <w:rFonts w:asciiTheme="minorEastAsia" w:hAnsiTheme="minorEastAsia" w:eastAsiaTheme="minorEastAsia"/>
          <w:sz w:val="24"/>
          <w:szCs w:val="24"/>
        </w:rPr>
        <w:t>和被测车辆之间通过坚固耐用的工业级插头连接；测量接地时</w:t>
      </w:r>
      <w:r>
        <w:rPr>
          <w:rFonts w:hint="eastAsia" w:asciiTheme="minorEastAsia" w:hAnsiTheme="minorEastAsia" w:eastAsiaTheme="minorEastAsia"/>
          <w:sz w:val="24"/>
          <w:szCs w:val="24"/>
        </w:rPr>
        <w:t>采用</w:t>
      </w:r>
      <w:r>
        <w:rPr>
          <w:rFonts w:asciiTheme="minorEastAsia" w:hAnsiTheme="minorEastAsia" w:eastAsiaTheme="minorEastAsia"/>
          <w:sz w:val="24"/>
          <w:szCs w:val="24"/>
        </w:rPr>
        <w:t>探针+鳄鱼钳线缆完成</w:t>
      </w:r>
      <w:r>
        <w:rPr>
          <w:rFonts w:hint="eastAsia" w:asciiTheme="minorEastAsia" w:hAnsiTheme="minorEastAsia" w:eastAsiaTheme="minorEastAsia"/>
          <w:sz w:val="24"/>
          <w:szCs w:val="24"/>
        </w:rPr>
        <w:t>；</w:t>
      </w:r>
      <w:r>
        <w:rPr>
          <w:rFonts w:asciiTheme="minorEastAsia" w:hAnsiTheme="minorEastAsia" w:eastAsiaTheme="minorEastAsia"/>
          <w:sz w:val="24"/>
          <w:szCs w:val="24"/>
        </w:rPr>
        <w:t>测量绝缘时</w:t>
      </w:r>
      <w:r>
        <w:rPr>
          <w:rFonts w:hint="eastAsia" w:asciiTheme="minorEastAsia" w:hAnsiTheme="minorEastAsia" w:eastAsiaTheme="minorEastAsia"/>
          <w:sz w:val="24"/>
          <w:szCs w:val="24"/>
        </w:rPr>
        <w:t>采用</w:t>
      </w:r>
      <w:r>
        <w:rPr>
          <w:rFonts w:asciiTheme="minorEastAsia" w:hAnsiTheme="minorEastAsia" w:eastAsiaTheme="minorEastAsia"/>
          <w:sz w:val="24"/>
          <w:szCs w:val="24"/>
        </w:rPr>
        <w:t>标准的交、直流充电枪</w:t>
      </w:r>
      <w:r>
        <w:rPr>
          <w:rFonts w:hint="eastAsia" w:asciiTheme="minorEastAsia" w:hAnsiTheme="minorEastAsia" w:eastAsiaTheme="minorEastAsia"/>
          <w:sz w:val="24"/>
          <w:szCs w:val="24"/>
        </w:rPr>
        <w:t>。线缆</w:t>
      </w:r>
      <w:r>
        <w:rPr>
          <w:rFonts w:asciiTheme="minorEastAsia" w:hAnsiTheme="minorEastAsia" w:eastAsiaTheme="minorEastAsia"/>
          <w:sz w:val="24"/>
          <w:szCs w:val="24"/>
        </w:rPr>
        <w:t>与车身</w:t>
      </w:r>
      <w:r>
        <w:rPr>
          <w:rFonts w:hint="eastAsia" w:asciiTheme="minorEastAsia" w:hAnsiTheme="minorEastAsia" w:eastAsiaTheme="minorEastAsia"/>
          <w:sz w:val="24"/>
          <w:szCs w:val="24"/>
        </w:rPr>
        <w:t>内</w:t>
      </w:r>
      <w:r>
        <w:rPr>
          <w:rFonts w:asciiTheme="minorEastAsia" w:hAnsiTheme="minorEastAsia" w:eastAsiaTheme="minorEastAsia"/>
          <w:sz w:val="24"/>
          <w:szCs w:val="24"/>
        </w:rPr>
        <w:t>外饰件</w:t>
      </w:r>
      <w:r>
        <w:rPr>
          <w:rFonts w:hint="eastAsia" w:asciiTheme="minorEastAsia" w:hAnsiTheme="minorEastAsia" w:eastAsiaTheme="minorEastAsia"/>
          <w:sz w:val="24"/>
          <w:szCs w:val="24"/>
        </w:rPr>
        <w:t>接触处进行防护处理</w:t>
      </w:r>
      <w:r>
        <w:rPr>
          <w:rFonts w:asciiTheme="minorEastAsia" w:hAnsiTheme="minorEastAsia" w:eastAsiaTheme="minorEastAsia"/>
          <w:sz w:val="24"/>
          <w:szCs w:val="24"/>
        </w:rPr>
        <w:t>，</w:t>
      </w:r>
      <w:r>
        <w:rPr>
          <w:rFonts w:hint="eastAsia" w:asciiTheme="minorEastAsia" w:hAnsiTheme="minorEastAsia" w:eastAsiaTheme="minorEastAsia"/>
          <w:sz w:val="24"/>
          <w:szCs w:val="24"/>
        </w:rPr>
        <w:t>具有防划伤内</w:t>
      </w:r>
      <w:r>
        <w:rPr>
          <w:rFonts w:asciiTheme="minorEastAsia" w:hAnsiTheme="minorEastAsia" w:eastAsiaTheme="minorEastAsia"/>
          <w:sz w:val="24"/>
          <w:szCs w:val="24"/>
        </w:rPr>
        <w:t>外饰件功能</w:t>
      </w:r>
      <w:r>
        <w:rPr>
          <w:rFonts w:hint="eastAsia" w:asciiTheme="minorEastAsia" w:hAnsiTheme="minorEastAsia" w:eastAsiaTheme="minorEastAsia"/>
          <w:sz w:val="24"/>
          <w:szCs w:val="24"/>
        </w:rPr>
        <w:t>。</w:t>
      </w:r>
    </w:p>
    <w:p>
      <w:pPr>
        <w:spacing w:line="360" w:lineRule="auto"/>
        <w:ind w:firstLine="480" w:firstLineChars="200"/>
        <w:rPr>
          <w:rFonts w:ascii="宋体" w:hAnsi="宋体"/>
          <w:sz w:val="24"/>
          <w:szCs w:val="24"/>
        </w:rPr>
      </w:pPr>
      <w:bookmarkStart w:id="84" w:name="_Toc24914"/>
      <w:r>
        <w:rPr>
          <w:rFonts w:ascii="宋体" w:hAnsi="宋体"/>
          <w:sz w:val="24"/>
          <w:szCs w:val="24"/>
        </w:rPr>
        <w:t>3</w:t>
      </w:r>
      <w:r>
        <w:rPr>
          <w:rFonts w:hint="eastAsia" w:ascii="宋体" w:hAnsi="宋体"/>
          <w:sz w:val="24"/>
          <w:szCs w:val="24"/>
        </w:rPr>
        <w:t>)</w:t>
      </w:r>
      <w:r>
        <w:rPr>
          <w:rFonts w:ascii="宋体" w:hAnsi="宋体"/>
          <w:sz w:val="24"/>
          <w:szCs w:val="24"/>
        </w:rPr>
        <w:t xml:space="preserve"> </w:t>
      </w:r>
      <w:r>
        <w:rPr>
          <w:rFonts w:hint="eastAsia" w:ascii="宋体" w:hAnsi="宋体"/>
          <w:sz w:val="24"/>
          <w:szCs w:val="24"/>
        </w:rPr>
        <w:t>测试接口连接要求</w:t>
      </w:r>
      <w:r>
        <w:rPr>
          <w:rFonts w:ascii="宋体" w:hAnsi="宋体"/>
          <w:sz w:val="24"/>
          <w:szCs w:val="24"/>
        </w:rPr>
        <w:t>：</w:t>
      </w:r>
      <w:bookmarkEnd w:id="84"/>
    </w:p>
    <w:p>
      <w:pPr>
        <w:spacing w:line="360" w:lineRule="auto"/>
        <w:ind w:firstLine="480" w:firstLineChars="200"/>
        <w:rPr>
          <w:rFonts w:ascii="宋体" w:hAnsi="宋体"/>
          <w:sz w:val="24"/>
          <w:szCs w:val="24"/>
        </w:rPr>
      </w:pPr>
      <w:r>
        <w:rPr>
          <w:rFonts w:hint="eastAsia" w:ascii="宋体" w:hAnsi="宋体"/>
          <w:sz w:val="24"/>
          <w:szCs w:val="24"/>
        </w:rPr>
        <w:t>设备主要接口有：车载OBD检测接口、绝缘耐压测试仪-车辆端接口。</w:t>
      </w:r>
    </w:p>
    <w:p>
      <w:pPr>
        <w:spacing w:line="360" w:lineRule="auto"/>
        <w:ind w:firstLine="480" w:firstLineChars="200"/>
        <w:rPr>
          <w:rFonts w:ascii="宋体" w:hAnsi="宋体"/>
          <w:sz w:val="24"/>
          <w:szCs w:val="24"/>
        </w:rPr>
      </w:pPr>
      <w:r>
        <w:rPr>
          <w:rFonts w:hint="eastAsia" w:ascii="宋体" w:hAnsi="宋体"/>
          <w:sz w:val="24"/>
          <w:szCs w:val="24"/>
        </w:rPr>
        <w:t>将设备OBD线束连接到车辆的OBD接口上。</w:t>
      </w:r>
    </w:p>
    <w:p>
      <w:pPr>
        <w:spacing w:line="360" w:lineRule="auto"/>
        <w:ind w:firstLine="480" w:firstLineChars="200"/>
        <w:rPr>
          <w:rFonts w:ascii="宋体" w:hAnsi="宋体"/>
          <w:sz w:val="24"/>
          <w:szCs w:val="24"/>
        </w:rPr>
      </w:pPr>
      <w:r>
        <w:rPr>
          <w:rFonts w:hint="eastAsia" w:ascii="宋体" w:hAnsi="宋体"/>
          <w:sz w:val="24"/>
          <w:szCs w:val="24"/>
        </w:rPr>
        <w:t>通过软件选择不同的车型和测试模式，按照系统的提示使用不同的车辆端接口，接线。</w:t>
      </w:r>
    </w:p>
    <w:p>
      <w:pPr>
        <w:spacing w:line="360" w:lineRule="auto"/>
        <w:ind w:firstLine="480" w:firstLineChars="200"/>
        <w:rPr>
          <w:rFonts w:ascii="宋体" w:hAnsi="宋体"/>
          <w:sz w:val="24"/>
          <w:szCs w:val="24"/>
        </w:rPr>
      </w:pPr>
      <w:r>
        <w:rPr>
          <w:rFonts w:hint="eastAsia" w:ascii="宋体" w:hAnsi="宋体"/>
          <w:sz w:val="24"/>
          <w:szCs w:val="24"/>
        </w:rPr>
        <w:t>注：必须保证连接点无虚接、松动、短路等现象。</w:t>
      </w:r>
    </w:p>
    <w:p>
      <w:pPr>
        <w:spacing w:line="360" w:lineRule="auto"/>
        <w:ind w:firstLine="480" w:firstLineChars="200"/>
        <w:rPr>
          <w:rFonts w:ascii="宋体" w:hAnsi="宋体"/>
          <w:sz w:val="24"/>
          <w:szCs w:val="24"/>
        </w:rPr>
      </w:pPr>
      <w:r>
        <w:rPr>
          <w:rFonts w:ascii="宋体" w:hAnsi="宋体"/>
          <w:sz w:val="24"/>
          <w:szCs w:val="24"/>
        </w:rPr>
        <w:t>4</w:t>
      </w:r>
      <w:r>
        <w:rPr>
          <w:rFonts w:hint="eastAsia" w:ascii="宋体" w:hAnsi="宋体"/>
          <w:sz w:val="24"/>
          <w:szCs w:val="24"/>
        </w:rPr>
        <w:t>）一套绝缘电阻检测模块，实现完成二期调试电动皮卡在淋雨后绝缘电阻的</w:t>
      </w:r>
      <w:r>
        <w:rPr>
          <w:rFonts w:ascii="宋体" w:hAnsi="宋体"/>
          <w:sz w:val="24"/>
          <w:szCs w:val="24"/>
        </w:rPr>
        <w:t>检测</w:t>
      </w:r>
      <w:r>
        <w:rPr>
          <w:rFonts w:hint="eastAsia" w:ascii="宋体" w:hAnsi="宋体"/>
          <w:sz w:val="24"/>
          <w:szCs w:val="24"/>
        </w:rPr>
        <w:t>，检测模块技术参数要求</w:t>
      </w:r>
      <w:r>
        <w:rPr>
          <w:rFonts w:ascii="宋体" w:hAnsi="宋体"/>
          <w:sz w:val="24"/>
          <w:szCs w:val="24"/>
        </w:rPr>
        <w:t>如下</w:t>
      </w:r>
      <w:r>
        <w:rPr>
          <w:rFonts w:hint="eastAsia" w:ascii="宋体" w:hAnsi="宋体"/>
          <w:sz w:val="24"/>
          <w:szCs w:val="24"/>
        </w:rPr>
        <w:t>：</w:t>
      </w:r>
    </w:p>
    <w:tbl>
      <w:tblPr>
        <w:tblStyle w:val="76"/>
        <w:tblW w:w="10343" w:type="dxa"/>
        <w:tblInd w:w="0" w:type="dxa"/>
        <w:tblLayout w:type="autofit"/>
        <w:tblCellMar>
          <w:top w:w="0" w:type="dxa"/>
          <w:left w:w="108" w:type="dxa"/>
          <w:bottom w:w="0" w:type="dxa"/>
          <w:right w:w="108" w:type="dxa"/>
        </w:tblCellMar>
      </w:tblPr>
      <w:tblGrid>
        <w:gridCol w:w="1413"/>
        <w:gridCol w:w="2551"/>
        <w:gridCol w:w="1418"/>
        <w:gridCol w:w="4961"/>
      </w:tblGrid>
      <w:tr>
        <w:tblPrEx>
          <w:tblCellMar>
            <w:top w:w="0" w:type="dxa"/>
            <w:left w:w="108" w:type="dxa"/>
            <w:bottom w:w="0" w:type="dxa"/>
            <w:right w:w="108" w:type="dxa"/>
          </w:tblCellMar>
        </w:tblPrEx>
        <w:trPr>
          <w:trHeight w:val="285" w:hRule="atLeast"/>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测试功能</w:t>
            </w:r>
          </w:p>
        </w:tc>
        <w:tc>
          <w:tcPr>
            <w:tcW w:w="25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参数名称</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规格</w:t>
            </w:r>
          </w:p>
        </w:tc>
      </w:tr>
      <w:tr>
        <w:tblPrEx>
          <w:tblCellMar>
            <w:top w:w="0" w:type="dxa"/>
            <w:left w:w="108" w:type="dxa"/>
            <w:bottom w:w="0" w:type="dxa"/>
            <w:right w:w="108" w:type="dxa"/>
          </w:tblCellMar>
        </w:tblPrEx>
        <w:trPr>
          <w:trHeight w:val="285" w:hRule="atLeast"/>
        </w:trPr>
        <w:tc>
          <w:tcPr>
            <w:tcW w:w="141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整车绝缘含B级电压</w:t>
            </w:r>
          </w:p>
        </w:tc>
        <w:tc>
          <w:tcPr>
            <w:tcW w:w="255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绝缘电阻设定范围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上限：0.00-100.00MΩ 0=关闭</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下限：0.00-100.00MΩ</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绝缘电阻测量范围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0.20-100.00MΩ</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绝缘电阻测量分辨率</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0.01MΩ</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绝缘电阻测量精度</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±(5%读数值+0.03%量程)</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测试时间设置范围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4-999.9S</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测试时间分辨率</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0.1S</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测试时间精度</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±（0.1%设定值+0.05s）</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输出电压精度</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±（01%设定值+3V）</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绝缘电阻测量范围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0.01-10GΩ</w:t>
            </w:r>
          </w:p>
        </w:tc>
      </w:tr>
      <w:tr>
        <w:tblPrEx>
          <w:tblCellMar>
            <w:top w:w="0" w:type="dxa"/>
            <w:left w:w="108" w:type="dxa"/>
            <w:bottom w:w="0" w:type="dxa"/>
            <w:right w:w="108" w:type="dxa"/>
          </w:tblCellMar>
        </w:tblPrEx>
        <w:trPr>
          <w:trHeight w:val="930"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绝缘电阻测量精度</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100-499V</w:t>
            </w:r>
          </w:p>
        </w:tc>
        <w:tc>
          <w:tcPr>
            <w:tcW w:w="496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0.1MΩ-10MΩ  ±（5%读数值±0.5MΩ）</w:t>
            </w:r>
            <w:r>
              <w:rPr>
                <w:rFonts w:hint="eastAsia" w:ascii="仿宋" w:hAnsi="仿宋" w:eastAsia="仿宋" w:cs="宋体"/>
                <w:color w:val="000000"/>
                <w:kern w:val="0"/>
                <w:sz w:val="24"/>
                <w:szCs w:val="24"/>
              </w:rPr>
              <w:br w:type="textWrapping"/>
            </w:r>
            <w:r>
              <w:rPr>
                <w:rFonts w:hint="eastAsia" w:ascii="仿宋" w:hAnsi="仿宋" w:eastAsia="仿宋" w:cs="宋体"/>
                <w:color w:val="000000"/>
                <w:kern w:val="0"/>
                <w:sz w:val="24"/>
                <w:szCs w:val="24"/>
              </w:rPr>
              <w:t xml:space="preserve">100MΩ-10000MΩ  ±（10%读数值±5MΩ）  </w:t>
            </w:r>
          </w:p>
        </w:tc>
      </w:tr>
      <w:tr>
        <w:tblPrEx>
          <w:tblCellMar>
            <w:top w:w="0" w:type="dxa"/>
            <w:left w:w="108" w:type="dxa"/>
            <w:bottom w:w="0" w:type="dxa"/>
            <w:right w:w="108" w:type="dxa"/>
          </w:tblCellMar>
        </w:tblPrEx>
        <w:trPr>
          <w:trHeight w:val="109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500-1000</w:t>
            </w:r>
          </w:p>
        </w:tc>
        <w:tc>
          <w:tcPr>
            <w:tcW w:w="496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1.5-100MΩ  ±（2%读数值±0.2MΩ）</w:t>
            </w:r>
            <w:r>
              <w:rPr>
                <w:rFonts w:hint="eastAsia" w:ascii="仿宋" w:hAnsi="仿宋" w:eastAsia="仿宋" w:cs="宋体"/>
                <w:color w:val="000000"/>
                <w:kern w:val="0"/>
                <w:sz w:val="24"/>
                <w:szCs w:val="24"/>
              </w:rPr>
              <w:br w:type="textWrapping"/>
            </w:r>
            <w:r>
              <w:rPr>
                <w:rFonts w:hint="eastAsia" w:ascii="仿宋" w:hAnsi="仿宋" w:eastAsia="仿宋" w:cs="宋体"/>
                <w:color w:val="000000"/>
                <w:kern w:val="0"/>
                <w:sz w:val="24"/>
                <w:szCs w:val="24"/>
              </w:rPr>
              <w:t>100MΩ-1999MΩ  ±（5%读数值±2MΩ）</w:t>
            </w:r>
            <w:r>
              <w:rPr>
                <w:rFonts w:hint="eastAsia" w:ascii="仿宋" w:hAnsi="仿宋" w:eastAsia="仿宋" w:cs="宋体"/>
                <w:color w:val="000000"/>
                <w:kern w:val="0"/>
                <w:sz w:val="24"/>
                <w:szCs w:val="24"/>
              </w:rPr>
              <w:br w:type="textWrapping"/>
            </w:r>
            <w:r>
              <w:rPr>
                <w:rFonts w:hint="eastAsia" w:ascii="仿宋" w:hAnsi="仿宋" w:eastAsia="仿宋" w:cs="宋体"/>
                <w:color w:val="000000"/>
                <w:kern w:val="0"/>
                <w:sz w:val="24"/>
                <w:szCs w:val="24"/>
              </w:rPr>
              <w:t xml:space="preserve">2000MΩ-10000MΩ  ±（10%读数值±5MΩ） </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测试时间设置范围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0.0-999.9s    0.0=持续输出</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测试时间精度</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±（0.1%设定值+0.05s）</w:t>
            </w:r>
          </w:p>
        </w:tc>
      </w:tr>
      <w:tr>
        <w:tblPrEx>
          <w:tblCellMar>
            <w:top w:w="0" w:type="dxa"/>
            <w:left w:w="108" w:type="dxa"/>
            <w:bottom w:w="0" w:type="dxa"/>
            <w:right w:w="108" w:type="dxa"/>
          </w:tblCellMar>
        </w:tblPrEx>
        <w:trPr>
          <w:trHeight w:val="285" w:hRule="atLeast"/>
        </w:trPr>
        <w:tc>
          <w:tcPr>
            <w:tcW w:w="141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直流快充充电接口测试</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充电电压测量范围</w:t>
            </w:r>
          </w:p>
        </w:tc>
        <w:tc>
          <w:tcPr>
            <w:tcW w:w="6379"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DC:0.0-7５0.0V</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充电电压测量精度</w:t>
            </w:r>
          </w:p>
        </w:tc>
        <w:tc>
          <w:tcPr>
            <w:tcW w:w="6379"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±(0.25%读数值+0.25%量程值)</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充电电流测量范围</w:t>
            </w:r>
          </w:p>
        </w:tc>
        <w:tc>
          <w:tcPr>
            <w:tcW w:w="6379"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0.5--63.00A</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充电电流测量精度</w:t>
            </w:r>
          </w:p>
        </w:tc>
        <w:tc>
          <w:tcPr>
            <w:tcW w:w="6379"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±(0.25%读数值+0.25%量程值)</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测试时间设置范围</w:t>
            </w:r>
          </w:p>
        </w:tc>
        <w:tc>
          <w:tcPr>
            <w:tcW w:w="6379"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0.0-999.9S  0.0=持续输出</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测试时间精度</w:t>
            </w:r>
          </w:p>
        </w:tc>
        <w:tc>
          <w:tcPr>
            <w:tcW w:w="6379"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±（0.1%设定值+0.05s）</w:t>
            </w:r>
          </w:p>
        </w:tc>
      </w:tr>
    </w:tbl>
    <w:p>
      <w:pPr>
        <w:spacing w:line="360" w:lineRule="auto"/>
        <w:ind w:firstLine="480" w:firstLineChars="200"/>
        <w:rPr>
          <w:rFonts w:ascii="宋体" w:hAnsi="宋体"/>
          <w:sz w:val="24"/>
          <w:szCs w:val="24"/>
        </w:rPr>
      </w:pPr>
      <w:r>
        <w:rPr>
          <w:rFonts w:ascii="宋体" w:hAnsi="宋体"/>
          <w:sz w:val="24"/>
          <w:szCs w:val="24"/>
        </w:rPr>
        <w:t>5</w:t>
      </w:r>
      <w:r>
        <w:rPr>
          <w:rFonts w:hint="eastAsia" w:ascii="宋体" w:hAnsi="宋体"/>
          <w:sz w:val="24"/>
          <w:szCs w:val="24"/>
        </w:rPr>
        <w:t>）一套绝缘电阻检测模块，实现完成二期总装电动皮卡下线的绝缘电阻检测/电位均衡等</w:t>
      </w:r>
      <w:r>
        <w:rPr>
          <w:rFonts w:ascii="宋体" w:hAnsi="宋体"/>
          <w:sz w:val="24"/>
          <w:szCs w:val="24"/>
        </w:rPr>
        <w:t>检测</w:t>
      </w:r>
      <w:r>
        <w:rPr>
          <w:rFonts w:hint="eastAsia" w:ascii="宋体" w:hAnsi="宋体"/>
          <w:sz w:val="24"/>
          <w:szCs w:val="24"/>
        </w:rPr>
        <w:t>，检测模块技术参数要求</w:t>
      </w:r>
      <w:r>
        <w:rPr>
          <w:rFonts w:ascii="宋体" w:hAnsi="宋体"/>
          <w:sz w:val="24"/>
          <w:szCs w:val="24"/>
        </w:rPr>
        <w:t>如下</w:t>
      </w:r>
      <w:r>
        <w:rPr>
          <w:rFonts w:hint="eastAsia" w:ascii="宋体" w:hAnsi="宋体"/>
          <w:sz w:val="24"/>
          <w:szCs w:val="24"/>
        </w:rPr>
        <w:t>：</w:t>
      </w:r>
    </w:p>
    <w:tbl>
      <w:tblPr>
        <w:tblStyle w:val="76"/>
        <w:tblW w:w="10343" w:type="dxa"/>
        <w:tblInd w:w="0" w:type="dxa"/>
        <w:tblLayout w:type="autofit"/>
        <w:tblCellMar>
          <w:top w:w="0" w:type="dxa"/>
          <w:left w:w="108" w:type="dxa"/>
          <w:bottom w:w="0" w:type="dxa"/>
          <w:right w:w="108" w:type="dxa"/>
        </w:tblCellMar>
      </w:tblPr>
      <w:tblGrid>
        <w:gridCol w:w="1413"/>
        <w:gridCol w:w="2551"/>
        <w:gridCol w:w="1418"/>
        <w:gridCol w:w="4961"/>
      </w:tblGrid>
      <w:tr>
        <w:tblPrEx>
          <w:tblCellMar>
            <w:top w:w="0" w:type="dxa"/>
            <w:left w:w="108" w:type="dxa"/>
            <w:bottom w:w="0" w:type="dxa"/>
            <w:right w:w="108" w:type="dxa"/>
          </w:tblCellMar>
        </w:tblPrEx>
        <w:trPr>
          <w:trHeight w:val="285" w:hRule="atLeast"/>
        </w:trPr>
        <w:tc>
          <w:tcPr>
            <w:tcW w:w="14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测试功能</w:t>
            </w:r>
          </w:p>
        </w:tc>
        <w:tc>
          <w:tcPr>
            <w:tcW w:w="25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参数名称</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规格</w:t>
            </w:r>
          </w:p>
        </w:tc>
      </w:tr>
      <w:tr>
        <w:tblPrEx>
          <w:tblCellMar>
            <w:top w:w="0" w:type="dxa"/>
            <w:left w:w="108" w:type="dxa"/>
            <w:bottom w:w="0" w:type="dxa"/>
            <w:right w:w="108" w:type="dxa"/>
          </w:tblCellMar>
        </w:tblPrEx>
        <w:trPr>
          <w:trHeight w:val="285" w:hRule="atLeast"/>
        </w:trPr>
        <w:tc>
          <w:tcPr>
            <w:tcW w:w="141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整车绝缘含B级电压</w:t>
            </w:r>
          </w:p>
        </w:tc>
        <w:tc>
          <w:tcPr>
            <w:tcW w:w="255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绝缘电阻设定范围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上限：0.00-100.00MΩ 0=关闭</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下限：0.00-100.00MΩ</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绝缘电阻测量范围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0.20-100.00MΩ</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绝缘电阻测量分辨率</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0.01MΩ</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绝缘电阻测量精度</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±(5%读数值+0.03%量程)</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测试时间设置范围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4-999.9S</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测试时间分辨率</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0.1S</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测试时间精度</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±（0.1%设定值+0.05s）</w:t>
            </w:r>
          </w:p>
        </w:tc>
      </w:tr>
      <w:tr>
        <w:tblPrEx>
          <w:tblCellMar>
            <w:top w:w="0" w:type="dxa"/>
            <w:left w:w="108" w:type="dxa"/>
            <w:bottom w:w="0" w:type="dxa"/>
            <w:right w:w="108" w:type="dxa"/>
          </w:tblCellMar>
        </w:tblPrEx>
        <w:trPr>
          <w:trHeight w:val="285" w:hRule="atLeast"/>
        </w:trPr>
        <w:tc>
          <w:tcPr>
            <w:tcW w:w="1413"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电容耦合测试</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输出电压设定范围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DC:100-1000V连续可调</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输出电压精度</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±（0.1%设定值+3V）</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电能测量范围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1.0-2000mJ</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电量测量精度</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±（0.1%设定值+0.3mJ）</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测试时间设置范围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0.0-999.9s    0.0=持续输出</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测试时间精度</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±（0.1%设定值+0.05s）</w:t>
            </w:r>
          </w:p>
        </w:tc>
      </w:tr>
      <w:tr>
        <w:tblPrEx>
          <w:tblCellMar>
            <w:top w:w="0" w:type="dxa"/>
            <w:left w:w="108" w:type="dxa"/>
            <w:bottom w:w="0" w:type="dxa"/>
            <w:right w:w="108" w:type="dxa"/>
          </w:tblCellMar>
        </w:tblPrEx>
        <w:trPr>
          <w:trHeight w:val="285" w:hRule="atLeast"/>
        </w:trPr>
        <w:tc>
          <w:tcPr>
            <w:tcW w:w="1413"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交流耐压测试</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输出电压设定范围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AC:100-5.000KV连续可调</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输出电压精度</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±（1%设定值+3V）</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击穿电流测量范围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0.050-9.999-40.00mA</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击穿电流测量精度</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±（1.5%设定值+0.005mA）</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测试时间设置范围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0.0-999.9s    0.0=持续输出</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测试时间精度</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±（0.1%设定值+0.05s）</w:t>
            </w:r>
          </w:p>
        </w:tc>
      </w:tr>
      <w:tr>
        <w:tblPrEx>
          <w:tblCellMar>
            <w:top w:w="0" w:type="dxa"/>
            <w:left w:w="108" w:type="dxa"/>
            <w:bottom w:w="0" w:type="dxa"/>
            <w:right w:w="108" w:type="dxa"/>
          </w:tblCellMar>
        </w:tblPrEx>
        <w:trPr>
          <w:trHeight w:val="285" w:hRule="atLeast"/>
        </w:trPr>
        <w:tc>
          <w:tcPr>
            <w:tcW w:w="1413"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电位均衡</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输出电流设定范围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DC:0.2-32A 连续可调恒流输出</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输出电流精度范围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1.00-9.99A：±（1% * 设定值+0.20A）</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接地电阻测量范围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0.0-6３0mΩ</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接地电阻测量精度</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±（1%读数值+3mΩ）</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测试时间设置范围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0.0，0.1-999.9S 0.0=持续输出</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测试时间精度</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±（0.1%设定值+0.05s）</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电阻测试分辨率</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高于 0.01Ω</w:t>
            </w:r>
          </w:p>
        </w:tc>
      </w:tr>
      <w:tr>
        <w:tblPrEx>
          <w:tblCellMar>
            <w:top w:w="0" w:type="dxa"/>
            <w:left w:w="108" w:type="dxa"/>
            <w:bottom w:w="0" w:type="dxa"/>
            <w:right w:w="108" w:type="dxa"/>
          </w:tblCellMar>
        </w:tblPrEx>
        <w:trPr>
          <w:trHeight w:val="285" w:hRule="atLeast"/>
        </w:trPr>
        <w:tc>
          <w:tcPr>
            <w:tcW w:w="1413"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绝缘电阻测量精度</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输出电压设定范围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DC:0.100-1000V连续可调</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输出电压精度</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±（01%设定值+3V）</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绝缘电阻测量范围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0.01-10GΩ</w:t>
            </w:r>
          </w:p>
        </w:tc>
      </w:tr>
      <w:tr>
        <w:tblPrEx>
          <w:tblCellMar>
            <w:top w:w="0" w:type="dxa"/>
            <w:left w:w="108" w:type="dxa"/>
            <w:bottom w:w="0" w:type="dxa"/>
            <w:right w:w="108" w:type="dxa"/>
          </w:tblCellMar>
        </w:tblPrEx>
        <w:trPr>
          <w:trHeight w:val="930"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绝缘电阻测量精度</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100-499V</w:t>
            </w:r>
          </w:p>
        </w:tc>
        <w:tc>
          <w:tcPr>
            <w:tcW w:w="496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0.1MΩ-10MΩ  ±（5%读数值±0.5MΩ）</w:t>
            </w:r>
            <w:r>
              <w:rPr>
                <w:rFonts w:hint="eastAsia" w:ascii="仿宋" w:hAnsi="仿宋" w:eastAsia="仿宋" w:cs="宋体"/>
                <w:color w:val="000000"/>
                <w:kern w:val="0"/>
                <w:sz w:val="24"/>
                <w:szCs w:val="24"/>
              </w:rPr>
              <w:br w:type="textWrapping"/>
            </w:r>
            <w:r>
              <w:rPr>
                <w:rFonts w:hint="eastAsia" w:ascii="仿宋" w:hAnsi="仿宋" w:eastAsia="仿宋" w:cs="宋体"/>
                <w:color w:val="000000"/>
                <w:kern w:val="0"/>
                <w:sz w:val="24"/>
                <w:szCs w:val="24"/>
              </w:rPr>
              <w:t xml:space="preserve">100MΩ-10000MΩ  ±（10%读数值±5MΩ）  </w:t>
            </w:r>
          </w:p>
        </w:tc>
      </w:tr>
      <w:tr>
        <w:tblPrEx>
          <w:tblCellMar>
            <w:top w:w="0" w:type="dxa"/>
            <w:left w:w="108" w:type="dxa"/>
            <w:bottom w:w="0" w:type="dxa"/>
            <w:right w:w="108" w:type="dxa"/>
          </w:tblCellMar>
        </w:tblPrEx>
        <w:trPr>
          <w:trHeight w:val="109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500-1000</w:t>
            </w:r>
          </w:p>
        </w:tc>
        <w:tc>
          <w:tcPr>
            <w:tcW w:w="4961"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4"/>
                <w:szCs w:val="24"/>
              </w:rPr>
            </w:pPr>
            <w:r>
              <w:rPr>
                <w:rFonts w:hint="eastAsia" w:ascii="仿宋" w:hAnsi="仿宋" w:eastAsia="仿宋" w:cs="宋体"/>
                <w:color w:val="000000"/>
                <w:kern w:val="0"/>
                <w:sz w:val="24"/>
                <w:szCs w:val="24"/>
              </w:rPr>
              <w:t>1.5-100MΩ  ±（2%读数值±0.2MΩ）</w:t>
            </w:r>
            <w:r>
              <w:rPr>
                <w:rFonts w:hint="eastAsia" w:ascii="仿宋" w:hAnsi="仿宋" w:eastAsia="仿宋" w:cs="宋体"/>
                <w:color w:val="000000"/>
                <w:kern w:val="0"/>
                <w:sz w:val="24"/>
                <w:szCs w:val="24"/>
              </w:rPr>
              <w:br w:type="textWrapping"/>
            </w:r>
            <w:r>
              <w:rPr>
                <w:rFonts w:hint="eastAsia" w:ascii="仿宋" w:hAnsi="仿宋" w:eastAsia="仿宋" w:cs="宋体"/>
                <w:color w:val="000000"/>
                <w:kern w:val="0"/>
                <w:sz w:val="24"/>
                <w:szCs w:val="24"/>
              </w:rPr>
              <w:t>100MΩ-1999MΩ  ±（5%读数值±2MΩ）</w:t>
            </w:r>
            <w:r>
              <w:rPr>
                <w:rFonts w:hint="eastAsia" w:ascii="仿宋" w:hAnsi="仿宋" w:eastAsia="仿宋" w:cs="宋体"/>
                <w:color w:val="000000"/>
                <w:kern w:val="0"/>
                <w:sz w:val="24"/>
                <w:szCs w:val="24"/>
              </w:rPr>
              <w:br w:type="textWrapping"/>
            </w:r>
            <w:r>
              <w:rPr>
                <w:rFonts w:hint="eastAsia" w:ascii="仿宋" w:hAnsi="仿宋" w:eastAsia="仿宋" w:cs="宋体"/>
                <w:color w:val="000000"/>
                <w:kern w:val="0"/>
                <w:sz w:val="24"/>
                <w:szCs w:val="24"/>
              </w:rPr>
              <w:t xml:space="preserve">2000MΩ-10000MΩ  ±（10%读数值±5MΩ） </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测试时间设置范围</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0.0-999.9s    0.0=持续输出</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测试时间精度</w:t>
            </w:r>
          </w:p>
        </w:tc>
        <w:tc>
          <w:tcPr>
            <w:tcW w:w="637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±（0.1%设定值+0.05s）</w:t>
            </w:r>
          </w:p>
        </w:tc>
      </w:tr>
      <w:tr>
        <w:tblPrEx>
          <w:tblCellMar>
            <w:top w:w="0" w:type="dxa"/>
            <w:left w:w="108" w:type="dxa"/>
            <w:bottom w:w="0" w:type="dxa"/>
            <w:right w:w="108" w:type="dxa"/>
          </w:tblCellMar>
        </w:tblPrEx>
        <w:trPr>
          <w:trHeight w:val="285" w:hRule="atLeast"/>
        </w:trPr>
        <w:tc>
          <w:tcPr>
            <w:tcW w:w="141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直流快充充电接口测试</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充电电压测量范围</w:t>
            </w:r>
          </w:p>
        </w:tc>
        <w:tc>
          <w:tcPr>
            <w:tcW w:w="6379"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DC:0.0-7５0.0V</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充电电压测量精度</w:t>
            </w:r>
          </w:p>
        </w:tc>
        <w:tc>
          <w:tcPr>
            <w:tcW w:w="6379"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±(0.25%读数值+0.25%量程值)</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充电电流测量范围</w:t>
            </w:r>
          </w:p>
        </w:tc>
        <w:tc>
          <w:tcPr>
            <w:tcW w:w="6379"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0.5--63.00A</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充电电流测量精度</w:t>
            </w:r>
          </w:p>
        </w:tc>
        <w:tc>
          <w:tcPr>
            <w:tcW w:w="6379"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±(0.25%读数值+0.25%量程值)</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测试时间设置范围</w:t>
            </w:r>
          </w:p>
        </w:tc>
        <w:tc>
          <w:tcPr>
            <w:tcW w:w="6379"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0.0-999.9S  0.0=持续输出</w:t>
            </w:r>
          </w:p>
        </w:tc>
      </w:tr>
      <w:tr>
        <w:tblPrEx>
          <w:tblCellMar>
            <w:top w:w="0" w:type="dxa"/>
            <w:left w:w="108" w:type="dxa"/>
            <w:bottom w:w="0" w:type="dxa"/>
            <w:right w:w="108" w:type="dxa"/>
          </w:tblCellMar>
        </w:tblPrEx>
        <w:trPr>
          <w:trHeight w:val="285"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测试时间精度</w:t>
            </w:r>
          </w:p>
        </w:tc>
        <w:tc>
          <w:tcPr>
            <w:tcW w:w="6379"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±（0.1%设定值+0.05s）</w:t>
            </w:r>
          </w:p>
        </w:tc>
      </w:tr>
    </w:tbl>
    <w:p>
      <w:pPr>
        <w:spacing w:line="360" w:lineRule="auto"/>
        <w:ind w:firstLine="480" w:firstLineChars="200"/>
        <w:rPr>
          <w:rFonts w:ascii="宋体" w:hAnsi="宋体"/>
          <w:sz w:val="24"/>
          <w:szCs w:val="24"/>
        </w:rPr>
      </w:pPr>
    </w:p>
    <w:tbl>
      <w:tblPr>
        <w:tblStyle w:val="76"/>
        <w:tblW w:w="1010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134"/>
        <w:gridCol w:w="2977"/>
        <w:gridCol w:w="3119"/>
        <w:gridCol w:w="99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08" w:type="dxa"/>
            <w:gridSpan w:val="6"/>
            <w:shd w:val="clear" w:color="auto" w:fill="auto"/>
          </w:tcPr>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b/>
                <w:bCs/>
                <w:sz w:val="24"/>
                <w:szCs w:val="24"/>
              </w:rPr>
              <w:t>BMS数据分析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shd w:val="clear" w:color="auto" w:fill="auto"/>
          </w:tcPr>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报文</w:t>
            </w:r>
          </w:p>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名称</w:t>
            </w:r>
          </w:p>
        </w:tc>
        <w:tc>
          <w:tcPr>
            <w:tcW w:w="1134" w:type="dxa"/>
            <w:shd w:val="clear" w:color="auto" w:fill="auto"/>
            <w:vAlign w:val="center"/>
          </w:tcPr>
          <w:p>
            <w:pPr>
              <w:widowControl/>
              <w:jc w:val="center"/>
              <w:textAlignment w:val="center"/>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报文</w:t>
            </w:r>
          </w:p>
          <w:p>
            <w:pPr>
              <w:widowControl/>
              <w:jc w:val="center"/>
              <w:textAlignment w:val="center"/>
              <w:rPr>
                <w:rFonts w:ascii="仿宋" w:hAnsi="仿宋" w:eastAsia="仿宋" w:cs="宋体"/>
                <w:b/>
                <w:bCs/>
                <w:color w:val="000000"/>
                <w:kern w:val="0"/>
                <w:sz w:val="24"/>
                <w:szCs w:val="24"/>
                <w:lang w:bidi="ar"/>
              </w:rPr>
            </w:pPr>
            <w:r>
              <w:rPr>
                <w:rFonts w:ascii="仿宋" w:hAnsi="仿宋" w:eastAsia="仿宋" w:cs="Arial"/>
                <w:b/>
                <w:bCs/>
                <w:color w:val="000000"/>
                <w:kern w:val="0"/>
                <w:sz w:val="24"/>
                <w:szCs w:val="24"/>
                <w:lang w:bidi="ar"/>
              </w:rPr>
              <w:t>ID</w:t>
            </w:r>
          </w:p>
        </w:tc>
        <w:tc>
          <w:tcPr>
            <w:tcW w:w="2977" w:type="dxa"/>
            <w:shd w:val="clear" w:color="auto" w:fill="auto"/>
          </w:tcPr>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信号</w:t>
            </w:r>
          </w:p>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名称</w:t>
            </w:r>
          </w:p>
        </w:tc>
        <w:tc>
          <w:tcPr>
            <w:tcW w:w="3119" w:type="dxa"/>
            <w:shd w:val="clear" w:color="auto" w:fill="auto"/>
          </w:tcPr>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信号</w:t>
            </w:r>
          </w:p>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描述</w:t>
            </w:r>
          </w:p>
        </w:tc>
        <w:tc>
          <w:tcPr>
            <w:tcW w:w="992" w:type="dxa"/>
            <w:shd w:val="clear" w:color="auto" w:fill="auto"/>
          </w:tcPr>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要求</w:t>
            </w:r>
          </w:p>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值</w:t>
            </w:r>
          </w:p>
        </w:tc>
        <w:tc>
          <w:tcPr>
            <w:tcW w:w="850" w:type="dxa"/>
            <w:shd w:val="clear" w:color="auto" w:fill="auto"/>
          </w:tcPr>
          <w:p>
            <w:pPr>
              <w:widowControl/>
              <w:jc w:val="center"/>
              <w:textAlignment w:val="top"/>
              <w:rPr>
                <w:rFonts w:ascii="仿宋" w:hAnsi="仿宋" w:eastAsia="仿宋" w:cs="宋体"/>
                <w:b/>
                <w:bCs/>
                <w:color w:val="000000"/>
                <w:sz w:val="24"/>
                <w:szCs w:val="24"/>
              </w:rPr>
            </w:pPr>
            <w:r>
              <w:rPr>
                <w:rFonts w:hint="eastAsia" w:ascii="仿宋" w:hAnsi="仿宋" w:eastAsia="仿宋" w:cs="宋体"/>
                <w:b/>
                <w:bCs/>
                <w:color w:val="000000"/>
                <w:kern w:val="0"/>
                <w:sz w:val="24"/>
                <w:szCs w:val="24"/>
                <w:lang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BMS1</w:t>
            </w:r>
          </w:p>
        </w:tc>
        <w:tc>
          <w:tcPr>
            <w:tcW w:w="1134"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0x1AC</w:t>
            </w: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BMS_BatFauSta</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电池系统故障状态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BMS_BatHVILFauSta</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电池系统高压互锁故障状态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BMS_BatPackActVol</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电池包实时电压</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BMS_BatPackActCur</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电池包实时电流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PDU_Hvlock_State</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w:t>
            </w:r>
            <w:r>
              <w:rPr>
                <w:rFonts w:hint="eastAsia" w:ascii="仿宋" w:hAnsi="仿宋" w:eastAsia="仿宋" w:cs="宋体"/>
                <w:color w:val="000000"/>
                <w:kern w:val="0"/>
                <w:sz w:val="24"/>
                <w:szCs w:val="24"/>
                <w:lang w:bidi="ar"/>
              </w:rPr>
              <w:t>高压互锁状态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PDU_Fault_code</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w:t>
            </w:r>
            <w:r>
              <w:rPr>
                <w:rFonts w:hint="eastAsia" w:ascii="仿宋" w:hAnsi="仿宋" w:eastAsia="仿宋" w:cs="宋体"/>
                <w:color w:val="000000"/>
                <w:kern w:val="0"/>
                <w:sz w:val="24"/>
                <w:szCs w:val="24"/>
                <w:lang w:bidi="ar"/>
              </w:rPr>
              <w:t>故障代码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PDU_Fault_Level</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w:t>
            </w:r>
            <w:r>
              <w:rPr>
                <w:rFonts w:hint="eastAsia" w:ascii="仿宋" w:hAnsi="仿宋" w:eastAsia="仿宋" w:cs="宋体"/>
                <w:color w:val="000000"/>
                <w:kern w:val="0"/>
                <w:sz w:val="24"/>
                <w:szCs w:val="24"/>
                <w:lang w:bidi="ar"/>
              </w:rPr>
              <w:t>故障等级</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PDU_SelfChecking_State</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w:t>
            </w:r>
            <w:r>
              <w:rPr>
                <w:rFonts w:hint="eastAsia" w:ascii="仿宋" w:hAnsi="仿宋" w:eastAsia="仿宋" w:cs="宋体"/>
                <w:color w:val="000000"/>
                <w:kern w:val="0"/>
                <w:sz w:val="24"/>
                <w:szCs w:val="24"/>
                <w:lang w:bidi="ar"/>
              </w:rPr>
              <w:t>自检状态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PDU_software</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w:t>
            </w:r>
            <w:r>
              <w:rPr>
                <w:rFonts w:hint="eastAsia" w:ascii="仿宋" w:hAnsi="仿宋" w:eastAsia="仿宋" w:cs="宋体"/>
                <w:color w:val="000000"/>
                <w:kern w:val="0"/>
                <w:sz w:val="24"/>
                <w:szCs w:val="24"/>
                <w:lang w:bidi="ar"/>
              </w:rPr>
              <w:t>软件版本号</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BMS3</w:t>
            </w:r>
          </w:p>
        </w:tc>
        <w:tc>
          <w:tcPr>
            <w:tcW w:w="1134"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0x1A0</w:t>
            </w: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BMS_PositiveInsulRes</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总正绝缘电阻</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&gt;35</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BMS_NegInsulRes</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总负绝缘电阻</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&gt;190</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BMS_InsulFau</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电池绝缘故障</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BMS4</w:t>
            </w:r>
          </w:p>
        </w:tc>
        <w:tc>
          <w:tcPr>
            <w:tcW w:w="1134" w:type="dxa"/>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0x2BA</w:t>
            </w: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BMS_BatPackSOCDisply</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显示电池包</w:t>
            </w:r>
            <w:r>
              <w:rPr>
                <w:rStyle w:val="387"/>
                <w:rFonts w:ascii="仿宋" w:hAnsi="仿宋" w:eastAsia="仿宋"/>
                <w:sz w:val="24"/>
                <w:szCs w:val="24"/>
                <w:lang w:bidi="ar"/>
              </w:rPr>
              <w:t>SOC</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BMS5</w:t>
            </w:r>
          </w:p>
        </w:tc>
        <w:tc>
          <w:tcPr>
            <w:tcW w:w="1134"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0x37E</w:t>
            </w: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BMS_ThemlMgntModReq</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w:t>
            </w:r>
            <w:r>
              <w:rPr>
                <w:rFonts w:hint="eastAsia" w:ascii="仿宋" w:hAnsi="仿宋" w:eastAsia="仿宋" w:cs="宋体"/>
                <w:color w:val="000000"/>
                <w:kern w:val="0"/>
                <w:sz w:val="24"/>
                <w:szCs w:val="24"/>
                <w:lang w:bidi="ar"/>
              </w:rPr>
              <w:t>热管理模式请求</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BMS_HeatingStatus</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w:t>
            </w:r>
            <w:r>
              <w:rPr>
                <w:rFonts w:hint="eastAsia" w:ascii="仿宋" w:hAnsi="仿宋" w:eastAsia="仿宋" w:cs="宋体"/>
                <w:color w:val="000000"/>
                <w:kern w:val="0"/>
                <w:sz w:val="24"/>
                <w:szCs w:val="24"/>
                <w:lang w:bidi="ar"/>
              </w:rPr>
              <w:t>加热状态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BMS6</w:t>
            </w:r>
          </w:p>
        </w:tc>
        <w:tc>
          <w:tcPr>
            <w:tcW w:w="1134"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0x38F</w:t>
            </w: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BMS_ChrgReq</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充电请求</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BMS_DCChrgSta</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直流充电状态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BMS_DCChrgPortTemp1</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直流充电插座温度</w:t>
            </w:r>
            <w:r>
              <w:rPr>
                <w:rStyle w:val="387"/>
                <w:rFonts w:ascii="仿宋" w:hAnsi="仿宋" w:eastAsia="仿宋"/>
                <w:sz w:val="24"/>
                <w:szCs w:val="24"/>
                <w:lang w:bidi="ar"/>
              </w:rPr>
              <w:t>-1</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BMS_DCChrgPortTemp2</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直流充电插座温度</w:t>
            </w:r>
            <w:r>
              <w:rPr>
                <w:rStyle w:val="387"/>
                <w:rFonts w:ascii="仿宋" w:hAnsi="仿宋" w:eastAsia="仿宋"/>
                <w:sz w:val="24"/>
                <w:szCs w:val="24"/>
                <w:lang w:bidi="ar"/>
              </w:rPr>
              <w:t>-2</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BMS_ChrgConctSta</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充电枪连接状态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BMS_BmsWakeVCUSts</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w:t>
            </w:r>
            <w:r>
              <w:rPr>
                <w:rFonts w:hint="eastAsia" w:ascii="仿宋" w:hAnsi="仿宋" w:eastAsia="仿宋" w:cs="宋体"/>
                <w:color w:val="000000"/>
                <w:kern w:val="0"/>
                <w:sz w:val="24"/>
                <w:szCs w:val="24"/>
                <w:lang w:bidi="ar"/>
              </w:rPr>
              <w:t>硬线唤醒</w:t>
            </w:r>
            <w:r>
              <w:rPr>
                <w:rStyle w:val="387"/>
                <w:rFonts w:ascii="仿宋" w:hAnsi="仿宋" w:eastAsia="仿宋"/>
                <w:sz w:val="24"/>
                <w:szCs w:val="24"/>
                <w:lang w:bidi="ar"/>
              </w:rPr>
              <w:t>VCU</w:t>
            </w:r>
            <w:r>
              <w:rPr>
                <w:rFonts w:hint="eastAsia" w:ascii="仿宋" w:hAnsi="仿宋" w:eastAsia="仿宋" w:cs="宋体"/>
                <w:color w:val="000000"/>
                <w:kern w:val="0"/>
                <w:sz w:val="24"/>
                <w:szCs w:val="24"/>
                <w:lang w:bidi="ar"/>
              </w:rPr>
              <w:t>状态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BMS8</w:t>
            </w:r>
          </w:p>
        </w:tc>
        <w:tc>
          <w:tcPr>
            <w:tcW w:w="1134"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0x3E0</w:t>
            </w: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BMS_BatCellCounts</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单体电池串数</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BMS_MaxCellVolLocation</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电压最高单体编号</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BMS_MaxCellVoltage</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最高单体电压</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BMS_MinCellVolLocation</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电压最低单体编号</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BMS_MinCellVol</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最低单体电压</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BMS15</w:t>
            </w:r>
          </w:p>
        </w:tc>
        <w:tc>
          <w:tcPr>
            <w:tcW w:w="1134"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0x315</w:t>
            </w: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BMS_DCPosContactorrFlt</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直流正接触器故障</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BMS_DCNegContactorrFlt</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直流负接触器故障</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BMS_HeatPosContactorFlt</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加热正接触器故障</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Arial" w:hAnsi="Arial" w:cs="Arial"/>
                <w:b/>
                <w:bCs/>
                <w:color w:val="000000"/>
                <w:sz w:val="20"/>
              </w:rPr>
            </w:pPr>
          </w:p>
        </w:tc>
        <w:tc>
          <w:tcPr>
            <w:tcW w:w="1134" w:type="dxa"/>
            <w:vMerge w:val="continue"/>
            <w:shd w:val="clear" w:color="auto" w:fill="auto"/>
            <w:vAlign w:val="center"/>
          </w:tcPr>
          <w:p>
            <w:pPr>
              <w:jc w:val="center"/>
              <w:rPr>
                <w:rFonts w:ascii="Arial" w:hAnsi="Arial" w:cs="Arial"/>
                <w:b/>
                <w:bCs/>
                <w:color w:val="000000"/>
                <w:sz w:val="20"/>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BMS_HeatNetContactorFlt</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加热负接触器故障</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Arial" w:hAnsi="Arial" w:cs="Arial"/>
                <w:b/>
                <w:bCs/>
                <w:color w:val="000000"/>
                <w:sz w:val="20"/>
              </w:rPr>
            </w:pPr>
          </w:p>
        </w:tc>
        <w:tc>
          <w:tcPr>
            <w:tcW w:w="1134" w:type="dxa"/>
            <w:vMerge w:val="continue"/>
            <w:shd w:val="clear" w:color="auto" w:fill="auto"/>
            <w:vAlign w:val="center"/>
          </w:tcPr>
          <w:p>
            <w:pPr>
              <w:jc w:val="center"/>
              <w:rPr>
                <w:rFonts w:ascii="Arial" w:hAnsi="Arial" w:cs="Arial"/>
                <w:b/>
                <w:bCs/>
                <w:color w:val="000000"/>
                <w:sz w:val="20"/>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BMS_FaultCode</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w:t>
            </w:r>
            <w:r>
              <w:rPr>
                <w:rFonts w:hint="eastAsia" w:ascii="仿宋" w:hAnsi="仿宋" w:eastAsia="仿宋" w:cs="宋体"/>
                <w:color w:val="000000"/>
                <w:kern w:val="0"/>
                <w:sz w:val="24"/>
                <w:szCs w:val="24"/>
                <w:lang w:bidi="ar"/>
              </w:rPr>
              <w:t>故障代码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Arial" w:hAnsi="Arial" w:cs="Arial"/>
                <w:b/>
                <w:bCs/>
                <w:color w:val="000000"/>
                <w:sz w:val="20"/>
              </w:rPr>
            </w:pPr>
          </w:p>
        </w:tc>
        <w:tc>
          <w:tcPr>
            <w:tcW w:w="1134" w:type="dxa"/>
            <w:vMerge w:val="continue"/>
            <w:shd w:val="clear" w:color="auto" w:fill="auto"/>
            <w:vAlign w:val="center"/>
          </w:tcPr>
          <w:p>
            <w:pPr>
              <w:jc w:val="center"/>
              <w:rPr>
                <w:rFonts w:ascii="Arial" w:hAnsi="Arial" w:cs="Arial"/>
                <w:b/>
                <w:bCs/>
                <w:color w:val="000000"/>
                <w:sz w:val="20"/>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BMS_FaultTotalNum</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当前总成系统故障总数</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bl>
    <w:p>
      <w:pPr>
        <w:spacing w:line="360" w:lineRule="auto"/>
        <w:ind w:firstLine="480" w:firstLineChars="200"/>
        <w:rPr>
          <w:rFonts w:ascii="宋体" w:hAnsi="宋体"/>
          <w:sz w:val="24"/>
          <w:szCs w:val="24"/>
        </w:rPr>
      </w:pPr>
    </w:p>
    <w:p>
      <w:pPr>
        <w:spacing w:line="360" w:lineRule="auto"/>
        <w:ind w:firstLine="480" w:firstLineChars="200"/>
      </w:pPr>
      <w:r>
        <w:rPr>
          <w:rFonts w:ascii="宋体" w:hAnsi="宋体"/>
          <w:sz w:val="24"/>
          <w:szCs w:val="24"/>
        </w:rPr>
        <w:t>6</w:t>
      </w:r>
      <w:r>
        <w:rPr>
          <w:rFonts w:hint="eastAsia" w:ascii="宋体" w:hAnsi="宋体"/>
          <w:sz w:val="24"/>
          <w:szCs w:val="24"/>
        </w:rPr>
        <w:t>）一套快充检测设备，实现完成二期总装电动汽车快充口功能的</w:t>
      </w:r>
      <w:r>
        <w:rPr>
          <w:rFonts w:ascii="宋体" w:hAnsi="宋体"/>
          <w:sz w:val="24"/>
          <w:szCs w:val="24"/>
        </w:rPr>
        <w:t>检测</w:t>
      </w:r>
      <w:r>
        <w:rPr>
          <w:rFonts w:hint="eastAsia" w:ascii="宋体" w:hAnsi="宋体"/>
          <w:sz w:val="24"/>
          <w:szCs w:val="24"/>
        </w:rPr>
        <w:t>，检测模块技术参数要求</w:t>
      </w:r>
      <w:r>
        <w:rPr>
          <w:rFonts w:ascii="宋体" w:hAnsi="宋体"/>
          <w:sz w:val="24"/>
          <w:szCs w:val="24"/>
        </w:rPr>
        <w:t>如下</w:t>
      </w:r>
      <w:r>
        <w:rPr>
          <w:rFonts w:hint="eastAsia" w:ascii="宋体" w:hAnsi="宋体"/>
          <w:sz w:val="24"/>
          <w:szCs w:val="24"/>
        </w:rPr>
        <w:t>：</w:t>
      </w:r>
    </w:p>
    <w:tbl>
      <w:tblPr>
        <w:tblStyle w:val="76"/>
        <w:tblW w:w="10309" w:type="dxa"/>
        <w:tblInd w:w="0" w:type="dxa"/>
        <w:tblLayout w:type="autofit"/>
        <w:tblCellMar>
          <w:top w:w="0" w:type="dxa"/>
          <w:left w:w="108" w:type="dxa"/>
          <w:bottom w:w="0" w:type="dxa"/>
          <w:right w:w="108" w:type="dxa"/>
        </w:tblCellMar>
      </w:tblPr>
      <w:tblGrid>
        <w:gridCol w:w="1413"/>
        <w:gridCol w:w="2551"/>
        <w:gridCol w:w="6345"/>
      </w:tblGrid>
      <w:tr>
        <w:tblPrEx>
          <w:tblCellMar>
            <w:top w:w="0" w:type="dxa"/>
            <w:left w:w="108" w:type="dxa"/>
            <w:bottom w:w="0" w:type="dxa"/>
            <w:right w:w="108" w:type="dxa"/>
          </w:tblCellMar>
        </w:tblPrEx>
        <w:trPr>
          <w:trHeight w:val="287" w:hRule="atLeast"/>
        </w:trPr>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测试功能</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参数名称</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规格</w:t>
            </w:r>
          </w:p>
        </w:tc>
      </w:tr>
      <w:tr>
        <w:tblPrEx>
          <w:tblCellMar>
            <w:top w:w="0" w:type="dxa"/>
            <w:left w:w="108" w:type="dxa"/>
            <w:bottom w:w="0" w:type="dxa"/>
            <w:right w:w="108" w:type="dxa"/>
          </w:tblCellMar>
        </w:tblPrEx>
        <w:trPr>
          <w:trHeight w:val="287" w:hRule="atLeast"/>
        </w:trPr>
        <w:tc>
          <w:tcPr>
            <w:tcW w:w="1413"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慢充功能测试</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输出电压设定范围</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AC:0.0-300.0V</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电压测量精度</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±（2.5%设定值+0.25%量程值）</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充电电流测量范围</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0.050-9.999-32.00A</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充电电流测量精度</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±（2.5%设定值+0.25%量程值）</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测试时间设置范围</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0.0-999.9s    0.0=持续输出</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测试时间精度</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±（0.1%设定值+0.05s）</w:t>
            </w:r>
          </w:p>
        </w:tc>
      </w:tr>
      <w:tr>
        <w:tblPrEx>
          <w:tblCellMar>
            <w:top w:w="0" w:type="dxa"/>
            <w:left w:w="108" w:type="dxa"/>
            <w:bottom w:w="0" w:type="dxa"/>
            <w:right w:w="108" w:type="dxa"/>
          </w:tblCellMar>
        </w:tblPrEx>
        <w:trPr>
          <w:trHeight w:val="287" w:hRule="atLeast"/>
        </w:trPr>
        <w:tc>
          <w:tcPr>
            <w:tcW w:w="1413"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直流充电口测试</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充电电压测量范围</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DC:0.0-750.0V</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充电电压测量精度</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±（2.5%设定值+0.25%量程值）</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充电电流测量范围</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0.05-63.00A</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充电电流测量精度</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±（2.5%设定值+0.25%量程值）</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测试时间设置范围</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0.0-999.9s    0.0=持续输出</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测试时间精度</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±（0.1%设定值+0.05s）</w:t>
            </w:r>
          </w:p>
        </w:tc>
      </w:tr>
      <w:tr>
        <w:tblPrEx>
          <w:tblCellMar>
            <w:top w:w="0" w:type="dxa"/>
            <w:left w:w="108" w:type="dxa"/>
            <w:bottom w:w="0" w:type="dxa"/>
            <w:right w:w="108" w:type="dxa"/>
          </w:tblCellMar>
        </w:tblPrEx>
        <w:trPr>
          <w:trHeight w:val="287" w:hRule="atLeast"/>
        </w:trPr>
        <w:tc>
          <w:tcPr>
            <w:tcW w:w="1413"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电池系统测试</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电池总电压设置范围</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0.0V-999.0V    0.0=关闭</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单芯电压设置范围</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0.0V-10.00V    0.0=关闭</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单芯差值电压设置范围</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0.0V-10.00V    0.0=关闭</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电芯温度设置范围</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0.0-100℃   0.0=关闭</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电芯差值温度设置范围</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上限：0.0-3℃，0=关闭</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SOC检测</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0.0%-100%，0=关闭</w:t>
            </w:r>
          </w:p>
        </w:tc>
      </w:tr>
      <w:tr>
        <w:tblPrEx>
          <w:tblCellMar>
            <w:top w:w="0" w:type="dxa"/>
            <w:left w:w="108" w:type="dxa"/>
            <w:bottom w:w="0" w:type="dxa"/>
            <w:right w:w="108" w:type="dxa"/>
          </w:tblCellMar>
        </w:tblPrEx>
        <w:trPr>
          <w:trHeight w:val="287" w:hRule="atLeast"/>
        </w:trPr>
        <w:tc>
          <w:tcPr>
            <w:tcW w:w="1413" w:type="dxa"/>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OBC放电测试</w:t>
            </w: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输入电压测量范围</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AC:5.0-300.0V</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输入电压测量精度</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±（2.5%设定值+0.25%量程值）</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输入电流测量范围</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0.5-32.00A</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输入电流测量精度</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±（2.5%设定值+0.25%量程值）</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测试时间设置范围</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0.0-999.9s    0.0=持续输出</w:t>
            </w:r>
          </w:p>
        </w:tc>
      </w:tr>
      <w:tr>
        <w:tblPrEx>
          <w:tblCellMar>
            <w:top w:w="0" w:type="dxa"/>
            <w:left w:w="108" w:type="dxa"/>
            <w:bottom w:w="0" w:type="dxa"/>
            <w:right w:w="108" w:type="dxa"/>
          </w:tblCellMar>
        </w:tblPrEx>
        <w:trPr>
          <w:trHeight w:val="287" w:hRule="atLeast"/>
        </w:trPr>
        <w:tc>
          <w:tcPr>
            <w:tcW w:w="1413"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4"/>
                <w:szCs w:val="24"/>
              </w:rPr>
            </w:pPr>
          </w:p>
        </w:tc>
        <w:tc>
          <w:tcPr>
            <w:tcW w:w="2551" w:type="dxa"/>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测试时间精度</w:t>
            </w:r>
          </w:p>
        </w:tc>
        <w:tc>
          <w:tcPr>
            <w:tcW w:w="634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color w:val="000000"/>
                <w:kern w:val="0"/>
                <w:sz w:val="24"/>
                <w:szCs w:val="24"/>
              </w:rPr>
            </w:pPr>
            <w:r>
              <w:rPr>
                <w:rFonts w:hint="eastAsia" w:ascii="仿宋" w:hAnsi="仿宋" w:eastAsia="仿宋" w:cs="宋体"/>
                <w:color w:val="000000"/>
                <w:kern w:val="0"/>
                <w:sz w:val="24"/>
                <w:szCs w:val="24"/>
              </w:rPr>
              <w:t>±（0.1%设定值+0.05s）</w:t>
            </w:r>
          </w:p>
        </w:tc>
      </w:tr>
    </w:tbl>
    <w:p>
      <w:pPr>
        <w:spacing w:line="360" w:lineRule="auto"/>
        <w:ind w:firstLine="480" w:firstLineChars="200"/>
        <w:rPr>
          <w:rFonts w:ascii="宋体" w:hAnsi="宋体"/>
          <w:sz w:val="24"/>
          <w:szCs w:val="24"/>
        </w:rPr>
      </w:pPr>
    </w:p>
    <w:tbl>
      <w:tblPr>
        <w:tblStyle w:val="76"/>
        <w:tblW w:w="1010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134"/>
        <w:gridCol w:w="2977"/>
        <w:gridCol w:w="3119"/>
        <w:gridCol w:w="99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08" w:type="dxa"/>
            <w:gridSpan w:val="6"/>
            <w:shd w:val="clear" w:color="auto" w:fill="auto"/>
          </w:tcPr>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b/>
                <w:bCs/>
                <w:sz w:val="24"/>
                <w:szCs w:val="24"/>
              </w:rPr>
              <w:t>BMS数据分析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shd w:val="clear" w:color="auto" w:fill="auto"/>
          </w:tcPr>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报文</w:t>
            </w:r>
          </w:p>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名称</w:t>
            </w:r>
          </w:p>
        </w:tc>
        <w:tc>
          <w:tcPr>
            <w:tcW w:w="1134" w:type="dxa"/>
            <w:shd w:val="clear" w:color="auto" w:fill="auto"/>
            <w:vAlign w:val="center"/>
          </w:tcPr>
          <w:p>
            <w:pPr>
              <w:widowControl/>
              <w:jc w:val="center"/>
              <w:textAlignment w:val="center"/>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报文</w:t>
            </w:r>
          </w:p>
          <w:p>
            <w:pPr>
              <w:widowControl/>
              <w:jc w:val="center"/>
              <w:textAlignment w:val="center"/>
              <w:rPr>
                <w:rFonts w:ascii="仿宋" w:hAnsi="仿宋" w:eastAsia="仿宋" w:cs="宋体"/>
                <w:b/>
                <w:bCs/>
                <w:color w:val="000000"/>
                <w:kern w:val="0"/>
                <w:sz w:val="24"/>
                <w:szCs w:val="24"/>
                <w:lang w:bidi="ar"/>
              </w:rPr>
            </w:pPr>
            <w:r>
              <w:rPr>
                <w:rFonts w:ascii="仿宋" w:hAnsi="仿宋" w:eastAsia="仿宋" w:cs="Arial"/>
                <w:b/>
                <w:bCs/>
                <w:color w:val="000000"/>
                <w:kern w:val="0"/>
                <w:sz w:val="24"/>
                <w:szCs w:val="24"/>
                <w:lang w:bidi="ar"/>
              </w:rPr>
              <w:t>ID</w:t>
            </w:r>
          </w:p>
        </w:tc>
        <w:tc>
          <w:tcPr>
            <w:tcW w:w="2977" w:type="dxa"/>
            <w:shd w:val="clear" w:color="auto" w:fill="auto"/>
          </w:tcPr>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信号</w:t>
            </w:r>
          </w:p>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名称</w:t>
            </w:r>
          </w:p>
        </w:tc>
        <w:tc>
          <w:tcPr>
            <w:tcW w:w="3119" w:type="dxa"/>
            <w:shd w:val="clear" w:color="auto" w:fill="auto"/>
          </w:tcPr>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信号</w:t>
            </w:r>
          </w:p>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描述</w:t>
            </w:r>
          </w:p>
        </w:tc>
        <w:tc>
          <w:tcPr>
            <w:tcW w:w="992" w:type="dxa"/>
            <w:shd w:val="clear" w:color="auto" w:fill="auto"/>
          </w:tcPr>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要求</w:t>
            </w:r>
          </w:p>
          <w:p>
            <w:pPr>
              <w:widowControl/>
              <w:jc w:val="center"/>
              <w:textAlignment w:val="top"/>
              <w:rPr>
                <w:rFonts w:ascii="仿宋" w:hAnsi="仿宋" w:eastAsia="仿宋" w:cs="宋体"/>
                <w:b/>
                <w:bCs/>
                <w:color w:val="000000"/>
                <w:kern w:val="0"/>
                <w:sz w:val="24"/>
                <w:szCs w:val="24"/>
                <w:lang w:bidi="ar"/>
              </w:rPr>
            </w:pPr>
            <w:r>
              <w:rPr>
                <w:rFonts w:hint="eastAsia" w:ascii="仿宋" w:hAnsi="仿宋" w:eastAsia="仿宋" w:cs="宋体"/>
                <w:b/>
                <w:bCs/>
                <w:color w:val="000000"/>
                <w:kern w:val="0"/>
                <w:sz w:val="24"/>
                <w:szCs w:val="24"/>
                <w:lang w:bidi="ar"/>
              </w:rPr>
              <w:t>值</w:t>
            </w:r>
          </w:p>
        </w:tc>
        <w:tc>
          <w:tcPr>
            <w:tcW w:w="850" w:type="dxa"/>
            <w:shd w:val="clear" w:color="auto" w:fill="auto"/>
          </w:tcPr>
          <w:p>
            <w:pPr>
              <w:widowControl/>
              <w:jc w:val="center"/>
              <w:textAlignment w:val="top"/>
              <w:rPr>
                <w:rFonts w:ascii="仿宋" w:hAnsi="仿宋" w:eastAsia="仿宋" w:cs="宋体"/>
                <w:b/>
                <w:bCs/>
                <w:color w:val="000000"/>
                <w:sz w:val="24"/>
                <w:szCs w:val="24"/>
              </w:rPr>
            </w:pPr>
            <w:r>
              <w:rPr>
                <w:rFonts w:hint="eastAsia" w:ascii="仿宋" w:hAnsi="仿宋" w:eastAsia="仿宋" w:cs="宋体"/>
                <w:b/>
                <w:bCs/>
                <w:color w:val="000000"/>
                <w:kern w:val="0"/>
                <w:sz w:val="24"/>
                <w:szCs w:val="24"/>
                <w:lang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BMS1</w:t>
            </w:r>
          </w:p>
        </w:tc>
        <w:tc>
          <w:tcPr>
            <w:tcW w:w="1134"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0x1AC</w:t>
            </w: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BMS_BatFauSta</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电池系统故障状态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BMS_BatHVILFauSta</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电池系统高压互锁故障状态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BMS_BatPackActVol</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电池包实时电压</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BMS_BatPackActCur</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电池包实时电流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PDU_Hvlock_State</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w:t>
            </w:r>
            <w:r>
              <w:rPr>
                <w:rFonts w:hint="eastAsia" w:ascii="仿宋" w:hAnsi="仿宋" w:eastAsia="仿宋" w:cs="宋体"/>
                <w:color w:val="000000"/>
                <w:kern w:val="0"/>
                <w:sz w:val="24"/>
                <w:szCs w:val="24"/>
                <w:lang w:bidi="ar"/>
              </w:rPr>
              <w:t>高压互锁状态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PDU_Fault_code</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w:t>
            </w:r>
            <w:r>
              <w:rPr>
                <w:rFonts w:hint="eastAsia" w:ascii="仿宋" w:hAnsi="仿宋" w:eastAsia="仿宋" w:cs="宋体"/>
                <w:color w:val="000000"/>
                <w:kern w:val="0"/>
                <w:sz w:val="24"/>
                <w:szCs w:val="24"/>
                <w:lang w:bidi="ar"/>
              </w:rPr>
              <w:t>故障代码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PDU_Fault_Level</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w:t>
            </w:r>
            <w:r>
              <w:rPr>
                <w:rFonts w:hint="eastAsia" w:ascii="仿宋" w:hAnsi="仿宋" w:eastAsia="仿宋" w:cs="宋体"/>
                <w:color w:val="000000"/>
                <w:kern w:val="0"/>
                <w:sz w:val="24"/>
                <w:szCs w:val="24"/>
                <w:lang w:bidi="ar"/>
              </w:rPr>
              <w:t>故障等级</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PDU_SelfChecking_State</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w:t>
            </w:r>
            <w:r>
              <w:rPr>
                <w:rFonts w:hint="eastAsia" w:ascii="仿宋" w:hAnsi="仿宋" w:eastAsia="仿宋" w:cs="宋体"/>
                <w:color w:val="000000"/>
                <w:kern w:val="0"/>
                <w:sz w:val="24"/>
                <w:szCs w:val="24"/>
                <w:lang w:bidi="ar"/>
              </w:rPr>
              <w:t>自检状态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PDU_software</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PDU</w:t>
            </w:r>
            <w:r>
              <w:rPr>
                <w:rFonts w:hint="eastAsia" w:ascii="仿宋" w:hAnsi="仿宋" w:eastAsia="仿宋" w:cs="宋体"/>
                <w:color w:val="000000"/>
                <w:kern w:val="0"/>
                <w:sz w:val="24"/>
                <w:szCs w:val="24"/>
                <w:lang w:bidi="ar"/>
              </w:rPr>
              <w:t>软件版本号</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BMS3</w:t>
            </w:r>
          </w:p>
        </w:tc>
        <w:tc>
          <w:tcPr>
            <w:tcW w:w="1134"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0x1A0</w:t>
            </w: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BMS_PositiveInsulRes</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总正绝缘电阻</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&gt;35</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BMS_NegInsulRes</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总负绝缘电阻</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&gt;190</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BMS_InsulFau</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电池绝缘故障</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BMS4</w:t>
            </w:r>
          </w:p>
        </w:tc>
        <w:tc>
          <w:tcPr>
            <w:tcW w:w="1134" w:type="dxa"/>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0x2BA</w:t>
            </w: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BMS_BatPackSOCDisply</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显示电池包</w:t>
            </w:r>
            <w:r>
              <w:rPr>
                <w:rStyle w:val="387"/>
                <w:rFonts w:ascii="仿宋" w:hAnsi="仿宋" w:eastAsia="仿宋"/>
                <w:sz w:val="24"/>
                <w:szCs w:val="24"/>
                <w:lang w:bidi="ar"/>
              </w:rPr>
              <w:t>SOC</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BMS5</w:t>
            </w:r>
          </w:p>
        </w:tc>
        <w:tc>
          <w:tcPr>
            <w:tcW w:w="1134"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0x37E</w:t>
            </w: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BMS_ThemlMgntModReq</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w:t>
            </w:r>
            <w:r>
              <w:rPr>
                <w:rFonts w:hint="eastAsia" w:ascii="仿宋" w:hAnsi="仿宋" w:eastAsia="仿宋" w:cs="宋体"/>
                <w:color w:val="000000"/>
                <w:kern w:val="0"/>
                <w:sz w:val="24"/>
                <w:szCs w:val="24"/>
                <w:lang w:bidi="ar"/>
              </w:rPr>
              <w:t>热管理模式请求</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BMS_HeatingStatus</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w:t>
            </w:r>
            <w:r>
              <w:rPr>
                <w:rFonts w:hint="eastAsia" w:ascii="仿宋" w:hAnsi="仿宋" w:eastAsia="仿宋" w:cs="宋体"/>
                <w:color w:val="000000"/>
                <w:kern w:val="0"/>
                <w:sz w:val="24"/>
                <w:szCs w:val="24"/>
                <w:lang w:bidi="ar"/>
              </w:rPr>
              <w:t>加热状态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BMS6</w:t>
            </w:r>
          </w:p>
        </w:tc>
        <w:tc>
          <w:tcPr>
            <w:tcW w:w="1134"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0x38F</w:t>
            </w: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BMS_ChrgReq</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充电请求</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BMS_DCChrgSta</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直流充电状态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BMS_DCChrgPortTemp1</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直流充电插座温度</w:t>
            </w:r>
            <w:r>
              <w:rPr>
                <w:rStyle w:val="387"/>
                <w:rFonts w:ascii="仿宋" w:hAnsi="仿宋" w:eastAsia="仿宋"/>
                <w:sz w:val="24"/>
                <w:szCs w:val="24"/>
                <w:lang w:bidi="ar"/>
              </w:rPr>
              <w:t>-1</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BMS_DCChrgPortTemp2</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直流充电插座温度</w:t>
            </w:r>
            <w:r>
              <w:rPr>
                <w:rStyle w:val="387"/>
                <w:rFonts w:ascii="仿宋" w:hAnsi="仿宋" w:eastAsia="仿宋"/>
                <w:sz w:val="24"/>
                <w:szCs w:val="24"/>
                <w:lang w:bidi="ar"/>
              </w:rPr>
              <w:t>-2</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BMS_ChrgConctSta</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充电枪连接状态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BMS_BmsWakeVCUSts</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w:t>
            </w:r>
            <w:r>
              <w:rPr>
                <w:rFonts w:hint="eastAsia" w:ascii="仿宋" w:hAnsi="仿宋" w:eastAsia="仿宋" w:cs="宋体"/>
                <w:color w:val="000000"/>
                <w:kern w:val="0"/>
                <w:sz w:val="24"/>
                <w:szCs w:val="24"/>
                <w:lang w:bidi="ar"/>
              </w:rPr>
              <w:t>硬线唤醒</w:t>
            </w:r>
            <w:r>
              <w:rPr>
                <w:rStyle w:val="387"/>
                <w:rFonts w:ascii="仿宋" w:hAnsi="仿宋" w:eastAsia="仿宋"/>
                <w:sz w:val="24"/>
                <w:szCs w:val="24"/>
                <w:lang w:bidi="ar"/>
              </w:rPr>
              <w:t>VCU</w:t>
            </w:r>
            <w:r>
              <w:rPr>
                <w:rFonts w:hint="eastAsia" w:ascii="仿宋" w:hAnsi="仿宋" w:eastAsia="仿宋" w:cs="宋体"/>
                <w:color w:val="000000"/>
                <w:kern w:val="0"/>
                <w:sz w:val="24"/>
                <w:szCs w:val="24"/>
                <w:lang w:bidi="ar"/>
              </w:rPr>
              <w:t>状态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BMS8</w:t>
            </w:r>
          </w:p>
        </w:tc>
        <w:tc>
          <w:tcPr>
            <w:tcW w:w="1134"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0x3E0</w:t>
            </w: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BMS_BatCellCounts</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单体电池串数</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BMS_MaxCellVolLocation</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电压最高单体编号</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BMS_MaxCellVoltage</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最高单体电压</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BMS_MinCellVolLocation</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电压最低单体编号</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BMS_MinCellVol</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最低单体电压</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BMS15</w:t>
            </w:r>
          </w:p>
        </w:tc>
        <w:tc>
          <w:tcPr>
            <w:tcW w:w="1134" w:type="dxa"/>
            <w:vMerge w:val="restart"/>
            <w:shd w:val="clear" w:color="auto" w:fill="auto"/>
            <w:vAlign w:val="center"/>
          </w:tcPr>
          <w:p>
            <w:pPr>
              <w:widowControl/>
              <w:jc w:val="center"/>
              <w:textAlignment w:val="center"/>
              <w:rPr>
                <w:rFonts w:ascii="仿宋" w:hAnsi="仿宋" w:eastAsia="仿宋" w:cs="Arial"/>
                <w:b/>
                <w:bCs/>
                <w:color w:val="000000"/>
                <w:sz w:val="24"/>
                <w:szCs w:val="24"/>
              </w:rPr>
            </w:pPr>
            <w:r>
              <w:rPr>
                <w:rFonts w:ascii="仿宋" w:hAnsi="仿宋" w:eastAsia="仿宋" w:cs="Arial"/>
                <w:b/>
                <w:bCs/>
                <w:color w:val="000000"/>
                <w:kern w:val="0"/>
                <w:sz w:val="24"/>
                <w:szCs w:val="24"/>
                <w:lang w:bidi="ar"/>
              </w:rPr>
              <w:t>0x315</w:t>
            </w: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BMS_DCPosContactorrFlt</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直流正接触器故障</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BMS_DCNegContactorrFlt</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直流负接触器故障</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仿宋" w:hAnsi="仿宋" w:eastAsia="仿宋" w:cs="Arial"/>
                <w:b/>
                <w:bCs/>
                <w:color w:val="000000"/>
                <w:sz w:val="24"/>
                <w:szCs w:val="24"/>
              </w:rPr>
            </w:pPr>
          </w:p>
        </w:tc>
        <w:tc>
          <w:tcPr>
            <w:tcW w:w="1134" w:type="dxa"/>
            <w:vMerge w:val="continue"/>
            <w:shd w:val="clear" w:color="auto" w:fill="auto"/>
            <w:vAlign w:val="center"/>
          </w:tcPr>
          <w:p>
            <w:pPr>
              <w:jc w:val="center"/>
              <w:rPr>
                <w:rFonts w:ascii="仿宋" w:hAnsi="仿宋" w:eastAsia="仿宋" w:cs="Arial"/>
                <w:b/>
                <w:bCs/>
                <w:color w:val="000000"/>
                <w:sz w:val="24"/>
                <w:szCs w:val="24"/>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BMS_HeatPosContactorFlt</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加热正接触器故障</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Arial" w:hAnsi="Arial" w:cs="Arial"/>
                <w:b/>
                <w:bCs/>
                <w:color w:val="000000"/>
                <w:sz w:val="20"/>
              </w:rPr>
            </w:pPr>
          </w:p>
        </w:tc>
        <w:tc>
          <w:tcPr>
            <w:tcW w:w="1134" w:type="dxa"/>
            <w:vMerge w:val="continue"/>
            <w:shd w:val="clear" w:color="auto" w:fill="auto"/>
            <w:vAlign w:val="center"/>
          </w:tcPr>
          <w:p>
            <w:pPr>
              <w:jc w:val="center"/>
              <w:rPr>
                <w:rFonts w:ascii="Arial" w:hAnsi="Arial" w:cs="Arial"/>
                <w:b/>
                <w:bCs/>
                <w:color w:val="000000"/>
                <w:sz w:val="20"/>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BMS_HeatNetContactorFlt</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加热负接触器故障</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Arial" w:hAnsi="Arial" w:cs="Arial"/>
                <w:b/>
                <w:bCs/>
                <w:color w:val="000000"/>
                <w:sz w:val="20"/>
              </w:rPr>
            </w:pPr>
          </w:p>
        </w:tc>
        <w:tc>
          <w:tcPr>
            <w:tcW w:w="1134" w:type="dxa"/>
            <w:vMerge w:val="continue"/>
            <w:shd w:val="clear" w:color="auto" w:fill="auto"/>
            <w:vAlign w:val="center"/>
          </w:tcPr>
          <w:p>
            <w:pPr>
              <w:jc w:val="center"/>
              <w:rPr>
                <w:rFonts w:ascii="Arial" w:hAnsi="Arial" w:cs="Arial"/>
                <w:b/>
                <w:bCs/>
                <w:color w:val="000000"/>
                <w:sz w:val="20"/>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BMS_FaultCode</w:t>
            </w:r>
          </w:p>
        </w:tc>
        <w:tc>
          <w:tcPr>
            <w:tcW w:w="3119"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w:t>
            </w:r>
            <w:r>
              <w:rPr>
                <w:rFonts w:hint="eastAsia" w:ascii="仿宋" w:hAnsi="仿宋" w:eastAsia="仿宋" w:cs="宋体"/>
                <w:color w:val="000000"/>
                <w:kern w:val="0"/>
                <w:sz w:val="24"/>
                <w:szCs w:val="24"/>
                <w:lang w:bidi="ar"/>
              </w:rPr>
              <w:t>故障代码</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vMerge w:val="continue"/>
            <w:shd w:val="clear" w:color="auto" w:fill="auto"/>
            <w:vAlign w:val="center"/>
          </w:tcPr>
          <w:p>
            <w:pPr>
              <w:jc w:val="center"/>
              <w:rPr>
                <w:rFonts w:ascii="Arial" w:hAnsi="Arial" w:cs="Arial"/>
                <w:b/>
                <w:bCs/>
                <w:color w:val="000000"/>
                <w:sz w:val="20"/>
              </w:rPr>
            </w:pPr>
          </w:p>
        </w:tc>
        <w:tc>
          <w:tcPr>
            <w:tcW w:w="1134" w:type="dxa"/>
            <w:vMerge w:val="continue"/>
            <w:shd w:val="clear" w:color="auto" w:fill="auto"/>
            <w:vAlign w:val="center"/>
          </w:tcPr>
          <w:p>
            <w:pPr>
              <w:jc w:val="center"/>
              <w:rPr>
                <w:rFonts w:ascii="Arial" w:hAnsi="Arial" w:cs="Arial"/>
                <w:b/>
                <w:bCs/>
                <w:color w:val="000000"/>
                <w:sz w:val="20"/>
              </w:rPr>
            </w:pPr>
          </w:p>
        </w:tc>
        <w:tc>
          <w:tcPr>
            <w:tcW w:w="2977" w:type="dxa"/>
            <w:shd w:val="clear" w:color="auto" w:fill="auto"/>
            <w:vAlign w:val="center"/>
          </w:tcPr>
          <w:p>
            <w:pPr>
              <w:widowControl/>
              <w:jc w:val="left"/>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BMS_FaultTotalNum</w:t>
            </w:r>
          </w:p>
        </w:tc>
        <w:tc>
          <w:tcPr>
            <w:tcW w:w="3119" w:type="dxa"/>
            <w:shd w:val="clear" w:color="auto" w:fill="auto"/>
            <w:vAlign w:val="center"/>
          </w:tcPr>
          <w:p>
            <w:pPr>
              <w:widowControl/>
              <w:jc w:val="left"/>
              <w:textAlignment w:val="center"/>
              <w:rPr>
                <w:rFonts w:ascii="仿宋" w:hAnsi="仿宋" w:eastAsia="仿宋" w:cs="宋体"/>
                <w:color w:val="000000"/>
                <w:sz w:val="24"/>
                <w:szCs w:val="24"/>
              </w:rPr>
            </w:pPr>
            <w:r>
              <w:rPr>
                <w:rFonts w:hint="eastAsia" w:ascii="仿宋" w:hAnsi="仿宋" w:eastAsia="仿宋" w:cs="宋体"/>
                <w:color w:val="000000"/>
                <w:kern w:val="0"/>
                <w:sz w:val="24"/>
                <w:szCs w:val="24"/>
                <w:lang w:bidi="ar"/>
              </w:rPr>
              <w:t>当前总成系统故障总数</w:t>
            </w:r>
          </w:p>
        </w:tc>
        <w:tc>
          <w:tcPr>
            <w:tcW w:w="992" w:type="dxa"/>
            <w:shd w:val="clear" w:color="auto" w:fill="auto"/>
            <w:vAlign w:val="center"/>
          </w:tcPr>
          <w:p>
            <w:pPr>
              <w:widowControl/>
              <w:jc w:val="center"/>
              <w:textAlignment w:val="center"/>
              <w:rPr>
                <w:rFonts w:ascii="仿宋" w:hAnsi="仿宋" w:eastAsia="仿宋" w:cs="Arial"/>
                <w:color w:val="000000"/>
                <w:sz w:val="24"/>
                <w:szCs w:val="24"/>
              </w:rPr>
            </w:pPr>
            <w:r>
              <w:rPr>
                <w:rFonts w:ascii="仿宋" w:hAnsi="仿宋" w:eastAsia="仿宋" w:cs="Arial"/>
                <w:color w:val="000000"/>
                <w:kern w:val="0"/>
                <w:sz w:val="24"/>
                <w:szCs w:val="24"/>
                <w:lang w:bidi="ar"/>
              </w:rPr>
              <w:t>/</w:t>
            </w:r>
          </w:p>
        </w:tc>
        <w:tc>
          <w:tcPr>
            <w:tcW w:w="850" w:type="dxa"/>
            <w:shd w:val="clear" w:color="auto" w:fill="auto"/>
            <w:vAlign w:val="center"/>
          </w:tcPr>
          <w:p>
            <w:pPr>
              <w:jc w:val="center"/>
              <w:rPr>
                <w:rFonts w:ascii="仿宋" w:hAnsi="仿宋" w:eastAsia="仿宋" w:cs="Arial"/>
                <w:color w:val="000000"/>
                <w:sz w:val="24"/>
                <w:szCs w:val="24"/>
              </w:rPr>
            </w:pPr>
          </w:p>
        </w:tc>
      </w:tr>
    </w:tbl>
    <w:p>
      <w:pPr>
        <w:spacing w:line="360" w:lineRule="auto"/>
        <w:ind w:firstLine="422" w:firstLineChars="200"/>
        <w:rPr>
          <w:b/>
          <w:bCs/>
        </w:rPr>
      </w:pPr>
    </w:p>
    <w:p>
      <w:pPr>
        <w:spacing w:line="360" w:lineRule="auto"/>
        <w:rPr>
          <w:rFonts w:asciiTheme="minorEastAsia" w:hAnsiTheme="minorEastAsia" w:eastAsiaTheme="minorEastAsia"/>
          <w:b/>
          <w:bCs/>
          <w:sz w:val="24"/>
          <w:szCs w:val="24"/>
        </w:rPr>
      </w:pPr>
      <w:r>
        <w:rPr>
          <w:rFonts w:asciiTheme="minorEastAsia" w:hAnsiTheme="minorEastAsia" w:eastAsiaTheme="minorEastAsia"/>
          <w:b/>
          <w:bCs/>
          <w:sz w:val="24"/>
          <w:szCs w:val="24"/>
        </w:rPr>
        <w:t>2</w:t>
      </w:r>
      <w:r>
        <w:rPr>
          <w:rFonts w:hint="eastAsia" w:asciiTheme="minorEastAsia" w:hAnsiTheme="minorEastAsia" w:eastAsiaTheme="minorEastAsia"/>
          <w:b/>
          <w:bCs/>
          <w:sz w:val="24"/>
          <w:szCs w:val="24"/>
        </w:rPr>
        <w:t>.招标设备工艺流程</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车辆初始化操作流程大体如下：</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1) </w:t>
      </w:r>
      <w:r>
        <w:rPr>
          <w:rFonts w:hint="eastAsia" w:asciiTheme="minorEastAsia" w:hAnsiTheme="minorEastAsia" w:eastAsiaTheme="minorEastAsia"/>
          <w:sz w:val="24"/>
          <w:szCs w:val="24"/>
        </w:rPr>
        <w:t>车辆进入检测工位；</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2) </w:t>
      </w:r>
      <w:r>
        <w:rPr>
          <w:rFonts w:hint="eastAsia" w:asciiTheme="minorEastAsia" w:hAnsiTheme="minorEastAsia" w:eastAsiaTheme="minorEastAsia"/>
          <w:sz w:val="24"/>
          <w:szCs w:val="24"/>
        </w:rPr>
        <w:t>设备可通过agv自动识别（优先级）或操作者使用扫描枪扫描车辆</w:t>
      </w:r>
      <w:r>
        <w:rPr>
          <w:rFonts w:asciiTheme="minorEastAsia" w:hAnsiTheme="minorEastAsia" w:eastAsiaTheme="minorEastAsia"/>
          <w:sz w:val="24"/>
          <w:szCs w:val="24"/>
        </w:rPr>
        <w:t>VIN码、整车编号</w:t>
      </w:r>
      <w:r>
        <w:rPr>
          <w:rFonts w:hint="eastAsia" w:asciiTheme="minorEastAsia" w:hAnsiTheme="minorEastAsia" w:eastAsiaTheme="minorEastAsia"/>
          <w:sz w:val="24"/>
          <w:szCs w:val="24"/>
        </w:rPr>
        <w:t>及车辆车型代码（或通过键盘手工输入</w:t>
      </w:r>
      <w:r>
        <w:rPr>
          <w:rFonts w:asciiTheme="minorEastAsia" w:hAnsiTheme="minorEastAsia" w:eastAsiaTheme="minorEastAsia"/>
          <w:sz w:val="24"/>
          <w:szCs w:val="24"/>
        </w:rPr>
        <w:t>VIN码、整车编号</w:t>
      </w:r>
      <w:r>
        <w:rPr>
          <w:rFonts w:hint="eastAsia" w:asciiTheme="minorEastAsia" w:hAnsiTheme="minorEastAsia" w:eastAsiaTheme="minorEastAsia"/>
          <w:sz w:val="24"/>
          <w:szCs w:val="24"/>
        </w:rPr>
        <w:t>及车型）；</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3) </w:t>
      </w:r>
      <w:r>
        <w:rPr>
          <w:rFonts w:hint="eastAsia" w:asciiTheme="minorEastAsia" w:hAnsiTheme="minorEastAsia" w:eastAsiaTheme="minorEastAsia"/>
          <w:sz w:val="24"/>
          <w:szCs w:val="24"/>
        </w:rPr>
        <w:t>操作者连接测试线束，通过两个测试枪头与车辆直流充电口或交流充电口进行连接，系统自动分别对交、直流充电口连接线路进行安规绝缘电阻功能</w:t>
      </w:r>
      <w:r>
        <w:rPr>
          <w:rFonts w:asciiTheme="minorEastAsia" w:hAnsiTheme="minorEastAsia" w:eastAsiaTheme="minorEastAsia"/>
          <w:sz w:val="24"/>
          <w:szCs w:val="24"/>
        </w:rPr>
        <w:t>测试</w:t>
      </w:r>
      <w:r>
        <w:rPr>
          <w:rFonts w:hint="eastAsia" w:asciiTheme="minorEastAsia" w:hAnsiTheme="minorEastAsia" w:eastAsiaTheme="minorEastAsia"/>
          <w:sz w:val="24"/>
          <w:szCs w:val="24"/>
        </w:rPr>
        <w:t>；</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4) </w:t>
      </w:r>
      <w:r>
        <w:rPr>
          <w:rFonts w:hint="eastAsia" w:asciiTheme="minorEastAsia" w:hAnsiTheme="minorEastAsia" w:eastAsiaTheme="minorEastAsia"/>
          <w:sz w:val="24"/>
          <w:szCs w:val="24"/>
        </w:rPr>
        <w:t>操作者根据测试终端屏幕上的提示进行测试及程序自动运行；</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5) </w:t>
      </w:r>
      <w:r>
        <w:rPr>
          <w:rFonts w:hint="eastAsia" w:asciiTheme="minorEastAsia" w:hAnsiTheme="minorEastAsia" w:eastAsiaTheme="minorEastAsia"/>
          <w:sz w:val="24"/>
          <w:szCs w:val="24"/>
        </w:rPr>
        <w:t>检测完成，进入下一辆检测。</w:t>
      </w:r>
    </w:p>
    <w:p>
      <w:pPr>
        <w:autoSpaceDE w:val="0"/>
        <w:autoSpaceDN w:val="0"/>
        <w:adjustRightInd w:val="0"/>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测试结束以后，操作者断开测试终端与车的连接；同时测试报告被发送至工厂MES系统</w:t>
      </w:r>
      <w:r>
        <w:rPr>
          <w:rFonts w:asciiTheme="minorEastAsia" w:hAnsiTheme="minorEastAsia" w:eastAsiaTheme="minorEastAsia"/>
          <w:sz w:val="24"/>
          <w:szCs w:val="24"/>
        </w:rPr>
        <w:t>以及</w:t>
      </w:r>
      <w:r>
        <w:rPr>
          <w:rFonts w:hint="eastAsia" w:asciiTheme="minorEastAsia" w:hAnsiTheme="minorEastAsia" w:eastAsiaTheme="minorEastAsia"/>
          <w:sz w:val="24"/>
          <w:szCs w:val="24"/>
        </w:rPr>
        <w:t>保存在</w:t>
      </w:r>
      <w:r>
        <w:rPr>
          <w:rFonts w:asciiTheme="minorEastAsia" w:hAnsiTheme="minorEastAsia" w:eastAsiaTheme="minorEastAsia"/>
          <w:sz w:val="24"/>
          <w:szCs w:val="24"/>
        </w:rPr>
        <w:t>本地</w:t>
      </w:r>
      <w:r>
        <w:rPr>
          <w:rFonts w:hint="eastAsia" w:asciiTheme="minorEastAsia" w:hAnsiTheme="minorEastAsia" w:eastAsiaTheme="minorEastAsia"/>
          <w:sz w:val="24"/>
          <w:szCs w:val="24"/>
        </w:rPr>
        <w:t>，出现故障的结果将并被打印成报告，操作者将测试报告贴在车辆随车单上。</w:t>
      </w:r>
    </w:p>
    <w:p>
      <w:pPr>
        <w:pStyle w:val="3"/>
        <w:tabs>
          <w:tab w:val="left" w:pos="2400"/>
          <w:tab w:val="clear" w:pos="9061"/>
        </w:tabs>
        <w:spacing w:line="360" w:lineRule="auto"/>
        <w:jc w:val="both"/>
        <w:rPr>
          <w:rFonts w:hint="eastAsia" w:ascii="仿宋_GB2312" w:hAnsi="宋体" w:eastAsia="仿宋_GB2312"/>
          <w:sz w:val="32"/>
          <w:szCs w:val="32"/>
        </w:rPr>
      </w:pPr>
      <w:bookmarkStart w:id="85" w:name="_Toc100395321"/>
      <w:bookmarkStart w:id="86" w:name="_Toc44953433"/>
      <w:r>
        <w:rPr>
          <w:rFonts w:hint="eastAsia" w:ascii="仿宋_GB2312" w:hAnsi="宋体" w:eastAsia="仿宋_GB2312"/>
          <w:sz w:val="32"/>
          <w:szCs w:val="32"/>
        </w:rPr>
        <w:t>五、供货范围及要求</w:t>
      </w:r>
      <w:bookmarkEnd w:id="85"/>
      <w:bookmarkEnd w:id="86"/>
    </w:p>
    <w:p>
      <w:pPr>
        <w:spacing w:line="360" w:lineRule="auto"/>
        <w:rPr>
          <w:rFonts w:ascii="宋体" w:hAnsi="宋体"/>
          <w:b/>
          <w:bCs/>
          <w:sz w:val="24"/>
          <w:szCs w:val="24"/>
        </w:rPr>
      </w:pPr>
      <w:r>
        <w:rPr>
          <w:rFonts w:hint="eastAsia" w:ascii="宋体" w:hAnsi="宋体"/>
          <w:b/>
          <w:bCs/>
          <w:sz w:val="24"/>
          <w:szCs w:val="24"/>
        </w:rPr>
        <w:t>1.供货地点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u w:val="single"/>
        </w:rPr>
        <w:t>济南轻卡制造公司</w:t>
      </w:r>
      <w:r>
        <w:rPr>
          <w:rFonts w:hint="eastAsia" w:ascii="宋体" w:hAnsi="宋体"/>
          <w:sz w:val="24"/>
          <w:szCs w:val="24"/>
        </w:rPr>
        <w:t>。</w:t>
      </w:r>
    </w:p>
    <w:p>
      <w:pPr>
        <w:spacing w:line="360" w:lineRule="auto"/>
        <w:jc w:val="left"/>
        <w:rPr>
          <w:rFonts w:ascii="宋体" w:hAnsi="宋体"/>
          <w:sz w:val="24"/>
          <w:szCs w:val="24"/>
        </w:rPr>
      </w:pPr>
      <w:r>
        <w:rPr>
          <w:rFonts w:hint="eastAsia" w:ascii="宋体" w:hAnsi="宋体"/>
          <w:b/>
          <w:bCs/>
          <w:sz w:val="24"/>
          <w:szCs w:val="24"/>
        </w:rPr>
        <w:t>2.供货时间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中标通知书发布</w:t>
      </w:r>
      <w:r>
        <w:rPr>
          <w:rFonts w:hint="eastAsia" w:ascii="宋体" w:hAnsi="宋体"/>
          <w:color w:val="000000" w:themeColor="text1"/>
          <w:sz w:val="24"/>
          <w:szCs w:val="24"/>
          <w14:textFill>
            <w14:solidFill>
              <w14:schemeClr w14:val="tx1"/>
            </w14:solidFill>
          </w14:textFill>
        </w:rPr>
        <w:t>后</w:t>
      </w:r>
      <w:r>
        <w:rPr>
          <w:rFonts w:ascii="宋体" w:hAnsi="宋体"/>
          <w:color w:val="000000" w:themeColor="text1"/>
          <w:sz w:val="24"/>
          <w:szCs w:val="24"/>
          <w14:textFill>
            <w14:solidFill>
              <w14:schemeClr w14:val="tx1"/>
            </w14:solidFill>
          </w14:textFill>
        </w:rPr>
        <w:t>3</w:t>
      </w:r>
      <w:r>
        <w:rPr>
          <w:rFonts w:hint="eastAsia" w:ascii="宋体" w:hAnsi="宋体"/>
          <w:color w:val="000000" w:themeColor="text1"/>
          <w:sz w:val="24"/>
          <w:szCs w:val="24"/>
          <w14:textFill>
            <w14:solidFill>
              <w14:schemeClr w14:val="tx1"/>
            </w14:solidFill>
          </w14:textFill>
        </w:rPr>
        <w:t>个月</w:t>
      </w:r>
      <w:r>
        <w:rPr>
          <w:rFonts w:hint="eastAsia" w:ascii="宋体" w:hAnsi="宋体"/>
          <w:sz w:val="24"/>
          <w:szCs w:val="24"/>
        </w:rPr>
        <w:t>内完成设备安装调试，具备预验收条件。</w:t>
      </w:r>
    </w:p>
    <w:p>
      <w:pPr>
        <w:spacing w:line="360" w:lineRule="auto"/>
        <w:jc w:val="left"/>
        <w:rPr>
          <w:rFonts w:ascii="宋体" w:hAnsi="宋体"/>
          <w:b/>
          <w:bCs/>
          <w:sz w:val="24"/>
          <w:szCs w:val="24"/>
        </w:rPr>
      </w:pPr>
      <w:r>
        <w:rPr>
          <w:rFonts w:hint="eastAsia" w:ascii="宋体" w:hAnsi="宋体"/>
          <w:b/>
          <w:bCs/>
          <w:sz w:val="24"/>
          <w:szCs w:val="24"/>
        </w:rPr>
        <w:t>3.质保期</w:t>
      </w:r>
    </w:p>
    <w:p>
      <w:pPr>
        <w:spacing w:line="360" w:lineRule="auto"/>
        <w:ind w:firstLine="480" w:firstLineChars="200"/>
        <w:rPr>
          <w:rFonts w:ascii="宋体" w:hAnsi="宋体"/>
          <w:sz w:val="24"/>
          <w:szCs w:val="24"/>
        </w:rPr>
      </w:pPr>
      <w:r>
        <w:rPr>
          <w:rFonts w:hint="eastAsia" w:ascii="宋体" w:hAnsi="宋体"/>
          <w:sz w:val="24"/>
          <w:szCs w:val="24"/>
        </w:rPr>
        <w:t>投标方所提供设备（或材料）涉及的全部供货范围内的设备、材料、资料、技术等，除合同特别约定外，均自设备（或材料）终验收签字生效之日起，不低于12个月（如有更长时间质保期，可在投标文件中说明）。</w:t>
      </w:r>
    </w:p>
    <w:p>
      <w:pPr>
        <w:spacing w:line="360" w:lineRule="auto"/>
        <w:jc w:val="left"/>
        <w:rPr>
          <w:rFonts w:ascii="宋体" w:hAnsi="宋体"/>
          <w:b/>
          <w:bCs/>
          <w:sz w:val="24"/>
          <w:szCs w:val="24"/>
        </w:rPr>
      </w:pPr>
      <w:r>
        <w:rPr>
          <w:rFonts w:hint="eastAsia" w:ascii="宋体" w:hAnsi="宋体"/>
          <w:b/>
          <w:bCs/>
          <w:sz w:val="24"/>
          <w:szCs w:val="24"/>
        </w:rPr>
        <w:t>4.备品备件、易损件和专用耗材范围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4.1招标方招标文件所指备品备件、易损件和专用耗材，是招标方为保证设备质保期之后正常运行一年所自备自用的备品备件、易损件和专用耗材；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4.2投标方应提供易损件和专用耗材的制造图纸及其技术要求等资料；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4.3投标方需提供必须的备品备件清单（备品备件明确规格、厂家、产地、价格，单独报价），以及有关备品备件的保管资料，如：存放期限、温度、湿度、是否需干燥剂等。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4.4投标方应保证备品备件长期稳定的供货。对主要设备或与主设备功能相同的兼容性替代品，其备品的供货期至少是设备验收后十五年或该设备退出市场后五年(二者之中取时间长的一种)。当投标方决定中断所提供的备品备件供应时，应预先告知招标方，以便招标方增加这些备品备件储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4.5投标方应免费提供满足设备正常运行一年所需的备品备件、易损件和专用耗材，并附详细清单（包括名称、型号、规格、单位、数量、生产厂家、单价、总价等条目）。</w:t>
      </w:r>
    </w:p>
    <w:p>
      <w:pPr>
        <w:spacing w:line="360" w:lineRule="auto"/>
        <w:jc w:val="left"/>
        <w:rPr>
          <w:rFonts w:ascii="宋体" w:hAnsi="宋体"/>
          <w:b/>
          <w:bCs/>
          <w:sz w:val="24"/>
          <w:szCs w:val="24"/>
        </w:rPr>
      </w:pPr>
      <w:r>
        <w:rPr>
          <w:rFonts w:hint="eastAsia" w:ascii="宋体" w:hAnsi="宋体"/>
          <w:b/>
          <w:bCs/>
          <w:sz w:val="24"/>
          <w:szCs w:val="24"/>
        </w:rPr>
        <w:t>5.技术资料范围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bookmarkStart w:id="87" w:name="_Toc44953434"/>
      <w:r>
        <w:rPr>
          <w:rFonts w:hint="eastAsia" w:ascii="宋体" w:hAnsi="宋体"/>
          <w:sz w:val="24"/>
          <w:szCs w:val="24"/>
        </w:rPr>
        <w:t>5.1 投标时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（1）提供详细的设备配置及材料清单一份（包括部件名称、型号、数量、品牌等）。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（2）详细的电气控制方案，网络结构图。控制箱、操作站和急停按钮盒布置图。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（3）投标方可提供最佳优化方案。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（4）投标方提供随机的备品备件、易损件清单一份。（包括部件名称、型号、数量、品牌、单价等）。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（5）投标方提供检测线的三维数模。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5.2 协议签定后5个工作日内向招标方提供详细的采购、制作、发货、安装及调试进度计划表，人员组织机构表。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5.3图纸会签后需提供资料</w:t>
      </w:r>
    </w:p>
    <w:tbl>
      <w:tblPr>
        <w:tblStyle w:val="76"/>
        <w:tblW w:w="9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6"/>
        <w:gridCol w:w="5465"/>
        <w:gridCol w:w="683"/>
        <w:gridCol w:w="913"/>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5" w:hRule="atLeast"/>
        </w:trPr>
        <w:tc>
          <w:tcPr>
            <w:tcW w:w="766" w:type="dxa"/>
            <w:vMerge w:val="restart"/>
            <w:tcBorders>
              <w:top w:val="single" w:color="auto" w:sz="12" w:space="0"/>
              <w:left w:val="single" w:color="auto" w:sz="12" w:space="0"/>
            </w:tcBorders>
            <w:vAlign w:val="center"/>
          </w:tcPr>
          <w:p>
            <w:pPr>
              <w:spacing w:line="360" w:lineRule="auto"/>
              <w:jc w:val="center"/>
              <w:rPr>
                <w:rFonts w:ascii="宋体" w:hAnsi="宋体"/>
                <w:sz w:val="24"/>
                <w:szCs w:val="24"/>
              </w:rPr>
            </w:pPr>
            <w:r>
              <w:rPr>
                <w:rFonts w:hint="eastAsia" w:ascii="宋体" w:hAnsi="宋体"/>
                <w:sz w:val="24"/>
                <w:szCs w:val="24"/>
              </w:rPr>
              <w:t>序号</w:t>
            </w:r>
          </w:p>
        </w:tc>
        <w:tc>
          <w:tcPr>
            <w:tcW w:w="5465" w:type="dxa"/>
            <w:vMerge w:val="restart"/>
            <w:tcBorders>
              <w:top w:val="single" w:color="auto" w:sz="12" w:space="0"/>
            </w:tcBorders>
            <w:vAlign w:val="center"/>
          </w:tcPr>
          <w:p>
            <w:pPr>
              <w:spacing w:line="360" w:lineRule="auto"/>
              <w:jc w:val="center"/>
              <w:rPr>
                <w:rFonts w:ascii="宋体" w:hAnsi="宋体"/>
                <w:sz w:val="24"/>
                <w:szCs w:val="24"/>
              </w:rPr>
            </w:pPr>
            <w:r>
              <w:rPr>
                <w:rFonts w:hint="eastAsia" w:ascii="宋体" w:hAnsi="宋体"/>
                <w:sz w:val="24"/>
                <w:szCs w:val="24"/>
              </w:rPr>
              <w:t>资料名称</w:t>
            </w:r>
          </w:p>
        </w:tc>
        <w:tc>
          <w:tcPr>
            <w:tcW w:w="1596" w:type="dxa"/>
            <w:gridSpan w:val="2"/>
            <w:tcBorders>
              <w:top w:val="single" w:color="auto" w:sz="12" w:space="0"/>
              <w:bottom w:val="single" w:color="auto" w:sz="4" w:space="0"/>
            </w:tcBorders>
          </w:tcPr>
          <w:p>
            <w:pPr>
              <w:spacing w:line="360" w:lineRule="auto"/>
              <w:jc w:val="center"/>
              <w:rPr>
                <w:rFonts w:ascii="宋体" w:hAnsi="宋体"/>
                <w:sz w:val="24"/>
                <w:szCs w:val="24"/>
              </w:rPr>
            </w:pPr>
            <w:r>
              <w:rPr>
                <w:rFonts w:hint="eastAsia" w:ascii="宋体" w:hAnsi="宋体"/>
                <w:sz w:val="24"/>
                <w:szCs w:val="24"/>
              </w:rPr>
              <w:t>资料形式</w:t>
            </w:r>
          </w:p>
        </w:tc>
        <w:tc>
          <w:tcPr>
            <w:tcW w:w="1298" w:type="dxa"/>
            <w:vMerge w:val="restart"/>
            <w:tcBorders>
              <w:top w:val="single" w:color="auto" w:sz="12" w:space="0"/>
              <w:right w:val="single" w:color="auto" w:sz="12" w:space="0"/>
            </w:tcBorders>
            <w:vAlign w:val="center"/>
          </w:tcPr>
          <w:p>
            <w:pPr>
              <w:spacing w:line="360" w:lineRule="auto"/>
              <w:rPr>
                <w:rFonts w:ascii="宋体" w:hAnsi="宋体"/>
                <w:sz w:val="24"/>
                <w:szCs w:val="24"/>
              </w:rPr>
            </w:pPr>
            <w:r>
              <w:rPr>
                <w:rFonts w:hint="eastAsia" w:ascii="宋体"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766" w:type="dxa"/>
            <w:vMerge w:val="continue"/>
            <w:tcBorders>
              <w:left w:val="single" w:color="auto" w:sz="12" w:space="0"/>
            </w:tcBorders>
          </w:tcPr>
          <w:p>
            <w:pPr>
              <w:spacing w:line="360" w:lineRule="auto"/>
              <w:jc w:val="center"/>
              <w:rPr>
                <w:rFonts w:ascii="宋体" w:hAnsi="宋体"/>
                <w:sz w:val="24"/>
                <w:szCs w:val="24"/>
              </w:rPr>
            </w:pPr>
          </w:p>
        </w:tc>
        <w:tc>
          <w:tcPr>
            <w:tcW w:w="5465" w:type="dxa"/>
            <w:vMerge w:val="continue"/>
          </w:tcPr>
          <w:p>
            <w:pPr>
              <w:spacing w:line="360" w:lineRule="auto"/>
              <w:jc w:val="center"/>
              <w:rPr>
                <w:rFonts w:ascii="宋体" w:hAnsi="宋体"/>
                <w:sz w:val="24"/>
                <w:szCs w:val="24"/>
              </w:rPr>
            </w:pPr>
          </w:p>
        </w:tc>
        <w:tc>
          <w:tcPr>
            <w:tcW w:w="683" w:type="dxa"/>
            <w:tcBorders>
              <w:top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书面版</w:t>
            </w:r>
          </w:p>
        </w:tc>
        <w:tc>
          <w:tcPr>
            <w:tcW w:w="913" w:type="dxa"/>
            <w:tcBorders>
              <w:top w:val="single" w:color="auto" w:sz="4" w:space="0"/>
            </w:tcBorders>
            <w:vAlign w:val="center"/>
          </w:tcPr>
          <w:p>
            <w:pPr>
              <w:spacing w:line="360" w:lineRule="auto"/>
              <w:jc w:val="center"/>
              <w:rPr>
                <w:rFonts w:ascii="宋体" w:hAnsi="宋体"/>
                <w:sz w:val="24"/>
                <w:szCs w:val="24"/>
              </w:rPr>
            </w:pPr>
            <w:r>
              <w:rPr>
                <w:rFonts w:hint="eastAsia" w:ascii="宋体" w:hAnsi="宋体"/>
                <w:sz w:val="24"/>
                <w:szCs w:val="24"/>
              </w:rPr>
              <w:t>电子版</w:t>
            </w:r>
          </w:p>
        </w:tc>
        <w:tc>
          <w:tcPr>
            <w:tcW w:w="1298" w:type="dxa"/>
            <w:vMerge w:val="continue"/>
            <w:tcBorders>
              <w:right w:val="single" w:color="auto" w:sz="12" w:space="0"/>
            </w:tcBorders>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766" w:type="dxa"/>
            <w:vMerge w:val="restart"/>
            <w:tcBorders>
              <w:left w:val="single" w:color="auto" w:sz="12" w:space="0"/>
            </w:tcBorders>
            <w:vAlign w:val="center"/>
          </w:tcPr>
          <w:p>
            <w:pPr>
              <w:spacing w:line="360" w:lineRule="auto"/>
              <w:jc w:val="center"/>
              <w:rPr>
                <w:rFonts w:ascii="宋体" w:hAnsi="宋体"/>
                <w:sz w:val="24"/>
                <w:szCs w:val="24"/>
              </w:rPr>
            </w:pPr>
            <w:r>
              <w:rPr>
                <w:rFonts w:hint="eastAsia" w:ascii="宋体" w:hAnsi="宋体"/>
                <w:sz w:val="24"/>
                <w:szCs w:val="24"/>
              </w:rPr>
              <w:t>设计完成</w:t>
            </w: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设备平面布置图</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3份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设备动能使用点及其用量图、所有管道走向布置图</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3份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设备总图、原理图、流程图、设备装配图</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3份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外购件明细表（含型号、规格、数量、能源消耗及备选厂家）</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3份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标准件清单</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3份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设备清单</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3份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项目实施方案及计划</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3份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技术服务方案及人员培训计划</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3份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验收大纲</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3份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766" w:type="dxa"/>
            <w:vMerge w:val="restart"/>
            <w:tcBorders>
              <w:left w:val="single" w:color="auto" w:sz="12" w:space="0"/>
            </w:tcBorders>
            <w:vAlign w:val="center"/>
          </w:tcPr>
          <w:p>
            <w:pPr>
              <w:spacing w:line="360" w:lineRule="auto"/>
              <w:jc w:val="center"/>
              <w:rPr>
                <w:rFonts w:ascii="宋体" w:hAnsi="宋体"/>
                <w:sz w:val="24"/>
                <w:szCs w:val="24"/>
              </w:rPr>
            </w:pPr>
            <w:r>
              <w:rPr>
                <w:rFonts w:hint="eastAsia" w:ascii="宋体" w:hAnsi="宋体"/>
                <w:sz w:val="24"/>
                <w:szCs w:val="24"/>
              </w:rPr>
              <w:t>设备调试～SOP</w:t>
            </w: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各设备操作说明</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3份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各设备点检、保养说明书</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3份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电气原理图、硬件接线图</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3份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调试、试运转记录</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3份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电气绝缘检测记录</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3份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异常记录</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3份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设备说明书</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3份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培训教材</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6份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766" w:type="dxa"/>
            <w:vMerge w:val="restart"/>
            <w:tcBorders>
              <w:left w:val="single" w:color="auto" w:sz="12" w:space="0"/>
            </w:tcBorders>
            <w:vAlign w:val="center"/>
          </w:tcPr>
          <w:p>
            <w:pPr>
              <w:spacing w:line="360" w:lineRule="auto"/>
              <w:jc w:val="center"/>
              <w:rPr>
                <w:rFonts w:ascii="宋体" w:hAnsi="宋体"/>
                <w:sz w:val="24"/>
                <w:szCs w:val="24"/>
              </w:rPr>
            </w:pPr>
            <w:r>
              <w:rPr>
                <w:rFonts w:hint="eastAsia" w:ascii="宋体" w:hAnsi="宋体"/>
                <w:sz w:val="24"/>
                <w:szCs w:val="24"/>
              </w:rPr>
              <w:t>最终验收</w:t>
            </w: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设备竣工图</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5份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设备正版软件</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1份</w:t>
            </w:r>
          </w:p>
        </w:tc>
        <w:tc>
          <w:tcPr>
            <w:tcW w:w="1298" w:type="dxa"/>
            <w:tcBorders>
              <w:right w:val="single" w:color="auto" w:sz="12" w:space="0"/>
            </w:tcBorders>
            <w:vAlign w:val="center"/>
          </w:tcPr>
          <w:p>
            <w:pPr>
              <w:spacing w:line="360" w:lineRule="auto"/>
              <w:rPr>
                <w:rFonts w:ascii="宋体" w:hAnsi="宋体"/>
                <w:sz w:val="24"/>
                <w:szCs w:val="24"/>
              </w:rPr>
            </w:pPr>
            <w:r>
              <w:rPr>
                <w:rFonts w:hint="eastAsia" w:ascii="宋体" w:hAnsi="宋体"/>
                <w:sz w:val="24"/>
                <w:szCs w:val="24"/>
              </w:rPr>
              <w:t>预装设备中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最终电气接线图（和现场保持一致）</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5份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所有设计图、机械及电气原理图</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5份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exact"/>
        </w:trPr>
        <w:tc>
          <w:tcPr>
            <w:tcW w:w="766" w:type="dxa"/>
            <w:vMerge w:val="continue"/>
            <w:tcBorders>
              <w:left w:val="single" w:color="auto" w:sz="12" w:space="0"/>
            </w:tcBorders>
            <w:vAlign w:val="center"/>
          </w:tcPr>
          <w:p>
            <w:pPr>
              <w:spacing w:line="360" w:lineRule="auto"/>
              <w:jc w:val="center"/>
              <w:rPr>
                <w:rFonts w:ascii="宋体" w:hAnsi="宋体"/>
                <w:sz w:val="24"/>
                <w:szCs w:val="24"/>
              </w:rPr>
            </w:pPr>
          </w:p>
        </w:tc>
        <w:tc>
          <w:tcPr>
            <w:tcW w:w="5465" w:type="dxa"/>
            <w:vAlign w:val="center"/>
          </w:tcPr>
          <w:p>
            <w:pPr>
              <w:spacing w:line="360" w:lineRule="auto"/>
              <w:jc w:val="center"/>
              <w:rPr>
                <w:rFonts w:ascii="宋体" w:hAnsi="宋体"/>
                <w:sz w:val="24"/>
                <w:szCs w:val="24"/>
              </w:rPr>
            </w:pPr>
            <w:r>
              <w:rPr>
                <w:rFonts w:hint="eastAsia" w:ascii="宋体" w:hAnsi="宋体"/>
                <w:sz w:val="24"/>
                <w:szCs w:val="24"/>
              </w:rPr>
              <w:t>设备维护保养手册</w:t>
            </w:r>
          </w:p>
        </w:tc>
        <w:tc>
          <w:tcPr>
            <w:tcW w:w="683" w:type="dxa"/>
            <w:vAlign w:val="center"/>
          </w:tcPr>
          <w:p>
            <w:pPr>
              <w:spacing w:line="360" w:lineRule="auto"/>
              <w:jc w:val="center"/>
              <w:rPr>
                <w:rFonts w:ascii="宋体" w:hAnsi="宋体"/>
                <w:sz w:val="24"/>
                <w:szCs w:val="24"/>
              </w:rPr>
            </w:pPr>
            <w:r>
              <w:rPr>
                <w:rFonts w:hint="eastAsia" w:ascii="宋体" w:hAnsi="宋体"/>
                <w:sz w:val="24"/>
                <w:szCs w:val="24"/>
              </w:rPr>
              <w:t>5份</w:t>
            </w:r>
          </w:p>
        </w:tc>
        <w:tc>
          <w:tcPr>
            <w:tcW w:w="913" w:type="dxa"/>
            <w:vAlign w:val="center"/>
          </w:tcPr>
          <w:p>
            <w:pPr>
              <w:spacing w:line="360" w:lineRule="auto"/>
              <w:jc w:val="center"/>
              <w:rPr>
                <w:rFonts w:ascii="宋体" w:hAnsi="宋体"/>
                <w:sz w:val="24"/>
                <w:szCs w:val="24"/>
              </w:rPr>
            </w:pPr>
            <w:r>
              <w:rPr>
                <w:rFonts w:hint="eastAsia" w:ascii="宋体" w:hAnsi="宋体"/>
                <w:sz w:val="24"/>
                <w:szCs w:val="24"/>
              </w:rPr>
              <w:t>2份</w:t>
            </w:r>
          </w:p>
        </w:tc>
        <w:tc>
          <w:tcPr>
            <w:tcW w:w="1298" w:type="dxa"/>
            <w:tcBorders>
              <w:right w:val="single" w:color="auto" w:sz="12" w:space="0"/>
            </w:tcBorders>
            <w:vAlign w:val="center"/>
          </w:tcPr>
          <w:p>
            <w:pPr>
              <w:spacing w:line="360" w:lineRule="auto"/>
              <w:rPr>
                <w:rFonts w:ascii="宋体" w:hAnsi="宋体"/>
                <w:sz w:val="24"/>
                <w:szCs w:val="24"/>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5.4试验过程中每个重要传感器的读数均要详细记录，在设备出厂前进行整机出厂检验。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5.5 提供电子版资料说明：电气原理图，机械原理图、施工图及相关技术资料格式为CAD2007版本或以上，都为可编辑。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5.6设备线体主要元件品牌参考主要元器件清单。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5.7设备备件清单至少且应不限于以下产品。</w:t>
      </w:r>
    </w:p>
    <w:tbl>
      <w:tblPr>
        <w:tblStyle w:val="76"/>
        <w:tblW w:w="975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8"/>
        <w:gridCol w:w="5099"/>
        <w:gridCol w:w="1843"/>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 w:hRule="atLeast"/>
        </w:trPr>
        <w:tc>
          <w:tcPr>
            <w:tcW w:w="718" w:type="dxa"/>
            <w:vAlign w:val="center"/>
          </w:tcPr>
          <w:p>
            <w:pPr>
              <w:spacing w:line="360" w:lineRule="auto"/>
              <w:jc w:val="center"/>
              <w:rPr>
                <w:rFonts w:ascii="宋体" w:hAnsi="宋体"/>
                <w:sz w:val="24"/>
                <w:szCs w:val="24"/>
              </w:rPr>
            </w:pPr>
            <w:r>
              <w:rPr>
                <w:rFonts w:hint="eastAsia" w:ascii="宋体" w:hAnsi="宋体"/>
                <w:sz w:val="24"/>
                <w:szCs w:val="24"/>
              </w:rPr>
              <w:t>序号</w:t>
            </w:r>
          </w:p>
        </w:tc>
        <w:tc>
          <w:tcPr>
            <w:tcW w:w="5099" w:type="dxa"/>
            <w:vAlign w:val="center"/>
          </w:tcPr>
          <w:p>
            <w:pPr>
              <w:spacing w:line="360" w:lineRule="auto"/>
              <w:jc w:val="center"/>
              <w:rPr>
                <w:rFonts w:ascii="宋体" w:hAnsi="宋体"/>
                <w:sz w:val="24"/>
                <w:szCs w:val="24"/>
              </w:rPr>
            </w:pPr>
            <w:r>
              <w:rPr>
                <w:rFonts w:hint="eastAsia" w:ascii="宋体" w:hAnsi="宋体"/>
                <w:sz w:val="24"/>
                <w:szCs w:val="24"/>
              </w:rPr>
              <w:t>备件名称</w:t>
            </w:r>
          </w:p>
        </w:tc>
        <w:tc>
          <w:tcPr>
            <w:tcW w:w="1843" w:type="dxa"/>
            <w:vAlign w:val="center"/>
          </w:tcPr>
          <w:p>
            <w:pPr>
              <w:spacing w:line="360" w:lineRule="auto"/>
              <w:jc w:val="center"/>
              <w:rPr>
                <w:rFonts w:ascii="宋体" w:hAnsi="宋体"/>
                <w:sz w:val="24"/>
                <w:szCs w:val="24"/>
              </w:rPr>
            </w:pPr>
            <w:r>
              <w:rPr>
                <w:rFonts w:hint="eastAsia" w:ascii="宋体" w:hAnsi="宋体"/>
                <w:sz w:val="24"/>
                <w:szCs w:val="24"/>
              </w:rPr>
              <w:t>数量</w:t>
            </w:r>
          </w:p>
        </w:tc>
        <w:tc>
          <w:tcPr>
            <w:tcW w:w="2094" w:type="dxa"/>
            <w:vAlign w:val="center"/>
          </w:tcPr>
          <w:p>
            <w:pPr>
              <w:spacing w:line="360" w:lineRule="auto"/>
              <w:jc w:val="center"/>
              <w:rPr>
                <w:rFonts w:ascii="宋体" w:hAnsi="宋体"/>
                <w:sz w:val="24"/>
                <w:szCs w:val="24"/>
              </w:rPr>
            </w:pPr>
            <w:r>
              <w:rPr>
                <w:rFonts w:hint="eastAsia" w:ascii="宋体"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trPr>
        <w:tc>
          <w:tcPr>
            <w:tcW w:w="718" w:type="dxa"/>
            <w:vAlign w:val="center"/>
          </w:tcPr>
          <w:p>
            <w:pPr>
              <w:spacing w:line="360" w:lineRule="auto"/>
              <w:jc w:val="center"/>
              <w:rPr>
                <w:rFonts w:ascii="宋体" w:hAnsi="宋体"/>
                <w:sz w:val="24"/>
                <w:szCs w:val="24"/>
              </w:rPr>
            </w:pPr>
            <w:r>
              <w:rPr>
                <w:rFonts w:hint="eastAsia" w:ascii="宋体" w:hAnsi="宋体"/>
                <w:sz w:val="24"/>
                <w:szCs w:val="24"/>
              </w:rPr>
              <w:t>1</w:t>
            </w:r>
          </w:p>
        </w:tc>
        <w:tc>
          <w:tcPr>
            <w:tcW w:w="5099" w:type="dxa"/>
            <w:vAlign w:val="center"/>
          </w:tcPr>
          <w:p>
            <w:pPr>
              <w:spacing w:line="360" w:lineRule="auto"/>
              <w:jc w:val="center"/>
              <w:rPr>
                <w:rFonts w:ascii="宋体" w:hAnsi="宋体"/>
                <w:sz w:val="24"/>
                <w:szCs w:val="24"/>
              </w:rPr>
            </w:pPr>
            <w:r>
              <w:rPr>
                <w:rFonts w:hint="eastAsia" w:ascii="宋体" w:hAnsi="宋体"/>
                <w:sz w:val="24"/>
                <w:szCs w:val="24"/>
              </w:rPr>
              <w:t>O</w:t>
            </w:r>
            <w:r>
              <w:rPr>
                <w:rFonts w:ascii="宋体" w:hAnsi="宋体"/>
                <w:sz w:val="24"/>
                <w:szCs w:val="24"/>
              </w:rPr>
              <w:t>BD</w:t>
            </w:r>
            <w:r>
              <w:rPr>
                <w:rFonts w:hint="eastAsia" w:ascii="宋体" w:hAnsi="宋体"/>
                <w:sz w:val="24"/>
                <w:szCs w:val="24"/>
              </w:rPr>
              <w:t>连接</w:t>
            </w:r>
            <w:r>
              <w:rPr>
                <w:rFonts w:ascii="宋体" w:hAnsi="宋体"/>
                <w:sz w:val="24"/>
                <w:szCs w:val="24"/>
              </w:rPr>
              <w:t>线</w:t>
            </w:r>
            <w:r>
              <w:rPr>
                <w:rFonts w:hint="eastAsia" w:ascii="宋体" w:hAnsi="宋体"/>
                <w:sz w:val="24"/>
                <w:szCs w:val="24"/>
              </w:rPr>
              <w:t>束</w:t>
            </w:r>
            <w:r>
              <w:rPr>
                <w:rFonts w:ascii="宋体" w:hAnsi="宋体"/>
                <w:sz w:val="24"/>
                <w:szCs w:val="24"/>
              </w:rPr>
              <w:t>和接头</w:t>
            </w:r>
          </w:p>
        </w:tc>
        <w:tc>
          <w:tcPr>
            <w:tcW w:w="1843" w:type="dxa"/>
          </w:tcPr>
          <w:p>
            <w:pPr>
              <w:spacing w:line="360" w:lineRule="auto"/>
              <w:jc w:val="center"/>
              <w:rPr>
                <w:rFonts w:ascii="宋体" w:hAnsi="宋体"/>
                <w:sz w:val="24"/>
                <w:szCs w:val="24"/>
              </w:rPr>
            </w:pPr>
            <w:r>
              <w:rPr>
                <w:rFonts w:ascii="宋体" w:hAnsi="宋体"/>
                <w:sz w:val="24"/>
                <w:szCs w:val="24"/>
              </w:rPr>
              <w:t>10</w:t>
            </w:r>
            <w:r>
              <w:rPr>
                <w:rFonts w:hint="eastAsia" w:ascii="宋体" w:hAnsi="宋体"/>
                <w:sz w:val="24"/>
                <w:szCs w:val="24"/>
              </w:rPr>
              <w:t>个</w:t>
            </w:r>
          </w:p>
        </w:tc>
        <w:tc>
          <w:tcPr>
            <w:tcW w:w="2094" w:type="dxa"/>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trPr>
        <w:tc>
          <w:tcPr>
            <w:tcW w:w="718" w:type="dxa"/>
            <w:vAlign w:val="center"/>
          </w:tcPr>
          <w:p>
            <w:pPr>
              <w:spacing w:line="360" w:lineRule="auto"/>
              <w:jc w:val="center"/>
              <w:rPr>
                <w:rFonts w:ascii="宋体" w:hAnsi="宋体"/>
                <w:sz w:val="24"/>
                <w:szCs w:val="24"/>
              </w:rPr>
            </w:pPr>
            <w:r>
              <w:rPr>
                <w:rFonts w:hint="eastAsia" w:ascii="宋体" w:hAnsi="宋体"/>
                <w:sz w:val="24"/>
                <w:szCs w:val="24"/>
              </w:rPr>
              <w:t>2</w:t>
            </w:r>
          </w:p>
        </w:tc>
        <w:tc>
          <w:tcPr>
            <w:tcW w:w="5099" w:type="dxa"/>
            <w:vAlign w:val="center"/>
          </w:tcPr>
          <w:p>
            <w:pPr>
              <w:spacing w:line="360" w:lineRule="auto"/>
              <w:jc w:val="center"/>
              <w:rPr>
                <w:rFonts w:ascii="宋体" w:hAnsi="宋体"/>
                <w:sz w:val="24"/>
                <w:szCs w:val="24"/>
              </w:rPr>
            </w:pPr>
            <w:r>
              <w:rPr>
                <w:rFonts w:hint="eastAsia" w:ascii="宋体" w:hAnsi="宋体"/>
                <w:sz w:val="24"/>
                <w:szCs w:val="24"/>
              </w:rPr>
              <w:t>电位均衡</w:t>
            </w:r>
            <w:r>
              <w:rPr>
                <w:rFonts w:ascii="宋体" w:hAnsi="宋体"/>
                <w:sz w:val="24"/>
                <w:szCs w:val="24"/>
              </w:rPr>
              <w:t>的</w:t>
            </w:r>
            <w:r>
              <w:rPr>
                <w:rFonts w:hint="eastAsia" w:ascii="宋体" w:hAnsi="宋体"/>
                <w:sz w:val="24"/>
                <w:szCs w:val="24"/>
              </w:rPr>
              <w:t>鳄鱼</w:t>
            </w:r>
            <w:r>
              <w:rPr>
                <w:rFonts w:ascii="宋体" w:hAnsi="宋体"/>
                <w:sz w:val="24"/>
                <w:szCs w:val="24"/>
              </w:rPr>
              <w:t>夹子</w:t>
            </w:r>
          </w:p>
        </w:tc>
        <w:tc>
          <w:tcPr>
            <w:tcW w:w="1843" w:type="dxa"/>
          </w:tcPr>
          <w:p>
            <w:pPr>
              <w:spacing w:line="360" w:lineRule="auto"/>
              <w:jc w:val="center"/>
              <w:rPr>
                <w:rFonts w:ascii="宋体" w:hAnsi="宋体"/>
                <w:sz w:val="24"/>
                <w:szCs w:val="24"/>
              </w:rPr>
            </w:pPr>
            <w:r>
              <w:rPr>
                <w:rFonts w:ascii="宋体" w:hAnsi="宋体"/>
                <w:sz w:val="24"/>
                <w:szCs w:val="24"/>
              </w:rPr>
              <w:t>10</w:t>
            </w:r>
            <w:r>
              <w:rPr>
                <w:rFonts w:hint="eastAsia" w:ascii="宋体" w:hAnsi="宋体"/>
                <w:sz w:val="24"/>
                <w:szCs w:val="24"/>
              </w:rPr>
              <w:t>个</w:t>
            </w:r>
          </w:p>
        </w:tc>
        <w:tc>
          <w:tcPr>
            <w:tcW w:w="2094" w:type="dxa"/>
            <w:vAlign w:val="center"/>
          </w:tcPr>
          <w:p>
            <w:pPr>
              <w:spacing w:line="360" w:lineRule="auto"/>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trPr>
        <w:tc>
          <w:tcPr>
            <w:tcW w:w="718" w:type="dxa"/>
            <w:vAlign w:val="center"/>
          </w:tcPr>
          <w:p>
            <w:pPr>
              <w:spacing w:line="360" w:lineRule="auto"/>
              <w:jc w:val="center"/>
              <w:rPr>
                <w:rFonts w:ascii="宋体" w:hAnsi="宋体"/>
                <w:sz w:val="24"/>
                <w:szCs w:val="24"/>
              </w:rPr>
            </w:pPr>
            <w:r>
              <w:rPr>
                <w:rFonts w:hint="eastAsia" w:ascii="宋体" w:hAnsi="宋体"/>
                <w:sz w:val="24"/>
                <w:szCs w:val="24"/>
              </w:rPr>
              <w:t>3</w:t>
            </w:r>
          </w:p>
        </w:tc>
        <w:tc>
          <w:tcPr>
            <w:tcW w:w="5099" w:type="dxa"/>
            <w:vAlign w:val="center"/>
          </w:tcPr>
          <w:p>
            <w:pPr>
              <w:spacing w:line="360" w:lineRule="auto"/>
              <w:jc w:val="center"/>
              <w:rPr>
                <w:rFonts w:ascii="宋体" w:hAnsi="宋体"/>
                <w:sz w:val="24"/>
                <w:szCs w:val="24"/>
              </w:rPr>
            </w:pPr>
            <w:r>
              <w:rPr>
                <w:rFonts w:hint="eastAsia" w:ascii="宋体" w:hAnsi="宋体"/>
                <w:sz w:val="24"/>
                <w:szCs w:val="24"/>
              </w:rPr>
              <w:t>无线扫码</w:t>
            </w:r>
            <w:r>
              <w:rPr>
                <w:rFonts w:ascii="宋体" w:hAnsi="宋体"/>
                <w:sz w:val="24"/>
                <w:szCs w:val="24"/>
              </w:rPr>
              <w:t>扫描枪</w:t>
            </w:r>
          </w:p>
        </w:tc>
        <w:tc>
          <w:tcPr>
            <w:tcW w:w="1843" w:type="dxa"/>
          </w:tcPr>
          <w:p>
            <w:pPr>
              <w:spacing w:line="360" w:lineRule="auto"/>
              <w:jc w:val="center"/>
              <w:rPr>
                <w:rFonts w:ascii="宋体" w:hAnsi="宋体"/>
                <w:sz w:val="24"/>
                <w:szCs w:val="24"/>
              </w:rPr>
            </w:pPr>
            <w:r>
              <w:rPr>
                <w:rFonts w:ascii="宋体" w:hAnsi="宋体"/>
                <w:sz w:val="24"/>
                <w:szCs w:val="24"/>
              </w:rPr>
              <w:t>4</w:t>
            </w:r>
            <w:r>
              <w:rPr>
                <w:rFonts w:hint="eastAsia" w:ascii="宋体" w:hAnsi="宋体"/>
                <w:sz w:val="24"/>
                <w:szCs w:val="24"/>
              </w:rPr>
              <w:t>个</w:t>
            </w:r>
          </w:p>
        </w:tc>
        <w:tc>
          <w:tcPr>
            <w:tcW w:w="2094" w:type="dxa"/>
            <w:vAlign w:val="center"/>
          </w:tcPr>
          <w:p>
            <w:pPr>
              <w:spacing w:line="360" w:lineRule="auto"/>
              <w:jc w:val="center"/>
              <w:rPr>
                <w:rFonts w:ascii="宋体" w:hAnsi="宋体"/>
                <w:sz w:val="24"/>
                <w:szCs w:val="24"/>
              </w:rPr>
            </w:pPr>
          </w:p>
        </w:tc>
      </w:tr>
    </w:tbl>
    <w:p>
      <w:pPr>
        <w:spacing w:line="360" w:lineRule="auto"/>
        <w:ind w:firstLine="480" w:firstLineChars="200"/>
        <w:rPr>
          <w:rFonts w:ascii="宋体" w:hAnsi="宋体"/>
          <w:sz w:val="24"/>
          <w:szCs w:val="24"/>
        </w:rPr>
      </w:pPr>
    </w:p>
    <w:p>
      <w:pPr>
        <w:pStyle w:val="3"/>
        <w:tabs>
          <w:tab w:val="left" w:pos="2400"/>
          <w:tab w:val="clear" w:pos="9061"/>
        </w:tabs>
        <w:spacing w:line="360" w:lineRule="auto"/>
        <w:jc w:val="both"/>
        <w:rPr>
          <w:rFonts w:hint="eastAsia" w:ascii="仿宋_GB2312" w:hAnsi="宋体" w:eastAsia="仿宋_GB2312"/>
          <w:sz w:val="32"/>
          <w:szCs w:val="32"/>
        </w:rPr>
      </w:pPr>
      <w:bookmarkStart w:id="88" w:name="_Toc100395322"/>
      <w:r>
        <w:rPr>
          <w:rFonts w:hint="eastAsia" w:ascii="仿宋_GB2312" w:hAnsi="宋体" w:eastAsia="仿宋_GB2312"/>
          <w:sz w:val="32"/>
          <w:szCs w:val="32"/>
        </w:rPr>
        <w:t>六、服务范围及要求</w:t>
      </w:r>
      <w:bookmarkEnd w:id="87"/>
      <w:bookmarkEnd w:id="88"/>
    </w:p>
    <w:p>
      <w:pPr>
        <w:spacing w:line="360" w:lineRule="auto"/>
        <w:jc w:val="left"/>
        <w:rPr>
          <w:rFonts w:ascii="宋体" w:hAnsi="宋体"/>
          <w:b/>
          <w:bCs/>
          <w:sz w:val="24"/>
          <w:szCs w:val="24"/>
        </w:rPr>
      </w:pPr>
      <w:r>
        <w:rPr>
          <w:rFonts w:hint="eastAsia" w:ascii="宋体" w:hAnsi="宋体"/>
          <w:b/>
          <w:bCs/>
          <w:sz w:val="24"/>
          <w:szCs w:val="24"/>
        </w:rPr>
        <w:t>1.技术指导和人员培训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1.1投标方应按要求，免费积极协助和提供招标方和招标方所委托的工程设计单位有关人员所需要的、和设备（或材料）有关的工程设计资料、技术咨询等；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1.2若投标方提供设备（或材料）的技术质量等，与投标方外购的设备（或材料）技术质量等有较大或直接关联时，投标方应能得到其外购设备（或材料）制造厂商（或供应商）的技术支持，并免费为招标方提供技术服务（包括设计文件的审查和审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1.3投标方负责制定对招标方人员在运行、维修和试验等方面的培训计划，并有专人负责实施培训计划，认识设备的特点和特性，掌握在运行、维修和使用管理中应遵守的规则等方面的综合知识。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bookmarkStart w:id="89" w:name="_Toc482707509"/>
      <w:bookmarkStart w:id="90" w:name="_Toc479931164"/>
      <w:r>
        <w:rPr>
          <w:rFonts w:hint="eastAsia" w:ascii="宋体" w:hAnsi="宋体"/>
          <w:sz w:val="24"/>
          <w:szCs w:val="24"/>
        </w:rPr>
        <w:t>1.4培训的总体要求</w:t>
      </w:r>
      <w:bookmarkEnd w:id="89"/>
      <w:bookmarkEnd w:id="9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设备设计至安装调试过程中，投标方必须给招标方提供必要的培训，培训包括操作和维护培训两种，且保证设备交付使用后，招标方能顺利地进行操作、维护、维修。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bookmarkStart w:id="91" w:name="_Toc482707510"/>
      <w:bookmarkStart w:id="92" w:name="_Toc479931165"/>
      <w:r>
        <w:rPr>
          <w:rFonts w:hint="eastAsia" w:ascii="宋体" w:hAnsi="宋体"/>
          <w:sz w:val="24"/>
          <w:szCs w:val="24"/>
        </w:rPr>
        <w:t>1.5 培训实施的具体要求</w:t>
      </w:r>
      <w:bookmarkEnd w:id="91"/>
      <w:bookmarkEnd w:id="9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1.5.1实施培训的人员层次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投标方应安排工程师及其以上资格的电气/机械技术人员给予招标方的相关人员提供培训。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1.5.2培训实施的地点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投标方提供的培训应在招标方的现场实施或招标方安排相关人员到投标方的制造现场接受培训，投标方予以安排实施。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1.5.3培训内容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（1）理论培训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投标方必须对招标方设备操作和维护人员进行指导和培训，确保招标方相关人员能够掌握设备的结构，能运行设备、识别和排除故障以及在设备运行上作合理的更改或调整工作。为此，要求投标方提供设备原理、操作、维修和保养的正规培训，确保招标方受培训人员能够掌握机械化输送设备机械和电气控制系统，达到会维修、会使用、会保养。在培训1周前提供培训资料和计划。投标方必须确保培训的有效性，使受训的招标方人员能够解决和排除相应的设备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（2）现场培训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在现场设备安装、调试、试生产过程中，投标方有责任对招标方有关人员进行相关的指导和培训，达到招标方能够解决和排除相应的设备问题的水平。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（3）主要培训内容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①整套设备各基本单元构造、工作原理、故障分析及解决方法；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②整套设备主要电气元件构造、性能、原理、故障分析及解决办法；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③整套设备电气控制程序；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④培训前提供中文或英文资料6份及光盘版2份。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1.3 培训目标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（1）参加培训的人员能掌握设备的电气原理、机械结构及性能；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（2）能够进行电气、机械故障维修；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（3）培训学时，要求不少于10学时。</w:t>
      </w:r>
    </w:p>
    <w:p>
      <w:pPr>
        <w:spacing w:line="360" w:lineRule="auto"/>
        <w:jc w:val="left"/>
        <w:rPr>
          <w:rFonts w:ascii="宋体" w:hAnsi="宋体"/>
          <w:b/>
          <w:bCs/>
          <w:sz w:val="24"/>
          <w:szCs w:val="24"/>
        </w:rPr>
      </w:pPr>
      <w:r>
        <w:rPr>
          <w:rFonts w:hint="eastAsia" w:ascii="宋体" w:hAnsi="宋体"/>
          <w:b/>
          <w:bCs/>
          <w:sz w:val="24"/>
          <w:szCs w:val="24"/>
        </w:rPr>
        <w:t>2.运输服务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投标方负责将设备按要求运至济南轻卡制造公司。</w:t>
      </w:r>
    </w:p>
    <w:p>
      <w:pPr>
        <w:spacing w:line="360" w:lineRule="auto"/>
        <w:jc w:val="left"/>
        <w:rPr>
          <w:rFonts w:ascii="宋体" w:hAnsi="宋体"/>
          <w:b/>
          <w:bCs/>
          <w:sz w:val="24"/>
          <w:szCs w:val="24"/>
        </w:rPr>
      </w:pPr>
      <w:r>
        <w:rPr>
          <w:rFonts w:hint="eastAsia" w:ascii="宋体" w:hAnsi="宋体"/>
          <w:b/>
          <w:bCs/>
          <w:sz w:val="24"/>
          <w:szCs w:val="24"/>
        </w:rPr>
        <w:t>3.安装调试服务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3.1根据设备的要求，调试可分模拟和实操两个阶段进行；招标方将予以积极配合，协助投标方达到设备的各项技术要求和性能；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3.2安装调试与验收期间，若投标方提供设备的技术质量等，与投标方外购的设备技术质量等有较大或直接关联时，投标方应能得到其外购设备制造厂商（或供应商）的技术支持，并免费为招标方提供安装使用现场的指导与协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3.3投标方免费负责设备的安装、调试，并接受用户的技术咨询；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3.4投标方是否提供有偿的还是免费的、指导安装调试还是负责安装调试，至少应在投标文件的服务章节中，予以明确说明；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3.5设备供方配合招标方完成设备数据采集的调试工作，包括但不限于提供设备PLC程序（无密码），接口调试等工作。</w:t>
      </w:r>
    </w:p>
    <w:p>
      <w:pPr>
        <w:spacing w:line="360" w:lineRule="auto"/>
        <w:jc w:val="left"/>
        <w:rPr>
          <w:rFonts w:ascii="宋体" w:hAnsi="宋体"/>
          <w:color w:val="000000"/>
          <w:sz w:val="24"/>
          <w:szCs w:val="24"/>
        </w:rPr>
      </w:pPr>
      <w:r>
        <w:rPr>
          <w:rFonts w:hint="eastAsia" w:ascii="宋体" w:hAnsi="宋体"/>
          <w:b/>
          <w:bCs/>
          <w:sz w:val="24"/>
          <w:szCs w:val="24"/>
        </w:rPr>
        <w:t>4.</w:t>
      </w:r>
      <w:r>
        <w:rPr>
          <w:rFonts w:ascii="宋体" w:hAnsi="宋体"/>
          <w:color w:val="000000"/>
          <w:sz w:val="24"/>
          <w:szCs w:val="24"/>
        </w:rPr>
        <w:t xml:space="preserve"> </w:t>
      </w:r>
      <w:r>
        <w:rPr>
          <w:rFonts w:hint="eastAsia" w:ascii="宋体" w:hAnsi="宋体"/>
          <w:b/>
          <w:bCs/>
          <w:sz w:val="24"/>
          <w:szCs w:val="24"/>
        </w:rPr>
        <w:t>售后服务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4.1在质保期之内，如发现投标方所提供的设备（或材料）存在问题，需要投标方配合解决时，投标方须在接到通知后市内2小时、省内8小时、省外24小时内派有关人员到达现场，解决问题；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4.2在质保期之后，如发现投标方所提供的设备（或材料）存在问题，需要投标方配合解决时，投标方须在接到通知后市内2小时、省内8小时、省外24小时内派有关人员到达现场，协助招标方解决问题；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4.3所有的售后服务均由投标方受理。如果发生问题并且收到报告，应当在2小时内予以答复；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4.4投标方应为招标方提供最佳的服务。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4.5 在工具设备使用寿命内，投标方应向招标方提供充足的备品备件、易损件和专用耗材，自招标方提出采购需求至交货，周期不得长于15天，也可提供备用工具设备，提供周期不得长于3天。</w:t>
      </w:r>
    </w:p>
    <w:p>
      <w:pPr>
        <w:spacing w:line="360" w:lineRule="auto"/>
        <w:jc w:val="left"/>
        <w:rPr>
          <w:rFonts w:ascii="宋体" w:hAnsi="宋体"/>
          <w:b/>
          <w:bCs/>
          <w:sz w:val="24"/>
          <w:szCs w:val="24"/>
        </w:rPr>
      </w:pPr>
      <w:r>
        <w:rPr>
          <w:rFonts w:ascii="宋体" w:hAnsi="宋体"/>
          <w:b/>
          <w:bCs/>
          <w:sz w:val="24"/>
          <w:szCs w:val="24"/>
        </w:rPr>
        <w:t>5</w:t>
      </w:r>
      <w:r>
        <w:rPr>
          <w:rFonts w:hint="eastAsia" w:ascii="宋体" w:hAnsi="宋体"/>
          <w:b/>
          <w:bCs/>
          <w:sz w:val="24"/>
          <w:szCs w:val="24"/>
        </w:rPr>
        <w:t>.其它服务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5.1若投标方所提供设备（或材料）有需要进口的，投标方应自行、自费办理；必要时，买卖双方共同办理；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5.2除招标文件、投标文件、答疑文件、技术协议、合同等约定之外，投标方应负责必要的或强制性的设备（或材料）的检验、试验、化验等直接费用；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5.3本章节条款所列“免费”，并非指定不可收费，而是指招标文件、投标文件、答疑文件、技术交流文件、技术协议书和合同等范围之外，投标方不可另行收取的费用。</w:t>
      </w:r>
    </w:p>
    <w:p>
      <w:pPr>
        <w:pStyle w:val="3"/>
        <w:tabs>
          <w:tab w:val="left" w:pos="2400"/>
          <w:tab w:val="clear" w:pos="9061"/>
        </w:tabs>
        <w:spacing w:line="360" w:lineRule="auto"/>
        <w:jc w:val="both"/>
        <w:rPr>
          <w:rFonts w:hint="eastAsia" w:ascii="仿宋_GB2312" w:hAnsi="宋体" w:eastAsia="仿宋_GB2312"/>
          <w:sz w:val="32"/>
          <w:szCs w:val="32"/>
        </w:rPr>
      </w:pPr>
      <w:bookmarkStart w:id="93" w:name="_Toc100395323"/>
      <w:bookmarkStart w:id="94" w:name="_Toc100308003"/>
      <w:bookmarkStart w:id="95" w:name="_Toc44953435"/>
      <w:r>
        <w:rPr>
          <w:rFonts w:hint="eastAsia" w:ascii="仿宋_GB2312" w:hAnsi="宋体" w:eastAsia="仿宋_GB2312"/>
          <w:sz w:val="32"/>
          <w:szCs w:val="32"/>
        </w:rPr>
        <w:t>七、预验收和终验收要求</w:t>
      </w:r>
      <w:bookmarkEnd w:id="93"/>
      <w:bookmarkEnd w:id="94"/>
      <w:bookmarkEnd w:id="9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按照参考招标文件、投标文件、答疑文件、技术交流文件等形成并达成一致的技术协议书和合同规定验收。</w:t>
      </w:r>
    </w:p>
    <w:p>
      <w:pPr>
        <w:spacing w:line="360" w:lineRule="auto"/>
        <w:jc w:val="left"/>
        <w:rPr>
          <w:rFonts w:ascii="宋体" w:hAnsi="宋体"/>
          <w:b/>
          <w:bCs/>
          <w:sz w:val="24"/>
          <w:szCs w:val="24"/>
        </w:rPr>
      </w:pPr>
      <w:r>
        <w:rPr>
          <w:rFonts w:hint="eastAsia" w:ascii="宋体" w:hAnsi="宋体"/>
          <w:b/>
          <w:bCs/>
          <w:sz w:val="24"/>
          <w:szCs w:val="24"/>
        </w:rPr>
        <w:t>1.检验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国产部分的货物的检验由卖买双方按照合同要求或在制造现场进行。进口部分的货物的检验按照下述要求进行：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1.1进口部分的货物发货前，投标方应对设备（或材料）的质量、型号、规格、性能和数量/重量作精密、全面的检验，并出具证明书，证明所供设备（或材料）符合合同规定；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1.2投标方应依据合同规定的要求，提供设备（或材料）的验收标准和装箱单，作为招标方检验的依据；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2验收标准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（1）双方签订的技术协议；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（2）合同执行过程中的补充协议；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（3）双方签订认同的会议纪要等。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2.1 预验收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投标方在制造设备过程，招标方有权询问制造进度，投标方将如实告知。招标方根据需要可派人到投标方的制造现场进行监督检验，并可就产品的任何单元件或配件制造质量、使用的原材料或外购配件的品牌进行抽查，投标方应积极给予协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（2）预验收在投标方工厂进行，由投标方组织验收，招标方派相关人员参加；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（3）投标方根据验收问题，编制预验收整改计划，根据招标方的要求整改至合格，预验收工作完成。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w:t>
      </w:r>
      <w:r>
        <w:rPr>
          <w:rFonts w:hint="eastAsia" w:ascii="宋体" w:hAnsi="宋体"/>
          <w:sz w:val="24"/>
          <w:szCs w:val="24"/>
          <w:lang w:val="en-US" w:eastAsia="zh-CN"/>
        </w:rPr>
        <w:t>2</w:t>
      </w:r>
      <w:r>
        <w:rPr>
          <w:rFonts w:hint="eastAsia" w:ascii="宋体" w:hAnsi="宋体"/>
          <w:sz w:val="24"/>
          <w:szCs w:val="24"/>
        </w:rPr>
        <w:t xml:space="preserve"> 初验收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(1)投标方应派资深人员到招标方工厂进行安装、调试和全程技术指导；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(2)设备安装调试完成后，首台车匹配正常，产品符合工艺要求，设备正常运转7 工作日，无质量问题，并且安装质量标准符合技术方案书的设计依据中相关标准，技术资料及备品备件齐全；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(3)投标方申请初验收，经双方成立初验收小组，依据合同、技术协议等法律文件组织初验收，形成初验收报告，经甲乙双方签字确认。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w:t>
      </w:r>
      <w:r>
        <w:rPr>
          <w:rFonts w:hint="eastAsia" w:ascii="宋体" w:hAnsi="宋体"/>
          <w:sz w:val="24"/>
          <w:szCs w:val="24"/>
          <w:lang w:val="en-US" w:eastAsia="zh-CN"/>
        </w:rPr>
        <w:t>3</w:t>
      </w:r>
      <w:r>
        <w:rPr>
          <w:rFonts w:hint="eastAsia" w:ascii="宋体" w:hAnsi="宋体"/>
          <w:sz w:val="24"/>
          <w:szCs w:val="24"/>
        </w:rPr>
        <w:t xml:space="preserve"> 终验收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（1）设备最终验收在招标方工厂进行，由招标方组织，投标方派资深人员到招标方工厂进行安装、调试和全程技术指导；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（2）试生产阶段投标方根据设备运行状况以满足技术协议和生产要求为原则，对试运行期间设备运行存在的问题予以整改（整改项需在试运行期间内完成）；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（3）设备终验收合格的必要条件：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bookmarkStart w:id="96" w:name="_Hlk99800503"/>
      <w:r>
        <w:rPr>
          <w:rFonts w:hint="eastAsia" w:ascii="宋体" w:hAnsi="宋体"/>
          <w:sz w:val="24"/>
          <w:szCs w:val="24"/>
        </w:rPr>
        <w:t>①设备安装调试完成；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②有关设备运行的问题全部整改关闭；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③设备运转良好，满足技术与生产规划的要求；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④在安装、调试至最终验收结束期间，投标方在招标方现场继续对招标方人员进行调试、操作、维修等培训直到合格上岗最终验收结束；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⑤量产后，设备连续运行3个月或完成2000台产量，且无任何故障；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⑥技术资料全部移交。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（4）在设备验收签字后投标方须派人陪产1个月，直到招标方能独立运行。</w:t>
      </w:r>
    </w:p>
    <w:p>
      <w:pPr>
        <w:pStyle w:val="3"/>
        <w:tabs>
          <w:tab w:val="left" w:pos="2400"/>
          <w:tab w:val="clear" w:pos="9061"/>
        </w:tabs>
        <w:spacing w:line="360" w:lineRule="auto"/>
        <w:jc w:val="both"/>
        <w:rPr>
          <w:rFonts w:hint="eastAsia" w:ascii="仿宋_GB2312" w:hAnsi="宋体" w:eastAsia="仿宋_GB2312"/>
          <w:sz w:val="32"/>
          <w:szCs w:val="32"/>
        </w:rPr>
      </w:pPr>
      <w:bookmarkStart w:id="97" w:name="_Toc100308004"/>
      <w:bookmarkStart w:id="98" w:name="_Toc100395324"/>
      <w:r>
        <w:rPr>
          <w:rFonts w:hint="eastAsia" w:ascii="仿宋_GB2312" w:hAnsi="宋体" w:eastAsia="仿宋_GB2312"/>
          <w:sz w:val="32"/>
          <w:szCs w:val="32"/>
        </w:rPr>
        <w:t>八、保密要求</w:t>
      </w:r>
      <w:bookmarkEnd w:id="97"/>
      <w:bookmarkEnd w:id="98"/>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ascii="宋体" w:hAnsi="宋体"/>
          <w:sz w:val="24"/>
          <w:szCs w:val="24"/>
        </w:rPr>
      </w:pPr>
      <w:r>
        <w:rPr>
          <w:rFonts w:hint="eastAsia" w:ascii="宋体" w:hAnsi="宋体"/>
          <w:sz w:val="24"/>
          <w:szCs w:val="24"/>
          <w:lang w:val="en-US" w:eastAsia="zh-CN"/>
        </w:rPr>
        <w:t>8</w:t>
      </w:r>
      <w:r>
        <w:rPr>
          <w:rFonts w:hint="eastAsia" w:ascii="宋体" w:hAnsi="宋体"/>
          <w:sz w:val="24"/>
          <w:szCs w:val="24"/>
        </w:rPr>
        <w:t>.1投标方应严格保密处理招标方所提供的文件、附件及数模、图纸、数据及信息等所有相关资料。未经招标方允许，不得以任何方式，在任何时间将上述资料向第三方公开，也不得为达到本项目以外目的而使用上述任何资料；否则招标方将依法追究投标方法律责任。</w:t>
      </w:r>
    </w:p>
    <w:p>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ascii="宋体" w:hAnsi="宋体"/>
          <w:sz w:val="24"/>
          <w:szCs w:val="24"/>
        </w:rPr>
      </w:pPr>
      <w:r>
        <w:rPr>
          <w:rFonts w:hint="eastAsia" w:ascii="宋体" w:hAnsi="宋体"/>
          <w:sz w:val="24"/>
          <w:szCs w:val="24"/>
          <w:lang w:val="en-US" w:eastAsia="zh-CN"/>
        </w:rPr>
        <w:t>8</w:t>
      </w:r>
      <w:r>
        <w:rPr>
          <w:rFonts w:hint="eastAsia" w:ascii="宋体" w:hAnsi="宋体"/>
          <w:sz w:val="24"/>
          <w:szCs w:val="24"/>
        </w:rPr>
        <w:t>.2</w:t>
      </w:r>
      <w:r>
        <w:rPr>
          <w:rFonts w:ascii="宋体" w:hAnsi="宋体"/>
          <w:sz w:val="24"/>
          <w:szCs w:val="24"/>
        </w:rPr>
        <w:t xml:space="preserve"> </w:t>
      </w:r>
      <w:r>
        <w:rPr>
          <w:rFonts w:hint="eastAsia" w:ascii="宋体" w:hAnsi="宋体"/>
          <w:sz w:val="24"/>
          <w:szCs w:val="24"/>
        </w:rPr>
        <w:t>投标方不能中标时，投标方应把数模、图纸及相关产品资料(包括复印件)完整地返回招标方。</w:t>
      </w:r>
    </w:p>
    <w:bookmarkEnd w:id="63"/>
    <w:bookmarkEnd w:id="64"/>
    <w:bookmarkEnd w:id="96"/>
    <w:p>
      <w:pPr>
        <w:pStyle w:val="4"/>
        <w:spacing w:before="120" w:after="120" w:line="360" w:lineRule="exact"/>
        <w:rPr>
          <w:rFonts w:ascii="宋体" w:hAnsi="宋体"/>
          <w:sz w:val="24"/>
          <w:szCs w:val="24"/>
        </w:rPr>
      </w:pPr>
    </w:p>
    <w:p>
      <w:pPr>
        <w:pStyle w:val="3"/>
        <w:keepNext/>
        <w:keepLines/>
        <w:pageBreakBefore w:val="0"/>
        <w:widowControl w:val="0"/>
        <w:kinsoku/>
        <w:wordWrap/>
        <w:overflowPunct/>
        <w:topLinePunct w:val="0"/>
        <w:autoSpaceDE/>
        <w:autoSpaceDN/>
        <w:bidi w:val="0"/>
        <w:adjustRightInd/>
        <w:snapToGrid/>
        <w:spacing w:before="200" w:after="200" w:line="360" w:lineRule="auto"/>
        <w:jc w:val="center"/>
        <w:textAlignment w:val="auto"/>
        <w:rPr>
          <w:rFonts w:hint="eastAsia"/>
          <w:highlight w:val="none"/>
        </w:rPr>
      </w:pPr>
    </w:p>
    <w:p>
      <w:pPr>
        <w:pStyle w:val="3"/>
        <w:keepNext/>
        <w:keepLines/>
        <w:pageBreakBefore w:val="0"/>
        <w:widowControl w:val="0"/>
        <w:kinsoku/>
        <w:wordWrap/>
        <w:overflowPunct/>
        <w:topLinePunct w:val="0"/>
        <w:autoSpaceDE/>
        <w:autoSpaceDN/>
        <w:bidi w:val="0"/>
        <w:adjustRightInd/>
        <w:snapToGrid/>
        <w:spacing w:before="200" w:after="200" w:line="360" w:lineRule="auto"/>
        <w:jc w:val="center"/>
        <w:textAlignment w:val="auto"/>
        <w:rPr>
          <w:rFonts w:hint="eastAsia"/>
          <w:highlight w:val="none"/>
        </w:rPr>
      </w:pPr>
    </w:p>
    <w:p>
      <w:pPr>
        <w:pStyle w:val="3"/>
        <w:keepNext/>
        <w:keepLines/>
        <w:pageBreakBefore w:val="0"/>
        <w:widowControl w:val="0"/>
        <w:kinsoku/>
        <w:wordWrap/>
        <w:overflowPunct/>
        <w:topLinePunct w:val="0"/>
        <w:autoSpaceDE/>
        <w:autoSpaceDN/>
        <w:bidi w:val="0"/>
        <w:adjustRightInd/>
        <w:snapToGrid/>
        <w:spacing w:before="200" w:after="200" w:line="360" w:lineRule="auto"/>
        <w:jc w:val="both"/>
        <w:textAlignment w:val="auto"/>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pStyle w:val="3"/>
        <w:keepNext/>
        <w:keepLines/>
        <w:pageBreakBefore w:val="0"/>
        <w:widowControl w:val="0"/>
        <w:kinsoku/>
        <w:wordWrap/>
        <w:overflowPunct/>
        <w:topLinePunct w:val="0"/>
        <w:autoSpaceDE/>
        <w:autoSpaceDN/>
        <w:bidi w:val="0"/>
        <w:adjustRightInd/>
        <w:snapToGrid/>
        <w:spacing w:before="200" w:after="200" w:line="360" w:lineRule="auto"/>
        <w:jc w:val="center"/>
        <w:textAlignment w:val="auto"/>
        <w:rPr>
          <w:rFonts w:hint="eastAsia"/>
          <w:highlight w:val="none"/>
        </w:rPr>
      </w:pPr>
      <w:r>
        <w:rPr>
          <w:rFonts w:hint="eastAsia"/>
          <w:highlight w:val="none"/>
        </w:rPr>
        <w:t>第五</w:t>
      </w:r>
      <w:r>
        <w:rPr>
          <w:rFonts w:hint="eastAsia"/>
          <w:highlight w:val="none"/>
          <w:lang w:val="en-US" w:eastAsia="zh-CN"/>
        </w:rPr>
        <w:t>部分</w:t>
      </w:r>
      <w:r>
        <w:rPr>
          <w:rFonts w:hint="eastAsia"/>
          <w:highlight w:val="none"/>
        </w:rPr>
        <w:t xml:space="preserve"> 设备采购合同</w:t>
      </w:r>
      <w:bookmarkEnd w:id="65"/>
      <w:bookmarkEnd w:id="66"/>
      <w:bookmarkEnd w:id="67"/>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p>
    <w:p>
      <w:pPr>
        <w:pStyle w:val="2"/>
        <w:jc w:val="center"/>
        <w:rPr>
          <w:sz w:val="11"/>
          <w:szCs w:val="15"/>
        </w:rPr>
      </w:pPr>
      <w:bookmarkStart w:id="99" w:name="_Toc22711"/>
      <w:bookmarkStart w:id="100" w:name="_Toc31639"/>
      <w:r>
        <w:rPr>
          <w:rFonts w:hint="eastAsia" w:ascii="方正小标宋简体" w:hAnsi="宋体" w:eastAsia="方正小标宋简体"/>
          <w:sz w:val="22"/>
          <w:szCs w:val="16"/>
        </w:rPr>
        <w:t>(合同以双方最终签署的版本为准)</w:t>
      </w:r>
      <w:bookmarkEnd w:id="99"/>
      <w:bookmarkEnd w:id="100"/>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sectPr>
          <w:headerReference r:id="rId6" w:type="default"/>
          <w:footerReference r:id="rId7"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01" w:name="_Toc11823"/>
      <w:bookmarkStart w:id="102" w:name="_Toc17619"/>
      <w:bookmarkStart w:id="103" w:name="_Toc16330018"/>
      <w:bookmarkStart w:id="104" w:name="_Toc9465"/>
      <w:bookmarkStart w:id="105" w:name="_Toc11930"/>
      <w:bookmarkStart w:id="106" w:name="_Toc12078"/>
      <w:r>
        <w:rPr>
          <w:rFonts w:hint="eastAsia" w:ascii="黑体" w:hAnsi="黑体" w:eastAsia="黑体" w:cstheme="minorEastAsia"/>
          <w:b w:val="0"/>
          <w:sz w:val="28"/>
          <w:szCs w:val="28"/>
        </w:rPr>
        <w:t>1 合同设备</w:t>
      </w:r>
      <w:bookmarkEnd w:id="101"/>
      <w:bookmarkEnd w:id="102"/>
      <w:bookmarkEnd w:id="103"/>
      <w:bookmarkEnd w:id="104"/>
      <w:bookmarkEnd w:id="105"/>
      <w:bookmarkEnd w:id="10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107" w:name="_Toc22800"/>
      <w:bookmarkStart w:id="108" w:name="_Toc29026"/>
      <w:bookmarkStart w:id="109"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10" w:name="_Toc16945"/>
      <w:bookmarkStart w:id="111" w:name="_Toc7716"/>
      <w:bookmarkStart w:id="112" w:name="_Toc16330019"/>
      <w:r>
        <w:rPr>
          <w:rFonts w:hint="eastAsia" w:ascii="黑体" w:hAnsi="黑体" w:eastAsia="黑体" w:cstheme="minorEastAsia"/>
          <w:b w:val="0"/>
          <w:sz w:val="28"/>
          <w:szCs w:val="28"/>
        </w:rPr>
        <w:t>2 包装</w:t>
      </w:r>
      <w:bookmarkEnd w:id="107"/>
      <w:bookmarkEnd w:id="108"/>
      <w:bookmarkEnd w:id="109"/>
      <w:bookmarkEnd w:id="110"/>
      <w:bookmarkEnd w:id="111"/>
      <w:bookmarkEnd w:id="11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13" w:name="_Toc16330020"/>
      <w:bookmarkStart w:id="114" w:name="_Toc32100"/>
      <w:bookmarkStart w:id="115" w:name="_Toc27453"/>
      <w:bookmarkStart w:id="116" w:name="_Toc30507"/>
      <w:bookmarkStart w:id="117" w:name="_Toc27144"/>
      <w:bookmarkStart w:id="118" w:name="_Toc2833"/>
      <w:r>
        <w:rPr>
          <w:rFonts w:hint="eastAsia" w:ascii="黑体" w:hAnsi="黑体" w:eastAsia="黑体" w:cstheme="minorEastAsia"/>
          <w:b w:val="0"/>
          <w:sz w:val="28"/>
          <w:szCs w:val="28"/>
        </w:rPr>
        <w:t>3 运输标记</w:t>
      </w:r>
      <w:bookmarkEnd w:id="113"/>
      <w:bookmarkEnd w:id="114"/>
      <w:bookmarkEnd w:id="115"/>
      <w:bookmarkEnd w:id="116"/>
      <w:bookmarkEnd w:id="117"/>
      <w:bookmarkEnd w:id="11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19" w:name="_Toc16330021"/>
      <w:bookmarkStart w:id="120" w:name="_Toc10630"/>
      <w:bookmarkStart w:id="121" w:name="_Toc7431"/>
      <w:bookmarkStart w:id="122" w:name="_Toc16133"/>
      <w:bookmarkStart w:id="123" w:name="_Toc2251"/>
      <w:bookmarkStart w:id="124" w:name="_Toc8624"/>
      <w:r>
        <w:rPr>
          <w:rFonts w:hint="eastAsia" w:ascii="黑体" w:hAnsi="黑体" w:eastAsia="黑体" w:cstheme="minorEastAsia"/>
          <w:b w:val="0"/>
          <w:sz w:val="28"/>
          <w:szCs w:val="28"/>
        </w:rPr>
        <w:t>4 检验</w:t>
      </w:r>
      <w:bookmarkEnd w:id="119"/>
      <w:bookmarkEnd w:id="120"/>
      <w:bookmarkEnd w:id="121"/>
      <w:bookmarkEnd w:id="122"/>
      <w:bookmarkEnd w:id="123"/>
      <w:bookmarkEnd w:id="12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25" w:name="_Toc11217"/>
      <w:bookmarkStart w:id="126" w:name="_Toc16330022"/>
      <w:bookmarkStart w:id="127" w:name="_Toc8837"/>
      <w:bookmarkStart w:id="128" w:name="_Toc14275"/>
      <w:bookmarkStart w:id="129" w:name="_Toc24467"/>
      <w:bookmarkStart w:id="130" w:name="_Toc19850"/>
      <w:r>
        <w:rPr>
          <w:rFonts w:hint="eastAsia" w:ascii="黑体" w:hAnsi="黑体" w:eastAsia="黑体" w:cstheme="minorEastAsia"/>
          <w:b w:val="0"/>
          <w:sz w:val="28"/>
          <w:szCs w:val="28"/>
        </w:rPr>
        <w:t>5 权利担保</w:t>
      </w:r>
      <w:bookmarkEnd w:id="125"/>
      <w:bookmarkEnd w:id="126"/>
      <w:bookmarkEnd w:id="127"/>
      <w:bookmarkEnd w:id="128"/>
      <w:bookmarkEnd w:id="129"/>
      <w:bookmarkEnd w:id="13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31" w:name="_Toc2230"/>
      <w:bookmarkStart w:id="132" w:name="_Toc14809"/>
      <w:bookmarkStart w:id="133" w:name="_Toc20827"/>
      <w:bookmarkStart w:id="134" w:name="_Toc16330023"/>
      <w:bookmarkStart w:id="135" w:name="_Toc27500"/>
      <w:bookmarkStart w:id="136" w:name="_Toc11759"/>
      <w:r>
        <w:rPr>
          <w:rFonts w:hint="eastAsia" w:ascii="黑体" w:hAnsi="黑体" w:eastAsia="黑体" w:cstheme="minorEastAsia"/>
          <w:b w:val="0"/>
          <w:sz w:val="28"/>
          <w:szCs w:val="28"/>
        </w:rPr>
        <w:t>6 交货</w:t>
      </w:r>
      <w:bookmarkEnd w:id="131"/>
      <w:bookmarkEnd w:id="132"/>
      <w:bookmarkEnd w:id="133"/>
      <w:bookmarkEnd w:id="134"/>
      <w:bookmarkEnd w:id="135"/>
      <w:bookmarkEnd w:id="13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37" w:name="_Toc16330024"/>
      <w:bookmarkStart w:id="138" w:name="_Toc8024"/>
      <w:bookmarkStart w:id="139" w:name="_Toc2984"/>
      <w:bookmarkStart w:id="140" w:name="_Toc23308"/>
      <w:bookmarkStart w:id="141" w:name="_Toc25510"/>
      <w:bookmarkStart w:id="142" w:name="_Toc18035"/>
      <w:r>
        <w:rPr>
          <w:rFonts w:hint="eastAsia" w:ascii="黑体" w:hAnsi="黑体" w:eastAsia="黑体" w:cstheme="minorEastAsia"/>
          <w:b w:val="0"/>
          <w:sz w:val="28"/>
          <w:szCs w:val="28"/>
        </w:rPr>
        <w:t>7 安装、调试</w:t>
      </w:r>
      <w:bookmarkEnd w:id="137"/>
      <w:bookmarkEnd w:id="138"/>
      <w:bookmarkEnd w:id="139"/>
      <w:bookmarkEnd w:id="140"/>
      <w:bookmarkEnd w:id="141"/>
      <w:bookmarkEnd w:id="142"/>
    </w:p>
    <w:p>
      <w:pPr>
        <w:pStyle w:val="25"/>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43" w:name="_Toc6350"/>
      <w:bookmarkStart w:id="144" w:name="_Toc16330025"/>
      <w:bookmarkStart w:id="145" w:name="_Toc15547"/>
      <w:bookmarkStart w:id="146" w:name="_Toc14260"/>
      <w:bookmarkStart w:id="147" w:name="_Toc23803"/>
      <w:bookmarkStart w:id="148" w:name="_Toc14098"/>
      <w:r>
        <w:rPr>
          <w:rFonts w:hint="eastAsia" w:ascii="黑体" w:hAnsi="黑体" w:eastAsia="黑体" w:cstheme="minorEastAsia"/>
          <w:b w:val="0"/>
          <w:sz w:val="28"/>
          <w:szCs w:val="28"/>
        </w:rPr>
        <w:t>8 价款与支付</w:t>
      </w:r>
      <w:bookmarkEnd w:id="143"/>
      <w:bookmarkEnd w:id="144"/>
      <w:bookmarkEnd w:id="145"/>
      <w:bookmarkEnd w:id="146"/>
      <w:bookmarkEnd w:id="147"/>
      <w:bookmarkEnd w:id="14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149" w:name="_Toc14676804"/>
      <w:bookmarkStart w:id="150" w:name="_Toc14531628"/>
      <w:r>
        <w:rPr>
          <w:rFonts w:hint="eastAsia" w:ascii="仿宋_GB2312" w:hAnsi="黑体" w:eastAsia="仿宋_GB2312" w:cstheme="minorEastAsia"/>
          <w:sz w:val="24"/>
          <w:szCs w:val="24"/>
        </w:rPr>
        <w:t>8.3.</w:t>
      </w:r>
      <w:r>
        <w:rPr>
          <w:rFonts w:hint="eastAsia" w:ascii="仿宋_GB2312" w:hAnsi="黑体" w:eastAsia="仿宋_GB2312" w:cstheme="minorEastAsia"/>
          <w:sz w:val="24"/>
          <w:szCs w:val="24"/>
          <w:lang w:val="en-US" w:eastAsia="zh-CN"/>
        </w:rPr>
        <w:t>4</w:t>
      </w:r>
      <w:r>
        <w:rPr>
          <w:rFonts w:hint="eastAsia" w:ascii="仿宋_GB2312" w:hAnsi="黑体" w:eastAsia="仿宋_GB2312" w:cstheme="minorEastAsia"/>
          <w:sz w:val="24"/>
          <w:szCs w:val="24"/>
        </w:rPr>
        <w:t>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149"/>
      <w:bookmarkEnd w:id="150"/>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51" w:name="_Toc6726"/>
      <w:bookmarkStart w:id="152" w:name="_Toc16330026"/>
      <w:bookmarkStart w:id="153" w:name="_Toc25708"/>
      <w:bookmarkStart w:id="154" w:name="_Toc2072"/>
      <w:bookmarkStart w:id="155" w:name="_Toc24085"/>
      <w:bookmarkStart w:id="156" w:name="_Toc21726"/>
      <w:r>
        <w:rPr>
          <w:rFonts w:hint="eastAsia" w:ascii="黑体" w:hAnsi="黑体" w:eastAsia="黑体" w:cstheme="minorEastAsia"/>
          <w:b w:val="0"/>
          <w:sz w:val="28"/>
          <w:szCs w:val="28"/>
        </w:rPr>
        <w:t>9 质量保证及售后服务</w:t>
      </w:r>
      <w:bookmarkEnd w:id="151"/>
      <w:bookmarkEnd w:id="152"/>
      <w:bookmarkEnd w:id="153"/>
      <w:bookmarkEnd w:id="154"/>
      <w:bookmarkEnd w:id="155"/>
      <w:bookmarkEnd w:id="15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57" w:name="_Toc26769"/>
      <w:bookmarkStart w:id="158" w:name="_Toc15570"/>
      <w:bookmarkStart w:id="159" w:name="_Toc12927"/>
      <w:bookmarkStart w:id="160" w:name="_Toc10359"/>
      <w:bookmarkStart w:id="161" w:name="_Toc16330027"/>
      <w:bookmarkStart w:id="162" w:name="_Toc24790"/>
      <w:r>
        <w:rPr>
          <w:rFonts w:hint="eastAsia" w:ascii="黑体" w:hAnsi="黑体" w:eastAsia="黑体" w:cstheme="minorEastAsia"/>
          <w:b w:val="0"/>
          <w:sz w:val="28"/>
          <w:szCs w:val="28"/>
        </w:rPr>
        <w:t>10法定责任</w:t>
      </w:r>
      <w:bookmarkEnd w:id="157"/>
      <w:bookmarkEnd w:id="158"/>
      <w:bookmarkEnd w:id="159"/>
      <w:bookmarkEnd w:id="160"/>
      <w:bookmarkEnd w:id="161"/>
      <w:bookmarkEnd w:id="16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63" w:name="_Toc9708"/>
      <w:bookmarkStart w:id="164" w:name="_Toc27314"/>
      <w:bookmarkStart w:id="165" w:name="_Toc7698"/>
      <w:bookmarkStart w:id="166" w:name="_Toc5582"/>
      <w:bookmarkStart w:id="167" w:name="_Toc16330028"/>
      <w:bookmarkStart w:id="168" w:name="_Toc30381"/>
      <w:r>
        <w:rPr>
          <w:rFonts w:hint="eastAsia" w:ascii="黑体" w:hAnsi="黑体" w:eastAsia="黑体" w:cstheme="minorEastAsia"/>
          <w:b w:val="0"/>
          <w:sz w:val="28"/>
          <w:szCs w:val="28"/>
        </w:rPr>
        <w:t>11 违约责任</w:t>
      </w:r>
      <w:bookmarkEnd w:id="163"/>
      <w:bookmarkEnd w:id="164"/>
      <w:bookmarkEnd w:id="165"/>
      <w:bookmarkEnd w:id="166"/>
      <w:bookmarkEnd w:id="167"/>
      <w:bookmarkEnd w:id="16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69" w:name="_Toc31554"/>
      <w:bookmarkStart w:id="170" w:name="_Toc9172"/>
      <w:bookmarkStart w:id="171" w:name="_Toc1827"/>
      <w:bookmarkStart w:id="172" w:name="_Toc16330029"/>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69"/>
    <w:bookmarkEnd w:id="170"/>
    <w:bookmarkEnd w:id="171"/>
    <w:bookmarkEnd w:id="172"/>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73" w:name="_Toc23793"/>
      <w:bookmarkStart w:id="174" w:name="_Toc4351"/>
      <w:r>
        <w:rPr>
          <w:rFonts w:hint="eastAsia" w:ascii="黑体" w:hAnsi="黑体" w:eastAsia="黑体" w:cstheme="minorEastAsia"/>
          <w:b w:val="0"/>
          <w:sz w:val="28"/>
          <w:szCs w:val="28"/>
        </w:rPr>
        <w:t>12 合同的终止与解除</w:t>
      </w:r>
      <w:bookmarkEnd w:id="173"/>
      <w:bookmarkEnd w:id="17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75" w:name="_Toc16330030"/>
      <w:bookmarkStart w:id="176" w:name="_Toc2577"/>
      <w:bookmarkStart w:id="177" w:name="_Toc31945"/>
      <w:bookmarkStart w:id="178" w:name="_Toc13671"/>
      <w:bookmarkStart w:id="179" w:name="_Toc11937"/>
      <w:bookmarkStart w:id="180" w:name="_Toc8620"/>
      <w:r>
        <w:rPr>
          <w:rFonts w:hint="eastAsia" w:ascii="黑体" w:hAnsi="黑体" w:eastAsia="黑体" w:cstheme="minorEastAsia"/>
          <w:b w:val="0"/>
          <w:sz w:val="28"/>
          <w:szCs w:val="28"/>
        </w:rPr>
        <w:t>13 不可抗力</w:t>
      </w:r>
      <w:bookmarkEnd w:id="175"/>
      <w:bookmarkEnd w:id="176"/>
      <w:bookmarkEnd w:id="177"/>
      <w:bookmarkEnd w:id="178"/>
      <w:bookmarkEnd w:id="179"/>
      <w:bookmarkEnd w:id="18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81" w:name="_Toc31243"/>
      <w:bookmarkStart w:id="182" w:name="_Toc18772"/>
      <w:bookmarkStart w:id="183" w:name="_Toc30389"/>
      <w:bookmarkStart w:id="184" w:name="_Toc16330031"/>
      <w:bookmarkStart w:id="185" w:name="_Toc637"/>
      <w:bookmarkStart w:id="186" w:name="_Toc29727"/>
      <w:r>
        <w:rPr>
          <w:rFonts w:hint="eastAsia" w:ascii="黑体" w:hAnsi="黑体" w:eastAsia="黑体" w:cstheme="minorEastAsia"/>
          <w:b w:val="0"/>
          <w:sz w:val="28"/>
          <w:szCs w:val="28"/>
        </w:rPr>
        <w:t>14 通讯</w:t>
      </w:r>
      <w:bookmarkEnd w:id="181"/>
      <w:bookmarkEnd w:id="182"/>
      <w:bookmarkEnd w:id="183"/>
      <w:bookmarkEnd w:id="184"/>
      <w:bookmarkEnd w:id="185"/>
      <w:bookmarkEnd w:id="18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87" w:name="_Toc23011"/>
      <w:bookmarkStart w:id="188" w:name="_Toc12984"/>
      <w:bookmarkStart w:id="189" w:name="_Toc16330032"/>
      <w:bookmarkStart w:id="190" w:name="_Toc13973"/>
      <w:bookmarkStart w:id="191" w:name="_Toc11290"/>
      <w:bookmarkStart w:id="192" w:name="_Toc9915"/>
      <w:r>
        <w:rPr>
          <w:rFonts w:hint="eastAsia" w:ascii="黑体" w:hAnsi="黑体" w:eastAsia="黑体" w:cstheme="minorEastAsia"/>
          <w:b w:val="0"/>
          <w:sz w:val="28"/>
          <w:szCs w:val="28"/>
        </w:rPr>
        <w:t>15 适用法律及争议解决</w:t>
      </w:r>
      <w:bookmarkEnd w:id="187"/>
      <w:bookmarkEnd w:id="188"/>
      <w:bookmarkEnd w:id="189"/>
      <w:bookmarkEnd w:id="190"/>
      <w:bookmarkEnd w:id="191"/>
      <w:bookmarkEnd w:id="19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93" w:name="_Toc18207"/>
      <w:bookmarkStart w:id="194" w:name="_Toc16330033"/>
      <w:bookmarkStart w:id="195" w:name="_Toc23906"/>
      <w:bookmarkStart w:id="196" w:name="_Toc23765"/>
      <w:bookmarkStart w:id="197" w:name="_Toc5747"/>
      <w:bookmarkStart w:id="198" w:name="_Toc11267"/>
      <w:r>
        <w:rPr>
          <w:rFonts w:hint="eastAsia" w:ascii="黑体" w:hAnsi="黑体" w:eastAsia="黑体" w:cstheme="minorEastAsia"/>
          <w:b w:val="0"/>
          <w:sz w:val="28"/>
          <w:szCs w:val="28"/>
        </w:rPr>
        <w:t>16 附件</w:t>
      </w:r>
      <w:bookmarkEnd w:id="193"/>
      <w:bookmarkEnd w:id="194"/>
      <w:bookmarkEnd w:id="195"/>
      <w:bookmarkEnd w:id="196"/>
      <w:bookmarkEnd w:id="197"/>
      <w:bookmarkEnd w:id="19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99" w:name="_Toc6457"/>
      <w:bookmarkStart w:id="200" w:name="_Toc9594"/>
      <w:bookmarkStart w:id="201" w:name="_Toc31331"/>
      <w:bookmarkStart w:id="202" w:name="_Toc16330034"/>
      <w:bookmarkStart w:id="203" w:name="_Toc17656"/>
      <w:bookmarkStart w:id="204" w:name="_Toc27202"/>
      <w:r>
        <w:rPr>
          <w:rFonts w:hint="eastAsia" w:ascii="黑体" w:hAnsi="黑体" w:eastAsia="黑体" w:cstheme="minorEastAsia"/>
          <w:b w:val="0"/>
          <w:sz w:val="28"/>
          <w:szCs w:val="28"/>
        </w:rPr>
        <w:t>17 其他规定</w:t>
      </w:r>
      <w:bookmarkEnd w:id="199"/>
      <w:bookmarkEnd w:id="200"/>
      <w:bookmarkEnd w:id="201"/>
      <w:bookmarkEnd w:id="202"/>
      <w:bookmarkEnd w:id="203"/>
      <w:bookmarkEnd w:id="20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205" w:name="_Toc29136"/>
      <w:bookmarkStart w:id="206" w:name="_Toc19077"/>
      <w:bookmarkStart w:id="207" w:name="_Toc16330035"/>
      <w:bookmarkStart w:id="208"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ascii="黑体" w:hAnsi="黑体" w:eastAsia="黑体" w:cstheme="minorEastAsia"/>
          <w:b w:val="0"/>
          <w:sz w:val="28"/>
          <w:szCs w:val="28"/>
        </w:rPr>
      </w:pPr>
      <w:bookmarkStart w:id="209" w:name="_Toc7498"/>
      <w:bookmarkStart w:id="210" w:name="_Toc15340"/>
      <w:r>
        <w:rPr>
          <w:rFonts w:hint="eastAsia" w:ascii="黑体" w:hAnsi="黑体" w:eastAsia="黑体" w:cstheme="minorEastAsia"/>
          <w:b w:val="0"/>
          <w:sz w:val="28"/>
          <w:szCs w:val="28"/>
        </w:rPr>
        <w:t>18 签署事项</w:t>
      </w:r>
      <w:bookmarkEnd w:id="205"/>
      <w:bookmarkEnd w:id="206"/>
      <w:bookmarkEnd w:id="207"/>
      <w:bookmarkEnd w:id="208"/>
      <w:bookmarkEnd w:id="209"/>
      <w:bookmarkEnd w:id="21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spacing w:line="360" w:lineRule="auto"/>
        <w:rPr>
          <w:sz w:val="24"/>
          <w:szCs w:val="24"/>
        </w:rPr>
      </w:pPr>
    </w:p>
    <w:p>
      <w:pPr>
        <w:pStyle w:val="2"/>
        <w:tabs>
          <w:tab w:val="right" w:leader="dot" w:pos="9061"/>
        </w:tabs>
        <w:rPr>
          <w:rFonts w:ascii="黑体" w:hAnsi="黑体" w:eastAsia="黑体" w:cstheme="minorEastAsia"/>
          <w:b w:val="0"/>
          <w:sz w:val="28"/>
          <w:szCs w:val="28"/>
        </w:rPr>
      </w:pPr>
      <w:bookmarkStart w:id="211" w:name="_Toc14581"/>
      <w:bookmarkStart w:id="212" w:name="_Toc20848"/>
      <w:r>
        <w:rPr>
          <w:rFonts w:hint="eastAsia" w:ascii="黑体" w:hAnsi="黑体" w:eastAsia="黑体" w:cstheme="minorEastAsia"/>
          <w:b w:val="0"/>
          <w:sz w:val="28"/>
          <w:szCs w:val="28"/>
        </w:rPr>
        <w:t>附件一：设备清单明细表</w:t>
      </w:r>
      <w:bookmarkEnd w:id="211"/>
      <w:bookmarkEnd w:id="212"/>
    </w:p>
    <w:p>
      <w:pPr>
        <w:spacing w:line="360" w:lineRule="auto"/>
      </w:pP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57"/>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5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5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5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spacing w:line="360" w:lineRule="auto"/>
        <w:rPr>
          <w:rFonts w:asciiTheme="minorEastAsia" w:hAnsiTheme="minorEastAsia" w:cstheme="minorEastAsia"/>
          <w:sz w:val="20"/>
        </w:rPr>
      </w:pPr>
      <w:bookmarkStart w:id="213" w:name="_Toc24623"/>
      <w:bookmarkStart w:id="214" w:name="_Toc5379"/>
      <w:bookmarkStart w:id="215" w:name="_Toc25120"/>
      <w:bookmarkStart w:id="216" w:name="_Toc16330037"/>
      <w:bookmarkStart w:id="217" w:name="_Toc3778"/>
    </w:p>
    <w:bookmarkEnd w:id="213"/>
    <w:bookmarkEnd w:id="214"/>
    <w:bookmarkEnd w:id="215"/>
    <w:bookmarkEnd w:id="216"/>
    <w:bookmarkEnd w:id="217"/>
    <w:p>
      <w:pPr>
        <w:spacing w:line="360" w:lineRule="auto"/>
        <w:rPr>
          <w:rFonts w:ascii="黑体" w:hAnsi="黑体" w:eastAsia="黑体" w:cstheme="minorEastAsia"/>
          <w:sz w:val="28"/>
          <w:szCs w:val="28"/>
        </w:rPr>
      </w:pPr>
      <w:bookmarkStart w:id="218" w:name="_Toc8175"/>
      <w:r>
        <w:rPr>
          <w:rFonts w:hint="eastAsia" w:ascii="黑体" w:hAnsi="黑体" w:eastAsia="黑体" w:cstheme="minorEastAsia"/>
          <w:sz w:val="28"/>
          <w:szCs w:val="28"/>
        </w:rPr>
        <w:t>附件二 技术协议书</w:t>
      </w:r>
      <w:bookmarkEnd w:id="218"/>
    </w:p>
    <w:p>
      <w:pPr>
        <w:jc w:val="both"/>
        <w:rPr>
          <w:rFonts w:hint="eastAsia" w:ascii="宋体" w:hAnsi="宋体"/>
          <w:b/>
          <w:sz w:val="36"/>
          <w:szCs w:val="36"/>
        </w:rPr>
      </w:pPr>
    </w:p>
    <w:p>
      <w:pPr>
        <w:pStyle w:val="2"/>
        <w:rPr>
          <w:rFonts w:hint="eastAsia"/>
        </w:rPr>
      </w:pPr>
    </w:p>
    <w:p>
      <w:pPr>
        <w:jc w:val="both"/>
        <w:rPr>
          <w:rFonts w:hint="eastAsia" w:ascii="宋体" w:hAnsi="宋体"/>
          <w:b/>
          <w:sz w:val="36"/>
          <w:szCs w:val="36"/>
        </w:rPr>
      </w:pPr>
    </w:p>
    <w:p>
      <w:pPr>
        <w:pStyle w:val="2"/>
        <w:rPr>
          <w:rFonts w:hint="eastAsia" w:ascii="宋体" w:hAnsi="宋体"/>
          <w:b/>
          <w:sz w:val="36"/>
          <w:szCs w:val="36"/>
        </w:rPr>
      </w:pPr>
    </w:p>
    <w:p>
      <w:pPr>
        <w:pStyle w:val="3"/>
        <w:keepNext/>
        <w:keepLines/>
        <w:pageBreakBefore w:val="0"/>
        <w:widowControl w:val="0"/>
        <w:kinsoku/>
        <w:wordWrap/>
        <w:overflowPunct/>
        <w:topLinePunct w:val="0"/>
        <w:autoSpaceDE/>
        <w:autoSpaceDN/>
        <w:bidi w:val="0"/>
        <w:adjustRightInd/>
        <w:snapToGrid/>
        <w:spacing w:before="200" w:after="200" w:line="360" w:lineRule="auto"/>
        <w:jc w:val="center"/>
        <w:textAlignment w:val="auto"/>
        <w:rPr>
          <w:rFonts w:hint="eastAsia"/>
          <w:highlight w:val="none"/>
        </w:rPr>
      </w:pPr>
    </w:p>
    <w:p>
      <w:pPr>
        <w:rPr>
          <w:rFonts w:hint="eastAsia"/>
          <w:highlight w:val="none"/>
        </w:rPr>
      </w:pPr>
    </w:p>
    <w:p>
      <w:pPr>
        <w:pStyle w:val="2"/>
        <w:rPr>
          <w:rFonts w:hint="eastAsia"/>
          <w:highlight w:val="none"/>
        </w:rPr>
      </w:pPr>
    </w:p>
    <w:p>
      <w:pPr>
        <w:pStyle w:val="2"/>
        <w:rPr>
          <w:rFonts w:hint="eastAsia"/>
        </w:rPr>
      </w:pPr>
    </w:p>
    <w:p>
      <w:pPr>
        <w:pStyle w:val="3"/>
        <w:keepNext/>
        <w:keepLines/>
        <w:pageBreakBefore/>
        <w:widowControl w:val="0"/>
        <w:kinsoku/>
        <w:wordWrap/>
        <w:overflowPunct/>
        <w:topLinePunct w:val="0"/>
        <w:autoSpaceDE/>
        <w:autoSpaceDN/>
        <w:bidi w:val="0"/>
        <w:adjustRightInd/>
        <w:snapToGrid/>
        <w:spacing w:before="200" w:after="200" w:line="360" w:lineRule="auto"/>
        <w:ind w:left="420"/>
        <w:jc w:val="center"/>
        <w:textAlignment w:val="auto"/>
        <w:rPr>
          <w:rFonts w:hint="eastAsia"/>
          <w:highlight w:val="none"/>
        </w:rPr>
      </w:pPr>
      <w:bookmarkStart w:id="219" w:name="_Toc7397"/>
      <w:bookmarkStart w:id="220" w:name="_Toc29691"/>
      <w:bookmarkStart w:id="221" w:name="_Toc18848"/>
      <w:r>
        <w:rPr>
          <w:rFonts w:hint="eastAsia"/>
          <w:highlight w:val="none"/>
        </w:rPr>
        <w:t>第六</w:t>
      </w:r>
      <w:r>
        <w:rPr>
          <w:rFonts w:hint="eastAsia"/>
          <w:highlight w:val="none"/>
          <w:lang w:val="en-US" w:eastAsia="zh-CN"/>
        </w:rPr>
        <w:t>部分</w:t>
      </w:r>
      <w:r>
        <w:rPr>
          <w:rFonts w:hint="eastAsia"/>
          <w:highlight w:val="none"/>
        </w:rPr>
        <w:t xml:space="preserve"> 投标文件附件</w:t>
      </w:r>
      <w:bookmarkEnd w:id="219"/>
      <w:bookmarkEnd w:id="220"/>
      <w:bookmarkEnd w:id="221"/>
    </w:p>
    <w:p>
      <w:pPr>
        <w:pStyle w:val="62"/>
        <w:ind w:right="210"/>
        <w:rPr>
          <w:rFonts w:ascii="宋体" w:hAnsi="宋体"/>
        </w:rPr>
      </w:pPr>
      <w:r>
        <w:rPr>
          <w:rFonts w:hint="eastAsia" w:ascii="宋体" w:hAnsi="宋体"/>
        </w:rPr>
        <w:t>说明：</w:t>
      </w:r>
    </w:p>
    <w:p>
      <w:pPr>
        <w:spacing w:line="560" w:lineRule="exact"/>
        <w:ind w:firstLine="480" w:firstLineChars="200"/>
        <w:rPr>
          <w:rFonts w:ascii="宋体" w:hAnsi="宋体"/>
          <w:sz w:val="24"/>
        </w:rPr>
      </w:pPr>
      <w:r>
        <w:rPr>
          <w:rFonts w:hint="eastAsia" w:ascii="宋体" w:hAnsi="宋体"/>
          <w:sz w:val="24"/>
        </w:rPr>
        <w:t>1、投标方须认真填写和提交本部分中的附件文件；</w:t>
      </w:r>
    </w:p>
    <w:p>
      <w:pPr>
        <w:spacing w:line="560" w:lineRule="exact"/>
        <w:ind w:firstLine="480" w:firstLineChars="200"/>
        <w:rPr>
          <w:rFonts w:ascii="宋体" w:hAnsi="宋体"/>
          <w:sz w:val="24"/>
        </w:rPr>
      </w:pPr>
      <w:r>
        <w:rPr>
          <w:rFonts w:hint="eastAsia" w:ascii="宋体" w:hAnsi="宋体"/>
          <w:sz w:val="24"/>
        </w:rPr>
        <w:t>2、对附件文件中所要求的内容应给予明确的答复；</w:t>
      </w:r>
    </w:p>
    <w:p>
      <w:pPr>
        <w:spacing w:line="560" w:lineRule="exact"/>
        <w:ind w:firstLine="480" w:firstLineChars="200"/>
        <w:rPr>
          <w:rFonts w:ascii="宋体" w:hAnsi="宋体"/>
          <w:sz w:val="24"/>
        </w:rPr>
      </w:pPr>
      <w:r>
        <w:rPr>
          <w:rFonts w:hint="eastAsia" w:ascii="宋体" w:hAnsi="宋体"/>
          <w:sz w:val="24"/>
        </w:rPr>
        <w:t>3、附件文件的签字人应保证其对一切问题的答复、所做的声明及出具的资格资质文件、资料等具有真实性和准确性；</w:t>
      </w:r>
    </w:p>
    <w:p>
      <w:pPr>
        <w:spacing w:line="560" w:lineRule="exact"/>
        <w:ind w:firstLine="480" w:firstLineChars="200"/>
        <w:rPr>
          <w:rFonts w:ascii="宋体" w:hAnsi="宋体"/>
          <w:sz w:val="24"/>
        </w:rPr>
      </w:pPr>
      <w:r>
        <w:rPr>
          <w:rFonts w:hint="eastAsia" w:ascii="宋体" w:hAnsi="宋体"/>
          <w:sz w:val="24"/>
        </w:rPr>
        <w:t>4、招标方将对投标方提交的文件、资料等内容予以保密，但不退还；</w:t>
      </w:r>
    </w:p>
    <w:p>
      <w:pPr>
        <w:spacing w:line="560" w:lineRule="exact"/>
        <w:ind w:firstLine="480" w:firstLineChars="200"/>
        <w:rPr>
          <w:rFonts w:ascii="宋体" w:hAnsi="宋体"/>
          <w:sz w:val="24"/>
        </w:rPr>
      </w:pPr>
      <w:r>
        <w:rPr>
          <w:rFonts w:hint="eastAsia" w:ascii="宋体" w:hAnsi="宋体"/>
          <w:sz w:val="24"/>
        </w:rPr>
        <w:t>5、所有附件文件应以中文书写，作为投标文件的组成部分。</w:t>
      </w:r>
    </w:p>
    <w:p/>
    <w:p/>
    <w:p/>
    <w:p>
      <w:pPr>
        <w:pStyle w:val="4"/>
        <w:spacing w:before="120" w:after="120" w:line="560" w:lineRule="exact"/>
        <w:rPr>
          <w:rFonts w:ascii="宋体" w:hAnsi="宋体" w:cs="宋体"/>
          <w:b w:val="0"/>
          <w:bCs w:val="0"/>
          <w:sz w:val="24"/>
          <w:szCs w:val="24"/>
        </w:rPr>
        <w:sectPr>
          <w:headerReference r:id="rId8" w:type="default"/>
          <w:footerReference r:id="rId9" w:type="default"/>
          <w:pgSz w:w="11907" w:h="16840"/>
          <w:pgMar w:top="1702" w:right="1418" w:bottom="1418" w:left="1418" w:header="851" w:footer="822" w:gutter="0"/>
          <w:pgBorders>
            <w:top w:val="none" w:sz="0" w:space="0"/>
            <w:left w:val="none" w:sz="0" w:space="0"/>
            <w:bottom w:val="none" w:sz="0" w:space="0"/>
            <w:right w:val="none" w:sz="0" w:space="0"/>
          </w:pgBorders>
          <w:pgNumType w:fmt="decimal"/>
          <w:cols w:space="720" w:num="1"/>
          <w:docGrid w:linePitch="290" w:charSpace="-3931"/>
        </w:sectPr>
      </w:pPr>
    </w:p>
    <w:p>
      <w:pPr>
        <w:keepNext/>
        <w:keepLines/>
        <w:spacing w:line="360" w:lineRule="auto"/>
        <w:outlineLvl w:val="2"/>
        <w:rPr>
          <w:rFonts w:ascii="Times New Roman" w:hAnsi="Times New Roman" w:eastAsia="宋体" w:cs="Times New Roman"/>
          <w:b/>
          <w:bCs/>
          <w:color w:val="000000"/>
          <w:sz w:val="24"/>
          <w:szCs w:val="24"/>
        </w:rPr>
      </w:pPr>
      <w:bookmarkStart w:id="222" w:name="_Toc25112"/>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23" w:name="_Toc212369550"/>
      <w:bookmarkStart w:id="224" w:name="_Toc639004"/>
      <w:bookmarkStart w:id="225" w:name="_Toc353881012"/>
      <w:bookmarkStart w:id="226"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222"/>
      <w:bookmarkEnd w:id="223"/>
      <w:bookmarkEnd w:id="224"/>
      <w:bookmarkEnd w:id="225"/>
      <w:bookmarkEnd w:id="226"/>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致：重汽（济南）轻卡有限公司：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w:t>
      </w:r>
      <w:r>
        <w:rPr>
          <w:rFonts w:hint="eastAsia" w:ascii="宋体" w:hAnsi="宋体" w:eastAsia="宋体" w:cs="Times New Roman"/>
          <w:color w:val="000000"/>
          <w:sz w:val="24"/>
          <w:szCs w:val="24"/>
          <w:highlight w:val="none"/>
        </w:rPr>
        <w:t>贵方</w:t>
      </w:r>
      <w:r>
        <w:rPr>
          <w:rFonts w:hint="eastAsia" w:ascii="宋体" w:hAnsi="宋体" w:eastAsia="宋体" w:cs="Times New Roman"/>
          <w:b/>
          <w:bCs/>
          <w:color w:val="000000"/>
          <w:sz w:val="24"/>
          <w:szCs w:val="24"/>
          <w:highlight w:val="none"/>
          <w:u w:val="single"/>
        </w:rPr>
        <w:t>济南轻卡制造公司二期纯电皮卡安规检测项目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bCs/>
          <w:snapToGrid w:val="0"/>
          <w:color w:val="000000"/>
          <w:kern w:val="0"/>
          <w:sz w:val="24"/>
          <w:szCs w:val="24"/>
          <w:highlight w:val="none"/>
          <w:lang w:eastAsia="zh-CN"/>
        </w:rPr>
        <w:t>，</w:t>
      </w:r>
      <w:r>
        <w:rPr>
          <w:rFonts w:hint="eastAsia" w:ascii="宋体" w:hAnsi="宋体" w:eastAsia="宋体" w:cs="Times New Roman"/>
          <w:color w:val="000000"/>
          <w:sz w:val="24"/>
          <w:szCs w:val="24"/>
          <w:highlight w:val="none"/>
          <w:u w:val="single"/>
        </w:rPr>
        <w:t>投标公司</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w:t>
      </w:r>
      <w:r>
        <w:rPr>
          <w:rFonts w:hint="eastAsia" w:ascii="宋体" w:hAnsi="宋体" w:eastAsia="宋体" w:cs="Times New Roman"/>
          <w:color w:val="000000"/>
          <w:sz w:val="24"/>
          <w:szCs w:val="24"/>
          <w:highlight w:val="none"/>
          <w:lang w:val="en-US" w:eastAsia="zh-CN"/>
        </w:rPr>
        <w:t>技术文件、</w:t>
      </w:r>
      <w:r>
        <w:rPr>
          <w:rFonts w:hint="eastAsia" w:ascii="宋体" w:hAnsi="宋体" w:eastAsia="宋体" w:cs="Times New Roman"/>
          <w:color w:val="000000"/>
          <w:sz w:val="24"/>
          <w:szCs w:val="24"/>
          <w:highlight w:val="none"/>
        </w:rPr>
        <w:t>商务文件正本一份、副本</w:t>
      </w:r>
      <w:r>
        <w:rPr>
          <w:rFonts w:hint="eastAsia" w:ascii="宋体" w:hAnsi="宋体" w:eastAsia="宋体" w:cs="Times New Roman"/>
          <w:color w:val="000000"/>
          <w:sz w:val="24"/>
          <w:szCs w:val="24"/>
          <w:highlight w:val="none"/>
          <w:lang w:val="en-US" w:eastAsia="zh-CN"/>
        </w:rPr>
        <w:t>两</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rPr>
        <w:t>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spacing w:line="360" w:lineRule="auto"/>
        <w:rPr>
          <w:rFonts w:ascii="黑体" w:hAnsi="Calibri" w:eastAsia="黑体" w:cs="Times New Roman"/>
          <w:color w:val="000000"/>
          <w:sz w:val="24"/>
          <w:szCs w:val="24"/>
        </w:rPr>
      </w:pPr>
    </w:p>
    <w:p>
      <w:pPr>
        <w:keepNext/>
        <w:keepLines/>
        <w:spacing w:line="360" w:lineRule="auto"/>
        <w:outlineLvl w:val="2"/>
        <w:rPr>
          <w:rFonts w:ascii="Times New Roman" w:hAnsi="Times New Roman" w:eastAsia="宋体" w:cs="Times New Roman"/>
          <w:b/>
          <w:bCs/>
          <w:color w:val="000000"/>
          <w:sz w:val="24"/>
          <w:szCs w:val="24"/>
        </w:rPr>
      </w:pPr>
      <w:r>
        <w:rPr>
          <w:rFonts w:ascii="宋体" w:hAnsi="宋体"/>
          <w:sz w:val="24"/>
          <w:szCs w:val="24"/>
        </w:rPr>
        <w:br w:type="page"/>
      </w:r>
      <w:bookmarkStart w:id="227" w:name="_Toc6346"/>
      <w:bookmarkStart w:id="228" w:name="_Toc518655806"/>
      <w:bookmarkStart w:id="229" w:name="_Toc15652"/>
      <w:bookmarkStart w:id="230" w:name="_Toc14032"/>
      <w:bookmarkStart w:id="231" w:name="_Toc32246"/>
      <w:bookmarkStart w:id="232" w:name="_Toc353881014"/>
      <w:bookmarkStart w:id="233" w:name="_Toc424118183"/>
      <w:bookmarkStart w:id="234" w:name="_Toc16582"/>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bookmarkEnd w:id="227"/>
    </w:p>
    <w:p>
      <w:pPr>
        <w:adjustRightInd w:val="0"/>
        <w:snapToGrid w:val="0"/>
        <w:spacing w:before="93" w:beforeLines="30" w:line="360" w:lineRule="auto"/>
        <w:jc w:val="center"/>
        <w:rPr>
          <w:rFonts w:ascii="宋体" w:hAnsi="Calibri" w:eastAsia="宋体" w:cs="Times New Roman"/>
          <w:sz w:val="24"/>
          <w:szCs w:val="20"/>
        </w:rPr>
      </w:pPr>
    </w:p>
    <w:p>
      <w:pPr>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Times New Roman"/>
          <w:color w:val="000000"/>
          <w:sz w:val="24"/>
          <w:szCs w:val="24"/>
          <w:lang w:val="en-US" w:eastAsia="zh-CN"/>
        </w:rPr>
        <w:t xml:space="preserve"> </w:t>
      </w:r>
      <w:r>
        <w:rPr>
          <w:rFonts w:hint="eastAsia" w:ascii="宋体" w:hAnsi="宋体" w:eastAsia="宋体" w:cs="宋体"/>
          <w:b/>
          <w:bCs/>
          <w:sz w:val="24"/>
          <w:szCs w:val="24"/>
          <w:u w:val="single"/>
        </w:rPr>
        <w:t>济南轻卡制造公司二期纯电皮卡安规检测项目</w:t>
      </w:r>
      <w:r>
        <w:rPr>
          <w:rFonts w:hint="eastAsia" w:ascii="宋体" w:hAnsi="宋体" w:eastAsia="宋体" w:cs="Times New Roman"/>
          <w:color w:val="000000"/>
          <w:sz w:val="24"/>
          <w:szCs w:val="24"/>
        </w:rPr>
        <w:t>（</w:t>
      </w:r>
      <w:r>
        <w:rPr>
          <w:rFonts w:hint="eastAsia" w:ascii="宋体" w:hAnsi="宋体" w:eastAsia="宋体" w:cs="宋体"/>
          <w:b/>
          <w:bCs/>
          <w:sz w:val="24"/>
          <w:szCs w:val="24"/>
          <w:u w:val="single"/>
        </w:rPr>
        <w:t>CGZX2023070310</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7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60"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60"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360" w:lineRule="auto"/>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360" w:lineRule="auto"/>
        <w:rPr>
          <w:rFonts w:ascii="Calibri" w:hAnsi="Calibri" w:eastAsia="黑体" w:cs="Times New Roman"/>
          <w:b/>
          <w:bCs/>
          <w:color w:val="000000"/>
          <w:sz w:val="28"/>
          <w:szCs w:val="20"/>
        </w:rPr>
      </w:pPr>
    </w:p>
    <w:p>
      <w:pPr>
        <w:pStyle w:val="4"/>
        <w:spacing w:before="120" w:after="120" w:line="360" w:lineRule="exact"/>
        <w:rPr>
          <w:rFonts w:hint="eastAsia" w:ascii="宋体" w:hAnsi="宋体" w:cs="宋体"/>
          <w:b w:val="0"/>
          <w:bCs w:val="0"/>
          <w:sz w:val="24"/>
          <w:szCs w:val="24"/>
        </w:rPr>
      </w:pPr>
    </w:p>
    <w:bookmarkEnd w:id="228"/>
    <w:bookmarkEnd w:id="229"/>
    <w:bookmarkEnd w:id="230"/>
    <w:bookmarkEnd w:id="231"/>
    <w:bookmarkEnd w:id="232"/>
    <w:bookmarkEnd w:id="233"/>
    <w:bookmarkEnd w:id="234"/>
    <w:p>
      <w:pPr>
        <w:keepNext/>
        <w:keepLines/>
        <w:pageBreakBefore/>
        <w:widowControl w:val="0"/>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24"/>
        </w:rPr>
      </w:pPr>
      <w:bookmarkStart w:id="235" w:name="_Toc10963"/>
      <w:bookmarkStart w:id="236" w:name="_Toc13056"/>
      <w:bookmarkStart w:id="237" w:name="_Toc453709583"/>
      <w:bookmarkStart w:id="238" w:name="_Toc9440"/>
      <w:r>
        <w:rPr>
          <w:rFonts w:hint="eastAsia" w:ascii="Times New Roman" w:hAnsi="Times New Roman" w:eastAsia="宋体" w:cs="Times New Roman"/>
          <w:b/>
          <w:bCs/>
          <w:color w:val="000000"/>
          <w:sz w:val="24"/>
          <w:szCs w:val="24"/>
        </w:rPr>
        <w:t>附件3 投标人基本情况及资产情况汇总表</w:t>
      </w:r>
      <w:bookmarkEnd w:id="235"/>
    </w:p>
    <w:p>
      <w:pPr>
        <w:keepNext/>
        <w:keepLines/>
        <w:spacing w:line="360" w:lineRule="auto"/>
        <w:outlineLvl w:val="3"/>
        <w:rPr>
          <w:rFonts w:ascii="Times New Roman" w:hAnsi="Times New Roman" w:eastAsia="宋体" w:cs="Times New Roman"/>
          <w:b/>
          <w:bCs/>
          <w:color w:val="000000"/>
          <w:sz w:val="24"/>
          <w:szCs w:val="24"/>
        </w:rPr>
      </w:pPr>
      <w:r>
        <w:rPr>
          <w:rFonts w:ascii="宋体" w:hAnsi="宋体" w:eastAsia="宋体" w:cs="宋体"/>
          <w:spacing w:val="-9"/>
          <w:sz w:val="24"/>
          <w:szCs w:val="24"/>
        </w:rPr>
        <w:t>表</w:t>
      </w:r>
      <w:r>
        <w:rPr>
          <w:rFonts w:ascii="宋体" w:hAnsi="宋体" w:eastAsia="宋体" w:cs="宋体"/>
          <w:b/>
          <w:bCs/>
          <w:spacing w:val="-7"/>
          <w:sz w:val="24"/>
          <w:szCs w:val="24"/>
        </w:rPr>
        <w:t xml:space="preserve"> 3-1</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w:t>
      </w:r>
    </w:p>
    <w:tbl>
      <w:tblPr>
        <w:tblStyle w:val="3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32"/>
              <w:spacing w:before="114" w:line="360" w:lineRule="auto"/>
              <w:ind w:left="720"/>
            </w:pPr>
            <w:r>
              <w:t xml:space="preserve">企业名称 </w:t>
            </w:r>
          </w:p>
        </w:tc>
        <w:tc>
          <w:tcPr>
            <w:tcW w:w="4680" w:type="dxa"/>
            <w:gridSpan w:val="4"/>
            <w:vAlign w:val="center"/>
          </w:tcPr>
          <w:p>
            <w:pPr>
              <w:widowControl/>
              <w:autoSpaceDE w:val="0"/>
              <w:autoSpaceDN w:val="0"/>
              <w:spacing w:line="360" w:lineRule="auto"/>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232"/>
              <w:spacing w:before="106" w:line="360" w:lineRule="auto"/>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autoSpaceDE w:val="0"/>
              <w:autoSpaceDN w:val="0"/>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32"/>
              <w:spacing w:before="114" w:line="360" w:lineRule="auto"/>
              <w:ind w:left="720"/>
            </w:pPr>
            <w:r>
              <w:t xml:space="preserve">企业地址 </w:t>
            </w:r>
          </w:p>
        </w:tc>
        <w:tc>
          <w:tcPr>
            <w:tcW w:w="4680" w:type="dxa"/>
            <w:gridSpan w:val="4"/>
            <w:vAlign w:val="center"/>
          </w:tcPr>
          <w:p>
            <w:pPr>
              <w:widowControl/>
              <w:autoSpaceDE w:val="0"/>
              <w:autoSpaceDN w:val="0"/>
              <w:spacing w:line="360" w:lineRule="auto"/>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232"/>
              <w:spacing w:before="106" w:line="360" w:lineRule="auto"/>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autoSpaceDE w:val="0"/>
              <w:autoSpaceDN w:val="0"/>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32"/>
              <w:spacing w:before="111" w:line="360" w:lineRule="auto"/>
              <w:ind w:left="720"/>
            </w:pPr>
            <w:r>
              <w:t xml:space="preserve">企业性质 </w:t>
            </w:r>
          </w:p>
        </w:tc>
        <w:tc>
          <w:tcPr>
            <w:tcW w:w="4680" w:type="dxa"/>
            <w:gridSpan w:val="4"/>
            <w:vAlign w:val="center"/>
          </w:tcPr>
          <w:p>
            <w:pPr>
              <w:widowControl/>
              <w:autoSpaceDE w:val="0"/>
              <w:autoSpaceDN w:val="0"/>
              <w:spacing w:line="360" w:lineRule="auto"/>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232"/>
              <w:spacing w:before="103" w:line="360" w:lineRule="auto"/>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autoSpaceDE w:val="0"/>
              <w:autoSpaceDN w:val="0"/>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32"/>
              <w:spacing w:before="111" w:line="360" w:lineRule="auto"/>
              <w:ind w:left="509"/>
              <w:rPr>
                <w:highlight w:val="yellow"/>
              </w:rPr>
            </w:pPr>
            <w:r>
              <w:t xml:space="preserve">企业法人代表  </w:t>
            </w:r>
          </w:p>
        </w:tc>
        <w:tc>
          <w:tcPr>
            <w:tcW w:w="4680" w:type="dxa"/>
            <w:gridSpan w:val="4"/>
          </w:tcPr>
          <w:p>
            <w:pPr>
              <w:pStyle w:val="4"/>
              <w:keepNext w:val="0"/>
              <w:keepLines w:val="0"/>
              <w:widowControl/>
              <w:shd w:val="clear" w:color="auto" w:fill="FFFFFF"/>
              <w:autoSpaceDE w:val="0"/>
              <w:autoSpaceDN w:val="0"/>
              <w:spacing w:before="0" w:after="0" w:line="360" w:lineRule="auto"/>
              <w:rPr>
                <w:rFonts w:ascii="宋体" w:hAnsi="宋体" w:cs="宋体"/>
                <w:color w:val="000000" w:themeColor="text1"/>
                <w14:textFill>
                  <w14:solidFill>
                    <w14:schemeClr w14:val="tx1"/>
                  </w14:solidFill>
                </w14:textFill>
              </w:rPr>
            </w:pPr>
          </w:p>
        </w:tc>
        <w:tc>
          <w:tcPr>
            <w:tcW w:w="1310" w:type="dxa"/>
          </w:tcPr>
          <w:p>
            <w:pPr>
              <w:pStyle w:val="232"/>
              <w:spacing w:before="103" w:line="360" w:lineRule="auto"/>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autoSpaceDE w:val="0"/>
              <w:autoSpaceDN w:val="0"/>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2"/>
              <w:spacing w:before="114" w:line="360" w:lineRule="auto"/>
              <w:ind w:left="720"/>
            </w:pPr>
            <w:r>
              <w:t xml:space="preserve">品牌区分 </w:t>
            </w:r>
          </w:p>
        </w:tc>
        <w:tc>
          <w:tcPr>
            <w:tcW w:w="7500" w:type="dxa"/>
            <w:gridSpan w:val="6"/>
          </w:tcPr>
          <w:p>
            <w:pPr>
              <w:pStyle w:val="232"/>
              <w:spacing w:before="106" w:line="360" w:lineRule="auto"/>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2"/>
              <w:spacing w:before="178" w:line="360" w:lineRule="auto"/>
              <w:ind w:left="720"/>
            </w:pPr>
            <w:r>
              <w:t xml:space="preserve">品牌名称 </w:t>
            </w:r>
          </w:p>
        </w:tc>
        <w:tc>
          <w:tcPr>
            <w:tcW w:w="3583" w:type="dxa"/>
            <w:gridSpan w:val="3"/>
            <w:vAlign w:val="center"/>
          </w:tcPr>
          <w:p>
            <w:pPr>
              <w:widowControl/>
              <w:autoSpaceDE w:val="0"/>
              <w:autoSpaceDN w:val="0"/>
              <w:spacing w:line="360" w:lineRule="auto"/>
              <w:rPr>
                <w:rFonts w:ascii="宋体" w:hAnsi="宋体" w:eastAsia="仿宋_GB2312"/>
                <w:kern w:val="0"/>
                <w:szCs w:val="21"/>
                <w:lang w:bidi="ar"/>
              </w:rPr>
            </w:pPr>
          </w:p>
        </w:tc>
        <w:tc>
          <w:tcPr>
            <w:tcW w:w="1097" w:type="dxa"/>
          </w:tcPr>
          <w:p>
            <w:pPr>
              <w:pStyle w:val="232"/>
              <w:spacing w:before="15" w:line="360" w:lineRule="auto"/>
              <w:ind w:left="279"/>
            </w:pPr>
            <w:r>
              <w:rPr>
                <w:spacing w:val="-2"/>
              </w:rPr>
              <w:t>质量</w:t>
            </w:r>
            <w:r>
              <w:t xml:space="preserve"> </w:t>
            </w:r>
          </w:p>
          <w:p>
            <w:pPr>
              <w:pStyle w:val="232"/>
              <w:spacing w:before="30" w:line="360" w:lineRule="auto"/>
              <w:ind w:left="279"/>
            </w:pPr>
            <w:r>
              <w:rPr>
                <w:rFonts w:hint="eastAsia"/>
              </w:rPr>
              <w:t>体系</w:t>
            </w:r>
          </w:p>
        </w:tc>
        <w:tc>
          <w:tcPr>
            <w:tcW w:w="2820" w:type="dxa"/>
            <w:gridSpan w:val="2"/>
          </w:tcPr>
          <w:p>
            <w:pPr>
              <w:pStyle w:val="232"/>
              <w:spacing w:before="158" w:line="360" w:lineRule="auto"/>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32"/>
              <w:spacing w:before="149" w:line="360" w:lineRule="auto"/>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autoSpaceDE w:val="0"/>
              <w:autoSpaceDN w:val="0"/>
              <w:spacing w:line="360" w:lineRule="auto"/>
              <w:textAlignment w:val="center"/>
              <w:rPr>
                <w:rFonts w:ascii="宋体" w:hAnsi="宋体" w:eastAsia="宋体" w:cs="宋体"/>
                <w:szCs w:val="21"/>
              </w:rPr>
            </w:pPr>
          </w:p>
        </w:tc>
        <w:tc>
          <w:tcPr>
            <w:tcW w:w="1530" w:type="dxa"/>
            <w:vAlign w:val="center"/>
          </w:tcPr>
          <w:p>
            <w:pPr>
              <w:widowControl/>
              <w:autoSpaceDE w:val="0"/>
              <w:autoSpaceDN w:val="0"/>
              <w:spacing w:line="360" w:lineRule="auto"/>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autoSpaceDE w:val="0"/>
              <w:autoSpaceDN w:val="0"/>
              <w:spacing w:line="360" w:lineRule="auto"/>
              <w:jc w:val="center"/>
              <w:textAlignment w:val="center"/>
              <w:rPr>
                <w:rFonts w:ascii="宋体" w:hAnsi="宋体" w:eastAsia="宋体" w:cs="宋体"/>
                <w:szCs w:val="21"/>
              </w:rPr>
            </w:pPr>
          </w:p>
        </w:tc>
        <w:tc>
          <w:tcPr>
            <w:tcW w:w="1097" w:type="dxa"/>
            <w:vAlign w:val="center"/>
          </w:tcPr>
          <w:p>
            <w:pPr>
              <w:widowControl/>
              <w:autoSpaceDE w:val="0"/>
              <w:autoSpaceDN w:val="0"/>
              <w:spacing w:line="360" w:lineRule="auto"/>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autoSpaceDE w:val="0"/>
              <w:autoSpaceDN w:val="0"/>
              <w:spacing w:line="360" w:lineRule="auto"/>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autoSpaceDE w:val="0"/>
              <w:autoSpaceDN w:val="0"/>
              <w:spacing w:line="360" w:lineRule="auto"/>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autoSpaceDE w:val="0"/>
              <w:autoSpaceDN w:val="0"/>
              <w:spacing w:line="360" w:lineRule="auto"/>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autoSpaceDE w:val="0"/>
              <w:autoSpaceDN w:val="0"/>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autoSpaceDE w:val="0"/>
              <w:autoSpaceDN w:val="0"/>
              <w:spacing w:line="360" w:lineRule="auto"/>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autoSpaceDE w:val="0"/>
              <w:autoSpaceDN w:val="0"/>
              <w:spacing w:line="360" w:lineRule="auto"/>
              <w:jc w:val="left"/>
              <w:rPr>
                <w:rFonts w:ascii="宋体" w:hAnsi="宋体" w:eastAsia="宋体" w:cs="宋体"/>
                <w:kern w:val="0"/>
                <w:szCs w:val="21"/>
                <w:lang w:bidi="ar"/>
              </w:rPr>
            </w:pPr>
          </w:p>
        </w:tc>
      </w:tr>
    </w:tbl>
    <w:p>
      <w:pPr>
        <w:pStyle w:val="40"/>
        <w:spacing w:line="360" w:lineRule="auto"/>
        <w:outlineLvl w:val="3"/>
        <w:rPr>
          <w:rFonts w:hint="eastAsia" w:ascii="Times New Roman" w:hAnsi="Times New Roman" w:eastAsia="宋体" w:cs="Times New Roman"/>
          <w:b/>
          <w:bCs/>
          <w:color w:val="000000"/>
          <w:sz w:val="24"/>
          <w:szCs w:val="24"/>
        </w:rPr>
      </w:pPr>
    </w:p>
    <w:p>
      <w:pPr>
        <w:pStyle w:val="40"/>
        <w:spacing w:line="360" w:lineRule="auto"/>
        <w:outlineLvl w:val="3"/>
        <w:rPr>
          <w:rFonts w:hint="eastAsia" w:ascii="Times New Roman" w:hAnsi="Times New Roman" w:eastAsia="宋体" w:cs="Times New Roman"/>
          <w:b/>
          <w:bCs/>
          <w:color w:val="000000"/>
          <w:sz w:val="24"/>
          <w:szCs w:val="24"/>
        </w:rPr>
      </w:pPr>
    </w:p>
    <w:p>
      <w:pPr>
        <w:pStyle w:val="40"/>
        <w:spacing w:line="360" w:lineRule="auto"/>
        <w:outlineLvl w:val="3"/>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表 3-2 资产情况汇总表</w:t>
      </w:r>
    </w:p>
    <w:p>
      <w:pPr>
        <w:pStyle w:val="40"/>
        <w:spacing w:line="360" w:lineRule="auto"/>
        <w:rPr>
          <w:rFonts w:ascii="Times New Roman" w:hAnsi="Times New Roman" w:eastAsia="宋体" w:cs="Times New Roman"/>
          <w:b/>
          <w:bCs/>
          <w:color w:val="000000"/>
          <w:sz w:val="24"/>
          <w:szCs w:val="24"/>
        </w:rPr>
      </w:pPr>
    </w:p>
    <w:tbl>
      <w:tblPr>
        <w:tblStyle w:val="76"/>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360" w:lineRule="auto"/>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pPr>
              <w:spacing w:line="360" w:lineRule="auto"/>
              <w:jc w:val="center"/>
              <w:rPr>
                <w:rFonts w:ascii="宋体" w:hAnsi="宋体" w:eastAsia="宋体"/>
                <w:color w:val="000000"/>
                <w:sz w:val="24"/>
                <w:szCs w:val="24"/>
              </w:rPr>
            </w:pPr>
            <w:r>
              <w:rPr>
                <w:rFonts w:hint="eastAsia" w:ascii="宋体" w:hAnsi="宋体" w:eastAsia="宋体"/>
                <w:color w:val="000000"/>
                <w:sz w:val="24"/>
                <w:szCs w:val="24"/>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360" w:lineRule="auto"/>
              <w:jc w:val="center"/>
              <w:rPr>
                <w:rFonts w:ascii="宋体" w:hAnsi="宋体"/>
                <w:color w:val="000000"/>
                <w:sz w:val="24"/>
                <w:szCs w:val="24"/>
                <w:highlight w:val="yellow"/>
              </w:rPr>
            </w:pPr>
          </w:p>
        </w:tc>
        <w:tc>
          <w:tcPr>
            <w:tcW w:w="1650" w:type="dxa"/>
          </w:tcPr>
          <w:p>
            <w:pPr>
              <w:spacing w:line="360" w:lineRule="auto"/>
              <w:jc w:val="center"/>
              <w:rPr>
                <w:rFonts w:ascii="宋体" w:hAnsi="宋体"/>
                <w:color w:val="000000"/>
                <w:sz w:val="24"/>
                <w:szCs w:val="24"/>
                <w:highlight w:val="yellow"/>
              </w:rPr>
            </w:pPr>
          </w:p>
        </w:tc>
        <w:tc>
          <w:tcPr>
            <w:tcW w:w="1590" w:type="dxa"/>
          </w:tcPr>
          <w:p>
            <w:pPr>
              <w:spacing w:line="360" w:lineRule="auto"/>
              <w:jc w:val="center"/>
              <w:rPr>
                <w:rFonts w:ascii="宋体" w:hAnsi="宋体"/>
                <w:color w:val="000000"/>
                <w:sz w:val="24"/>
                <w:szCs w:val="24"/>
                <w:highlight w:val="yellow"/>
              </w:rPr>
            </w:pPr>
          </w:p>
        </w:tc>
        <w:tc>
          <w:tcPr>
            <w:tcW w:w="1450" w:type="dxa"/>
          </w:tcPr>
          <w:p>
            <w:pPr>
              <w:spacing w:line="360" w:lineRule="auto"/>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360" w:lineRule="auto"/>
              <w:jc w:val="center"/>
              <w:rPr>
                <w:rFonts w:ascii="宋体" w:hAnsi="宋体"/>
                <w:color w:val="000000"/>
                <w:sz w:val="24"/>
                <w:szCs w:val="24"/>
                <w:highlight w:val="yellow"/>
              </w:rPr>
            </w:pPr>
          </w:p>
        </w:tc>
        <w:tc>
          <w:tcPr>
            <w:tcW w:w="1650" w:type="dxa"/>
          </w:tcPr>
          <w:p>
            <w:pPr>
              <w:spacing w:line="360" w:lineRule="auto"/>
              <w:jc w:val="center"/>
              <w:rPr>
                <w:rFonts w:ascii="宋体" w:hAnsi="宋体"/>
                <w:color w:val="000000"/>
                <w:sz w:val="24"/>
                <w:szCs w:val="24"/>
                <w:highlight w:val="yellow"/>
              </w:rPr>
            </w:pPr>
          </w:p>
        </w:tc>
        <w:tc>
          <w:tcPr>
            <w:tcW w:w="1590" w:type="dxa"/>
          </w:tcPr>
          <w:p>
            <w:pPr>
              <w:spacing w:line="360" w:lineRule="auto"/>
              <w:jc w:val="center"/>
              <w:rPr>
                <w:rFonts w:ascii="宋体" w:hAnsi="宋体"/>
                <w:color w:val="000000"/>
                <w:sz w:val="24"/>
                <w:szCs w:val="24"/>
                <w:highlight w:val="yellow"/>
              </w:rPr>
            </w:pPr>
          </w:p>
        </w:tc>
        <w:tc>
          <w:tcPr>
            <w:tcW w:w="1450" w:type="dxa"/>
          </w:tcPr>
          <w:p>
            <w:pPr>
              <w:spacing w:line="360" w:lineRule="auto"/>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360" w:lineRule="auto"/>
              <w:jc w:val="center"/>
              <w:rPr>
                <w:rFonts w:ascii="宋体" w:hAnsi="宋体"/>
                <w:color w:val="000000"/>
                <w:sz w:val="24"/>
                <w:szCs w:val="24"/>
                <w:highlight w:val="yellow"/>
              </w:rPr>
            </w:pPr>
          </w:p>
        </w:tc>
        <w:tc>
          <w:tcPr>
            <w:tcW w:w="1650" w:type="dxa"/>
          </w:tcPr>
          <w:p>
            <w:pPr>
              <w:spacing w:line="360" w:lineRule="auto"/>
              <w:jc w:val="center"/>
              <w:rPr>
                <w:rFonts w:ascii="宋体" w:hAnsi="宋体"/>
                <w:color w:val="000000"/>
                <w:sz w:val="24"/>
                <w:szCs w:val="24"/>
                <w:highlight w:val="yellow"/>
              </w:rPr>
            </w:pPr>
          </w:p>
        </w:tc>
        <w:tc>
          <w:tcPr>
            <w:tcW w:w="1590" w:type="dxa"/>
          </w:tcPr>
          <w:p>
            <w:pPr>
              <w:spacing w:line="360" w:lineRule="auto"/>
              <w:jc w:val="center"/>
              <w:rPr>
                <w:rFonts w:ascii="宋体" w:hAnsi="宋体"/>
                <w:color w:val="000000"/>
                <w:sz w:val="24"/>
                <w:szCs w:val="24"/>
                <w:highlight w:val="yellow"/>
              </w:rPr>
            </w:pPr>
          </w:p>
        </w:tc>
        <w:tc>
          <w:tcPr>
            <w:tcW w:w="1450" w:type="dxa"/>
          </w:tcPr>
          <w:p>
            <w:pPr>
              <w:spacing w:line="360" w:lineRule="auto"/>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bl>
    <w:p>
      <w:pPr>
        <w:spacing w:line="360" w:lineRule="auto"/>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360" w:lineRule="auto"/>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360" w:lineRule="auto"/>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360" w:lineRule="auto"/>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spacing w:line="360" w:lineRule="auto"/>
        <w:outlineLvl w:val="2"/>
        <w:rPr>
          <w:rFonts w:ascii="Times New Roman" w:hAnsi="Times New Roman" w:eastAsia="宋体" w:cs="Times New Roman"/>
          <w:b/>
          <w:bCs/>
          <w:color w:val="000000"/>
          <w:sz w:val="24"/>
          <w:szCs w:val="24"/>
        </w:rPr>
      </w:pPr>
      <w:bookmarkStart w:id="239" w:name="_Toc28427"/>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bookmarkEnd w:id="239"/>
    </w:p>
    <w:p>
      <w:pPr>
        <w:spacing w:line="360" w:lineRule="auto"/>
        <w:rPr>
          <w:rFonts w:hint="eastAsia" w:ascii="宋体" w:hAnsi="Calibri" w:eastAsia="宋体" w:cs="Times New Roman"/>
          <w:sz w:val="24"/>
          <w:szCs w:val="20"/>
          <w:u w:val="single"/>
          <w:lang w:val="en-US" w:eastAsia="zh-CN"/>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rPr>
        <w:t>济南轻卡制造公司二期纯电皮卡安规检测项目</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重汽（济南）轻卡有限公司：</w:t>
      </w:r>
    </w:p>
    <w:p>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highlight w:val="none"/>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w:t>
      </w:r>
      <w:r>
        <w:rPr>
          <w:rFonts w:hint="eastAsia" w:ascii="宋体" w:hAnsi="宋体" w:eastAsia="宋体" w:cs="Times New Roman"/>
          <w:sz w:val="24"/>
          <w:szCs w:val="20"/>
          <w:u w:val="single"/>
        </w:rPr>
        <w:t>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spacing w:line="360" w:lineRule="auto"/>
        <w:rPr>
          <w:rFonts w:ascii="宋体" w:hAnsi="Calibri" w:eastAsia="宋体" w:cs="宋体"/>
          <w:b/>
          <w:bCs/>
          <w:color w:val="000000"/>
          <w:sz w:val="28"/>
          <w:szCs w:val="20"/>
        </w:rPr>
        <w:sectPr>
          <w:footerReference r:id="rId13" w:type="first"/>
          <w:footerReference r:id="rId12"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spacing w:line="360" w:lineRule="auto"/>
        <w:outlineLvl w:val="2"/>
        <w:rPr>
          <w:rFonts w:hint="default" w:ascii="Times New Roman" w:hAnsi="Times New Roman" w:eastAsia="宋体" w:cs="Times New Roman"/>
          <w:b/>
          <w:bCs/>
          <w:color w:val="000000"/>
          <w:sz w:val="24"/>
          <w:szCs w:val="24"/>
          <w:highlight w:val="none"/>
          <w:lang w:val="en-US" w:eastAsia="zh-CN"/>
        </w:rPr>
      </w:pPr>
      <w:bookmarkStart w:id="240" w:name="_Toc7518"/>
      <w:r>
        <w:rPr>
          <w:rFonts w:hint="eastAsia" w:ascii="Times New Roman" w:hAnsi="Times New Roman" w:eastAsia="宋体" w:cs="宋体"/>
          <w:b/>
          <w:bCs/>
          <w:color w:val="000000"/>
          <w:sz w:val="24"/>
          <w:szCs w:val="24"/>
          <w:highlight w:val="none"/>
        </w:rPr>
        <w:t>附件5</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r>
        <w:rPr>
          <w:rFonts w:hint="eastAsia" w:ascii="Times New Roman" w:hAnsi="Times New Roman" w:eastAsia="宋体" w:cs="Times New Roman"/>
          <w:b/>
          <w:bCs/>
          <w:color w:val="000000"/>
          <w:sz w:val="24"/>
          <w:szCs w:val="24"/>
          <w:highlight w:val="none"/>
          <w:lang w:val="en-US" w:eastAsia="zh-CN"/>
        </w:rPr>
        <w:t xml:space="preserve">         </w:t>
      </w:r>
      <w:bookmarkEnd w:id="240"/>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济南轻卡制造公司二期纯电皮卡安规检测项目</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tbl>
      <w:tblPr>
        <w:tblStyle w:val="7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85" w:type="dxa"/>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bl>
    <w:p>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360" w:lineRule="auto"/>
        <w:rPr>
          <w:rFonts w:ascii="宋体" w:hAnsi="Calibri" w:eastAsia="宋体" w:cs="宋体"/>
          <w:b/>
          <w:bCs/>
          <w:color w:val="000000"/>
          <w:sz w:val="28"/>
          <w:szCs w:val="20"/>
        </w:rPr>
      </w:pPr>
    </w:p>
    <w:p>
      <w:pPr>
        <w:spacing w:line="360" w:lineRule="auto"/>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spacing w:line="360" w:lineRule="auto"/>
        <w:outlineLvl w:val="2"/>
        <w:rPr>
          <w:rFonts w:ascii="Times New Roman" w:hAnsi="Times New Roman" w:eastAsia="宋体" w:cs="Times New Roman"/>
          <w:b/>
          <w:bCs/>
          <w:color w:val="000000"/>
          <w:sz w:val="24"/>
          <w:szCs w:val="24"/>
        </w:rPr>
      </w:pPr>
      <w:bookmarkStart w:id="241" w:name="_Toc9125"/>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bookmarkEnd w:id="241"/>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济南轻卡制造公司二期纯电皮卡安规检测项目</w:t>
      </w:r>
      <w:r>
        <w:rPr>
          <w:rFonts w:ascii="宋体" w:hAnsi="宋体" w:eastAsia="宋体" w:cs="Times New Roman"/>
          <w:color w:val="000000"/>
          <w:sz w:val="24"/>
          <w:szCs w:val="24"/>
        </w:rPr>
        <w:t xml:space="preserve">                                                            </w:t>
      </w:r>
    </w:p>
    <w:tbl>
      <w:tblPr>
        <w:tblStyle w:val="7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spacing w:line="360" w:lineRule="auto"/>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spacing w:line="360" w:lineRule="auto"/>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spacing w:line="360" w:lineRule="auto"/>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bl>
    <w:p>
      <w:pPr>
        <w:spacing w:line="360" w:lineRule="auto"/>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360" w:lineRule="auto"/>
        <w:rPr>
          <w:rFonts w:ascii="宋体" w:hAnsi="Calibri" w:eastAsia="宋体" w:cs="Times New Roman"/>
          <w:sz w:val="24"/>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360" w:lineRule="auto"/>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spacing w:line="360" w:lineRule="auto"/>
        <w:outlineLvl w:val="2"/>
        <w:rPr>
          <w:rFonts w:hint="eastAsia" w:ascii="Times New Roman" w:hAnsi="Times New Roman" w:eastAsia="宋体" w:cs="Times New Roman"/>
          <w:b/>
          <w:bCs/>
          <w:color w:val="000000"/>
          <w:sz w:val="24"/>
          <w:szCs w:val="24"/>
        </w:rPr>
      </w:pPr>
    </w:p>
    <w:p>
      <w:pPr>
        <w:keepNext/>
        <w:keepLines/>
        <w:pageBreakBefore/>
        <w:widowControl w:val="0"/>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24"/>
        </w:rPr>
      </w:pPr>
      <w:bookmarkStart w:id="242" w:name="_Toc5760"/>
      <w:r>
        <w:rPr>
          <w:rFonts w:hint="eastAsia" w:ascii="Times New Roman" w:hAnsi="Times New Roman" w:eastAsia="宋体" w:cs="Times New Roman"/>
          <w:b/>
          <w:bCs/>
          <w:color w:val="000000"/>
          <w:sz w:val="24"/>
          <w:szCs w:val="24"/>
        </w:rPr>
        <w:t>附件7 设备质量承诺函</w:t>
      </w:r>
      <w:bookmarkEnd w:id="242"/>
    </w:p>
    <w:p>
      <w:pPr>
        <w:spacing w:line="360" w:lineRule="auto"/>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none"/>
        </w:rPr>
        <w:t xml:space="preserve"> </w:t>
      </w:r>
      <w:r>
        <w:rPr>
          <w:rFonts w:hint="eastAsia" w:ascii="宋体" w:hAnsi="宋体" w:eastAsia="宋体" w:cs="宋体"/>
          <w:b/>
          <w:bCs/>
          <w:sz w:val="24"/>
          <w:szCs w:val="24"/>
          <w:u w:val="single"/>
        </w:rPr>
        <w:t>济南轻卡制造公司二期纯电皮卡安规检测项目</w:t>
      </w:r>
      <w:r>
        <w:rPr>
          <w:rFonts w:ascii="宋体" w:hAnsi="宋体" w:eastAsia="宋体" w:cs="Times New Roman"/>
          <w:sz w:val="24"/>
          <w:szCs w:val="20"/>
          <w:u w:val="none"/>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重汽（济南）轻卡有限公司：</w:t>
      </w:r>
    </w:p>
    <w:p>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color w:val="FF0000"/>
          <w:sz w:val="24"/>
          <w:szCs w:val="20"/>
          <w:highlight w:val="none"/>
        </w:rPr>
        <w:t>投标单位名称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highlight w:val="none"/>
          <w:u w:val="single"/>
        </w:rPr>
        <w:t xml:space="preserve">                         </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360" w:lineRule="auto"/>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bookmarkEnd w:id="236"/>
    <w:bookmarkEnd w:id="237"/>
    <w:bookmarkEnd w:id="238"/>
    <w:p>
      <w:pPr>
        <w:keepNext/>
        <w:keepLines/>
        <w:spacing w:line="360" w:lineRule="auto"/>
        <w:outlineLvl w:val="2"/>
        <w:rPr>
          <w:rFonts w:ascii="Times New Roman" w:hAnsi="Times New Roman" w:eastAsia="宋体" w:cs="Times New Roman"/>
          <w:b/>
          <w:bCs/>
          <w:color w:val="000000"/>
          <w:sz w:val="24"/>
          <w:szCs w:val="24"/>
        </w:rPr>
      </w:pPr>
      <w:bookmarkStart w:id="243" w:name="_Toc16524"/>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bookmarkEnd w:id="243"/>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rPr>
        <w:t>济南轻卡制造公司二期纯电皮卡安规检测项目</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tbl>
      <w:tblPr>
        <w:tblStyle w:val="7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pPr>
              <w:spacing w:line="360" w:lineRule="auto"/>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pPr>
              <w:spacing w:line="360" w:lineRule="auto"/>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spacing w:line="360" w:lineRule="auto"/>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pPr>
              <w:spacing w:line="360" w:lineRule="auto"/>
              <w:jc w:val="center"/>
              <w:rPr>
                <w:rFonts w:hint="default" w:ascii="Times New Roman" w:hAnsi="Times New Roman" w:eastAsia="宋体" w:cs="Times New Roman"/>
                <w:b/>
                <w:szCs w:val="20"/>
                <w:lang w:val="en-US" w:eastAsia="zh-CN"/>
              </w:rPr>
            </w:pPr>
          </w:p>
        </w:tc>
        <w:tc>
          <w:tcPr>
            <w:tcW w:w="780" w:type="dxa"/>
            <w:vAlign w:val="center"/>
          </w:tcPr>
          <w:p>
            <w:pPr>
              <w:spacing w:line="360" w:lineRule="auto"/>
              <w:jc w:val="center"/>
              <w:rPr>
                <w:rFonts w:ascii="Times New Roman" w:hAnsi="Times New Roman" w:eastAsia="宋体" w:cs="Times New Roman"/>
                <w:b/>
                <w:szCs w:val="20"/>
              </w:rPr>
            </w:pPr>
          </w:p>
        </w:tc>
        <w:tc>
          <w:tcPr>
            <w:tcW w:w="1580" w:type="dxa"/>
            <w:vAlign w:val="center"/>
          </w:tcPr>
          <w:p>
            <w:pPr>
              <w:spacing w:line="360" w:lineRule="auto"/>
              <w:jc w:val="center"/>
              <w:rPr>
                <w:rFonts w:ascii="Times New Roman" w:hAnsi="Times New Roman" w:eastAsia="宋体" w:cs="Times New Roman"/>
                <w:b/>
                <w:szCs w:val="20"/>
              </w:rPr>
            </w:pPr>
          </w:p>
        </w:tc>
        <w:tc>
          <w:tcPr>
            <w:tcW w:w="990" w:type="dxa"/>
            <w:vAlign w:val="center"/>
          </w:tcPr>
          <w:p>
            <w:pPr>
              <w:spacing w:line="360" w:lineRule="auto"/>
              <w:jc w:val="center"/>
              <w:rPr>
                <w:rFonts w:ascii="Times New Roman" w:hAnsi="Times New Roman" w:eastAsia="宋体" w:cs="Times New Roman"/>
                <w:b/>
                <w:szCs w:val="20"/>
              </w:rPr>
            </w:pPr>
          </w:p>
        </w:tc>
        <w:tc>
          <w:tcPr>
            <w:tcW w:w="1375" w:type="dxa"/>
            <w:vAlign w:val="center"/>
          </w:tcPr>
          <w:p>
            <w:pPr>
              <w:spacing w:line="360" w:lineRule="auto"/>
              <w:jc w:val="center"/>
              <w:rPr>
                <w:rFonts w:ascii="Times New Roman" w:hAnsi="Times New Roman" w:eastAsia="宋体" w:cs="Times New Roman"/>
                <w:b/>
                <w:szCs w:val="20"/>
              </w:rPr>
            </w:pPr>
          </w:p>
        </w:tc>
        <w:tc>
          <w:tcPr>
            <w:tcW w:w="1065" w:type="dxa"/>
            <w:vAlign w:val="center"/>
          </w:tcPr>
          <w:p>
            <w:pPr>
              <w:spacing w:line="360" w:lineRule="auto"/>
              <w:jc w:val="center"/>
              <w:rPr>
                <w:rFonts w:ascii="Times New Roman" w:hAnsi="Times New Roman" w:eastAsia="宋体" w:cs="Times New Roman"/>
                <w:b/>
                <w:szCs w:val="20"/>
              </w:rPr>
            </w:pPr>
          </w:p>
        </w:tc>
        <w:tc>
          <w:tcPr>
            <w:tcW w:w="1132" w:type="dxa"/>
            <w:vAlign w:val="center"/>
          </w:tcPr>
          <w:p>
            <w:pPr>
              <w:spacing w:line="360" w:lineRule="auto"/>
              <w:jc w:val="center"/>
              <w:rPr>
                <w:rFonts w:ascii="Times New Roman" w:hAnsi="Times New Roman" w:eastAsia="宋体" w:cs="Times New Roman"/>
                <w:b/>
                <w:szCs w:val="20"/>
              </w:rPr>
            </w:pPr>
          </w:p>
        </w:tc>
      </w:tr>
    </w:tbl>
    <w:p>
      <w:pPr>
        <w:spacing w:line="360" w:lineRule="auto"/>
        <w:rPr>
          <w:rFonts w:ascii="宋体" w:hAnsi="Arial" w:eastAsia="宋体" w:cs="Times New Roman"/>
          <w:sz w:val="24"/>
          <w:szCs w:val="24"/>
        </w:rPr>
      </w:pPr>
    </w:p>
    <w:p>
      <w:pPr>
        <w:spacing w:line="360" w:lineRule="auto"/>
        <w:rPr>
          <w:rFonts w:ascii="宋体" w:hAnsi="Calibri" w:eastAsia="宋体" w:cs="Times New Roman"/>
          <w:szCs w:val="21"/>
        </w:rPr>
      </w:pPr>
      <w:r>
        <w:rPr>
          <w:rFonts w:hint="eastAsia" w:ascii="宋体" w:hAnsi="宋体" w:eastAsia="宋体" w:cs="Times New Roman"/>
          <w:b/>
          <w:bCs/>
          <w:szCs w:val="21"/>
        </w:rPr>
        <w:t>注：</w:t>
      </w:r>
    </w:p>
    <w:p>
      <w:pPr>
        <w:spacing w:line="360" w:lineRule="auto"/>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6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60" w:lineRule="auto"/>
        <w:rPr>
          <w:rFonts w:ascii="宋体" w:hAnsi="宋体" w:eastAsia="宋体" w:cs="宋体"/>
          <w:b/>
          <w:szCs w:val="20"/>
        </w:rPr>
      </w:pPr>
      <w:r>
        <w:rPr>
          <w:rFonts w:hint="eastAsia" w:ascii="宋体" w:hAnsi="宋体" w:eastAsia="宋体" w:cs="宋体"/>
          <w:b/>
          <w:szCs w:val="20"/>
        </w:rPr>
        <w:t>3.需写明</w:t>
      </w:r>
      <w:r>
        <w:rPr>
          <w:rFonts w:hint="eastAsia" w:ascii="宋体" w:hAnsi="宋体" w:eastAsia="宋体" w:cs="宋体"/>
          <w:b/>
          <w:szCs w:val="20"/>
          <w:highlight w:val="none"/>
        </w:rPr>
        <w:t>含税价、不含税价格、税率。</w:t>
      </w:r>
    </w:p>
    <w:p>
      <w:pPr>
        <w:pStyle w:val="40"/>
        <w:spacing w:line="360" w:lineRule="auto"/>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400" w:lineRule="exact"/>
        <w:ind w:right="120" w:firstLine="720" w:firstLineChars="300"/>
        <w:jc w:val="right"/>
        <w:rPr>
          <w:rFonts w:ascii="宋体" w:hAnsi="宋体"/>
          <w:sz w:val="24"/>
          <w:szCs w:val="24"/>
        </w:rPr>
      </w:pPr>
    </w:p>
    <w:p>
      <w:pPr>
        <w:pStyle w:val="30"/>
        <w:spacing w:after="0"/>
        <w:jc w:val="right"/>
        <w:outlineLvl w:val="0"/>
        <w:rPr>
          <w:rFonts w:ascii="宋体" w:hAnsi="宋体"/>
        </w:rPr>
        <w:sectPr>
          <w:pgSz w:w="11907" w:h="16840"/>
          <w:pgMar w:top="1418" w:right="1418" w:bottom="1418" w:left="1418" w:header="851" w:footer="851" w:gutter="0"/>
          <w:pgBorders>
            <w:top w:val="none" w:sz="0" w:space="0"/>
            <w:left w:val="none" w:sz="0" w:space="0"/>
            <w:bottom w:val="none" w:sz="0" w:space="0"/>
            <w:right w:val="none" w:sz="0" w:space="0"/>
          </w:pgBorders>
          <w:pgNumType w:fmt="decimal"/>
          <w:cols w:space="720" w:num="1"/>
          <w:docGrid w:linePitch="290" w:charSpace="-3931"/>
        </w:sectPr>
      </w:pPr>
    </w:p>
    <w:p>
      <w:pPr>
        <w:keepNext/>
        <w:keepLines/>
        <w:spacing w:line="360" w:lineRule="auto"/>
        <w:outlineLvl w:val="2"/>
        <w:rPr>
          <w:rFonts w:hint="eastAsia" w:ascii="Times New Roman" w:hAnsi="Times New Roman" w:eastAsia="宋体" w:cs="Times New Roman"/>
          <w:b/>
          <w:bCs/>
          <w:color w:val="000000"/>
          <w:sz w:val="24"/>
          <w:szCs w:val="24"/>
          <w:lang w:eastAsia="zh-CN"/>
        </w:rPr>
      </w:pPr>
      <w:bookmarkStart w:id="244" w:name="_Toc16257"/>
      <w:r>
        <w:rPr>
          <w:rFonts w:hint="eastAsia" w:ascii="Times New Roman" w:hAnsi="Times New Roman" w:eastAsia="宋体" w:cs="Times New Roman"/>
          <w:b/>
          <w:bCs/>
          <w:color w:val="000000"/>
          <w:sz w:val="24"/>
          <w:szCs w:val="24"/>
        </w:rPr>
        <w:t>附件9投标分项报价表</w:t>
      </w:r>
      <w:bookmarkEnd w:id="244"/>
      <w:bookmarkStart w:id="245" w:name="_Toc28588"/>
      <w:bookmarkStart w:id="246" w:name="_Toc353881017"/>
      <w:bookmarkStart w:id="247" w:name="_Toc518655809"/>
      <w:bookmarkStart w:id="248" w:name="_Toc23659"/>
      <w:bookmarkStart w:id="249" w:name="_Toc19441"/>
      <w:bookmarkStart w:id="250" w:name="_Toc424118186"/>
      <w:bookmarkStart w:id="251" w:name="_Toc26556"/>
      <w:r>
        <w:rPr>
          <w:rFonts w:hint="eastAsia" w:ascii="Times New Roman" w:hAnsi="Times New Roman" w:eastAsia="宋体" w:cs="Times New Roman"/>
          <w:b/>
          <w:bCs/>
          <w:color w:val="000000"/>
          <w:sz w:val="24"/>
          <w:szCs w:val="24"/>
          <w:lang w:eastAsia="zh-CN"/>
        </w:rPr>
        <w:t xml:space="preserve"> </w:t>
      </w:r>
    </w:p>
    <w:p>
      <w:pPr>
        <w:spacing w:before="58"/>
        <w:ind w:left="8"/>
        <w:rPr>
          <w:rFonts w:hint="default" w:ascii="宋体" w:hAnsi="宋体" w:eastAsia="宋体" w:cs="宋体"/>
          <w:spacing w:val="-8"/>
          <w:lang w:val="en-US" w:eastAsia="zh-CN"/>
        </w:rPr>
      </w:pPr>
      <w:r>
        <w:rPr>
          <w:rFonts w:hint="eastAsia" w:ascii="宋体" w:hAnsi="宋体" w:cs="宋体"/>
          <w:spacing w:val="-8"/>
          <w:lang w:val="en-US" w:eastAsia="zh-CN"/>
        </w:rPr>
        <w:t>表9-1设备分项报价表</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332"/>
        <w:tblW w:w="133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606"/>
        <w:gridCol w:w="2239"/>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710" w:type="dxa"/>
          </w:tcPr>
          <w:p>
            <w:pPr>
              <w:autoSpaceDE w:val="0"/>
              <w:autoSpaceDN w:val="0"/>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606" w:type="dxa"/>
          </w:tcPr>
          <w:p>
            <w:pPr>
              <w:autoSpaceDE w:val="0"/>
              <w:autoSpaceDN w:val="0"/>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autoSpaceDE w:val="0"/>
              <w:autoSpaceDN w:val="0"/>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autoSpaceDE w:val="0"/>
              <w:autoSpaceDN w:val="0"/>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pPr>
              <w:autoSpaceDE w:val="0"/>
              <w:autoSpaceDN w:val="0"/>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autoSpaceDE w:val="0"/>
              <w:autoSpaceDN w:val="0"/>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autoSpaceDE w:val="0"/>
              <w:autoSpaceDN w:val="0"/>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autoSpaceDE w:val="0"/>
              <w:autoSpaceDN w:val="0"/>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710"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606"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autoSpaceDE w:val="0"/>
              <w:autoSpaceDN w:val="0"/>
              <w:spacing w:before="0" w:line="221" w:lineRule="auto"/>
              <w:ind w:left="0" w:right="0" w:firstLine="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品牌</w:t>
            </w:r>
          </w:p>
        </w:tc>
        <w:tc>
          <w:tcPr>
            <w:tcW w:w="2519" w:type="dxa"/>
            <w:tcBorders>
              <w:right w:val="single" w:color="000000" w:sz="4" w:space="0"/>
            </w:tcBorders>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autoSpaceDE w:val="0"/>
              <w:autoSpaceDN w:val="0"/>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tcPr>
          <w:p>
            <w:pPr>
              <w:autoSpaceDE w:val="0"/>
              <w:autoSpaceDN w:val="0"/>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1606" w:type="dxa"/>
          </w:tcPr>
          <w:p>
            <w:pPr>
              <w:autoSpaceDE w:val="0"/>
              <w:autoSpaceDN w:val="0"/>
              <w:rPr>
                <w:rFonts w:ascii="Arial"/>
              </w:rPr>
            </w:pPr>
            <w:r>
              <w:rPr>
                <w:rFonts w:hint="eastAsia" w:ascii="宋体" w:hAnsi="宋体" w:eastAsia="宋体" w:cs="宋体"/>
              </w:rPr>
              <w:t>以上投标设备不足之处请往下添加序号自行补充</w:t>
            </w:r>
          </w:p>
        </w:tc>
        <w:tc>
          <w:tcPr>
            <w:tcW w:w="2239" w:type="dxa"/>
          </w:tcPr>
          <w:p>
            <w:pPr>
              <w:autoSpaceDE w:val="0"/>
              <w:autoSpaceDN w:val="0"/>
              <w:rPr>
                <w:rFonts w:ascii="Arial"/>
              </w:rPr>
            </w:pPr>
          </w:p>
        </w:tc>
        <w:tc>
          <w:tcPr>
            <w:tcW w:w="1120" w:type="dxa"/>
          </w:tcPr>
          <w:p>
            <w:pPr>
              <w:autoSpaceDE w:val="0"/>
              <w:autoSpaceDN w:val="0"/>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876" w:type="dxa"/>
            <w:gridSpan w:val="6"/>
            <w:tcBorders>
              <w:right w:val="single" w:color="000000" w:sz="4" w:space="0"/>
            </w:tcBorders>
          </w:tcPr>
          <w:p>
            <w:pPr>
              <w:autoSpaceDE w:val="0"/>
              <w:autoSpaceDN w:val="0"/>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bl>
    <w:p>
      <w:pPr>
        <w:spacing w:before="58"/>
        <w:ind w:left="8"/>
        <w:rPr>
          <w:rFonts w:ascii="宋体" w:hAnsi="宋体" w:cs="宋体"/>
          <w:spacing w:val="-8"/>
        </w:rPr>
      </w:pPr>
    </w:p>
    <w:p>
      <w:pPr>
        <w:spacing w:before="58"/>
        <w:rPr>
          <w:rFonts w:ascii="宋体" w:hAnsi="宋体" w:cs="宋体"/>
        </w:rPr>
      </w:pPr>
      <w:r>
        <w:rPr>
          <w:rFonts w:ascii="宋体" w:hAnsi="宋体" w:cs="宋体"/>
          <w:spacing w:val="-8"/>
        </w:rPr>
        <w:t>注：</w:t>
      </w:r>
      <w:r>
        <w:rPr>
          <w:rFonts w:hint="eastAsia" w:ascii="宋体" w:hAnsi="宋体" w:cs="宋体"/>
          <w:spacing w:val="-8"/>
        </w:rPr>
        <w:t xml:space="preserve"> </w:t>
      </w:r>
      <w:r>
        <w:rPr>
          <w:rFonts w:ascii="宋体" w:hAnsi="宋体" w:cs="宋体"/>
          <w:spacing w:val="-8"/>
        </w:rPr>
        <w:t>1.以上</w:t>
      </w:r>
      <w:r>
        <w:rPr>
          <w:rFonts w:ascii="宋体" w:hAnsi="宋体" w:cs="宋体"/>
          <w:spacing w:val="-5"/>
        </w:rPr>
        <w:t>是</w:t>
      </w:r>
      <w:r>
        <w:rPr>
          <w:rFonts w:ascii="宋体" w:hAnsi="宋体" w:cs="宋体"/>
          <w:spacing w:val="-4"/>
        </w:rPr>
        <w:t>各单体设备分项报价应包括的内容， 但不限于此，表中“总价合计”构成主机价格的一部分。</w:t>
      </w:r>
    </w:p>
    <w:p>
      <w:pPr>
        <w:spacing w:before="78"/>
        <w:ind w:left="431"/>
        <w:rPr>
          <w:rFonts w:ascii="宋体" w:hAnsi="宋体" w:cs="宋体"/>
        </w:rPr>
      </w:pPr>
      <w:r>
        <w:rPr>
          <w:rFonts w:ascii="宋体" w:hAnsi="宋体" w:cs="宋体"/>
          <w:spacing w:val="-6"/>
        </w:rPr>
        <w:t>2.如果按单</w:t>
      </w:r>
      <w:r>
        <w:rPr>
          <w:rFonts w:ascii="宋体" w:hAnsi="宋体" w:cs="宋体"/>
          <w:spacing w:val="-5"/>
        </w:rPr>
        <w:t>价</w:t>
      </w:r>
      <w:r>
        <w:rPr>
          <w:rFonts w:ascii="宋体" w:hAnsi="宋体" w:cs="宋体"/>
          <w:spacing w:val="-3"/>
        </w:rPr>
        <w:t>计算的结果与总价不一致，以单价为准修正总价。</w:t>
      </w:r>
    </w:p>
    <w:p>
      <w:pPr>
        <w:spacing w:before="85"/>
        <w:ind w:left="432"/>
      </w:pPr>
      <w:r>
        <w:rPr>
          <w:rFonts w:ascii="宋体" w:hAnsi="宋体" w:cs="宋体"/>
          <w:spacing w:val="-4"/>
        </w:rPr>
        <w:t>3.此分项报价，仅是为</w:t>
      </w:r>
      <w:r>
        <w:rPr>
          <w:rFonts w:ascii="宋体" w:hAnsi="宋体" w:cs="宋体"/>
          <w:spacing w:val="-2"/>
        </w:rPr>
        <w:t>了方便招标人对投标文件进行分析比较，不作为限制订立合同的条件</w:t>
      </w:r>
      <w:r>
        <w:rPr>
          <w:rFonts w:ascii="宋体" w:hAnsi="宋体" w:cs="宋体"/>
          <w:spacing w:val="-2"/>
          <w:sz w:val="24"/>
          <w:szCs w:val="24"/>
        </w:rPr>
        <w:t>。</w:t>
      </w:r>
    </w:p>
    <w:p>
      <w:pPr>
        <w:spacing w:before="78"/>
        <w:ind w:left="431"/>
        <w:rPr>
          <w:rFonts w:ascii="宋体" w:hAnsi="宋体" w:cs="宋体"/>
          <w:spacing w:val="-6"/>
        </w:rPr>
      </w:pPr>
      <w:r>
        <w:rPr>
          <w:rFonts w:hint="eastAsia" w:ascii="宋体" w:hAnsi="宋体" w:cs="宋体"/>
          <w:spacing w:val="-6"/>
        </w:rPr>
        <w:t>4.如上表中的有关费用投标人免费提供，请注明“免费”字样。</w:t>
      </w:r>
    </w:p>
    <w:p>
      <w:pPr>
        <w:spacing w:before="78"/>
        <w:ind w:left="431"/>
        <w:rPr>
          <w:rFonts w:hint="eastAsia" w:ascii="宋体" w:hAnsi="宋体" w:cs="宋体"/>
          <w:spacing w:val="-6"/>
        </w:rPr>
      </w:pPr>
      <w:r>
        <w:rPr>
          <w:rFonts w:hint="eastAsia" w:ascii="宋体" w:hAnsi="宋体" w:cs="宋体"/>
          <w:spacing w:val="-6"/>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line="360" w:lineRule="auto"/>
        <w:rPr>
          <w:rFonts w:ascii="宋体" w:hAnsi="宋体" w:cs="宋体"/>
          <w:sz w:val="24"/>
          <w:szCs w:val="24"/>
        </w:rPr>
      </w:pPr>
    </w:p>
    <w:p>
      <w:pPr>
        <w:spacing w:before="40" w:line="360" w:lineRule="auto"/>
        <w:rPr>
          <w:rFonts w:hint="eastAsia" w:ascii="宋体" w:hAnsi="宋体" w:cs="宋体"/>
          <w:spacing w:val="-2"/>
          <w:sz w:val="24"/>
          <w:szCs w:val="24"/>
        </w:rPr>
      </w:pPr>
      <w:r>
        <w:rPr>
          <w:rFonts w:hint="eastAsia" w:ascii="宋体" w:hAnsi="宋体" w:cs="宋体"/>
          <w:spacing w:val="-2"/>
          <w:sz w:val="24"/>
          <w:szCs w:val="24"/>
        </w:rPr>
        <w:t>单位盖章</w:t>
      </w:r>
      <w:r>
        <w:rPr>
          <w:rFonts w:hint="eastAsia" w:ascii="宋体" w:hAnsi="宋体" w:cs="宋体"/>
          <w:spacing w:val="-2"/>
          <w:sz w:val="24"/>
          <w:szCs w:val="24"/>
          <w:lang w:eastAsia="zh-CN"/>
        </w:rPr>
        <w:t>：</w:t>
      </w:r>
      <w:r>
        <w:rPr>
          <w:rFonts w:hint="eastAsia" w:ascii="宋体" w:hAnsi="宋体" w:cs="宋体"/>
          <w:spacing w:val="-2"/>
          <w:sz w:val="24"/>
          <w:szCs w:val="24"/>
          <w:lang w:val="en-US" w:eastAsia="zh-CN"/>
        </w:rPr>
        <w:t xml:space="preserve">                                     </w:t>
      </w:r>
      <w:r>
        <w:rPr>
          <w:rFonts w:hint="eastAsia" w:ascii="宋体" w:hAnsi="宋体" w:cs="宋体"/>
          <w:spacing w:val="-2"/>
          <w:sz w:val="24"/>
          <w:szCs w:val="24"/>
        </w:rPr>
        <w:t>授权代表(签字)：</w:t>
      </w:r>
      <w:r>
        <w:rPr>
          <w:rFonts w:hint="eastAsia" w:ascii="宋体" w:hAnsi="宋体" w:cs="宋体"/>
          <w:spacing w:val="4"/>
          <w:sz w:val="24"/>
          <w:szCs w:val="24"/>
        </w:rPr>
        <w:t xml:space="preserve"> </w:t>
      </w:r>
      <w:r>
        <w:rPr>
          <w:rFonts w:hint="eastAsia" w:ascii="宋体" w:hAnsi="宋体" w:cs="宋体"/>
          <w:spacing w:val="3"/>
          <w:sz w:val="24"/>
          <w:szCs w:val="24"/>
        </w:rPr>
        <w:t xml:space="preserve">                             </w:t>
      </w:r>
      <w:r>
        <w:rPr>
          <w:rFonts w:hint="eastAsia" w:ascii="宋体" w:hAnsi="宋体" w:cs="宋体"/>
          <w:spacing w:val="-2"/>
          <w:sz w:val="24"/>
          <w:szCs w:val="24"/>
        </w:rPr>
        <w:t>年    月    日</w:t>
      </w:r>
      <w:bookmarkEnd w:id="245"/>
      <w:bookmarkEnd w:id="246"/>
      <w:bookmarkEnd w:id="247"/>
      <w:bookmarkEnd w:id="248"/>
      <w:bookmarkEnd w:id="249"/>
      <w:bookmarkEnd w:id="250"/>
      <w:bookmarkEnd w:id="251"/>
      <w:bookmarkStart w:id="252" w:name="_Toc31875"/>
    </w:p>
    <w:p>
      <w:pPr>
        <w:pStyle w:val="40"/>
        <w:rPr>
          <w:rFonts w:hint="eastAsia"/>
        </w:r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33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tcBorders>
              <w:bottom w:val="single" w:color="000000" w:sz="2" w:space="0"/>
            </w:tcBorders>
            <w:vAlign w:val="center"/>
          </w:tcPr>
          <w:p>
            <w:pPr>
              <w:autoSpaceDE w:val="0"/>
              <w:autoSpaceDN w:val="0"/>
              <w:spacing w:before="130" w:line="221" w:lineRule="auto"/>
              <w:ind w:left="766"/>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p>
            <w:pPr>
              <w:autoSpaceDE w:val="0"/>
              <w:autoSpaceDN w:val="0"/>
              <w:spacing w:before="130"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tcBorders>
              <w:bottom w:val="single" w:color="000000" w:sz="2" w:space="0"/>
            </w:tcBorders>
            <w:vAlign w:val="center"/>
          </w:tcPr>
          <w:p>
            <w:pPr>
              <w:autoSpaceDE w:val="0"/>
              <w:autoSpaceDN w:val="0"/>
              <w:spacing w:before="130" w:line="221" w:lineRule="auto"/>
              <w:ind w:left="766"/>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p>
            <w:pPr>
              <w:keepNext w:val="0"/>
              <w:keepLines w:val="0"/>
              <w:pageBreakBefore w:val="0"/>
              <w:widowControl w:val="0"/>
              <w:kinsoku/>
              <w:wordWrap/>
              <w:overflowPunct/>
              <w:topLinePunct w:val="0"/>
              <w:autoSpaceDE/>
              <w:autoSpaceDN/>
              <w:bidi w:val="0"/>
              <w:adjustRightInd/>
              <w:snapToGrid/>
              <w:spacing w:before="130" w:line="240"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vAlign w:val="center"/>
          </w:tcPr>
          <w:p>
            <w:pPr>
              <w:autoSpaceDE w:val="0"/>
              <w:autoSpaceDN w:val="0"/>
              <w:spacing w:before="130" w:line="221" w:lineRule="auto"/>
              <w:ind w:left="766"/>
              <w:jc w:val="both"/>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vAlign w:val="center"/>
          </w:tcPr>
          <w:p>
            <w:pPr>
              <w:autoSpaceDE w:val="0"/>
              <w:autoSpaceDN w:val="0"/>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vAlign w:val="center"/>
          </w:tcPr>
          <w:p>
            <w:pPr>
              <w:autoSpaceDE w:val="0"/>
              <w:autoSpaceDN w:val="0"/>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vAlign w:val="center"/>
          </w:tcPr>
          <w:p>
            <w:pPr>
              <w:autoSpaceDE w:val="0"/>
              <w:autoSpaceDN w:val="0"/>
              <w:spacing w:before="130" w:line="222" w:lineRule="auto"/>
              <w:ind w:left="770"/>
              <w:jc w:val="both"/>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op w:val="single" w:color="000000" w:sz="2" w:space="0"/>
            </w:tcBorders>
            <w:vAlign w:val="center"/>
          </w:tcPr>
          <w:p>
            <w:pPr>
              <w:autoSpaceDE w:val="0"/>
              <w:autoSpaceDN w:val="0"/>
              <w:spacing w:before="244" w:line="185" w:lineRule="auto"/>
              <w:ind w:left="353"/>
              <w:jc w:val="both"/>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Borders>
              <w:top w:val="single" w:color="000000" w:sz="2" w:space="0"/>
            </w:tcBorders>
            <w:vAlign w:val="center"/>
          </w:tcPr>
          <w:p>
            <w:pPr>
              <w:autoSpaceDE w:val="0"/>
              <w:autoSpaceDN w:val="0"/>
              <w:spacing w:before="209" w:line="221" w:lineRule="auto"/>
              <w:ind w:left="1450"/>
              <w:jc w:val="both"/>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vAlign w:val="center"/>
          </w:tcPr>
          <w:p>
            <w:pPr>
              <w:autoSpaceDE w:val="0"/>
              <w:autoSpaceDN w:val="0"/>
              <w:jc w:val="center"/>
              <w:rPr>
                <w:rFonts w:ascii="Arial"/>
              </w:rPr>
            </w:pPr>
          </w:p>
        </w:tc>
        <w:tc>
          <w:tcPr>
            <w:tcW w:w="2186" w:type="dxa"/>
            <w:vAlign w:val="center"/>
          </w:tcPr>
          <w:p>
            <w:pPr>
              <w:autoSpaceDE w:val="0"/>
              <w:autoSpaceDN w:val="0"/>
              <w:jc w:val="center"/>
              <w:rPr>
                <w:rFonts w:ascii="Arial"/>
              </w:rPr>
            </w:pPr>
          </w:p>
        </w:tc>
        <w:tc>
          <w:tcPr>
            <w:tcW w:w="2596" w:type="dxa"/>
            <w:vAlign w:val="center"/>
          </w:tcPr>
          <w:p>
            <w:pPr>
              <w:autoSpaceDE w:val="0"/>
              <w:autoSpaceDN w:val="0"/>
              <w:jc w:val="center"/>
              <w:rPr>
                <w:rFonts w:ascii="Arial"/>
              </w:rPr>
            </w:pPr>
          </w:p>
        </w:tc>
        <w:tc>
          <w:tcPr>
            <w:tcW w:w="2164" w:type="dxa"/>
            <w:vAlign w:val="center"/>
          </w:tcPr>
          <w:p>
            <w:pPr>
              <w:autoSpaceDE w:val="0"/>
              <w:autoSpaceDN w:val="0"/>
              <w:jc w:val="cente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vAlign w:val="center"/>
          </w:tcPr>
          <w:p>
            <w:pPr>
              <w:autoSpaceDE w:val="0"/>
              <w:autoSpaceDN w:val="0"/>
              <w:spacing w:before="245" w:line="183" w:lineRule="auto"/>
              <w:ind w:left="355"/>
              <w:jc w:val="both"/>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vAlign w:val="center"/>
          </w:tcPr>
          <w:p>
            <w:pPr>
              <w:autoSpaceDE w:val="0"/>
              <w:autoSpaceDN w:val="0"/>
              <w:spacing w:before="209" w:line="221" w:lineRule="auto"/>
              <w:ind w:left="1450"/>
              <w:jc w:val="both"/>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vAlign w:val="center"/>
          </w:tcPr>
          <w:p>
            <w:pPr>
              <w:autoSpaceDE w:val="0"/>
              <w:autoSpaceDN w:val="0"/>
              <w:jc w:val="center"/>
              <w:rPr>
                <w:rFonts w:ascii="Arial"/>
              </w:rPr>
            </w:pPr>
          </w:p>
        </w:tc>
        <w:tc>
          <w:tcPr>
            <w:tcW w:w="2186" w:type="dxa"/>
            <w:vAlign w:val="center"/>
          </w:tcPr>
          <w:p>
            <w:pPr>
              <w:autoSpaceDE w:val="0"/>
              <w:autoSpaceDN w:val="0"/>
              <w:jc w:val="center"/>
              <w:rPr>
                <w:rFonts w:ascii="Arial"/>
              </w:rPr>
            </w:pPr>
          </w:p>
        </w:tc>
        <w:tc>
          <w:tcPr>
            <w:tcW w:w="2596" w:type="dxa"/>
            <w:vAlign w:val="center"/>
          </w:tcPr>
          <w:p>
            <w:pPr>
              <w:autoSpaceDE w:val="0"/>
              <w:autoSpaceDN w:val="0"/>
              <w:jc w:val="center"/>
              <w:rPr>
                <w:rFonts w:ascii="Arial"/>
              </w:rPr>
            </w:pPr>
          </w:p>
        </w:tc>
        <w:tc>
          <w:tcPr>
            <w:tcW w:w="2164" w:type="dxa"/>
            <w:vMerge w:val="restart"/>
            <w:tcBorders>
              <w:bottom w:val="nil"/>
            </w:tcBorders>
            <w:vAlign w:val="center"/>
          </w:tcPr>
          <w:p>
            <w:pPr>
              <w:autoSpaceDE w:val="0"/>
              <w:autoSpaceDN w:val="0"/>
              <w:spacing w:line="295" w:lineRule="auto"/>
              <w:jc w:val="center"/>
              <w:rPr>
                <w:rFonts w:ascii="Arial"/>
              </w:rPr>
            </w:pPr>
          </w:p>
          <w:p>
            <w:pPr>
              <w:autoSpaceDE w:val="0"/>
              <w:autoSpaceDN w:val="0"/>
              <w:spacing w:before="68" w:line="300" w:lineRule="auto"/>
              <w:ind w:left="873" w:right="133" w:hanging="734"/>
              <w:jc w:val="center"/>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vAlign w:val="center"/>
          </w:tcPr>
          <w:p>
            <w:pPr>
              <w:autoSpaceDE w:val="0"/>
              <w:autoSpaceDN w:val="0"/>
              <w:spacing w:before="248" w:line="185" w:lineRule="auto"/>
              <w:ind w:left="350"/>
              <w:jc w:val="both"/>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vAlign w:val="center"/>
          </w:tcPr>
          <w:p>
            <w:pPr>
              <w:autoSpaceDE w:val="0"/>
              <w:autoSpaceDN w:val="0"/>
              <w:spacing w:before="212" w:line="221" w:lineRule="auto"/>
              <w:ind w:left="1241"/>
              <w:jc w:val="both"/>
              <w:rPr>
                <w:rFonts w:ascii="宋体" w:hAnsi="宋体" w:eastAsia="宋体" w:cs="宋体"/>
                <w:szCs w:val="21"/>
              </w:rPr>
            </w:pPr>
            <w:r>
              <w:rPr>
                <w:rFonts w:ascii="宋体" w:hAnsi="宋体" w:eastAsia="宋体" w:cs="宋体"/>
                <w:spacing w:val="-1"/>
                <w:szCs w:val="21"/>
              </w:rPr>
              <w:t>运输保险费</w:t>
            </w:r>
          </w:p>
        </w:tc>
        <w:tc>
          <w:tcPr>
            <w:tcW w:w="2159" w:type="dxa"/>
            <w:vAlign w:val="center"/>
          </w:tcPr>
          <w:p>
            <w:pPr>
              <w:autoSpaceDE w:val="0"/>
              <w:autoSpaceDN w:val="0"/>
              <w:jc w:val="center"/>
              <w:rPr>
                <w:rFonts w:ascii="Arial"/>
              </w:rPr>
            </w:pPr>
          </w:p>
        </w:tc>
        <w:tc>
          <w:tcPr>
            <w:tcW w:w="2186" w:type="dxa"/>
            <w:vAlign w:val="center"/>
          </w:tcPr>
          <w:p>
            <w:pPr>
              <w:autoSpaceDE w:val="0"/>
              <w:autoSpaceDN w:val="0"/>
              <w:jc w:val="center"/>
              <w:rPr>
                <w:rFonts w:ascii="Arial"/>
              </w:rPr>
            </w:pPr>
          </w:p>
        </w:tc>
        <w:tc>
          <w:tcPr>
            <w:tcW w:w="2596" w:type="dxa"/>
            <w:vAlign w:val="center"/>
          </w:tcPr>
          <w:p>
            <w:pPr>
              <w:autoSpaceDE w:val="0"/>
              <w:autoSpaceDN w:val="0"/>
              <w:jc w:val="center"/>
              <w:rPr>
                <w:rFonts w:ascii="Arial"/>
              </w:rPr>
            </w:pPr>
          </w:p>
        </w:tc>
        <w:tc>
          <w:tcPr>
            <w:tcW w:w="2164" w:type="dxa"/>
            <w:vMerge w:val="continue"/>
            <w:tcBorders>
              <w:top w:val="nil"/>
            </w:tcBorders>
            <w:vAlign w:val="center"/>
          </w:tcPr>
          <w:p>
            <w:pPr>
              <w:autoSpaceDE w:val="0"/>
              <w:autoSpaceDN w:val="0"/>
              <w:jc w:val="cente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vAlign w:val="center"/>
          </w:tcPr>
          <w:p>
            <w:pPr>
              <w:autoSpaceDE w:val="0"/>
              <w:autoSpaceDN w:val="0"/>
              <w:spacing w:before="247" w:line="182" w:lineRule="auto"/>
              <w:ind w:left="355"/>
              <w:jc w:val="both"/>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vAlign w:val="center"/>
          </w:tcPr>
          <w:p>
            <w:pPr>
              <w:autoSpaceDE w:val="0"/>
              <w:autoSpaceDN w:val="0"/>
              <w:spacing w:before="210" w:line="221" w:lineRule="auto"/>
              <w:ind w:left="1450"/>
              <w:jc w:val="both"/>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vAlign w:val="center"/>
          </w:tcPr>
          <w:p>
            <w:pPr>
              <w:autoSpaceDE w:val="0"/>
              <w:autoSpaceDN w:val="0"/>
              <w:jc w:val="center"/>
              <w:rPr>
                <w:rFonts w:ascii="Arial"/>
              </w:rPr>
            </w:pPr>
          </w:p>
        </w:tc>
        <w:tc>
          <w:tcPr>
            <w:tcW w:w="2186" w:type="dxa"/>
            <w:vAlign w:val="center"/>
          </w:tcPr>
          <w:p>
            <w:pPr>
              <w:autoSpaceDE w:val="0"/>
              <w:autoSpaceDN w:val="0"/>
              <w:jc w:val="center"/>
              <w:rPr>
                <w:rFonts w:ascii="Arial"/>
              </w:rPr>
            </w:pPr>
          </w:p>
        </w:tc>
        <w:tc>
          <w:tcPr>
            <w:tcW w:w="2596" w:type="dxa"/>
            <w:vAlign w:val="center"/>
          </w:tcPr>
          <w:p>
            <w:pPr>
              <w:autoSpaceDE w:val="0"/>
              <w:autoSpaceDN w:val="0"/>
              <w:jc w:val="center"/>
              <w:rPr>
                <w:rFonts w:ascii="Arial"/>
              </w:rPr>
            </w:pPr>
          </w:p>
        </w:tc>
        <w:tc>
          <w:tcPr>
            <w:tcW w:w="2164" w:type="dxa"/>
            <w:vAlign w:val="center"/>
          </w:tcPr>
          <w:p>
            <w:pPr>
              <w:autoSpaceDE w:val="0"/>
              <w:autoSpaceDN w:val="0"/>
              <w:spacing w:before="210" w:line="221" w:lineRule="auto"/>
              <w:ind w:left="457"/>
              <w:jc w:val="center"/>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vAlign w:val="center"/>
          </w:tcPr>
          <w:p>
            <w:pPr>
              <w:autoSpaceDE w:val="0"/>
              <w:autoSpaceDN w:val="0"/>
              <w:spacing w:before="247" w:line="183" w:lineRule="auto"/>
              <w:ind w:left="352"/>
              <w:jc w:val="both"/>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vAlign w:val="center"/>
          </w:tcPr>
          <w:p>
            <w:pPr>
              <w:autoSpaceDE w:val="0"/>
              <w:autoSpaceDN w:val="0"/>
              <w:spacing w:before="211" w:line="221" w:lineRule="auto"/>
              <w:ind w:left="1557"/>
              <w:jc w:val="both"/>
              <w:rPr>
                <w:rFonts w:ascii="宋体" w:hAnsi="宋体" w:eastAsia="宋体" w:cs="宋体"/>
                <w:szCs w:val="21"/>
              </w:rPr>
            </w:pPr>
            <w:r>
              <w:rPr>
                <w:rFonts w:ascii="宋体" w:hAnsi="宋体" w:eastAsia="宋体" w:cs="宋体"/>
                <w:spacing w:val="-2"/>
                <w:szCs w:val="21"/>
              </w:rPr>
              <w:t>其他</w:t>
            </w:r>
          </w:p>
        </w:tc>
        <w:tc>
          <w:tcPr>
            <w:tcW w:w="2159" w:type="dxa"/>
            <w:vAlign w:val="center"/>
          </w:tcPr>
          <w:p>
            <w:pPr>
              <w:autoSpaceDE w:val="0"/>
              <w:autoSpaceDN w:val="0"/>
              <w:jc w:val="center"/>
              <w:rPr>
                <w:rFonts w:ascii="Arial"/>
              </w:rPr>
            </w:pPr>
          </w:p>
        </w:tc>
        <w:tc>
          <w:tcPr>
            <w:tcW w:w="2186" w:type="dxa"/>
            <w:vAlign w:val="center"/>
          </w:tcPr>
          <w:p>
            <w:pPr>
              <w:autoSpaceDE w:val="0"/>
              <w:autoSpaceDN w:val="0"/>
              <w:jc w:val="center"/>
              <w:rPr>
                <w:rFonts w:ascii="Arial"/>
              </w:rPr>
            </w:pPr>
          </w:p>
        </w:tc>
        <w:tc>
          <w:tcPr>
            <w:tcW w:w="2596" w:type="dxa"/>
            <w:vAlign w:val="center"/>
          </w:tcPr>
          <w:p>
            <w:pPr>
              <w:autoSpaceDE w:val="0"/>
              <w:autoSpaceDN w:val="0"/>
              <w:jc w:val="center"/>
              <w:rPr>
                <w:rFonts w:ascii="Arial"/>
              </w:rPr>
            </w:pPr>
          </w:p>
        </w:tc>
        <w:tc>
          <w:tcPr>
            <w:tcW w:w="2164" w:type="dxa"/>
            <w:vAlign w:val="center"/>
          </w:tcPr>
          <w:p>
            <w:pPr>
              <w:autoSpaceDE w:val="0"/>
              <w:autoSpaceDN w:val="0"/>
              <w:spacing w:before="210" w:line="221" w:lineRule="auto"/>
              <w:ind w:left="456"/>
              <w:jc w:val="center"/>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vAlign w:val="center"/>
          </w:tcPr>
          <w:p>
            <w:pPr>
              <w:autoSpaceDE w:val="0"/>
              <w:autoSpaceDN w:val="0"/>
              <w:spacing w:before="211" w:line="219" w:lineRule="auto"/>
              <w:ind w:left="3008"/>
              <w:jc w:val="center"/>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vAlign w:val="center"/>
          </w:tcPr>
          <w:p>
            <w:pPr>
              <w:autoSpaceDE w:val="0"/>
              <w:autoSpaceDN w:val="0"/>
              <w:spacing w:before="211" w:line="219" w:lineRule="auto"/>
              <w:jc w:val="center"/>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pStyle w:val="40"/>
        <w:rPr>
          <w:rFonts w:hint="eastAsia" w:ascii="宋体" w:hAnsi="宋体" w:eastAsia="宋体" w:cs="宋体"/>
          <w:spacing w:val="-6"/>
          <w:szCs w:val="21"/>
        </w:rPr>
      </w:pPr>
    </w:p>
    <w:p>
      <w:pPr>
        <w:pStyle w:val="40"/>
        <w:rPr>
          <w:rFonts w:hint="eastAsia" w:ascii="宋体" w:hAnsi="宋体" w:eastAsia="宋体" w:cs="宋体"/>
          <w:spacing w:val="-6"/>
          <w:szCs w:val="21"/>
        </w:rPr>
      </w:pP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pPr>
    </w:p>
    <w:p>
      <w:pPr>
        <w:pStyle w:val="40"/>
        <w:rPr>
          <w:sz w:val="24"/>
          <w:szCs w:val="24"/>
        </w:rPr>
      </w:pPr>
    </w:p>
    <w:p>
      <w:pPr>
        <w:pStyle w:val="40"/>
        <w:rPr>
          <w:sz w:val="24"/>
          <w:szCs w:val="24"/>
        </w:rPr>
      </w:pP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33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autoSpaceDE w:val="0"/>
              <w:autoSpaceDN w:val="0"/>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autoSpaceDE w:val="0"/>
              <w:autoSpaceDN w:val="0"/>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autoSpaceDE w:val="0"/>
              <w:autoSpaceDN w:val="0"/>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autoSpaceDE w:val="0"/>
              <w:autoSpaceDN w:val="0"/>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3625" w:type="dxa"/>
            <w:vAlign w:val="top"/>
          </w:tcPr>
          <w:p>
            <w:pPr>
              <w:autoSpaceDE w:val="0"/>
              <w:autoSpaceDN w:val="0"/>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现场指导安装费</w:t>
            </w:r>
          </w:p>
        </w:tc>
        <w:tc>
          <w:tcPr>
            <w:tcW w:w="11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人·天</w:t>
            </w:r>
          </w:p>
        </w:tc>
        <w:tc>
          <w:tcPr>
            <w:tcW w:w="1138" w:type="dxa"/>
            <w:vAlign w:val="center"/>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hint="eastAsia" w:ascii="宋体" w:hAnsi="宋体" w:eastAsia="宋体" w:cs="宋体"/>
                <w:spacing w:val="-2"/>
                <w:szCs w:val="21"/>
                <w:lang w:val="en-US" w:eastAsia="zh-CN"/>
              </w:rPr>
            </w:pPr>
          </w:p>
        </w:tc>
        <w:tc>
          <w:tcPr>
            <w:tcW w:w="2449" w:type="dxa"/>
          </w:tcPr>
          <w:p>
            <w:pPr>
              <w:autoSpaceDE w:val="0"/>
              <w:autoSpaceDN w:val="0"/>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3625" w:type="dxa"/>
            <w:vAlign w:val="top"/>
          </w:tcPr>
          <w:p>
            <w:pPr>
              <w:autoSpaceDE w:val="0"/>
              <w:autoSpaceDN w:val="0"/>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现场指导调试、</w:t>
            </w:r>
            <w:r>
              <w:rPr>
                <w:rFonts w:ascii="宋体" w:hAnsi="宋体" w:eastAsia="宋体" w:cs="宋体"/>
                <w:szCs w:val="21"/>
              </w:rPr>
              <w:t>试车</w:t>
            </w:r>
          </w:p>
        </w:tc>
        <w:tc>
          <w:tcPr>
            <w:tcW w:w="11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人·天</w:t>
            </w:r>
          </w:p>
        </w:tc>
        <w:tc>
          <w:tcPr>
            <w:tcW w:w="1138" w:type="dxa"/>
            <w:vAlign w:val="center"/>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hint="eastAsia" w:ascii="宋体" w:hAnsi="宋体" w:eastAsia="宋体" w:cs="宋体"/>
                <w:spacing w:val="-2"/>
                <w:szCs w:val="21"/>
                <w:lang w:val="en-US" w:eastAsia="zh-CN"/>
              </w:rPr>
            </w:pPr>
          </w:p>
        </w:tc>
        <w:tc>
          <w:tcPr>
            <w:tcW w:w="2449" w:type="dxa"/>
          </w:tcPr>
          <w:p>
            <w:pPr>
              <w:autoSpaceDE w:val="0"/>
              <w:autoSpaceDN w:val="0"/>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3625" w:type="dxa"/>
            <w:vAlign w:val="top"/>
          </w:tcPr>
          <w:p>
            <w:pPr>
              <w:autoSpaceDE w:val="0"/>
              <w:autoSpaceDN w:val="0"/>
              <w:spacing w:before="266" w:line="221"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现场技术支持解决技术难题</w:t>
            </w:r>
          </w:p>
        </w:tc>
        <w:tc>
          <w:tcPr>
            <w:tcW w:w="11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人·天</w:t>
            </w:r>
          </w:p>
        </w:tc>
        <w:tc>
          <w:tcPr>
            <w:tcW w:w="1138" w:type="dxa"/>
            <w:vAlign w:val="center"/>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hint="eastAsia" w:ascii="宋体" w:hAnsi="宋体" w:eastAsia="宋体" w:cs="宋体"/>
                <w:spacing w:val="-2"/>
                <w:szCs w:val="21"/>
                <w:lang w:val="en-US" w:eastAsia="zh-CN"/>
              </w:rPr>
            </w:pPr>
          </w:p>
        </w:tc>
        <w:tc>
          <w:tcPr>
            <w:tcW w:w="2449" w:type="dxa"/>
          </w:tcPr>
          <w:p>
            <w:pPr>
              <w:autoSpaceDE w:val="0"/>
              <w:autoSpaceDN w:val="0"/>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3625" w:type="dxa"/>
            <w:vAlign w:val="top"/>
          </w:tcPr>
          <w:p>
            <w:pPr>
              <w:autoSpaceDE w:val="0"/>
              <w:autoSpaceDN w:val="0"/>
              <w:spacing w:before="268" w:line="221"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bidi="ar"/>
              </w:rPr>
              <w:t>企业管理费</w:t>
            </w:r>
          </w:p>
        </w:tc>
        <w:tc>
          <w:tcPr>
            <w:tcW w:w="11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人·天</w:t>
            </w:r>
          </w:p>
        </w:tc>
        <w:tc>
          <w:tcPr>
            <w:tcW w:w="1138" w:type="dxa"/>
            <w:vAlign w:val="center"/>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ascii="宋体" w:hAnsi="宋体" w:eastAsia="宋体" w:cs="宋体"/>
                <w:spacing w:val="-2"/>
                <w:szCs w:val="21"/>
              </w:rPr>
            </w:pPr>
          </w:p>
        </w:tc>
        <w:tc>
          <w:tcPr>
            <w:tcW w:w="2449" w:type="dxa"/>
          </w:tcPr>
          <w:p>
            <w:pPr>
              <w:autoSpaceDE w:val="0"/>
              <w:autoSpaceDN w:val="0"/>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3625" w:type="dxa"/>
            <w:vAlign w:val="top"/>
          </w:tcPr>
          <w:p>
            <w:pPr>
              <w:autoSpaceDE w:val="0"/>
              <w:autoSpaceDN w:val="0"/>
              <w:spacing w:before="268" w:line="221" w:lineRule="auto"/>
              <w:jc w:val="center"/>
              <w:rPr>
                <w:rFonts w:hint="eastAsia" w:ascii="宋体" w:hAnsi="宋体" w:eastAsia="宋体" w:cs="宋体"/>
                <w:spacing w:val="15"/>
                <w:kern w:val="2"/>
                <w:sz w:val="21"/>
                <w:szCs w:val="21"/>
                <w:lang w:val="en-US" w:eastAsia="zh-CN" w:bidi="ar-SA"/>
              </w:rPr>
            </w:pPr>
            <w:r>
              <w:rPr>
                <w:rFonts w:hint="eastAsia" w:ascii="宋体" w:hAnsi="宋体" w:eastAsia="宋体" w:cs="宋体"/>
                <w:szCs w:val="21"/>
                <w:lang w:bidi="ar"/>
              </w:rPr>
              <w:t>检验检测费</w:t>
            </w:r>
          </w:p>
        </w:tc>
        <w:tc>
          <w:tcPr>
            <w:tcW w:w="11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次</w:t>
            </w:r>
          </w:p>
        </w:tc>
        <w:tc>
          <w:tcPr>
            <w:tcW w:w="1138" w:type="dxa"/>
            <w:vAlign w:val="center"/>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ascii="宋体" w:hAnsi="宋体" w:eastAsia="宋体" w:cs="宋体"/>
                <w:spacing w:val="-2"/>
                <w:szCs w:val="21"/>
              </w:rPr>
            </w:pPr>
          </w:p>
        </w:tc>
        <w:tc>
          <w:tcPr>
            <w:tcW w:w="2449" w:type="dxa"/>
          </w:tcPr>
          <w:p>
            <w:pPr>
              <w:autoSpaceDE w:val="0"/>
              <w:autoSpaceDN w:val="0"/>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3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1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138" w:type="dxa"/>
            <w:vAlign w:val="center"/>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ascii="宋体" w:hAnsi="宋体" w:eastAsia="宋体" w:cs="宋体"/>
                <w:spacing w:val="-2"/>
                <w:szCs w:val="21"/>
              </w:rPr>
            </w:pPr>
          </w:p>
        </w:tc>
        <w:tc>
          <w:tcPr>
            <w:tcW w:w="2449" w:type="dxa"/>
          </w:tcPr>
          <w:p>
            <w:pPr>
              <w:autoSpaceDE w:val="0"/>
              <w:autoSpaceDN w:val="0"/>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autoSpaceDE w:val="0"/>
              <w:autoSpaceDN w:val="0"/>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autoSpaceDE w:val="0"/>
              <w:autoSpaceDN w:val="0"/>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40"/>
      </w:pPr>
    </w:p>
    <w:p>
      <w:pPr>
        <w:spacing w:before="35" w:line="239" w:lineRule="auto"/>
        <w:ind w:left="724"/>
        <w:rPr>
          <w:rFonts w:ascii="宋体" w:hAnsi="宋体" w:eastAsia="宋体" w:cs="宋体"/>
          <w:spacing w:val="-2"/>
          <w:sz w:val="24"/>
          <w:szCs w:val="24"/>
        </w:rPr>
        <w:sectPr>
          <w:footerReference r:id="rId18" w:type="default"/>
          <w:pgSz w:w="16841" w:h="11907"/>
          <w:pgMar w:top="400" w:right="1500" w:bottom="1184" w:left="1480" w:header="0" w:footer="1022" w:gutter="0"/>
          <w:cols w:space="720" w:num="1"/>
        </w:sect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4</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3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autoSpaceDE w:val="0"/>
              <w:autoSpaceDN w:val="0"/>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autoSpaceDE w:val="0"/>
              <w:autoSpaceDN w:val="0"/>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autoSpaceDE w:val="0"/>
              <w:autoSpaceDN w:val="0"/>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autoSpaceDE w:val="0"/>
              <w:autoSpaceDN w:val="0"/>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autoSpaceDE w:val="0"/>
              <w:autoSpaceDN w:val="0"/>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autoSpaceDE w:val="0"/>
              <w:autoSpaceDN w:val="0"/>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autoSpaceDE w:val="0"/>
              <w:autoSpaceDN w:val="0"/>
              <w:rPr>
                <w:rFonts w:ascii="Arial"/>
              </w:rPr>
            </w:pPr>
          </w:p>
        </w:tc>
        <w:tc>
          <w:tcPr>
            <w:tcW w:w="3362"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autoSpaceDE w:val="0"/>
              <w:autoSpaceDN w:val="0"/>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autoSpaceDE w:val="0"/>
              <w:autoSpaceDN w:val="0"/>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autoSpaceDE w:val="0"/>
              <w:autoSpaceDN w:val="0"/>
              <w:rPr>
                <w:rFonts w:ascii="Arial"/>
              </w:rPr>
            </w:pPr>
          </w:p>
        </w:tc>
        <w:tc>
          <w:tcPr>
            <w:tcW w:w="3362"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autoSpaceDE w:val="0"/>
              <w:autoSpaceDN w:val="0"/>
              <w:rPr>
                <w:rFonts w:ascii="Arial"/>
              </w:rPr>
            </w:pPr>
          </w:p>
          <w:p>
            <w:pPr>
              <w:autoSpaceDE w:val="0"/>
              <w:autoSpaceDN w:val="0"/>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autoSpaceDE w:val="0"/>
              <w:autoSpaceDN w:val="0"/>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autoSpaceDE w:val="0"/>
              <w:autoSpaceDN w:val="0"/>
              <w:rPr>
                <w:rFonts w:ascii="Arial"/>
              </w:rPr>
            </w:pPr>
          </w:p>
        </w:tc>
        <w:tc>
          <w:tcPr>
            <w:tcW w:w="3362"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autoSpaceDE w:val="0"/>
              <w:autoSpaceDN w:val="0"/>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autoSpaceDE w:val="0"/>
              <w:autoSpaceDN w:val="0"/>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autoSpaceDE w:val="0"/>
              <w:autoSpaceDN w:val="0"/>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autoSpaceDE w:val="0"/>
              <w:autoSpaceDN w:val="0"/>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autoSpaceDE w:val="0"/>
              <w:autoSpaceDN w:val="0"/>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40"/>
      </w:pPr>
    </w:p>
    <w:p>
      <w:pPr>
        <w:pStyle w:val="40"/>
      </w:pPr>
    </w:p>
    <w:p>
      <w:pPr>
        <w:spacing w:before="140" w:line="220" w:lineRule="auto"/>
        <w:ind w:left="2" w:firstLine="464" w:firstLineChars="200"/>
        <w:rPr>
          <w:rFonts w:ascii="宋体" w:hAnsi="宋体" w:eastAsia="宋体" w:cs="宋体"/>
          <w:spacing w:val="-2"/>
          <w:szCs w:val="21"/>
        </w:rPr>
        <w:sectPr>
          <w:footerReference r:id="rId1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pageBreakBefore w:val="0"/>
        <w:widowControl w:val="0"/>
        <w:kinsoku/>
        <w:wordWrap/>
        <w:overflowPunct/>
        <w:topLinePunct w:val="0"/>
        <w:autoSpaceDE/>
        <w:autoSpaceDN/>
        <w:bidi w:val="0"/>
        <w:adjustRightInd/>
        <w:snapToGrid/>
        <w:spacing w:line="360" w:lineRule="auto"/>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bookmarkEnd w:id="252"/>
    </w:p>
    <w:tbl>
      <w:tblPr>
        <w:tblStyle w:val="7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是否偏离</w:t>
            </w: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02"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spacing w:line="360" w:lineRule="auto"/>
        <w:rPr>
          <w:rFonts w:ascii="宋体" w:hAnsi="Calibri" w:eastAsia="宋体" w:cs="Times New Roman"/>
          <w:szCs w:val="20"/>
        </w:rPr>
      </w:pPr>
    </w:p>
    <w:p>
      <w:pPr>
        <w:spacing w:line="360" w:lineRule="auto"/>
        <w:rPr>
          <w:rFonts w:ascii="宋体" w:hAnsi="Calibri" w:eastAsia="宋体" w:cs="宋体"/>
          <w:b/>
          <w:bCs/>
          <w:color w:val="000000"/>
          <w:sz w:val="28"/>
          <w:szCs w:val="20"/>
        </w:rPr>
        <w:sectPr>
          <w:footerReference r:id="rId20" w:type="default"/>
          <w:pgSz w:w="11906" w:h="16838"/>
          <w:pgMar w:top="1587" w:right="1417" w:bottom="1134" w:left="1417" w:header="850" w:footer="992" w:gutter="0"/>
          <w:pgBorders>
            <w:top w:val="none" w:sz="0" w:space="0"/>
            <w:left w:val="none" w:sz="0" w:space="0"/>
            <w:bottom w:val="none" w:sz="0" w:space="0"/>
            <w:right w:val="none" w:sz="0" w:space="0"/>
          </w:pgBorders>
          <w:cols w:space="0" w:num="1"/>
          <w:titlePg/>
          <w:docGrid w:type="lines" w:linePitch="314" w:charSpace="0"/>
        </w:sectPr>
      </w:pPr>
    </w:p>
    <w:p>
      <w:pPr>
        <w:spacing w:before="110" w:line="360" w:lineRule="auto"/>
        <w:ind w:left="29"/>
        <w:outlineLvl w:val="2"/>
        <w:rPr>
          <w:rFonts w:ascii="宋体" w:hAnsi="宋体" w:eastAsia="宋体" w:cs="宋体"/>
          <w:sz w:val="24"/>
          <w:szCs w:val="24"/>
        </w:rPr>
      </w:pPr>
      <w:bookmarkStart w:id="253" w:name="_Toc17485"/>
      <w:r>
        <w:rPr>
          <w:rFonts w:hint="eastAsia" w:ascii="Times New Roman" w:hAnsi="Times New Roman" w:eastAsia="宋体" w:cs="Times New Roman"/>
          <w:b/>
          <w:bCs/>
          <w:color w:val="000000"/>
          <w:sz w:val="24"/>
          <w:szCs w:val="24"/>
        </w:rPr>
        <w:t>附件11 投标人承诺</w:t>
      </w:r>
      <w:bookmarkEnd w:id="253"/>
    </w:p>
    <w:p>
      <w:pPr>
        <w:spacing w:line="360" w:lineRule="auto"/>
        <w:rPr>
          <w:rFonts w:ascii="Arial"/>
        </w:rPr>
      </w:pPr>
    </w:p>
    <w:p>
      <w:pPr>
        <w:spacing w:before="75" w:line="360"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u w:val="single"/>
        </w:rPr>
        <w:t>济南轻卡制造公司二期纯电皮卡安规检测项目</w:t>
      </w:r>
      <w:r>
        <w:rPr>
          <w:rFonts w:ascii="宋体" w:hAnsi="宋体" w:eastAsia="宋体" w:cs="Times New Roman"/>
          <w:color w:val="000000"/>
          <w:sz w:val="24"/>
          <w:szCs w:val="24"/>
          <w:u w:val="none"/>
        </w:rPr>
        <w:t xml:space="preserve"> </w:t>
      </w:r>
    </w:p>
    <w:p>
      <w:pPr>
        <w:spacing w:before="306" w:line="360"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tbl>
      <w:tblPr>
        <w:tblStyle w:val="3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autoSpaceDE w:val="0"/>
              <w:autoSpaceDN w:val="0"/>
              <w:spacing w:before="52" w:line="360"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autoSpaceDE w:val="0"/>
              <w:autoSpaceDN w:val="0"/>
              <w:spacing w:before="48" w:line="360"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spacing w:line="360" w:lineRule="auto"/>
        <w:rPr>
          <w:rFonts w:ascii="Times New Roman" w:hAnsi="Times New Roman" w:eastAsia="宋体" w:cs="Times New Roman"/>
          <w:b/>
          <w:bCs/>
          <w:color w:val="000000"/>
          <w:sz w:val="24"/>
          <w:szCs w:val="24"/>
        </w:rPr>
      </w:pPr>
    </w:p>
    <w:p>
      <w:pPr>
        <w:spacing w:before="75" w:line="360" w:lineRule="auto"/>
        <w:ind w:left="135"/>
        <w:rPr>
          <w:rFonts w:ascii="宋体" w:hAnsi="宋体" w:eastAsia="宋体" w:cs="宋体"/>
          <w:spacing w:val="-2"/>
          <w:sz w:val="24"/>
          <w:szCs w:val="24"/>
        </w:rPr>
      </w:pPr>
    </w:p>
    <w:p>
      <w:pPr>
        <w:spacing w:before="75" w:line="360" w:lineRule="auto"/>
        <w:ind w:left="135"/>
        <w:rPr>
          <w:rFonts w:ascii="宋体" w:hAnsi="宋体" w:eastAsia="宋体" w:cs="宋体"/>
          <w:spacing w:val="-2"/>
          <w:sz w:val="24"/>
          <w:szCs w:val="24"/>
        </w:rPr>
      </w:pPr>
    </w:p>
    <w:p>
      <w:pPr>
        <w:spacing w:before="75" w:line="360" w:lineRule="auto"/>
        <w:ind w:left="135"/>
        <w:rPr>
          <w:rFonts w:eastAsia="宋体"/>
          <w:sz w:val="24"/>
          <w:szCs w:val="24"/>
        </w:rPr>
        <w:sectPr>
          <w:footerReference r:id="rId21" w:type="default"/>
          <w:pgSz w:w="11906" w:h="16838"/>
          <w:pgMar w:top="1587" w:right="1417" w:bottom="1134" w:left="1417" w:header="850" w:footer="992" w:gutter="0"/>
          <w:pgBorders>
            <w:top w:val="none" w:sz="0" w:space="0"/>
            <w:left w:val="none" w:sz="0" w:space="0"/>
            <w:bottom w:val="none" w:sz="0" w:space="0"/>
            <w:right w:val="none" w:sz="0" w:space="0"/>
          </w:pgBorders>
          <w:cols w:space="0" w:num="1"/>
          <w:titlePg/>
          <w:docGrid w:type="lines" w:linePitch="314" w:charSpace="0"/>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spacing w:line="360" w:lineRule="auto"/>
        <w:outlineLvl w:val="2"/>
        <w:rPr>
          <w:rFonts w:ascii="Times New Roman" w:hAnsi="Times New Roman" w:eastAsia="宋体" w:cs="Times New Roman"/>
          <w:b/>
          <w:bCs/>
          <w:color w:val="000000"/>
          <w:sz w:val="24"/>
          <w:szCs w:val="24"/>
        </w:rPr>
      </w:pPr>
      <w:bookmarkStart w:id="254" w:name="_Toc11058"/>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bookmarkEnd w:id="254"/>
    </w:p>
    <w:p>
      <w:pPr>
        <w:spacing w:line="360" w:lineRule="auto"/>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rPr>
        <w:t>济南轻卡制造公司二期纯电皮卡安规检测项目</w:t>
      </w:r>
      <w:r>
        <w:rPr>
          <w:rFonts w:ascii="宋体" w:hAnsi="宋体" w:eastAsia="宋体" w:cs="Times New Roman"/>
          <w:color w:val="000000"/>
          <w:sz w:val="24"/>
          <w:szCs w:val="24"/>
          <w:u w:val="none"/>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重汽（济南）轻卡有限公司：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spacing w:line="360" w:lineRule="auto"/>
        <w:rPr>
          <w:rFonts w:ascii="宋体" w:hAnsi="Calibri" w:eastAsia="宋体" w:cs="宋体"/>
          <w:b/>
          <w:bCs/>
          <w:color w:val="000000"/>
          <w:sz w:val="28"/>
          <w:szCs w:val="20"/>
        </w:rPr>
      </w:pPr>
    </w:p>
    <w:p>
      <w:pPr>
        <w:spacing w:line="360" w:lineRule="auto"/>
        <w:outlineLvl w:val="2"/>
        <w:rPr>
          <w:rFonts w:ascii="Calibri" w:hAnsi="Calibri" w:eastAsia="宋体" w:cs="Times New Roman"/>
          <w:szCs w:val="20"/>
        </w:rPr>
      </w:pPr>
      <w:r>
        <w:rPr>
          <w:rFonts w:ascii="Calibri" w:hAnsi="Calibri" w:eastAsia="宋体" w:cs="Times New Roman"/>
          <w:szCs w:val="20"/>
        </w:rPr>
        <w:br w:type="page"/>
      </w:r>
      <w:bookmarkStart w:id="255" w:name="_Toc19368"/>
      <w:r>
        <w:rPr>
          <w:rFonts w:hint="eastAsia" w:ascii="Times New Roman" w:hAnsi="Times New Roman" w:eastAsia="宋体" w:cs="Times New Roman"/>
          <w:b/>
          <w:bCs/>
          <w:color w:val="000000"/>
          <w:sz w:val="24"/>
          <w:szCs w:val="24"/>
        </w:rPr>
        <w:t>附件13 投标文件封面及封口格式</w:t>
      </w:r>
      <w:bookmarkEnd w:id="255"/>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7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spacing w:line="360" w:lineRule="auto"/>
              <w:jc w:val="center"/>
              <w:rPr>
                <w:rFonts w:ascii="Times New Roman" w:hAnsi="Times New Roman" w:eastAsia="宋体" w:cs="Times New Roman"/>
                <w:b/>
                <w:szCs w:val="20"/>
              </w:rPr>
            </w:pPr>
          </w:p>
          <w:p>
            <w:pPr>
              <w:spacing w:line="360" w:lineRule="auto"/>
              <w:jc w:val="center"/>
              <w:rPr>
                <w:rFonts w:ascii="宋体" w:hAnsi="Times New Roman" w:eastAsia="宋体" w:cs="宋体"/>
                <w:b/>
                <w:sz w:val="30"/>
                <w:szCs w:val="30"/>
              </w:rPr>
            </w:pP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lang w:val="en-US" w:eastAsia="zh-CN"/>
              </w:rPr>
              <w:t>技术/</w:t>
            </w:r>
            <w:r>
              <w:rPr>
                <w:rFonts w:hint="eastAsia" w:ascii="宋体" w:hAnsi="宋体" w:eastAsia="宋体" w:cs="宋体"/>
                <w:b/>
                <w:sz w:val="30"/>
                <w:szCs w:val="30"/>
              </w:rPr>
              <w:t>商务文件</w:t>
            </w:r>
          </w:p>
          <w:p>
            <w:pPr>
              <w:spacing w:line="360" w:lineRule="auto"/>
              <w:rPr>
                <w:rFonts w:ascii="Times New Roman" w:hAnsi="Times New Roman" w:eastAsia="等线" w:cs="Times New Roman"/>
                <w:b/>
                <w:sz w:val="30"/>
                <w:szCs w:val="30"/>
              </w:rPr>
            </w:pPr>
          </w:p>
          <w:p>
            <w:pPr>
              <w:spacing w:line="360" w:lineRule="auto"/>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 xml:space="preserve">2 </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spacing w:line="360" w:lineRule="auto"/>
              <w:jc w:val="center"/>
              <w:rPr>
                <w:rFonts w:ascii="Times New Roman" w:hAnsi="Times New Roman" w:eastAsia="宋体" w:cs="Times New Roman"/>
                <w:b/>
                <w:szCs w:val="20"/>
              </w:rPr>
            </w:pPr>
          </w:p>
          <w:p>
            <w:pPr>
              <w:spacing w:line="360" w:lineRule="auto"/>
              <w:jc w:val="center"/>
              <w:rPr>
                <w:rFonts w:ascii="Times New Roman" w:hAnsi="Times New Roman" w:eastAsia="宋体" w:cs="Times New Roman"/>
                <w:b/>
                <w:szCs w:val="20"/>
              </w:rPr>
            </w:pP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u w:val="single"/>
              </w:rPr>
              <w:t>济南轻卡制造公司二期纯电皮卡安规检测项目</w:t>
            </w:r>
            <w:r>
              <w:rPr>
                <w:rFonts w:ascii="宋体" w:hAnsi="宋体" w:eastAsia="宋体" w:cs="Times New Roman"/>
                <w:color w:val="000000"/>
                <w:sz w:val="24"/>
                <w:szCs w:val="24"/>
                <w:u w:val="none"/>
              </w:rPr>
              <w:t xml:space="preserve">   </w:t>
            </w: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投标人名称（公章）：</w:t>
            </w: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地址：</w:t>
            </w: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授权代表电话：</w:t>
            </w: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传真：</w:t>
            </w:r>
          </w:p>
          <w:p>
            <w:pPr>
              <w:spacing w:line="360" w:lineRule="auto"/>
              <w:jc w:val="center"/>
              <w:rPr>
                <w:rFonts w:ascii="Times New Roman" w:hAnsi="Times New Roman" w:eastAsia="宋体" w:cs="Times New Roman"/>
                <w:b/>
                <w:szCs w:val="20"/>
              </w:rPr>
            </w:pPr>
          </w:p>
          <w:p>
            <w:pPr>
              <w:spacing w:line="360" w:lineRule="auto"/>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40"/>
        <w:spacing w:line="360" w:lineRule="auto"/>
      </w:pPr>
    </w:p>
    <w:p>
      <w:pPr>
        <w:spacing w:line="360" w:lineRule="auto"/>
        <w:jc w:val="right"/>
        <w:rPr>
          <w:rFonts w:asciiTheme="minorEastAsia" w:hAnsiTheme="minorEastAsia" w:cstheme="minorEastAsia"/>
          <w:sz w:val="20"/>
          <w:szCs w:val="20"/>
        </w:rPr>
      </w:pPr>
    </w:p>
    <w:p>
      <w:pPr>
        <w:spacing w:line="360" w:lineRule="auto"/>
        <w:jc w:val="right"/>
        <w:rPr>
          <w:rFonts w:asciiTheme="minorEastAsia" w:hAnsiTheme="minorEastAsia" w:cstheme="minorEastAsia"/>
          <w:sz w:val="20"/>
          <w:szCs w:val="20"/>
        </w:rPr>
      </w:pPr>
    </w:p>
    <w:p/>
    <w:p>
      <w:pPr>
        <w:pStyle w:val="2"/>
      </w:pPr>
    </w:p>
    <w:p/>
    <w:p>
      <w:pPr>
        <w:pStyle w:val="2"/>
      </w:pPr>
    </w:p>
    <w:p>
      <w:pPr>
        <w:pStyle w:val="2"/>
        <w:jc w:val="both"/>
        <w:rPr>
          <w:rFonts w:hint="eastAsia" w:ascii="Times New Roman" w:hAnsi="Times New Roman"/>
          <w:color w:val="000000"/>
          <w:szCs w:val="24"/>
        </w:rPr>
      </w:pPr>
      <w:bookmarkStart w:id="256" w:name="_Toc31492"/>
    </w:p>
    <w:p>
      <w:pPr>
        <w:rPr>
          <w:rFonts w:hint="eastAsia"/>
        </w:rPr>
      </w:pPr>
    </w:p>
    <w:p>
      <w:pPr>
        <w:rPr>
          <w:rFonts w:hint="eastAsia"/>
        </w:rPr>
      </w:pPr>
    </w:p>
    <w:p>
      <w:pPr>
        <w:rPr>
          <w:rFonts w:hint="eastAsia"/>
        </w:rPr>
      </w:pPr>
    </w:p>
    <w:p>
      <w:pPr>
        <w:rPr>
          <w:rFonts w:hint="eastAsia"/>
        </w:rPr>
      </w:pPr>
    </w:p>
    <w:p>
      <w:pPr>
        <w:keepNext/>
        <w:keepLines/>
        <w:spacing w:line="360" w:lineRule="auto"/>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附件14技术标评审表（50分）</w:t>
      </w:r>
    </w:p>
    <w:tbl>
      <w:tblPr>
        <w:tblStyle w:val="76"/>
        <w:tblW w:w="9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164"/>
        <w:gridCol w:w="1821"/>
        <w:gridCol w:w="6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 w:hRule="atLeast"/>
        </w:trPr>
        <w:tc>
          <w:tcPr>
            <w:tcW w:w="645" w:type="dxa"/>
            <w:vAlign w:val="center"/>
          </w:tcPr>
          <w:p>
            <w:pPr>
              <w:spacing w:line="340" w:lineRule="exact"/>
              <w:jc w:val="center"/>
              <w:rPr>
                <w:rFonts w:ascii="宋体" w:hAnsi="宋体" w:cs="Calibri"/>
                <w:bCs/>
                <w:sz w:val="24"/>
                <w:szCs w:val="24"/>
              </w:rPr>
            </w:pPr>
            <w:r>
              <w:rPr>
                <w:rFonts w:hint="eastAsia" w:ascii="宋体" w:hAnsi="宋体" w:cs="Calibri"/>
                <w:bCs/>
                <w:sz w:val="24"/>
                <w:szCs w:val="24"/>
              </w:rPr>
              <w:t>序号</w:t>
            </w:r>
          </w:p>
        </w:tc>
        <w:tc>
          <w:tcPr>
            <w:tcW w:w="9015" w:type="dxa"/>
            <w:gridSpan w:val="3"/>
            <w:vAlign w:val="center"/>
          </w:tcPr>
          <w:p>
            <w:pPr>
              <w:spacing w:line="340" w:lineRule="exact"/>
              <w:jc w:val="center"/>
              <w:rPr>
                <w:rFonts w:ascii="宋体" w:hAnsi="宋体" w:cs="Calibri"/>
                <w:b/>
                <w:bCs/>
                <w:sz w:val="24"/>
                <w:szCs w:val="24"/>
              </w:rPr>
            </w:pPr>
            <w:r>
              <w:rPr>
                <w:rFonts w:hint="eastAsia" w:ascii="宋体" w:hAnsi="宋体" w:cs="Calibri"/>
                <w:bCs/>
                <w:sz w:val="24"/>
                <w:szCs w:val="24"/>
              </w:rPr>
              <w:t>评审内容(50分)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 w:hRule="atLeast"/>
        </w:trPr>
        <w:tc>
          <w:tcPr>
            <w:tcW w:w="645" w:type="dxa"/>
            <w:vMerge w:val="restart"/>
            <w:vAlign w:val="center"/>
          </w:tcPr>
          <w:p>
            <w:pPr>
              <w:spacing w:line="340" w:lineRule="exact"/>
              <w:jc w:val="center"/>
              <w:rPr>
                <w:rFonts w:ascii="宋体" w:hAnsi="宋体" w:cs="Calibri"/>
                <w:bCs/>
                <w:sz w:val="24"/>
                <w:szCs w:val="24"/>
              </w:rPr>
            </w:pPr>
            <w:r>
              <w:rPr>
                <w:rFonts w:hint="eastAsia" w:ascii="宋体" w:hAnsi="宋体" w:cs="Calibri"/>
                <w:bCs/>
                <w:sz w:val="24"/>
                <w:szCs w:val="24"/>
              </w:rPr>
              <w:t>1</w:t>
            </w:r>
          </w:p>
        </w:tc>
        <w:tc>
          <w:tcPr>
            <w:tcW w:w="1164" w:type="dxa"/>
            <w:vMerge w:val="restart"/>
            <w:vAlign w:val="center"/>
          </w:tcPr>
          <w:p>
            <w:pPr>
              <w:pStyle w:val="25"/>
              <w:spacing w:line="340" w:lineRule="exact"/>
              <w:jc w:val="center"/>
              <w:rPr>
                <w:rFonts w:ascii="宋体" w:hAnsi="宋体" w:cs="宋体"/>
                <w:sz w:val="24"/>
                <w:szCs w:val="24"/>
              </w:rPr>
            </w:pPr>
            <w:r>
              <w:rPr>
                <w:rFonts w:hint="eastAsia" w:ascii="宋体" w:hAnsi="宋体" w:cs="宋体"/>
                <w:sz w:val="24"/>
                <w:szCs w:val="24"/>
              </w:rPr>
              <w:t>技术标（50分）</w:t>
            </w:r>
          </w:p>
        </w:tc>
        <w:tc>
          <w:tcPr>
            <w:tcW w:w="1821" w:type="dxa"/>
            <w:vAlign w:val="center"/>
          </w:tcPr>
          <w:p>
            <w:pPr>
              <w:pStyle w:val="25"/>
              <w:spacing w:line="320" w:lineRule="exact"/>
              <w:jc w:val="center"/>
              <w:rPr>
                <w:rFonts w:ascii="宋体" w:hAnsi="宋体" w:cs="宋体"/>
                <w:sz w:val="24"/>
                <w:szCs w:val="24"/>
              </w:rPr>
            </w:pPr>
            <w:r>
              <w:rPr>
                <w:rFonts w:hint="eastAsia" w:ascii="宋体" w:hAnsi="宋体" w:cs="宋体"/>
                <w:sz w:val="24"/>
                <w:szCs w:val="24"/>
              </w:rPr>
              <w:t>技术方案部分（25分）</w:t>
            </w:r>
          </w:p>
        </w:tc>
        <w:tc>
          <w:tcPr>
            <w:tcW w:w="6030" w:type="dxa"/>
            <w:vAlign w:val="center"/>
          </w:tcPr>
          <w:p>
            <w:pPr>
              <w:pStyle w:val="25"/>
              <w:spacing w:line="320" w:lineRule="exact"/>
              <w:rPr>
                <w:rFonts w:ascii="宋体" w:hAnsi="宋体" w:cs="宋体"/>
                <w:sz w:val="24"/>
                <w:szCs w:val="24"/>
              </w:rPr>
            </w:pPr>
            <w:r>
              <w:rPr>
                <w:rFonts w:hint="eastAsia" w:ascii="宋体" w:hAnsi="宋体" w:cs="宋体"/>
                <w:sz w:val="24"/>
                <w:szCs w:val="24"/>
              </w:rPr>
              <w:t>所报产品的技术方案先进，技术参数优于招标文件要求，视情况优得20-25分，良得10-20分，一般得0-10分。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 w:hRule="atLeast"/>
        </w:trPr>
        <w:tc>
          <w:tcPr>
            <w:tcW w:w="645" w:type="dxa"/>
            <w:vMerge w:val="continue"/>
            <w:vAlign w:val="center"/>
          </w:tcPr>
          <w:p>
            <w:pPr>
              <w:spacing w:line="340" w:lineRule="exact"/>
              <w:jc w:val="center"/>
              <w:rPr>
                <w:rFonts w:ascii="宋体" w:hAnsi="宋体" w:cs="Calibri"/>
                <w:bCs/>
                <w:sz w:val="24"/>
                <w:szCs w:val="24"/>
              </w:rPr>
            </w:pPr>
          </w:p>
        </w:tc>
        <w:tc>
          <w:tcPr>
            <w:tcW w:w="1164" w:type="dxa"/>
            <w:vMerge w:val="continue"/>
            <w:vAlign w:val="center"/>
          </w:tcPr>
          <w:p>
            <w:pPr>
              <w:pStyle w:val="25"/>
              <w:spacing w:line="340" w:lineRule="exact"/>
              <w:jc w:val="center"/>
              <w:rPr>
                <w:rFonts w:ascii="宋体" w:hAnsi="宋体" w:cs="宋体"/>
                <w:sz w:val="24"/>
                <w:szCs w:val="24"/>
              </w:rPr>
            </w:pPr>
          </w:p>
        </w:tc>
        <w:tc>
          <w:tcPr>
            <w:tcW w:w="1821" w:type="dxa"/>
            <w:vAlign w:val="center"/>
          </w:tcPr>
          <w:p>
            <w:pPr>
              <w:pStyle w:val="25"/>
              <w:spacing w:line="340" w:lineRule="exact"/>
              <w:jc w:val="center"/>
              <w:rPr>
                <w:rFonts w:ascii="宋体" w:hAnsi="宋体" w:cs="宋体"/>
                <w:sz w:val="24"/>
                <w:szCs w:val="24"/>
              </w:rPr>
            </w:pPr>
            <w:r>
              <w:rPr>
                <w:rFonts w:hint="eastAsia" w:ascii="宋体" w:hAnsi="宋体" w:cs="宋体"/>
                <w:sz w:val="24"/>
                <w:szCs w:val="24"/>
              </w:rPr>
              <w:t>产品质量及保证措施（5分）</w:t>
            </w:r>
          </w:p>
        </w:tc>
        <w:tc>
          <w:tcPr>
            <w:tcW w:w="6030" w:type="dxa"/>
            <w:vAlign w:val="center"/>
          </w:tcPr>
          <w:p>
            <w:pPr>
              <w:pStyle w:val="25"/>
              <w:spacing w:line="340" w:lineRule="exact"/>
              <w:rPr>
                <w:rFonts w:ascii="宋体" w:hAnsi="宋体" w:cs="宋体"/>
                <w:sz w:val="24"/>
                <w:szCs w:val="24"/>
              </w:rPr>
            </w:pPr>
            <w:r>
              <w:rPr>
                <w:rFonts w:hint="eastAsia" w:ascii="宋体" w:hAnsi="宋体" w:cs="宋体"/>
                <w:sz w:val="24"/>
                <w:szCs w:val="24"/>
              </w:rPr>
              <w:t>提供的产品质量、性能稳定可靠，且有完善的生产保证措施及质量保证体系，视情况优得4-5分，良得2-3分，一般得0-1分。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0" w:hRule="atLeast"/>
        </w:trPr>
        <w:tc>
          <w:tcPr>
            <w:tcW w:w="645" w:type="dxa"/>
            <w:vMerge w:val="continue"/>
            <w:vAlign w:val="center"/>
          </w:tcPr>
          <w:p>
            <w:pPr>
              <w:spacing w:line="340" w:lineRule="exact"/>
              <w:jc w:val="center"/>
              <w:rPr>
                <w:rFonts w:ascii="宋体" w:hAnsi="宋体" w:cs="Calibri"/>
                <w:bCs/>
                <w:sz w:val="24"/>
                <w:szCs w:val="24"/>
              </w:rPr>
            </w:pPr>
          </w:p>
        </w:tc>
        <w:tc>
          <w:tcPr>
            <w:tcW w:w="1164" w:type="dxa"/>
            <w:vMerge w:val="continue"/>
            <w:vAlign w:val="center"/>
          </w:tcPr>
          <w:p>
            <w:pPr>
              <w:pStyle w:val="25"/>
              <w:spacing w:line="340" w:lineRule="exact"/>
              <w:jc w:val="center"/>
              <w:rPr>
                <w:rFonts w:ascii="宋体" w:hAnsi="宋体" w:cs="宋体"/>
                <w:sz w:val="24"/>
                <w:szCs w:val="24"/>
              </w:rPr>
            </w:pPr>
          </w:p>
        </w:tc>
        <w:tc>
          <w:tcPr>
            <w:tcW w:w="1821" w:type="dxa"/>
            <w:vAlign w:val="center"/>
          </w:tcPr>
          <w:p>
            <w:pPr>
              <w:pStyle w:val="25"/>
              <w:spacing w:line="340" w:lineRule="exact"/>
              <w:jc w:val="center"/>
              <w:rPr>
                <w:rFonts w:ascii="宋体" w:hAnsi="宋体" w:cs="宋体"/>
                <w:sz w:val="24"/>
                <w:szCs w:val="24"/>
              </w:rPr>
            </w:pPr>
            <w:r>
              <w:rPr>
                <w:rFonts w:hint="eastAsia" w:ascii="宋体" w:hAnsi="宋体" w:cs="宋体"/>
                <w:sz w:val="24"/>
                <w:szCs w:val="24"/>
              </w:rPr>
              <w:t>供货周期（5分）</w:t>
            </w:r>
          </w:p>
        </w:tc>
        <w:tc>
          <w:tcPr>
            <w:tcW w:w="6030" w:type="dxa"/>
            <w:vAlign w:val="center"/>
          </w:tcPr>
          <w:p>
            <w:pPr>
              <w:pStyle w:val="25"/>
              <w:spacing w:line="340" w:lineRule="exact"/>
              <w:rPr>
                <w:rFonts w:ascii="宋体" w:hAnsi="宋体" w:cs="宋体"/>
                <w:sz w:val="24"/>
                <w:szCs w:val="24"/>
              </w:rPr>
            </w:pPr>
            <w:r>
              <w:rPr>
                <w:rFonts w:hint="eastAsia" w:ascii="宋体" w:hAnsi="宋体" w:cs="宋体"/>
                <w:sz w:val="24"/>
                <w:szCs w:val="24"/>
              </w:rPr>
              <w:t>有详细可行的行动计划能保证项目进度，成立专项小组且职责明确，全流程项目人员经验丰富，有风险管理措施；加工、制作方案合理、完善、切实可行，安全、工期合理可行能确保安全，视情况优得4-5分，良得2-3分，一般得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trPr>
        <w:tc>
          <w:tcPr>
            <w:tcW w:w="645" w:type="dxa"/>
            <w:vMerge w:val="continue"/>
            <w:vAlign w:val="center"/>
          </w:tcPr>
          <w:p>
            <w:pPr>
              <w:spacing w:line="340" w:lineRule="exact"/>
              <w:jc w:val="center"/>
              <w:rPr>
                <w:rFonts w:ascii="宋体" w:hAnsi="宋体" w:cs="Calibri"/>
                <w:bCs/>
                <w:sz w:val="24"/>
                <w:szCs w:val="24"/>
              </w:rPr>
            </w:pPr>
          </w:p>
        </w:tc>
        <w:tc>
          <w:tcPr>
            <w:tcW w:w="1164" w:type="dxa"/>
            <w:vMerge w:val="continue"/>
            <w:vAlign w:val="center"/>
          </w:tcPr>
          <w:p>
            <w:pPr>
              <w:pStyle w:val="25"/>
              <w:spacing w:line="340" w:lineRule="exact"/>
              <w:jc w:val="center"/>
              <w:rPr>
                <w:rFonts w:ascii="宋体" w:hAnsi="宋体" w:cs="宋体"/>
                <w:sz w:val="24"/>
                <w:szCs w:val="24"/>
              </w:rPr>
            </w:pPr>
          </w:p>
        </w:tc>
        <w:tc>
          <w:tcPr>
            <w:tcW w:w="1821" w:type="dxa"/>
            <w:vAlign w:val="center"/>
          </w:tcPr>
          <w:p>
            <w:pPr>
              <w:pStyle w:val="25"/>
              <w:spacing w:line="340" w:lineRule="exact"/>
              <w:jc w:val="center"/>
              <w:rPr>
                <w:rFonts w:ascii="宋体" w:hAnsi="宋体" w:cs="宋体"/>
                <w:sz w:val="24"/>
                <w:szCs w:val="24"/>
              </w:rPr>
            </w:pPr>
            <w:r>
              <w:rPr>
                <w:rFonts w:hint="eastAsia" w:ascii="宋体" w:hAnsi="宋体" w:cs="宋体"/>
                <w:sz w:val="24"/>
                <w:szCs w:val="24"/>
              </w:rPr>
              <w:t>业绩（5分）</w:t>
            </w:r>
          </w:p>
        </w:tc>
        <w:tc>
          <w:tcPr>
            <w:tcW w:w="6030" w:type="dxa"/>
            <w:vAlign w:val="center"/>
          </w:tcPr>
          <w:p>
            <w:pPr>
              <w:pStyle w:val="25"/>
              <w:keepNext w:val="0"/>
              <w:keepLines w:val="0"/>
              <w:pageBreakBefore w:val="0"/>
              <w:widowControl w:val="0"/>
              <w:kinsoku/>
              <w:wordWrap/>
              <w:overflowPunct/>
              <w:topLinePunct w:val="0"/>
              <w:autoSpaceDE/>
              <w:autoSpaceDN/>
              <w:bidi w:val="0"/>
              <w:adjustRightInd/>
              <w:snapToGrid/>
              <w:spacing w:after="0" w:line="340" w:lineRule="exact"/>
              <w:textAlignment w:val="auto"/>
              <w:rPr>
                <w:rFonts w:ascii="宋体" w:hAnsi="宋体" w:cs="宋体"/>
                <w:sz w:val="24"/>
                <w:szCs w:val="24"/>
                <w:highlight w:val="yellow"/>
              </w:rPr>
            </w:pPr>
            <w:r>
              <w:rPr>
                <w:rFonts w:hint="eastAsia" w:ascii="宋体" w:hAnsi="宋体" w:cs="宋体"/>
                <w:sz w:val="24"/>
                <w:szCs w:val="24"/>
                <w:highlight w:val="yellow"/>
              </w:rPr>
              <w:t>承担一个高端乘用车品牌（奔驰、奥迪等品牌）类似的业绩得</w:t>
            </w:r>
            <w:r>
              <w:rPr>
                <w:rFonts w:ascii="宋体" w:hAnsi="宋体" w:cs="宋体"/>
                <w:sz w:val="24"/>
                <w:szCs w:val="24"/>
                <w:highlight w:val="yellow"/>
              </w:rPr>
              <w:t>1</w:t>
            </w:r>
            <w:r>
              <w:rPr>
                <w:rFonts w:hint="eastAsia" w:ascii="宋体" w:hAnsi="宋体" w:cs="宋体"/>
                <w:sz w:val="24"/>
                <w:szCs w:val="24"/>
                <w:highlight w:val="yellow"/>
              </w:rPr>
              <w:t>分；承担一个国内乘用车品牌（吉利、长城、比亚迪等品牌）类似的业绩得</w:t>
            </w:r>
            <w:r>
              <w:rPr>
                <w:rFonts w:ascii="宋体" w:hAnsi="宋体" w:cs="宋体"/>
                <w:sz w:val="24"/>
                <w:szCs w:val="24"/>
                <w:highlight w:val="yellow"/>
              </w:rPr>
              <w:t>0.5</w:t>
            </w:r>
            <w:r>
              <w:rPr>
                <w:rFonts w:hint="eastAsia" w:ascii="宋体" w:hAnsi="宋体" w:cs="宋体"/>
                <w:sz w:val="24"/>
                <w:szCs w:val="24"/>
                <w:highlight w:val="yellow"/>
              </w:rPr>
              <w:t>分；</w:t>
            </w:r>
          </w:p>
          <w:p>
            <w:pPr>
              <w:pStyle w:val="25"/>
              <w:keepNext w:val="0"/>
              <w:keepLines w:val="0"/>
              <w:pageBreakBefore w:val="0"/>
              <w:widowControl w:val="0"/>
              <w:kinsoku/>
              <w:wordWrap/>
              <w:overflowPunct/>
              <w:topLinePunct w:val="0"/>
              <w:autoSpaceDE/>
              <w:autoSpaceDN/>
              <w:bidi w:val="0"/>
              <w:adjustRightInd/>
              <w:snapToGrid/>
              <w:spacing w:after="0" w:line="340" w:lineRule="exact"/>
              <w:textAlignment w:val="auto"/>
              <w:rPr>
                <w:rFonts w:ascii="宋体" w:hAnsi="宋体" w:cs="宋体"/>
                <w:sz w:val="24"/>
                <w:szCs w:val="24"/>
                <w:highlight w:val="yellow"/>
              </w:rPr>
            </w:pPr>
            <w:r>
              <w:rPr>
                <w:rFonts w:hint="eastAsia" w:ascii="宋体" w:hAnsi="宋体" w:cs="宋体"/>
                <w:sz w:val="24"/>
                <w:szCs w:val="24"/>
                <w:highlight w:val="yellow"/>
              </w:rPr>
              <w:t>满分</w:t>
            </w:r>
            <w:r>
              <w:rPr>
                <w:rFonts w:ascii="宋体" w:hAnsi="宋体" w:cs="宋体"/>
                <w:sz w:val="24"/>
                <w:szCs w:val="24"/>
                <w:highlight w:val="yellow"/>
              </w:rPr>
              <w:t>5</w:t>
            </w:r>
            <w:r>
              <w:rPr>
                <w:rFonts w:hint="eastAsia" w:ascii="宋体" w:hAnsi="宋体" w:cs="宋体"/>
                <w:sz w:val="24"/>
                <w:szCs w:val="24"/>
                <w:highlight w:val="yellow"/>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 w:hRule="atLeast"/>
        </w:trPr>
        <w:tc>
          <w:tcPr>
            <w:tcW w:w="645" w:type="dxa"/>
            <w:vMerge w:val="continue"/>
            <w:vAlign w:val="center"/>
          </w:tcPr>
          <w:p>
            <w:pPr>
              <w:spacing w:line="340" w:lineRule="exact"/>
              <w:jc w:val="center"/>
              <w:rPr>
                <w:rFonts w:ascii="宋体" w:hAnsi="宋体" w:cs="Calibri"/>
                <w:bCs/>
                <w:sz w:val="24"/>
                <w:szCs w:val="24"/>
              </w:rPr>
            </w:pPr>
          </w:p>
        </w:tc>
        <w:tc>
          <w:tcPr>
            <w:tcW w:w="1164" w:type="dxa"/>
            <w:vMerge w:val="continue"/>
            <w:vAlign w:val="center"/>
          </w:tcPr>
          <w:p>
            <w:pPr>
              <w:pStyle w:val="25"/>
              <w:spacing w:line="340" w:lineRule="exact"/>
              <w:jc w:val="center"/>
              <w:rPr>
                <w:rFonts w:ascii="宋体" w:hAnsi="宋体" w:cs="宋体"/>
                <w:sz w:val="24"/>
                <w:szCs w:val="24"/>
              </w:rPr>
            </w:pPr>
          </w:p>
        </w:tc>
        <w:tc>
          <w:tcPr>
            <w:tcW w:w="1821" w:type="dxa"/>
            <w:vAlign w:val="center"/>
          </w:tcPr>
          <w:p>
            <w:pPr>
              <w:pStyle w:val="25"/>
              <w:spacing w:line="340" w:lineRule="exact"/>
              <w:jc w:val="center"/>
              <w:rPr>
                <w:rFonts w:ascii="宋体" w:hAnsi="宋体" w:cs="宋体"/>
                <w:sz w:val="24"/>
                <w:szCs w:val="24"/>
              </w:rPr>
            </w:pPr>
            <w:r>
              <w:rPr>
                <w:rFonts w:hint="eastAsia" w:ascii="宋体" w:hAnsi="宋体" w:cs="宋体"/>
                <w:sz w:val="24"/>
                <w:szCs w:val="24"/>
              </w:rPr>
              <w:t>质保期及售后服务</w:t>
            </w:r>
          </w:p>
          <w:p>
            <w:pPr>
              <w:pStyle w:val="25"/>
              <w:spacing w:line="340" w:lineRule="exact"/>
              <w:jc w:val="center"/>
              <w:rPr>
                <w:rFonts w:ascii="宋体" w:hAnsi="宋体" w:cs="宋体"/>
                <w:sz w:val="24"/>
                <w:szCs w:val="24"/>
              </w:rPr>
            </w:pPr>
            <w:r>
              <w:rPr>
                <w:rFonts w:hint="eastAsia" w:ascii="宋体" w:hAnsi="宋体" w:cs="宋体"/>
                <w:sz w:val="24"/>
                <w:szCs w:val="24"/>
              </w:rPr>
              <w:t>（10分）</w:t>
            </w:r>
          </w:p>
        </w:tc>
        <w:tc>
          <w:tcPr>
            <w:tcW w:w="6030" w:type="dxa"/>
            <w:vAlign w:val="center"/>
          </w:tcPr>
          <w:p>
            <w:pPr>
              <w:pStyle w:val="25"/>
              <w:spacing w:line="340" w:lineRule="exact"/>
              <w:rPr>
                <w:rFonts w:ascii="宋体" w:hAnsi="宋体" w:cs="宋体"/>
                <w:sz w:val="24"/>
                <w:szCs w:val="24"/>
              </w:rPr>
            </w:pPr>
            <w:r>
              <w:rPr>
                <w:rFonts w:hint="eastAsia" w:ascii="宋体" w:hAnsi="宋体" w:cs="宋体"/>
                <w:sz w:val="24"/>
                <w:szCs w:val="24"/>
              </w:rPr>
              <w:t>具有良好的质量管理体系和完备的检测体系，保证设备制造质量、售后服务方案符合要求（提供相应证明材料）。根据提供的资料从优到劣进行综合评审排序，视情况优得8-10分，良得4-7分，一般得0-3分。</w:t>
            </w:r>
          </w:p>
        </w:tc>
      </w:tr>
    </w:tbl>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pPr>
        <w:rPr>
          <w:rFonts w:ascii="宋体" w:hAnsi="宋体" w:eastAsia="宋体" w:cs="宋体"/>
          <w:color w:val="000000"/>
          <w:sz w:val="24"/>
          <w:szCs w:val="24"/>
        </w:rPr>
      </w:pPr>
    </w:p>
    <w:p>
      <w:pPr>
        <w:spacing w:line="360" w:lineRule="auto"/>
        <w:rPr>
          <w:rFonts w:ascii="宋体" w:hAnsi="宋体" w:eastAsia="宋体" w:cs="Times New Roman"/>
          <w:b/>
          <w:bCs/>
          <w:sz w:val="24"/>
          <w:szCs w:val="24"/>
        </w:rPr>
      </w:pPr>
    </w:p>
    <w:p>
      <w:pPr>
        <w:pStyle w:val="2"/>
        <w:sectPr>
          <w:pgSz w:w="11906" w:h="16838"/>
          <w:pgMar w:top="1587" w:right="1417" w:bottom="1134" w:left="1417" w:header="850" w:footer="992" w:gutter="0"/>
          <w:cols w:space="0" w:num="1"/>
          <w:titlePg/>
          <w:docGrid w:type="lines" w:linePitch="324" w:charSpace="0"/>
        </w:sectPr>
      </w:pPr>
    </w:p>
    <w:p>
      <w:pPr>
        <w:pStyle w:val="40"/>
        <w:keepNext w:val="0"/>
        <w:keepLines w:val="0"/>
        <w:pageBreakBefore/>
        <w:widowControl w:val="0"/>
        <w:kinsoku/>
        <w:wordWrap/>
        <w:overflowPunct/>
        <w:topLinePunct w:val="0"/>
        <w:autoSpaceDE/>
        <w:autoSpaceDN/>
        <w:bidi w:val="0"/>
        <w:adjustRightInd/>
        <w:snapToGrid/>
        <w:spacing w:line="360" w:lineRule="auto"/>
        <w:textAlignment w:val="auto"/>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bookmarkEnd w:id="256"/>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60"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4"/>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60"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25"/>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60"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6"/>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60"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7"/>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spacing w:line="360" w:lineRule="auto"/>
        <w:rPr>
          <w:rFonts w:ascii="宋体" w:hAnsi="宋体" w:eastAsia="宋体" w:cs="宋体"/>
          <w:color w:val="000000"/>
        </w:rPr>
      </w:pPr>
    </w:p>
    <w:p>
      <w:pPr>
        <w:spacing w:line="360" w:lineRule="auto"/>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8"/>
                    <a:stretch>
                      <a:fillRect/>
                    </a:stretch>
                  </pic:blipFill>
                  <pic:spPr>
                    <a:xfrm>
                      <a:off x="0" y="0"/>
                      <a:ext cx="5760085" cy="2810122"/>
                    </a:xfrm>
                    <a:prstGeom prst="rect">
                      <a:avLst/>
                    </a:prstGeom>
                  </pic:spPr>
                </pic:pic>
              </a:graphicData>
            </a:graphic>
          </wp:inline>
        </w:drawing>
      </w:r>
    </w:p>
    <w:p>
      <w:pPr>
        <w:pStyle w:val="40"/>
        <w:spacing w:line="360" w:lineRule="auto"/>
        <w:sectPr>
          <w:pgSz w:w="11906" w:h="16838"/>
          <w:pgMar w:top="1587" w:right="1417" w:bottom="1134" w:left="1417" w:header="850" w:footer="992" w:gutter="0"/>
          <w:pgBorders>
            <w:top w:val="none" w:sz="0" w:space="0"/>
            <w:left w:val="none" w:sz="0" w:space="0"/>
            <w:bottom w:val="none" w:sz="0" w:space="0"/>
            <w:right w:val="none" w:sz="0" w:space="0"/>
          </w:pgBorders>
          <w:cols w:space="0" w:num="1"/>
          <w:titlePg/>
          <w:docGrid w:type="lines" w:linePitch="324" w:charSpace="0"/>
        </w:sectPr>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9"/>
                    <a:stretch>
                      <a:fillRect/>
                    </a:stretch>
                  </pic:blipFill>
                  <pic:spPr>
                    <a:xfrm>
                      <a:off x="0" y="0"/>
                      <a:ext cx="5760085" cy="2820042"/>
                    </a:xfrm>
                    <a:prstGeom prst="rect">
                      <a:avLst/>
                    </a:prstGeom>
                  </pic:spPr>
                </pic:pic>
              </a:graphicData>
            </a:graphic>
          </wp:inline>
        </w:drawing>
      </w:r>
    </w:p>
    <w:p>
      <w:pPr>
        <w:pStyle w:val="40"/>
        <w:spacing w:line="360" w:lineRule="auto"/>
        <w:outlineLvl w:val="2"/>
        <w:rPr>
          <w:rFonts w:hAnsi="宋体" w:eastAsia="宋体" w:cs="Times New Roman"/>
          <w:b/>
          <w:color w:val="000000"/>
          <w:sz w:val="24"/>
          <w:szCs w:val="24"/>
        </w:rPr>
      </w:pPr>
      <w:bookmarkStart w:id="257" w:name="_Toc18983"/>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bookmarkEnd w:id="257"/>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31"/>
          <w:rFonts w:hint="eastAsia" w:ascii="宋体" w:hAnsi="宋体" w:eastAsia="宋体" w:cs="宋体"/>
          <w:sz w:val="24"/>
          <w:szCs w:val="24"/>
        </w:rPr>
        <w:t>http://ecaitong.sinotruk.com:8012/</w:t>
      </w:r>
      <w:r>
        <w:rPr>
          <w:rStyle w:val="131"/>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spacing w:line="360" w:lineRule="auto"/>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0"/>
                    <a:stretch>
                      <a:fillRect/>
                    </a:stretch>
                  </pic:blipFill>
                  <pic:spPr>
                    <a:xfrm>
                      <a:off x="0" y="0"/>
                      <a:ext cx="5760085" cy="2269864"/>
                    </a:xfrm>
                    <a:prstGeom prst="rect">
                      <a:avLst/>
                    </a:prstGeom>
                  </pic:spPr>
                </pic:pic>
              </a:graphicData>
            </a:graphic>
          </wp:inline>
        </w:drawing>
      </w:r>
    </w:p>
    <w:p>
      <w:pPr>
        <w:spacing w:line="360" w:lineRule="auto"/>
      </w:pP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spacing w:line="360" w:lineRule="auto"/>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1"/>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pStyle w:val="5"/>
        <w:spacing w:line="360" w:lineRule="auto"/>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2"/>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3"/>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spacing w:line="360" w:lineRule="auto"/>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4"/>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pPr>
        <w:spacing w:line="360" w:lineRule="auto"/>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5"/>
                    <a:stretch>
                      <a:fillRect/>
                    </a:stretch>
                  </pic:blipFill>
                  <pic:spPr>
                    <a:xfrm>
                      <a:off x="0" y="0"/>
                      <a:ext cx="5760085" cy="1956600"/>
                    </a:xfrm>
                    <a:prstGeom prst="rect">
                      <a:avLst/>
                    </a:prstGeom>
                  </pic:spPr>
                </pic:pic>
              </a:graphicData>
            </a:graphic>
          </wp:inline>
        </w:drawing>
      </w:r>
    </w:p>
    <w:p>
      <w:pPr>
        <w:pStyle w:val="40"/>
        <w:spacing w:line="360" w:lineRule="auto"/>
        <w:rPr>
          <w:rFonts w:hAnsi="宋体" w:eastAsia="宋体" w:cs="Times New Roman"/>
          <w:b/>
          <w:color w:val="000000"/>
          <w:sz w:val="24"/>
          <w:szCs w:val="24"/>
        </w:rPr>
      </w:pPr>
    </w:p>
    <w:p>
      <w:pPr>
        <w:pStyle w:val="4"/>
        <w:spacing w:before="120" w:after="120" w:line="360" w:lineRule="exact"/>
        <w:rPr>
          <w:rFonts w:ascii="宋体" w:hAnsi="宋体"/>
          <w:sz w:val="24"/>
          <w:szCs w:val="24"/>
        </w:rPr>
      </w:pPr>
    </w:p>
    <w:p>
      <w:pPr>
        <w:spacing w:line="360" w:lineRule="auto"/>
        <w:rPr>
          <w:sz w:val="24"/>
          <w:szCs w:val="24"/>
          <w:highlight w:val="none"/>
        </w:rPr>
      </w:pPr>
    </w:p>
    <w:p>
      <w:pPr>
        <w:rPr>
          <w:rFonts w:ascii="宋体" w:hAnsi="宋体"/>
          <w:sz w:val="24"/>
          <w:szCs w:val="24"/>
        </w:rPr>
      </w:pPr>
    </w:p>
    <w:sectPr>
      <w:footerReference r:id="rId22" w:type="default"/>
      <w:pgSz w:w="11907" w:h="16840"/>
      <w:pgMar w:top="1785" w:right="1418" w:bottom="1418" w:left="1418" w:header="724" w:footer="851" w:gutter="0"/>
      <w:pgBorders>
        <w:top w:val="none" w:sz="0" w:space="0"/>
        <w:left w:val="none" w:sz="0" w:space="0"/>
        <w:bottom w:val="none" w:sz="0" w:space="0"/>
        <w:right w:val="none" w:sz="0" w:space="0"/>
      </w:pgBorders>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方正大标宋简体">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文鼎大标宋简">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8"/>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vKIwzAgAAZ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dvKIwzAgAAZwQAAA4AAAAAAAAAAQAgAAAAHwEAAGRycy9lMm9Eb2MueG1sUEsF&#10;BgAAAAAGAAYAWQEAAMQFA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dt8kwjICAABnBAAADgAAAAAAAAABACAAAAAfAQAAZHJzL2Uyb0RvYy54bWxQSwUG&#10;AAAAAAYABgBZAQAAwwU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8"/>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O+oYzAgAAZw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MO+oYzAgAAZwQAAA4AAAAAAAAAAQAgAAAAHwEAAGRycy9lMm9Eb2MueG1sUEsF&#10;BgAAAAAGAAYAWQEAAMQFA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20B4zAgAAZw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e20B4zAgAAZwQAAA4AAAAAAAAAAQAgAAAAHwEAAGRycy9lMm9Eb2MueG1sUEsF&#10;BgAAAAAGAAYAWQEAAMQFA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fldChar w:fldCharType="begin"/>
    </w:r>
    <w:r>
      <w:instrText xml:space="preserve"> PAGE   \* MERGEFORMAT </w:instrText>
    </w:r>
    <w:r>
      <w:fldChar w:fldCharType="separate"/>
    </w:r>
    <w:r>
      <w:rPr>
        <w:lang w:val="zh-CN"/>
      </w:rPr>
      <w:t>42</w:t>
    </w:r>
    <w:r>
      <w:rPr>
        <w:lang w:val="zh-CN"/>
      </w:rPr>
      <w:fldChar w:fldCharType="end"/>
    </w:r>
  </w:p>
  <w:p>
    <w:pPr>
      <w:pStyle w:val="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right"/>
    </w:pPr>
    <w:r>
      <w:fldChar w:fldCharType="begin"/>
    </w:r>
    <w:r>
      <w:instrText xml:space="preserve"> PAGE   \* MERGEFORMAT </w:instrText>
    </w:r>
    <w:r>
      <w:fldChar w:fldCharType="separate"/>
    </w:r>
    <w:r>
      <w:rPr>
        <w:lang w:val="zh-CN"/>
      </w:rPr>
      <w:t>2</w:t>
    </w:r>
    <w:r>
      <w:rPr>
        <w:lang w:val="zh-CN"/>
      </w:rPr>
      <w:fldChar w:fldCharType="end"/>
    </w:r>
  </w:p>
  <w:p>
    <w:pPr>
      <w:pStyle w:val="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8"/>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kes0zAgAAZ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vX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Mkes0zAgAAZQQAAA4AAAAAAAAAAQAgAAAAHwEAAGRycy9lMm9Eb2MueG1sUEsF&#10;BgAAAAAGAAYAWQEAAMQFA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8"/>
                          </w:pPr>
                          <w:r>
                            <w:fldChar w:fldCharType="begin"/>
                          </w:r>
                          <w:r>
                            <w:instrText xml:space="preserve"> PAGE  \* MERGEFORMAT </w:instrText>
                          </w:r>
                          <w:r>
                            <w:fldChar w:fldCharType="separate"/>
                          </w:r>
                          <w:r>
                            <w:t>32</w:t>
                          </w:r>
                          <w:r>
                            <w:fldChar w:fldCharType="end"/>
                          </w:r>
                        </w:p>
                      </w:txbxContent>
                    </wps:txbx>
                    <wps:bodyPr wrap="none" lIns="0" tIns="0" rIns="0" bIns="0" upright="0">
                      <a:spAutoFit/>
                    </wps:bodyPr>
                  </wps:wsp>
                </a:graphicData>
              </a:graphic>
            </wp:anchor>
          </w:drawing>
        </mc:Choice>
        <mc:Fallback>
          <w:pict>
            <v:shape id="文本框 105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roGbcsBAACcAwAADgAAAGRycy9lMm9Eb2MueG1srVPNjtMwEL4j8Q6W&#10;79RppUV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rFTaDEcYsDv/z4fvn5+/LrG1lW&#10;NzdZoT5AjYn3AVPT8NYPOXvyAzoz8UFFm79IiWAc9T1f9ZVDIiI/Wq/W6wpDAmPzBXHYw/MQIb2T&#10;3pJsNDTiAIuu/PQB0pg6p+Rqzt9pY9DPa+P+ciBm9rDc+9hjttKwH6bG9749I58eZ99Qh6tOiXnv&#10;UNq8JrMRZ2M/G8cQ9aEre5TrQXhzTNhE6S1XGGGnwji0wm5asLwVj+8l6+Gn2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DK6Bm3LAQAAnAMAAA4AAAAAAAAAAQAgAAAAHgEAAGRycy9lMm9E&#10;b2MueG1sUEsFBgAAAAAGAAYAWQEAAFsFAAAAAA==&#10;">
              <v:fill on="f" focussize="0,0"/>
              <v:stroke on="f"/>
              <v:imagedata o:title=""/>
              <o:lock v:ext="edit" aspectratio="f"/>
              <v:textbox inset="0mm,0mm,0mm,0mm" style="mso-fit-shape-to-text:t;">
                <w:txbxContent>
                  <w:p>
                    <w:pPr>
                      <w:pStyle w:val="48"/>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8"/>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38ADICAABnBAAADgAAAAAAAAABACAAAAAfAQAAZHJzL2Uyb0RvYy54bWxQSwUG&#10;AAAAAAYABgBZAQAAwwU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8"/>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IsIkQzAgAAZwQAAA4AAAAAAAAAAQAgAAAAHwEAAGRycy9lMm9Eb2MueG1sUEsF&#10;BgAAAAAGAAYAWQEAAMQFA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cS0EzAgAAZ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gcS0EzAgAAZwQAAA4AAAAAAAAAAQAgAAAAHwEAAGRycy9lMm9Eb2MueG1sUEsF&#10;BgAAAAAGAAYAWQEAAMQFA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8"/>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3NlQUzAgAAZwQAAA4AAAAAAAAAAQAgAAAAHwEAAGRycy9lMm9Eb2MueG1sUEsF&#10;BgAAAAAGAAYAWQEAAMQFA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or72yDICAABnBAAADgAAAAAAAAABACAAAAAfAQAAZHJzL2Uyb0RvYy54bWxQSwUG&#10;AAAAAAYABgBZAQAAwwU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0"/>
      </w:pBdr>
    </w:pPr>
    <w:r>
      <w:pict>
        <v:shape id="PowerPlusWaterMarkObject15868896" o:spid="_x0000_s3073" o:spt="136" type="#_x0000_t136" style="position:absolute;left:0pt;margin-left:435.1pt;margin-top:422.95pt;height:14pt;width:118pt;mso-position-horizontal-relative:margin;mso-position-vertical-relative:margin;rotation:-2949120f;z-index:-251623424;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5760289" o:spid="_x0000_s3074" o:spt="136" type="#_x0000_t136" style="position:absolute;left:0pt;margin-left:330.45pt;margin-top:527.6pt;height:14pt;width:118pt;mso-position-horizontal-relative:margin;mso-position-vertical-relative:margin;rotation:-2949120f;z-index:-251624448;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5043341" o:spid="_x0000_s3075" o:spt="136" type="#_x0000_t136" style="position:absolute;left:0pt;margin-left:225.75pt;margin-top:632.25pt;height:14pt;width:118pt;mso-position-horizontal-relative:margin;mso-position-vertical-relative:margin;rotation:-2949120f;z-index:-251625472;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4157878" o:spid="_x0000_s3076" o:spt="136" type="#_x0000_t136" style="position:absolute;left:0pt;margin-left:121.1pt;margin-top:736.9pt;height:14pt;width:118pt;mso-position-horizontal-relative:margin;mso-position-vertical-relative:margin;rotation:-2949120f;z-index:-251626496;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3416324" o:spid="_x0000_s3077" o:spt="136" type="#_x0000_t136" style="position:absolute;left:0pt;margin-left:435.1pt;margin-top:63.6pt;height:14pt;width:118pt;mso-position-horizontal-relative:margin;mso-position-vertical-relative:margin;rotation:-2949120f;z-index:-251627520;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2908651" o:spid="_x0000_s3078" o:spt="136" type="#_x0000_t136" style="position:absolute;left:0pt;margin-left:330.45pt;margin-top:168.25pt;height:14pt;width:118pt;mso-position-horizontal-relative:margin;mso-position-vertical-relative:margin;rotation:-2949120f;z-index:-251628544;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1915366" o:spid="_x0000_s3079" o:spt="136" type="#_x0000_t136" style="position:absolute;left:0pt;margin-left:225.75pt;margin-top:272.9pt;height:14pt;width:118pt;mso-position-horizontal-relative:margin;mso-position-vertical-relative:margin;rotation:-2949120f;z-index:-251629568;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0963225" o:spid="_x0000_s3080" o:spt="136" type="#_x0000_t136" style="position:absolute;left:0pt;margin-left:121.1pt;margin-top:377.55pt;height:14pt;width:118pt;mso-position-horizontal-relative:margin;mso-position-vertical-relative:margin;rotation:-2949120f;z-index:-251630592;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0938810" o:spid="_x0000_s3081" o:spt="136" type="#_x0000_t136" style="position:absolute;left:0pt;margin-left:16.45pt;margin-top:482.2pt;height:14pt;width:118pt;mso-position-horizontal-relative:margin;mso-position-vertical-relative:margin;rotation:-2949120f;z-index:-251631616;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0211276" o:spid="_x0000_s3082" o:spt="136" type="#_x0000_t136" style="position:absolute;left:0pt;margin-left:-88.2pt;margin-top:586.9pt;height:14pt;width:118pt;mso-position-horizontal-relative:margin;mso-position-vertical-relative:margin;rotation:-2949120f;z-index:-251632640;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9807980" o:spid="_x0000_s3083" o:spt="136" type="#_x0000_t136" style="position:absolute;left:0pt;margin-left:225.75pt;margin-top:-86.4pt;height:14pt;width:118pt;mso-position-horizontal-relative:margin;mso-position-vertical-relative:margin;rotation:-2949120f;z-index:-251633664;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9622091" o:spid="_x0000_s3084" o:spt="136" type="#_x0000_t136" style="position:absolute;left:0pt;margin-left:121.1pt;margin-top:18.25pt;height:14pt;width:118pt;mso-position-horizontal-relative:margin;mso-position-vertical-relative:margin;rotation:-2949120f;z-index:-251634688;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9037723" o:spid="_x0000_s3085" o:spt="136" type="#_x0000_t136" style="position:absolute;left:0pt;margin-left:16.45pt;margin-top:122.9pt;height:14pt;width:118pt;mso-position-horizontal-relative:margin;mso-position-vertical-relative:margin;rotation:-2949120f;z-index:-251635712;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8392260" o:spid="_x0000_s3086" o:spt="136" type="#_x0000_t136" style="position:absolute;left:0pt;margin-left:-88.2pt;margin-top:227.55pt;height:14pt;width:118pt;mso-position-horizontal-relative:margin;mso-position-vertical-relative:margin;rotation:-2949120f;z-index:-251636736;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3700759" o:spid="_x0000_s3087" o:spt="136" type="#_x0000_t136" style="position:absolute;left:0pt;margin-left:435.1pt;margin-top:422.95pt;height:14pt;width:118pt;mso-position-horizontal-relative:margin;mso-position-vertical-relative:margin;rotation:-2949120f;z-index:-251637760;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12836617" o:spid="_x0000_s3088" o:spt="136" type="#_x0000_t136" style="position:absolute;left:0pt;margin-left:330.45pt;margin-top:527.6pt;height:14pt;width:118pt;mso-position-horizontal-relative:margin;mso-position-vertical-relative:margin;rotation:-2949120f;z-index:-251638784;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11933171" o:spid="_x0000_s3089" o:spt="136" type="#_x0000_t136" style="position:absolute;left:0pt;margin-left:225.75pt;margin-top:632.25pt;height:14pt;width:118pt;mso-position-horizontal-relative:margin;mso-position-vertical-relative:margin;rotation:-2949120f;z-index:-251639808;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11166471" o:spid="_x0000_s3090" o:spt="136" type="#_x0000_t136" style="position:absolute;left:0pt;margin-left:121.1pt;margin-top:736.9pt;height:14pt;width:118pt;mso-position-horizontal-relative:margin;mso-position-vertical-relative:margin;rotation:-2949120f;z-index:-251640832;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10841569" o:spid="_x0000_s3091" o:spt="136" type="#_x0000_t136" style="position:absolute;left:0pt;margin-left:435.1pt;margin-top:63.6pt;height:14pt;width:118pt;mso-position-horizontal-relative:margin;mso-position-vertical-relative:margin;rotation:-2949120f;z-index:-251641856;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10549219" o:spid="_x0000_s3092" o:spt="136" type="#_x0000_t136" style="position:absolute;left:0pt;margin-left:330.45pt;margin-top:168.25pt;height:14pt;width:118pt;mso-position-horizontal-relative:margin;mso-position-vertical-relative:margin;rotation:-2949120f;z-index:-251642880;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9744524" o:spid="_x0000_s3093" o:spt="136" type="#_x0000_t136" style="position:absolute;left:0pt;margin-left:225.75pt;margin-top:272.9pt;height:14pt;width:118pt;mso-position-horizontal-relative:margin;mso-position-vertical-relative:margin;rotation:-2949120f;z-index:-251643904;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9528084" o:spid="_x0000_s3094" o:spt="136" type="#_x0000_t136" style="position:absolute;left:0pt;margin-left:121.1pt;margin-top:377.55pt;height:14pt;width:118pt;mso-position-horizontal-relative:margin;mso-position-vertical-relative:margin;rotation:-2949120f;z-index:-251644928;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9073006" o:spid="_x0000_s3095" o:spt="136" type="#_x0000_t136" style="position:absolute;left:0pt;margin-left:16.45pt;margin-top:482.2pt;height:14pt;width:118pt;mso-position-horizontal-relative:margin;mso-position-vertical-relative:margin;rotation:-2949120f;z-index:-251645952;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8207678" o:spid="_x0000_s3096" o:spt="136" type="#_x0000_t136" style="position:absolute;left:0pt;margin-left:-88.2pt;margin-top:586.9pt;height:14pt;width:118pt;mso-position-horizontal-relative:margin;mso-position-vertical-relative:margin;rotation:-2949120f;z-index:-251646976;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7505237" o:spid="_x0000_s3097" o:spt="136" type="#_x0000_t136" style="position:absolute;left:0pt;margin-left:225.75pt;margin-top:-86.4pt;height:14pt;width:118pt;mso-position-horizontal-relative:margin;mso-position-vertical-relative:margin;rotation:-2949120f;z-index:-251648000;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7346918" o:spid="_x0000_s3098" o:spt="136" type="#_x0000_t136" style="position:absolute;left:0pt;margin-left:121.1pt;margin-top:18.25pt;height:14pt;width:118pt;mso-position-horizontal-relative:margin;mso-position-vertical-relative:margin;rotation:-2949120f;z-index:-251649024;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7237884" o:spid="_x0000_s3099" o:spt="136" type="#_x0000_t136" style="position:absolute;left:0pt;margin-left:16.45pt;margin-top:122.9pt;height:14pt;width:118pt;mso-position-horizontal-relative:margin;mso-position-vertical-relative:margin;rotation:-2949120f;z-index:-251650048;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6790698" o:spid="_x0000_s3100" o:spt="136" type="#_x0000_t136" style="position:absolute;left:0pt;margin-left:-88.2pt;margin-top:227.55pt;height:14pt;width:118pt;mso-position-horizontal-relative:margin;mso-position-vertical-relative:margin;rotation:-2949120f;z-index:-251651072;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F1670546"/>
    <w:multiLevelType w:val="singleLevel"/>
    <w:tmpl w:val="F1670546"/>
    <w:lvl w:ilvl="0" w:tentative="0">
      <w:start w:val="1"/>
      <w:numFmt w:val="decimal"/>
      <w:suff w:val="nothing"/>
      <w:lvlText w:val="（%1）"/>
      <w:lvlJc w:val="left"/>
    </w:lvl>
  </w:abstractNum>
  <w:abstractNum w:abstractNumId="4">
    <w:nsid w:val="0053208E"/>
    <w:multiLevelType w:val="multilevel"/>
    <w:tmpl w:val="0053208E"/>
    <w:lvl w:ilvl="0" w:tentative="0">
      <w:start w:val="1"/>
      <w:numFmt w:val="bullet"/>
      <w:pStyle w:val="159"/>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0BA65D46"/>
    <w:multiLevelType w:val="singleLevel"/>
    <w:tmpl w:val="0BA65D46"/>
    <w:lvl w:ilvl="0" w:tentative="0">
      <w:start w:val="5"/>
      <w:numFmt w:val="decimal"/>
      <w:suff w:val="space"/>
      <w:lvlText w:val="%1)"/>
      <w:lvlJc w:val="left"/>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24B58D3"/>
    <w:multiLevelType w:val="multilevel"/>
    <w:tmpl w:val="224B58D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9">
    <w:nsid w:val="229F5DE5"/>
    <w:multiLevelType w:val="multilevel"/>
    <w:tmpl w:val="229F5DE5"/>
    <w:lvl w:ilvl="0" w:tentative="0">
      <w:start w:val="3"/>
      <w:numFmt w:val="decimal"/>
      <w:pStyle w:val="42"/>
      <w:lvlText w:val="%1．"/>
      <w:lvlJc w:val="left"/>
      <w:pPr>
        <w:tabs>
          <w:tab w:val="left" w:pos="360"/>
        </w:tabs>
        <w:ind w:left="360" w:hanging="360"/>
      </w:pPr>
      <w:rPr>
        <w:rFonts w:hint="default" w:cs="Times New Roman"/>
      </w:rPr>
    </w:lvl>
    <w:lvl w:ilvl="1" w:tentative="0">
      <w:start w:val="1"/>
      <w:numFmt w:val="lowerLetter"/>
      <w:pStyle w:val="234"/>
      <w:lvlText w:val="%2)"/>
      <w:lvlJc w:val="left"/>
      <w:pPr>
        <w:tabs>
          <w:tab w:val="left" w:pos="840"/>
        </w:tabs>
        <w:ind w:left="840" w:hanging="420"/>
      </w:pPr>
      <w:rPr>
        <w:rFonts w:cs="Times New Roman"/>
      </w:rPr>
    </w:lvl>
    <w:lvl w:ilvl="2" w:tentative="0">
      <w:start w:val="1"/>
      <w:numFmt w:val="lowerRoman"/>
      <w:pStyle w:val="237"/>
      <w:lvlText w:val="%3."/>
      <w:lvlJc w:val="right"/>
      <w:pPr>
        <w:tabs>
          <w:tab w:val="left" w:pos="1260"/>
        </w:tabs>
        <w:ind w:left="1260" w:hanging="420"/>
      </w:pPr>
      <w:rPr>
        <w:rFonts w:cs="Times New Roman"/>
      </w:rPr>
    </w:lvl>
    <w:lvl w:ilvl="3" w:tentative="0">
      <w:start w:val="1"/>
      <w:numFmt w:val="decimal"/>
      <w:pStyle w:val="162"/>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pStyle w:val="166"/>
      <w:lvlText w:val="%6."/>
      <w:lvlJc w:val="right"/>
      <w:pPr>
        <w:tabs>
          <w:tab w:val="left" w:pos="2520"/>
        </w:tabs>
        <w:ind w:left="2520" w:hanging="420"/>
      </w:pPr>
      <w:rPr>
        <w:rFonts w:cs="Times New Roman"/>
      </w:rPr>
    </w:lvl>
    <w:lvl w:ilvl="6" w:tentative="0">
      <w:start w:val="1"/>
      <w:numFmt w:val="decimal"/>
      <w:pStyle w:val="141"/>
      <w:lvlText w:val="%7."/>
      <w:lvlJc w:val="left"/>
      <w:pPr>
        <w:tabs>
          <w:tab w:val="left" w:pos="2940"/>
        </w:tabs>
        <w:ind w:left="2940" w:hanging="420"/>
      </w:pPr>
      <w:rPr>
        <w:rFonts w:cs="Times New Roman"/>
      </w:rPr>
    </w:lvl>
    <w:lvl w:ilvl="7" w:tentative="0">
      <w:start w:val="1"/>
      <w:numFmt w:val="lowerLetter"/>
      <w:pStyle w:val="239"/>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53F7654C"/>
    <w:multiLevelType w:val="multilevel"/>
    <w:tmpl w:val="53F7654C"/>
    <w:lvl w:ilvl="0" w:tentative="0">
      <w:start w:val="1"/>
      <w:numFmt w:val="decimal"/>
      <w:lvlText w:val="%1、"/>
      <w:lvlJc w:val="left"/>
      <w:pPr>
        <w:tabs>
          <w:tab w:val="left" w:pos="360"/>
        </w:tabs>
        <w:ind w:left="360" w:hanging="360"/>
      </w:pPr>
      <w:rPr>
        <w:rFonts w:hint="default" w:cs="Times New Roman"/>
      </w:rPr>
    </w:lvl>
    <w:lvl w:ilvl="1" w:tentative="0">
      <w:start w:val="1"/>
      <w:numFmt w:val="lowerLetter"/>
      <w:pStyle w:val="151"/>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
    <w:nsid w:val="5CBF4B38"/>
    <w:multiLevelType w:val="singleLevel"/>
    <w:tmpl w:val="5CBF4B38"/>
    <w:lvl w:ilvl="0" w:tentative="0">
      <w:start w:val="1"/>
      <w:numFmt w:val="bullet"/>
      <w:pStyle w:val="165"/>
      <w:lvlText w:val="-"/>
      <w:lvlJc w:val="left"/>
      <w:pPr>
        <w:tabs>
          <w:tab w:val="left" w:pos="360"/>
        </w:tabs>
        <w:ind w:left="360" w:hanging="360"/>
      </w:pPr>
      <w:rPr>
        <w:sz w:val="16"/>
      </w:rPr>
    </w:lvl>
  </w:abstractNum>
  <w:abstractNum w:abstractNumId="14">
    <w:nsid w:val="5D7A57DD"/>
    <w:multiLevelType w:val="multilevel"/>
    <w:tmpl w:val="5D7A57DD"/>
    <w:lvl w:ilvl="0" w:tentative="0">
      <w:start w:val="1"/>
      <w:numFmt w:val="decimal"/>
      <w:lvlText w:val="%1、"/>
      <w:lvlJc w:val="left"/>
      <w:pPr>
        <w:tabs>
          <w:tab w:val="left" w:pos="840"/>
        </w:tabs>
        <w:ind w:left="840" w:hanging="360"/>
      </w:pPr>
      <w:rPr>
        <w:rFonts w:hint="default"/>
      </w:rPr>
    </w:lvl>
    <w:lvl w:ilvl="1" w:tentative="0">
      <w:start w:val="1"/>
      <w:numFmt w:val="lowerLetter"/>
      <w:pStyle w:val="249"/>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9"/>
  </w:num>
  <w:num w:numId="2">
    <w:abstractNumId w:val="12"/>
  </w:num>
  <w:num w:numId="3">
    <w:abstractNumId w:val="4"/>
  </w:num>
  <w:num w:numId="4">
    <w:abstractNumId w:val="13"/>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 w:numId="8">
    <w:abstractNumId w:val="1"/>
  </w:num>
  <w:num w:numId="9">
    <w:abstractNumId w:val="7"/>
  </w:num>
  <w:num w:numId="10">
    <w:abstractNumId w:val="5"/>
  </w:num>
  <w:num w:numId="11">
    <w:abstractNumId w:val="11"/>
  </w:num>
  <w:num w:numId="12">
    <w:abstractNumId w:val="2"/>
  </w:num>
  <w:num w:numId="13">
    <w:abstractNumId w:val="10"/>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oNotHyphenateCaps/>
  <w:drawingGridHorizontalSpacing w:val="191"/>
  <w:drawingGridVerticalSpacing w:val="145"/>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wMGY1YTdiNGZkNWNlNjk3MDRhNTZmYTg3Nzk2YzYifQ=="/>
  </w:docVars>
  <w:rsids>
    <w:rsidRoot w:val="00B9162F"/>
    <w:rsid w:val="000009EA"/>
    <w:rsid w:val="00002009"/>
    <w:rsid w:val="00002033"/>
    <w:rsid w:val="00002350"/>
    <w:rsid w:val="000027CE"/>
    <w:rsid w:val="00003140"/>
    <w:rsid w:val="00003C74"/>
    <w:rsid w:val="00003D85"/>
    <w:rsid w:val="00006123"/>
    <w:rsid w:val="000066A8"/>
    <w:rsid w:val="00007080"/>
    <w:rsid w:val="000070BA"/>
    <w:rsid w:val="00007373"/>
    <w:rsid w:val="00007867"/>
    <w:rsid w:val="00007958"/>
    <w:rsid w:val="00007C4C"/>
    <w:rsid w:val="00007F75"/>
    <w:rsid w:val="0001010F"/>
    <w:rsid w:val="000107DF"/>
    <w:rsid w:val="00010AF1"/>
    <w:rsid w:val="00010B83"/>
    <w:rsid w:val="00010C65"/>
    <w:rsid w:val="000110E0"/>
    <w:rsid w:val="00012350"/>
    <w:rsid w:val="00012AD5"/>
    <w:rsid w:val="00012D90"/>
    <w:rsid w:val="00012F69"/>
    <w:rsid w:val="0001316F"/>
    <w:rsid w:val="000132D4"/>
    <w:rsid w:val="00013F12"/>
    <w:rsid w:val="00013F6C"/>
    <w:rsid w:val="00014205"/>
    <w:rsid w:val="000146C2"/>
    <w:rsid w:val="00015085"/>
    <w:rsid w:val="00015188"/>
    <w:rsid w:val="000154D7"/>
    <w:rsid w:val="00015F0B"/>
    <w:rsid w:val="00016B7F"/>
    <w:rsid w:val="00016FFA"/>
    <w:rsid w:val="00017221"/>
    <w:rsid w:val="0001728C"/>
    <w:rsid w:val="000175BE"/>
    <w:rsid w:val="00017880"/>
    <w:rsid w:val="00020067"/>
    <w:rsid w:val="0002130D"/>
    <w:rsid w:val="0002169C"/>
    <w:rsid w:val="000216B9"/>
    <w:rsid w:val="000222C4"/>
    <w:rsid w:val="00022410"/>
    <w:rsid w:val="00022462"/>
    <w:rsid w:val="000230FC"/>
    <w:rsid w:val="00023291"/>
    <w:rsid w:val="000233AD"/>
    <w:rsid w:val="0002350F"/>
    <w:rsid w:val="00023610"/>
    <w:rsid w:val="00023ED5"/>
    <w:rsid w:val="00024366"/>
    <w:rsid w:val="0002456C"/>
    <w:rsid w:val="0002479A"/>
    <w:rsid w:val="00024840"/>
    <w:rsid w:val="00024854"/>
    <w:rsid w:val="00024AB5"/>
    <w:rsid w:val="00024EE4"/>
    <w:rsid w:val="0002506A"/>
    <w:rsid w:val="00025CF8"/>
    <w:rsid w:val="00026173"/>
    <w:rsid w:val="00026290"/>
    <w:rsid w:val="000267E1"/>
    <w:rsid w:val="00026871"/>
    <w:rsid w:val="000279A8"/>
    <w:rsid w:val="00027BB0"/>
    <w:rsid w:val="00031311"/>
    <w:rsid w:val="00031679"/>
    <w:rsid w:val="000318B5"/>
    <w:rsid w:val="000319A9"/>
    <w:rsid w:val="00031F00"/>
    <w:rsid w:val="000329A4"/>
    <w:rsid w:val="00032B55"/>
    <w:rsid w:val="00032BAF"/>
    <w:rsid w:val="00033020"/>
    <w:rsid w:val="00033562"/>
    <w:rsid w:val="00034281"/>
    <w:rsid w:val="000345A3"/>
    <w:rsid w:val="00034C7F"/>
    <w:rsid w:val="00034D65"/>
    <w:rsid w:val="00034DD1"/>
    <w:rsid w:val="00034DE1"/>
    <w:rsid w:val="00034DFD"/>
    <w:rsid w:val="000350C2"/>
    <w:rsid w:val="000352BA"/>
    <w:rsid w:val="0003571A"/>
    <w:rsid w:val="00035833"/>
    <w:rsid w:val="00035CEB"/>
    <w:rsid w:val="0003624D"/>
    <w:rsid w:val="00036624"/>
    <w:rsid w:val="00036707"/>
    <w:rsid w:val="0003772C"/>
    <w:rsid w:val="00037A2B"/>
    <w:rsid w:val="00037B8E"/>
    <w:rsid w:val="00040C8C"/>
    <w:rsid w:val="00040F52"/>
    <w:rsid w:val="00041204"/>
    <w:rsid w:val="00041249"/>
    <w:rsid w:val="00041C7D"/>
    <w:rsid w:val="000426F9"/>
    <w:rsid w:val="00042716"/>
    <w:rsid w:val="00042F7C"/>
    <w:rsid w:val="000434AA"/>
    <w:rsid w:val="000435A1"/>
    <w:rsid w:val="00043EA2"/>
    <w:rsid w:val="00043F53"/>
    <w:rsid w:val="0004438B"/>
    <w:rsid w:val="000448E4"/>
    <w:rsid w:val="00045404"/>
    <w:rsid w:val="000455C4"/>
    <w:rsid w:val="00045774"/>
    <w:rsid w:val="00046208"/>
    <w:rsid w:val="00046A50"/>
    <w:rsid w:val="00046D8A"/>
    <w:rsid w:val="00046F00"/>
    <w:rsid w:val="00046F1B"/>
    <w:rsid w:val="00047180"/>
    <w:rsid w:val="0004719A"/>
    <w:rsid w:val="000471EC"/>
    <w:rsid w:val="00047582"/>
    <w:rsid w:val="000478F5"/>
    <w:rsid w:val="000503C1"/>
    <w:rsid w:val="000508F9"/>
    <w:rsid w:val="0005095A"/>
    <w:rsid w:val="00050C78"/>
    <w:rsid w:val="00050D52"/>
    <w:rsid w:val="00052447"/>
    <w:rsid w:val="000524A5"/>
    <w:rsid w:val="000525EB"/>
    <w:rsid w:val="00052AAC"/>
    <w:rsid w:val="000533A2"/>
    <w:rsid w:val="00053C01"/>
    <w:rsid w:val="00054386"/>
    <w:rsid w:val="000544A9"/>
    <w:rsid w:val="000546B1"/>
    <w:rsid w:val="000549AA"/>
    <w:rsid w:val="00054DBF"/>
    <w:rsid w:val="00054E7E"/>
    <w:rsid w:val="00055043"/>
    <w:rsid w:val="000557E4"/>
    <w:rsid w:val="000557FE"/>
    <w:rsid w:val="000559CF"/>
    <w:rsid w:val="00055A2F"/>
    <w:rsid w:val="00055BF8"/>
    <w:rsid w:val="00056BAC"/>
    <w:rsid w:val="00056C57"/>
    <w:rsid w:val="00056D9E"/>
    <w:rsid w:val="00060555"/>
    <w:rsid w:val="00060975"/>
    <w:rsid w:val="0006100D"/>
    <w:rsid w:val="0006144D"/>
    <w:rsid w:val="00061477"/>
    <w:rsid w:val="00061AB5"/>
    <w:rsid w:val="00062007"/>
    <w:rsid w:val="0006264A"/>
    <w:rsid w:val="00062ADB"/>
    <w:rsid w:val="00064C64"/>
    <w:rsid w:val="000650E5"/>
    <w:rsid w:val="000651F7"/>
    <w:rsid w:val="00065ED1"/>
    <w:rsid w:val="00066261"/>
    <w:rsid w:val="0006648F"/>
    <w:rsid w:val="000668CA"/>
    <w:rsid w:val="00066DEF"/>
    <w:rsid w:val="0006738C"/>
    <w:rsid w:val="00067493"/>
    <w:rsid w:val="00067AEC"/>
    <w:rsid w:val="00070205"/>
    <w:rsid w:val="000703B4"/>
    <w:rsid w:val="00070D6B"/>
    <w:rsid w:val="00071163"/>
    <w:rsid w:val="000716E2"/>
    <w:rsid w:val="0007186A"/>
    <w:rsid w:val="000719ED"/>
    <w:rsid w:val="00071A6C"/>
    <w:rsid w:val="00072497"/>
    <w:rsid w:val="0007255D"/>
    <w:rsid w:val="00072965"/>
    <w:rsid w:val="00073178"/>
    <w:rsid w:val="000731EE"/>
    <w:rsid w:val="0007345D"/>
    <w:rsid w:val="000737CF"/>
    <w:rsid w:val="0007576A"/>
    <w:rsid w:val="0007590B"/>
    <w:rsid w:val="00075D21"/>
    <w:rsid w:val="0007642E"/>
    <w:rsid w:val="0007697F"/>
    <w:rsid w:val="000769BA"/>
    <w:rsid w:val="00076C5A"/>
    <w:rsid w:val="00076E8E"/>
    <w:rsid w:val="00077566"/>
    <w:rsid w:val="0007764A"/>
    <w:rsid w:val="00077754"/>
    <w:rsid w:val="0007775E"/>
    <w:rsid w:val="00077888"/>
    <w:rsid w:val="0008005E"/>
    <w:rsid w:val="00080965"/>
    <w:rsid w:val="00081462"/>
    <w:rsid w:val="00081F56"/>
    <w:rsid w:val="00081FE6"/>
    <w:rsid w:val="00082191"/>
    <w:rsid w:val="000822B6"/>
    <w:rsid w:val="000823C8"/>
    <w:rsid w:val="00082719"/>
    <w:rsid w:val="000827EC"/>
    <w:rsid w:val="00082A06"/>
    <w:rsid w:val="0008312C"/>
    <w:rsid w:val="000835DC"/>
    <w:rsid w:val="00083B66"/>
    <w:rsid w:val="00083C98"/>
    <w:rsid w:val="00083E13"/>
    <w:rsid w:val="00084395"/>
    <w:rsid w:val="0008495C"/>
    <w:rsid w:val="00084C50"/>
    <w:rsid w:val="0008520E"/>
    <w:rsid w:val="00085895"/>
    <w:rsid w:val="0008607A"/>
    <w:rsid w:val="00086409"/>
    <w:rsid w:val="00086F32"/>
    <w:rsid w:val="00087790"/>
    <w:rsid w:val="00087A0D"/>
    <w:rsid w:val="00087EDB"/>
    <w:rsid w:val="0009000E"/>
    <w:rsid w:val="0009162A"/>
    <w:rsid w:val="00091E02"/>
    <w:rsid w:val="00092581"/>
    <w:rsid w:val="00093A61"/>
    <w:rsid w:val="00093CAE"/>
    <w:rsid w:val="000943A0"/>
    <w:rsid w:val="0009481E"/>
    <w:rsid w:val="00094F8C"/>
    <w:rsid w:val="000955F3"/>
    <w:rsid w:val="0009573C"/>
    <w:rsid w:val="000963D3"/>
    <w:rsid w:val="000974FB"/>
    <w:rsid w:val="00097F0C"/>
    <w:rsid w:val="000A01B4"/>
    <w:rsid w:val="000A054E"/>
    <w:rsid w:val="000A0933"/>
    <w:rsid w:val="000A0AC8"/>
    <w:rsid w:val="000A0EDF"/>
    <w:rsid w:val="000A1162"/>
    <w:rsid w:val="000A11F7"/>
    <w:rsid w:val="000A123A"/>
    <w:rsid w:val="000A153B"/>
    <w:rsid w:val="000A1957"/>
    <w:rsid w:val="000A1D61"/>
    <w:rsid w:val="000A22DD"/>
    <w:rsid w:val="000A3066"/>
    <w:rsid w:val="000A30DF"/>
    <w:rsid w:val="000A33F3"/>
    <w:rsid w:val="000A4279"/>
    <w:rsid w:val="000A43CC"/>
    <w:rsid w:val="000A446B"/>
    <w:rsid w:val="000A4E21"/>
    <w:rsid w:val="000A501B"/>
    <w:rsid w:val="000A5966"/>
    <w:rsid w:val="000A59D6"/>
    <w:rsid w:val="000A5B54"/>
    <w:rsid w:val="000A6404"/>
    <w:rsid w:val="000A6D07"/>
    <w:rsid w:val="000A738D"/>
    <w:rsid w:val="000A7A27"/>
    <w:rsid w:val="000A7B1B"/>
    <w:rsid w:val="000B05E1"/>
    <w:rsid w:val="000B0837"/>
    <w:rsid w:val="000B0DC1"/>
    <w:rsid w:val="000B15E3"/>
    <w:rsid w:val="000B1AE1"/>
    <w:rsid w:val="000B1E62"/>
    <w:rsid w:val="000B2160"/>
    <w:rsid w:val="000B22F9"/>
    <w:rsid w:val="000B235B"/>
    <w:rsid w:val="000B2D0E"/>
    <w:rsid w:val="000B31E3"/>
    <w:rsid w:val="000B32ED"/>
    <w:rsid w:val="000B33BA"/>
    <w:rsid w:val="000B3C69"/>
    <w:rsid w:val="000B403D"/>
    <w:rsid w:val="000B4653"/>
    <w:rsid w:val="000B46A8"/>
    <w:rsid w:val="000B47E5"/>
    <w:rsid w:val="000B499E"/>
    <w:rsid w:val="000B5380"/>
    <w:rsid w:val="000B5F78"/>
    <w:rsid w:val="000B68A8"/>
    <w:rsid w:val="000B6CFE"/>
    <w:rsid w:val="000B6F17"/>
    <w:rsid w:val="000B74F9"/>
    <w:rsid w:val="000B796D"/>
    <w:rsid w:val="000C0035"/>
    <w:rsid w:val="000C013C"/>
    <w:rsid w:val="000C02B3"/>
    <w:rsid w:val="000C0C09"/>
    <w:rsid w:val="000C147E"/>
    <w:rsid w:val="000C1482"/>
    <w:rsid w:val="000C176E"/>
    <w:rsid w:val="000C2810"/>
    <w:rsid w:val="000C290D"/>
    <w:rsid w:val="000C29D9"/>
    <w:rsid w:val="000C2C3A"/>
    <w:rsid w:val="000C321A"/>
    <w:rsid w:val="000C4FDF"/>
    <w:rsid w:val="000C570B"/>
    <w:rsid w:val="000C5CF9"/>
    <w:rsid w:val="000C5F02"/>
    <w:rsid w:val="000C6059"/>
    <w:rsid w:val="000C6443"/>
    <w:rsid w:val="000C646F"/>
    <w:rsid w:val="000C6631"/>
    <w:rsid w:val="000C69EA"/>
    <w:rsid w:val="000C6C9A"/>
    <w:rsid w:val="000C722B"/>
    <w:rsid w:val="000C7332"/>
    <w:rsid w:val="000C7362"/>
    <w:rsid w:val="000C749A"/>
    <w:rsid w:val="000C771F"/>
    <w:rsid w:val="000C773F"/>
    <w:rsid w:val="000C7D3D"/>
    <w:rsid w:val="000C7D67"/>
    <w:rsid w:val="000C7E61"/>
    <w:rsid w:val="000D04BD"/>
    <w:rsid w:val="000D05AB"/>
    <w:rsid w:val="000D1FBB"/>
    <w:rsid w:val="000D2114"/>
    <w:rsid w:val="000D2284"/>
    <w:rsid w:val="000D2CCE"/>
    <w:rsid w:val="000D2D73"/>
    <w:rsid w:val="000D3C96"/>
    <w:rsid w:val="000D568C"/>
    <w:rsid w:val="000D58DE"/>
    <w:rsid w:val="000D59D3"/>
    <w:rsid w:val="000D688A"/>
    <w:rsid w:val="000D6999"/>
    <w:rsid w:val="000D78F9"/>
    <w:rsid w:val="000D7987"/>
    <w:rsid w:val="000E0831"/>
    <w:rsid w:val="000E0C5A"/>
    <w:rsid w:val="000E1280"/>
    <w:rsid w:val="000E1772"/>
    <w:rsid w:val="000E1775"/>
    <w:rsid w:val="000E1A51"/>
    <w:rsid w:val="000E1B8E"/>
    <w:rsid w:val="000E2110"/>
    <w:rsid w:val="000E2215"/>
    <w:rsid w:val="000E2509"/>
    <w:rsid w:val="000E2F0D"/>
    <w:rsid w:val="000E3179"/>
    <w:rsid w:val="000E32FD"/>
    <w:rsid w:val="000E3DCB"/>
    <w:rsid w:val="000E402C"/>
    <w:rsid w:val="000E41B2"/>
    <w:rsid w:val="000E446E"/>
    <w:rsid w:val="000E4631"/>
    <w:rsid w:val="000E4698"/>
    <w:rsid w:val="000E4BEC"/>
    <w:rsid w:val="000E4F3D"/>
    <w:rsid w:val="000E512D"/>
    <w:rsid w:val="000E5658"/>
    <w:rsid w:val="000E5982"/>
    <w:rsid w:val="000E5E86"/>
    <w:rsid w:val="000E60B9"/>
    <w:rsid w:val="000E62A5"/>
    <w:rsid w:val="000E6470"/>
    <w:rsid w:val="000E6715"/>
    <w:rsid w:val="000E6BA2"/>
    <w:rsid w:val="000E6C2C"/>
    <w:rsid w:val="000E72F4"/>
    <w:rsid w:val="000F0B7A"/>
    <w:rsid w:val="000F0DF8"/>
    <w:rsid w:val="000F0E1F"/>
    <w:rsid w:val="000F12D9"/>
    <w:rsid w:val="000F168C"/>
    <w:rsid w:val="000F2474"/>
    <w:rsid w:val="000F2A9B"/>
    <w:rsid w:val="000F2C66"/>
    <w:rsid w:val="000F2E7D"/>
    <w:rsid w:val="000F329D"/>
    <w:rsid w:val="000F35ED"/>
    <w:rsid w:val="000F3602"/>
    <w:rsid w:val="000F3A6A"/>
    <w:rsid w:val="000F4A24"/>
    <w:rsid w:val="000F4FD5"/>
    <w:rsid w:val="000F5110"/>
    <w:rsid w:val="000F5767"/>
    <w:rsid w:val="000F5887"/>
    <w:rsid w:val="000F678D"/>
    <w:rsid w:val="000F6B95"/>
    <w:rsid w:val="000F6DDB"/>
    <w:rsid w:val="000F6E4D"/>
    <w:rsid w:val="000F70F6"/>
    <w:rsid w:val="000F761F"/>
    <w:rsid w:val="000F7931"/>
    <w:rsid w:val="000F7936"/>
    <w:rsid w:val="000F7AF9"/>
    <w:rsid w:val="000F7D31"/>
    <w:rsid w:val="000F7E96"/>
    <w:rsid w:val="00100197"/>
    <w:rsid w:val="001001DD"/>
    <w:rsid w:val="0010073F"/>
    <w:rsid w:val="00100B8B"/>
    <w:rsid w:val="00100C4E"/>
    <w:rsid w:val="001010D2"/>
    <w:rsid w:val="0010134B"/>
    <w:rsid w:val="0010249F"/>
    <w:rsid w:val="00102DD1"/>
    <w:rsid w:val="0010375E"/>
    <w:rsid w:val="00103822"/>
    <w:rsid w:val="0010473F"/>
    <w:rsid w:val="001049A4"/>
    <w:rsid w:val="00104C7A"/>
    <w:rsid w:val="00105030"/>
    <w:rsid w:val="00105095"/>
    <w:rsid w:val="001056B1"/>
    <w:rsid w:val="001057FF"/>
    <w:rsid w:val="00105D64"/>
    <w:rsid w:val="00105DFD"/>
    <w:rsid w:val="00106B63"/>
    <w:rsid w:val="00106C46"/>
    <w:rsid w:val="00106FEC"/>
    <w:rsid w:val="0010722E"/>
    <w:rsid w:val="0010799E"/>
    <w:rsid w:val="0011018F"/>
    <w:rsid w:val="00110694"/>
    <w:rsid w:val="00110C5A"/>
    <w:rsid w:val="00111282"/>
    <w:rsid w:val="00111C97"/>
    <w:rsid w:val="00111CE0"/>
    <w:rsid w:val="00111FDB"/>
    <w:rsid w:val="001123B3"/>
    <w:rsid w:val="001125DB"/>
    <w:rsid w:val="001133A6"/>
    <w:rsid w:val="00113636"/>
    <w:rsid w:val="00113767"/>
    <w:rsid w:val="00113854"/>
    <w:rsid w:val="001139C1"/>
    <w:rsid w:val="00113B8A"/>
    <w:rsid w:val="00113F6B"/>
    <w:rsid w:val="00114FD4"/>
    <w:rsid w:val="001152B2"/>
    <w:rsid w:val="001157D9"/>
    <w:rsid w:val="00115FCD"/>
    <w:rsid w:val="00116101"/>
    <w:rsid w:val="00116BA9"/>
    <w:rsid w:val="00116CA9"/>
    <w:rsid w:val="0011731A"/>
    <w:rsid w:val="0011740B"/>
    <w:rsid w:val="00117875"/>
    <w:rsid w:val="00117982"/>
    <w:rsid w:val="00117DC0"/>
    <w:rsid w:val="00120692"/>
    <w:rsid w:val="00120B4D"/>
    <w:rsid w:val="00120D04"/>
    <w:rsid w:val="00120FD8"/>
    <w:rsid w:val="001213E1"/>
    <w:rsid w:val="001218A2"/>
    <w:rsid w:val="001221B5"/>
    <w:rsid w:val="001228E3"/>
    <w:rsid w:val="00122D7E"/>
    <w:rsid w:val="001233F4"/>
    <w:rsid w:val="00123640"/>
    <w:rsid w:val="00123851"/>
    <w:rsid w:val="00123868"/>
    <w:rsid w:val="00123DEE"/>
    <w:rsid w:val="0012413C"/>
    <w:rsid w:val="001241BC"/>
    <w:rsid w:val="00124260"/>
    <w:rsid w:val="00124649"/>
    <w:rsid w:val="001246EC"/>
    <w:rsid w:val="001247C0"/>
    <w:rsid w:val="001247C3"/>
    <w:rsid w:val="00124BA4"/>
    <w:rsid w:val="00125452"/>
    <w:rsid w:val="00125724"/>
    <w:rsid w:val="00125778"/>
    <w:rsid w:val="0012583B"/>
    <w:rsid w:val="001261B5"/>
    <w:rsid w:val="001261C1"/>
    <w:rsid w:val="00126510"/>
    <w:rsid w:val="001265BF"/>
    <w:rsid w:val="0012679D"/>
    <w:rsid w:val="00126A07"/>
    <w:rsid w:val="001270D7"/>
    <w:rsid w:val="00127B8D"/>
    <w:rsid w:val="00131599"/>
    <w:rsid w:val="001318FC"/>
    <w:rsid w:val="00131AA2"/>
    <w:rsid w:val="00131B54"/>
    <w:rsid w:val="00131DD7"/>
    <w:rsid w:val="0013224E"/>
    <w:rsid w:val="001322AA"/>
    <w:rsid w:val="00132491"/>
    <w:rsid w:val="00132A51"/>
    <w:rsid w:val="00132ACC"/>
    <w:rsid w:val="00133114"/>
    <w:rsid w:val="00134044"/>
    <w:rsid w:val="00134C7A"/>
    <w:rsid w:val="001351CB"/>
    <w:rsid w:val="001352DE"/>
    <w:rsid w:val="0013549A"/>
    <w:rsid w:val="00135B5E"/>
    <w:rsid w:val="001362D5"/>
    <w:rsid w:val="00136877"/>
    <w:rsid w:val="00137DB6"/>
    <w:rsid w:val="00137F42"/>
    <w:rsid w:val="00140A46"/>
    <w:rsid w:val="00140C6D"/>
    <w:rsid w:val="00140E98"/>
    <w:rsid w:val="001413D7"/>
    <w:rsid w:val="00141888"/>
    <w:rsid w:val="00141C46"/>
    <w:rsid w:val="00142789"/>
    <w:rsid w:val="0014283F"/>
    <w:rsid w:val="00142A40"/>
    <w:rsid w:val="0014340C"/>
    <w:rsid w:val="001435FA"/>
    <w:rsid w:val="00143881"/>
    <w:rsid w:val="001438CA"/>
    <w:rsid w:val="001449BD"/>
    <w:rsid w:val="001450D8"/>
    <w:rsid w:val="0014535E"/>
    <w:rsid w:val="00145481"/>
    <w:rsid w:val="0014558A"/>
    <w:rsid w:val="001455A5"/>
    <w:rsid w:val="00145D2C"/>
    <w:rsid w:val="00145F32"/>
    <w:rsid w:val="0014619D"/>
    <w:rsid w:val="0014628E"/>
    <w:rsid w:val="00146504"/>
    <w:rsid w:val="00146C64"/>
    <w:rsid w:val="00146F63"/>
    <w:rsid w:val="00147B93"/>
    <w:rsid w:val="00147FDB"/>
    <w:rsid w:val="00150106"/>
    <w:rsid w:val="00150206"/>
    <w:rsid w:val="001513CC"/>
    <w:rsid w:val="00151F11"/>
    <w:rsid w:val="0015252B"/>
    <w:rsid w:val="00152AF2"/>
    <w:rsid w:val="00152E30"/>
    <w:rsid w:val="00154064"/>
    <w:rsid w:val="00154084"/>
    <w:rsid w:val="00154195"/>
    <w:rsid w:val="001547FE"/>
    <w:rsid w:val="00156E9B"/>
    <w:rsid w:val="00156FE4"/>
    <w:rsid w:val="00157AFB"/>
    <w:rsid w:val="001602A4"/>
    <w:rsid w:val="00160808"/>
    <w:rsid w:val="00160C5D"/>
    <w:rsid w:val="00160E55"/>
    <w:rsid w:val="0016100E"/>
    <w:rsid w:val="001622AC"/>
    <w:rsid w:val="00162772"/>
    <w:rsid w:val="0016303B"/>
    <w:rsid w:val="00163172"/>
    <w:rsid w:val="00163628"/>
    <w:rsid w:val="00163B49"/>
    <w:rsid w:val="00163C04"/>
    <w:rsid w:val="00163D37"/>
    <w:rsid w:val="00163E90"/>
    <w:rsid w:val="001644C7"/>
    <w:rsid w:val="00164554"/>
    <w:rsid w:val="00164A47"/>
    <w:rsid w:val="00164EDE"/>
    <w:rsid w:val="00164F10"/>
    <w:rsid w:val="001655A3"/>
    <w:rsid w:val="0016641A"/>
    <w:rsid w:val="001665C5"/>
    <w:rsid w:val="001666F2"/>
    <w:rsid w:val="001667A8"/>
    <w:rsid w:val="001669F3"/>
    <w:rsid w:val="00167550"/>
    <w:rsid w:val="00167B95"/>
    <w:rsid w:val="00167F50"/>
    <w:rsid w:val="00170A57"/>
    <w:rsid w:val="00170C08"/>
    <w:rsid w:val="00170EF6"/>
    <w:rsid w:val="00171326"/>
    <w:rsid w:val="0017209C"/>
    <w:rsid w:val="0017242E"/>
    <w:rsid w:val="00172C8F"/>
    <w:rsid w:val="00172FC7"/>
    <w:rsid w:val="00173066"/>
    <w:rsid w:val="00173077"/>
    <w:rsid w:val="001737E0"/>
    <w:rsid w:val="00173EB7"/>
    <w:rsid w:val="00174270"/>
    <w:rsid w:val="0017531D"/>
    <w:rsid w:val="00175D31"/>
    <w:rsid w:val="001766EE"/>
    <w:rsid w:val="00176E34"/>
    <w:rsid w:val="00177455"/>
    <w:rsid w:val="001774CA"/>
    <w:rsid w:val="001776E3"/>
    <w:rsid w:val="00180F32"/>
    <w:rsid w:val="0018150E"/>
    <w:rsid w:val="001822BB"/>
    <w:rsid w:val="00182A99"/>
    <w:rsid w:val="00182CEF"/>
    <w:rsid w:val="00183099"/>
    <w:rsid w:val="001833E2"/>
    <w:rsid w:val="00183ED5"/>
    <w:rsid w:val="00183F47"/>
    <w:rsid w:val="00184D0F"/>
    <w:rsid w:val="00185BF7"/>
    <w:rsid w:val="00185C3F"/>
    <w:rsid w:val="00185D32"/>
    <w:rsid w:val="00185E6A"/>
    <w:rsid w:val="001860FD"/>
    <w:rsid w:val="00186A6E"/>
    <w:rsid w:val="0018747B"/>
    <w:rsid w:val="00187547"/>
    <w:rsid w:val="00187783"/>
    <w:rsid w:val="001877B8"/>
    <w:rsid w:val="00190987"/>
    <w:rsid w:val="00190AFD"/>
    <w:rsid w:val="00190C6A"/>
    <w:rsid w:val="001913C7"/>
    <w:rsid w:val="00191858"/>
    <w:rsid w:val="0019264F"/>
    <w:rsid w:val="00192745"/>
    <w:rsid w:val="001932E2"/>
    <w:rsid w:val="00193F95"/>
    <w:rsid w:val="00194199"/>
    <w:rsid w:val="001949C5"/>
    <w:rsid w:val="00194A8C"/>
    <w:rsid w:val="001952DE"/>
    <w:rsid w:val="001961D2"/>
    <w:rsid w:val="001963DF"/>
    <w:rsid w:val="001968D0"/>
    <w:rsid w:val="00196BEF"/>
    <w:rsid w:val="0019702D"/>
    <w:rsid w:val="00197062"/>
    <w:rsid w:val="0019762E"/>
    <w:rsid w:val="001977E1"/>
    <w:rsid w:val="001978C1"/>
    <w:rsid w:val="0019799C"/>
    <w:rsid w:val="00197D63"/>
    <w:rsid w:val="00197DF9"/>
    <w:rsid w:val="00197F5B"/>
    <w:rsid w:val="001A073F"/>
    <w:rsid w:val="001A081B"/>
    <w:rsid w:val="001A1268"/>
    <w:rsid w:val="001A12CC"/>
    <w:rsid w:val="001A161E"/>
    <w:rsid w:val="001A17DB"/>
    <w:rsid w:val="001A24BD"/>
    <w:rsid w:val="001A26F4"/>
    <w:rsid w:val="001A281C"/>
    <w:rsid w:val="001A29CD"/>
    <w:rsid w:val="001A2C60"/>
    <w:rsid w:val="001A3453"/>
    <w:rsid w:val="001A3E4D"/>
    <w:rsid w:val="001A4016"/>
    <w:rsid w:val="001A4145"/>
    <w:rsid w:val="001A4A08"/>
    <w:rsid w:val="001A4E1E"/>
    <w:rsid w:val="001A528B"/>
    <w:rsid w:val="001A5B04"/>
    <w:rsid w:val="001A5D71"/>
    <w:rsid w:val="001A60E7"/>
    <w:rsid w:val="001A6DB8"/>
    <w:rsid w:val="001A7328"/>
    <w:rsid w:val="001A78F6"/>
    <w:rsid w:val="001B06A9"/>
    <w:rsid w:val="001B0A67"/>
    <w:rsid w:val="001B0CD1"/>
    <w:rsid w:val="001B0EF8"/>
    <w:rsid w:val="001B10BC"/>
    <w:rsid w:val="001B14B7"/>
    <w:rsid w:val="001B1BF3"/>
    <w:rsid w:val="001B1C7D"/>
    <w:rsid w:val="001B20B1"/>
    <w:rsid w:val="001B2220"/>
    <w:rsid w:val="001B2659"/>
    <w:rsid w:val="001B29EC"/>
    <w:rsid w:val="001B2A48"/>
    <w:rsid w:val="001B33D2"/>
    <w:rsid w:val="001B3E92"/>
    <w:rsid w:val="001B3F1E"/>
    <w:rsid w:val="001B43F4"/>
    <w:rsid w:val="001B4407"/>
    <w:rsid w:val="001B47AE"/>
    <w:rsid w:val="001B49D5"/>
    <w:rsid w:val="001B50E3"/>
    <w:rsid w:val="001B50E7"/>
    <w:rsid w:val="001B53D4"/>
    <w:rsid w:val="001B5536"/>
    <w:rsid w:val="001B5AF3"/>
    <w:rsid w:val="001B5E0B"/>
    <w:rsid w:val="001B65B8"/>
    <w:rsid w:val="001B6B9E"/>
    <w:rsid w:val="001B7537"/>
    <w:rsid w:val="001B7DE3"/>
    <w:rsid w:val="001C035C"/>
    <w:rsid w:val="001C0403"/>
    <w:rsid w:val="001C08ED"/>
    <w:rsid w:val="001C0ED3"/>
    <w:rsid w:val="001C0F5D"/>
    <w:rsid w:val="001C1050"/>
    <w:rsid w:val="001C1689"/>
    <w:rsid w:val="001C253E"/>
    <w:rsid w:val="001C2565"/>
    <w:rsid w:val="001C2F7A"/>
    <w:rsid w:val="001C3E1F"/>
    <w:rsid w:val="001C3F85"/>
    <w:rsid w:val="001C3FC6"/>
    <w:rsid w:val="001C4120"/>
    <w:rsid w:val="001C44AC"/>
    <w:rsid w:val="001C457E"/>
    <w:rsid w:val="001C4BA9"/>
    <w:rsid w:val="001C4C0C"/>
    <w:rsid w:val="001C4E33"/>
    <w:rsid w:val="001C5EA1"/>
    <w:rsid w:val="001C5F68"/>
    <w:rsid w:val="001C62C3"/>
    <w:rsid w:val="001C6606"/>
    <w:rsid w:val="001C7789"/>
    <w:rsid w:val="001C782A"/>
    <w:rsid w:val="001C7A11"/>
    <w:rsid w:val="001C7C53"/>
    <w:rsid w:val="001C7F81"/>
    <w:rsid w:val="001D051A"/>
    <w:rsid w:val="001D082C"/>
    <w:rsid w:val="001D0EFE"/>
    <w:rsid w:val="001D0FCC"/>
    <w:rsid w:val="001D11C3"/>
    <w:rsid w:val="001D15AA"/>
    <w:rsid w:val="001D1746"/>
    <w:rsid w:val="001D1A9F"/>
    <w:rsid w:val="001D1B0C"/>
    <w:rsid w:val="001D1E1E"/>
    <w:rsid w:val="001D29B4"/>
    <w:rsid w:val="001D2B40"/>
    <w:rsid w:val="001D31FC"/>
    <w:rsid w:val="001D34E4"/>
    <w:rsid w:val="001D3C19"/>
    <w:rsid w:val="001D411C"/>
    <w:rsid w:val="001D4198"/>
    <w:rsid w:val="001D4994"/>
    <w:rsid w:val="001D537F"/>
    <w:rsid w:val="001D5448"/>
    <w:rsid w:val="001D5948"/>
    <w:rsid w:val="001D5AF2"/>
    <w:rsid w:val="001D61E8"/>
    <w:rsid w:val="001D664D"/>
    <w:rsid w:val="001D6EF1"/>
    <w:rsid w:val="001D757E"/>
    <w:rsid w:val="001D7C10"/>
    <w:rsid w:val="001D7FBA"/>
    <w:rsid w:val="001E052A"/>
    <w:rsid w:val="001E0800"/>
    <w:rsid w:val="001E151A"/>
    <w:rsid w:val="001E1909"/>
    <w:rsid w:val="001E1918"/>
    <w:rsid w:val="001E2183"/>
    <w:rsid w:val="001E24E9"/>
    <w:rsid w:val="001E27E9"/>
    <w:rsid w:val="001E312A"/>
    <w:rsid w:val="001E332D"/>
    <w:rsid w:val="001E3550"/>
    <w:rsid w:val="001E37E0"/>
    <w:rsid w:val="001E37E2"/>
    <w:rsid w:val="001E383E"/>
    <w:rsid w:val="001E3C69"/>
    <w:rsid w:val="001E44B8"/>
    <w:rsid w:val="001E4A64"/>
    <w:rsid w:val="001E5366"/>
    <w:rsid w:val="001E5590"/>
    <w:rsid w:val="001E6265"/>
    <w:rsid w:val="001E656B"/>
    <w:rsid w:val="001E6707"/>
    <w:rsid w:val="001E6816"/>
    <w:rsid w:val="001E6AB5"/>
    <w:rsid w:val="001E753D"/>
    <w:rsid w:val="001E77F5"/>
    <w:rsid w:val="001E78C2"/>
    <w:rsid w:val="001F0120"/>
    <w:rsid w:val="001F0C63"/>
    <w:rsid w:val="001F1267"/>
    <w:rsid w:val="001F1369"/>
    <w:rsid w:val="001F1496"/>
    <w:rsid w:val="001F1EF0"/>
    <w:rsid w:val="001F2659"/>
    <w:rsid w:val="001F2996"/>
    <w:rsid w:val="001F2FC0"/>
    <w:rsid w:val="001F35EA"/>
    <w:rsid w:val="001F38E5"/>
    <w:rsid w:val="001F39B8"/>
    <w:rsid w:val="001F434C"/>
    <w:rsid w:val="001F4B19"/>
    <w:rsid w:val="001F4D41"/>
    <w:rsid w:val="001F4F3D"/>
    <w:rsid w:val="001F4FBD"/>
    <w:rsid w:val="001F50D4"/>
    <w:rsid w:val="001F51BA"/>
    <w:rsid w:val="001F5486"/>
    <w:rsid w:val="001F57EA"/>
    <w:rsid w:val="001F5CB8"/>
    <w:rsid w:val="001F5CEA"/>
    <w:rsid w:val="001F5FEE"/>
    <w:rsid w:val="001F6285"/>
    <w:rsid w:val="001F630E"/>
    <w:rsid w:val="001F63CF"/>
    <w:rsid w:val="001F66CC"/>
    <w:rsid w:val="001F6BBD"/>
    <w:rsid w:val="001F6D65"/>
    <w:rsid w:val="001F726F"/>
    <w:rsid w:val="001F7A29"/>
    <w:rsid w:val="001F7BE0"/>
    <w:rsid w:val="00200377"/>
    <w:rsid w:val="00200570"/>
    <w:rsid w:val="002005CD"/>
    <w:rsid w:val="00200E92"/>
    <w:rsid w:val="00201876"/>
    <w:rsid w:val="00201B14"/>
    <w:rsid w:val="00201F59"/>
    <w:rsid w:val="00202071"/>
    <w:rsid w:val="0020226E"/>
    <w:rsid w:val="002024C2"/>
    <w:rsid w:val="002026EF"/>
    <w:rsid w:val="002028F3"/>
    <w:rsid w:val="00202B6F"/>
    <w:rsid w:val="00202F96"/>
    <w:rsid w:val="00203308"/>
    <w:rsid w:val="00203736"/>
    <w:rsid w:val="002039E1"/>
    <w:rsid w:val="00203B27"/>
    <w:rsid w:val="0020430B"/>
    <w:rsid w:val="0020474D"/>
    <w:rsid w:val="0020498A"/>
    <w:rsid w:val="00204DB0"/>
    <w:rsid w:val="0020580B"/>
    <w:rsid w:val="00205BDE"/>
    <w:rsid w:val="002063A2"/>
    <w:rsid w:val="00206784"/>
    <w:rsid w:val="002067C6"/>
    <w:rsid w:val="00206ABE"/>
    <w:rsid w:val="00207560"/>
    <w:rsid w:val="00207B53"/>
    <w:rsid w:val="00207DF9"/>
    <w:rsid w:val="00210160"/>
    <w:rsid w:val="0021020C"/>
    <w:rsid w:val="00210305"/>
    <w:rsid w:val="002107C3"/>
    <w:rsid w:val="00210E33"/>
    <w:rsid w:val="00211327"/>
    <w:rsid w:val="00211418"/>
    <w:rsid w:val="0021144A"/>
    <w:rsid w:val="00211FA2"/>
    <w:rsid w:val="0021232A"/>
    <w:rsid w:val="00213274"/>
    <w:rsid w:val="002134B5"/>
    <w:rsid w:val="00213A15"/>
    <w:rsid w:val="00213D9C"/>
    <w:rsid w:val="00213DBB"/>
    <w:rsid w:val="00213DF5"/>
    <w:rsid w:val="00213E5D"/>
    <w:rsid w:val="002154A6"/>
    <w:rsid w:val="0021578F"/>
    <w:rsid w:val="00216087"/>
    <w:rsid w:val="0021639D"/>
    <w:rsid w:val="0021642D"/>
    <w:rsid w:val="00216C80"/>
    <w:rsid w:val="00216F39"/>
    <w:rsid w:val="00217483"/>
    <w:rsid w:val="002176D7"/>
    <w:rsid w:val="00217B40"/>
    <w:rsid w:val="00217BBC"/>
    <w:rsid w:val="00220680"/>
    <w:rsid w:val="00220AEE"/>
    <w:rsid w:val="00220B53"/>
    <w:rsid w:val="00220ECE"/>
    <w:rsid w:val="0022102D"/>
    <w:rsid w:val="0022269B"/>
    <w:rsid w:val="002235C1"/>
    <w:rsid w:val="002236BA"/>
    <w:rsid w:val="00223A59"/>
    <w:rsid w:val="0022424E"/>
    <w:rsid w:val="00224F0D"/>
    <w:rsid w:val="0022503A"/>
    <w:rsid w:val="00225628"/>
    <w:rsid w:val="00226485"/>
    <w:rsid w:val="0022662A"/>
    <w:rsid w:val="002266A4"/>
    <w:rsid w:val="00226EAF"/>
    <w:rsid w:val="00226F6F"/>
    <w:rsid w:val="0022719F"/>
    <w:rsid w:val="002271A9"/>
    <w:rsid w:val="002273C2"/>
    <w:rsid w:val="0022769C"/>
    <w:rsid w:val="00227EB6"/>
    <w:rsid w:val="002300D5"/>
    <w:rsid w:val="002302C1"/>
    <w:rsid w:val="002311F8"/>
    <w:rsid w:val="00231D4F"/>
    <w:rsid w:val="00232E5A"/>
    <w:rsid w:val="002331F8"/>
    <w:rsid w:val="002331FE"/>
    <w:rsid w:val="002336E3"/>
    <w:rsid w:val="00233D86"/>
    <w:rsid w:val="00233ED4"/>
    <w:rsid w:val="00234096"/>
    <w:rsid w:val="00234180"/>
    <w:rsid w:val="002343FE"/>
    <w:rsid w:val="00234AC7"/>
    <w:rsid w:val="00234BFC"/>
    <w:rsid w:val="00234E2B"/>
    <w:rsid w:val="00234F47"/>
    <w:rsid w:val="00235B45"/>
    <w:rsid w:val="00235F99"/>
    <w:rsid w:val="002363CD"/>
    <w:rsid w:val="00236A00"/>
    <w:rsid w:val="0023724C"/>
    <w:rsid w:val="00237336"/>
    <w:rsid w:val="0023788A"/>
    <w:rsid w:val="00237B4C"/>
    <w:rsid w:val="0024004B"/>
    <w:rsid w:val="002403B0"/>
    <w:rsid w:val="0024042D"/>
    <w:rsid w:val="0024043A"/>
    <w:rsid w:val="00240CAE"/>
    <w:rsid w:val="00240D0D"/>
    <w:rsid w:val="002431F3"/>
    <w:rsid w:val="00243AD9"/>
    <w:rsid w:val="00243AE4"/>
    <w:rsid w:val="00243C46"/>
    <w:rsid w:val="00243CC4"/>
    <w:rsid w:val="002442F1"/>
    <w:rsid w:val="002447E4"/>
    <w:rsid w:val="00244DB5"/>
    <w:rsid w:val="00245AD7"/>
    <w:rsid w:val="00246B7E"/>
    <w:rsid w:val="00246C87"/>
    <w:rsid w:val="00246C91"/>
    <w:rsid w:val="00246CB7"/>
    <w:rsid w:val="00246FA6"/>
    <w:rsid w:val="0024742B"/>
    <w:rsid w:val="002478FA"/>
    <w:rsid w:val="00247E56"/>
    <w:rsid w:val="00247E9B"/>
    <w:rsid w:val="00250476"/>
    <w:rsid w:val="00250E7F"/>
    <w:rsid w:val="00251103"/>
    <w:rsid w:val="0025124C"/>
    <w:rsid w:val="00251759"/>
    <w:rsid w:val="00251FB3"/>
    <w:rsid w:val="002520F4"/>
    <w:rsid w:val="0025230F"/>
    <w:rsid w:val="0025237F"/>
    <w:rsid w:val="00252453"/>
    <w:rsid w:val="00252A31"/>
    <w:rsid w:val="00252E84"/>
    <w:rsid w:val="00253166"/>
    <w:rsid w:val="00253E0D"/>
    <w:rsid w:val="00253E99"/>
    <w:rsid w:val="00254292"/>
    <w:rsid w:val="00254949"/>
    <w:rsid w:val="00254BA1"/>
    <w:rsid w:val="00255136"/>
    <w:rsid w:val="00255506"/>
    <w:rsid w:val="00255845"/>
    <w:rsid w:val="00255C87"/>
    <w:rsid w:val="002561E7"/>
    <w:rsid w:val="002562D8"/>
    <w:rsid w:val="00256CC4"/>
    <w:rsid w:val="00256DA2"/>
    <w:rsid w:val="00257194"/>
    <w:rsid w:val="0025744E"/>
    <w:rsid w:val="002575A0"/>
    <w:rsid w:val="00257631"/>
    <w:rsid w:val="00257EE1"/>
    <w:rsid w:val="0026065A"/>
    <w:rsid w:val="00260A68"/>
    <w:rsid w:val="00260DD3"/>
    <w:rsid w:val="00260E32"/>
    <w:rsid w:val="00261181"/>
    <w:rsid w:val="00261219"/>
    <w:rsid w:val="00261596"/>
    <w:rsid w:val="0026167A"/>
    <w:rsid w:val="00261C91"/>
    <w:rsid w:val="00261E19"/>
    <w:rsid w:val="002627A4"/>
    <w:rsid w:val="002628F2"/>
    <w:rsid w:val="00262D3B"/>
    <w:rsid w:val="00262D52"/>
    <w:rsid w:val="00262E1D"/>
    <w:rsid w:val="00262F07"/>
    <w:rsid w:val="0026318A"/>
    <w:rsid w:val="00263232"/>
    <w:rsid w:val="0026437A"/>
    <w:rsid w:val="0026517C"/>
    <w:rsid w:val="00265738"/>
    <w:rsid w:val="00265B94"/>
    <w:rsid w:val="00266318"/>
    <w:rsid w:val="0026679A"/>
    <w:rsid w:val="00270141"/>
    <w:rsid w:val="0027042A"/>
    <w:rsid w:val="002706CE"/>
    <w:rsid w:val="00270EC3"/>
    <w:rsid w:val="002714DE"/>
    <w:rsid w:val="0027155E"/>
    <w:rsid w:val="002715D4"/>
    <w:rsid w:val="00271688"/>
    <w:rsid w:val="0027301B"/>
    <w:rsid w:val="0027378A"/>
    <w:rsid w:val="0027382D"/>
    <w:rsid w:val="00273B74"/>
    <w:rsid w:val="00273D5F"/>
    <w:rsid w:val="00273DDE"/>
    <w:rsid w:val="00273EA1"/>
    <w:rsid w:val="00273FD8"/>
    <w:rsid w:val="002744D1"/>
    <w:rsid w:val="00274552"/>
    <w:rsid w:val="00274FB7"/>
    <w:rsid w:val="00275D73"/>
    <w:rsid w:val="00275F0B"/>
    <w:rsid w:val="00275FF0"/>
    <w:rsid w:val="00276186"/>
    <w:rsid w:val="00277585"/>
    <w:rsid w:val="002800B2"/>
    <w:rsid w:val="002800FD"/>
    <w:rsid w:val="002804F5"/>
    <w:rsid w:val="002805E8"/>
    <w:rsid w:val="0028119E"/>
    <w:rsid w:val="002817EC"/>
    <w:rsid w:val="00281842"/>
    <w:rsid w:val="00281B95"/>
    <w:rsid w:val="00281E03"/>
    <w:rsid w:val="00282C40"/>
    <w:rsid w:val="00283598"/>
    <w:rsid w:val="00283AEB"/>
    <w:rsid w:val="00283ECE"/>
    <w:rsid w:val="00284142"/>
    <w:rsid w:val="00284199"/>
    <w:rsid w:val="0028427C"/>
    <w:rsid w:val="00285703"/>
    <w:rsid w:val="00286F40"/>
    <w:rsid w:val="0028702F"/>
    <w:rsid w:val="00287408"/>
    <w:rsid w:val="002878F2"/>
    <w:rsid w:val="00287B6C"/>
    <w:rsid w:val="00290040"/>
    <w:rsid w:val="00290113"/>
    <w:rsid w:val="002907F4"/>
    <w:rsid w:val="00290A6C"/>
    <w:rsid w:val="002912AE"/>
    <w:rsid w:val="0029135F"/>
    <w:rsid w:val="002913D6"/>
    <w:rsid w:val="00291921"/>
    <w:rsid w:val="00291E5F"/>
    <w:rsid w:val="0029236F"/>
    <w:rsid w:val="00292DAA"/>
    <w:rsid w:val="00292EFF"/>
    <w:rsid w:val="00292F0C"/>
    <w:rsid w:val="00294244"/>
    <w:rsid w:val="00294522"/>
    <w:rsid w:val="00295DCA"/>
    <w:rsid w:val="00295E1B"/>
    <w:rsid w:val="0029788B"/>
    <w:rsid w:val="002979AC"/>
    <w:rsid w:val="00297B35"/>
    <w:rsid w:val="00297D12"/>
    <w:rsid w:val="002A06A6"/>
    <w:rsid w:val="002A120F"/>
    <w:rsid w:val="002A13A3"/>
    <w:rsid w:val="002A186D"/>
    <w:rsid w:val="002A1BA8"/>
    <w:rsid w:val="002A2135"/>
    <w:rsid w:val="002A2C00"/>
    <w:rsid w:val="002A41BF"/>
    <w:rsid w:val="002A4226"/>
    <w:rsid w:val="002A4670"/>
    <w:rsid w:val="002A47CB"/>
    <w:rsid w:val="002A48D3"/>
    <w:rsid w:val="002A4995"/>
    <w:rsid w:val="002A49BD"/>
    <w:rsid w:val="002A4B9E"/>
    <w:rsid w:val="002A4F22"/>
    <w:rsid w:val="002A55FD"/>
    <w:rsid w:val="002A5D00"/>
    <w:rsid w:val="002A6D30"/>
    <w:rsid w:val="002A6E12"/>
    <w:rsid w:val="002A72D4"/>
    <w:rsid w:val="002A7783"/>
    <w:rsid w:val="002A7A48"/>
    <w:rsid w:val="002B0015"/>
    <w:rsid w:val="002B1052"/>
    <w:rsid w:val="002B1D5B"/>
    <w:rsid w:val="002B2087"/>
    <w:rsid w:val="002B2257"/>
    <w:rsid w:val="002B27FB"/>
    <w:rsid w:val="002B2D1D"/>
    <w:rsid w:val="002B44DB"/>
    <w:rsid w:val="002B47BD"/>
    <w:rsid w:val="002B4852"/>
    <w:rsid w:val="002B51F3"/>
    <w:rsid w:val="002B58E4"/>
    <w:rsid w:val="002B5CC6"/>
    <w:rsid w:val="002B5DD9"/>
    <w:rsid w:val="002B6244"/>
    <w:rsid w:val="002B643B"/>
    <w:rsid w:val="002B6567"/>
    <w:rsid w:val="002B68E3"/>
    <w:rsid w:val="002B6A09"/>
    <w:rsid w:val="002B6BB2"/>
    <w:rsid w:val="002B71BA"/>
    <w:rsid w:val="002B78E5"/>
    <w:rsid w:val="002C02A8"/>
    <w:rsid w:val="002C157D"/>
    <w:rsid w:val="002C15A3"/>
    <w:rsid w:val="002C1BB2"/>
    <w:rsid w:val="002C1CB9"/>
    <w:rsid w:val="002C2074"/>
    <w:rsid w:val="002C2157"/>
    <w:rsid w:val="002C21D2"/>
    <w:rsid w:val="002C22CF"/>
    <w:rsid w:val="002C265D"/>
    <w:rsid w:val="002C2896"/>
    <w:rsid w:val="002C2AA3"/>
    <w:rsid w:val="002C3739"/>
    <w:rsid w:val="002C3D0B"/>
    <w:rsid w:val="002C3F37"/>
    <w:rsid w:val="002C4143"/>
    <w:rsid w:val="002C4344"/>
    <w:rsid w:val="002C4376"/>
    <w:rsid w:val="002C4C6C"/>
    <w:rsid w:val="002C4E23"/>
    <w:rsid w:val="002C504E"/>
    <w:rsid w:val="002C5A87"/>
    <w:rsid w:val="002C5BFA"/>
    <w:rsid w:val="002C5D1C"/>
    <w:rsid w:val="002C64C0"/>
    <w:rsid w:val="002C68E7"/>
    <w:rsid w:val="002C6921"/>
    <w:rsid w:val="002C6937"/>
    <w:rsid w:val="002C70D9"/>
    <w:rsid w:val="002C7BA6"/>
    <w:rsid w:val="002C7FC4"/>
    <w:rsid w:val="002D016F"/>
    <w:rsid w:val="002D03EE"/>
    <w:rsid w:val="002D0F97"/>
    <w:rsid w:val="002D105A"/>
    <w:rsid w:val="002D1692"/>
    <w:rsid w:val="002D1720"/>
    <w:rsid w:val="002D23B8"/>
    <w:rsid w:val="002D29FB"/>
    <w:rsid w:val="002D370A"/>
    <w:rsid w:val="002D3D57"/>
    <w:rsid w:val="002D3E14"/>
    <w:rsid w:val="002D43B5"/>
    <w:rsid w:val="002D4F03"/>
    <w:rsid w:val="002D5DE9"/>
    <w:rsid w:val="002D6005"/>
    <w:rsid w:val="002D606F"/>
    <w:rsid w:val="002D61F6"/>
    <w:rsid w:val="002D652C"/>
    <w:rsid w:val="002D6719"/>
    <w:rsid w:val="002D6A5B"/>
    <w:rsid w:val="002D6CE6"/>
    <w:rsid w:val="002D7084"/>
    <w:rsid w:val="002D745E"/>
    <w:rsid w:val="002D7668"/>
    <w:rsid w:val="002D779E"/>
    <w:rsid w:val="002E0291"/>
    <w:rsid w:val="002E10C5"/>
    <w:rsid w:val="002E1159"/>
    <w:rsid w:val="002E1435"/>
    <w:rsid w:val="002E1C97"/>
    <w:rsid w:val="002E26B8"/>
    <w:rsid w:val="002E3027"/>
    <w:rsid w:val="002E356E"/>
    <w:rsid w:val="002E36A4"/>
    <w:rsid w:val="002E3D2C"/>
    <w:rsid w:val="002E444A"/>
    <w:rsid w:val="002E4D5E"/>
    <w:rsid w:val="002E5119"/>
    <w:rsid w:val="002E52DE"/>
    <w:rsid w:val="002E54CF"/>
    <w:rsid w:val="002E55F7"/>
    <w:rsid w:val="002E583E"/>
    <w:rsid w:val="002E5A27"/>
    <w:rsid w:val="002E6F45"/>
    <w:rsid w:val="002E714A"/>
    <w:rsid w:val="002E79F8"/>
    <w:rsid w:val="002E7BC9"/>
    <w:rsid w:val="002F1133"/>
    <w:rsid w:val="002F1330"/>
    <w:rsid w:val="002F1736"/>
    <w:rsid w:val="002F1F02"/>
    <w:rsid w:val="002F21AD"/>
    <w:rsid w:val="002F2E2B"/>
    <w:rsid w:val="002F33EF"/>
    <w:rsid w:val="002F355C"/>
    <w:rsid w:val="002F3E02"/>
    <w:rsid w:val="002F42C9"/>
    <w:rsid w:val="002F4446"/>
    <w:rsid w:val="002F50F0"/>
    <w:rsid w:val="002F5200"/>
    <w:rsid w:val="002F5557"/>
    <w:rsid w:val="002F578B"/>
    <w:rsid w:val="002F61A9"/>
    <w:rsid w:val="002F6314"/>
    <w:rsid w:val="002F712D"/>
    <w:rsid w:val="002F72BC"/>
    <w:rsid w:val="002F799F"/>
    <w:rsid w:val="002F7E71"/>
    <w:rsid w:val="0030018E"/>
    <w:rsid w:val="00300579"/>
    <w:rsid w:val="003009A3"/>
    <w:rsid w:val="00300ABE"/>
    <w:rsid w:val="00300CB9"/>
    <w:rsid w:val="0030160C"/>
    <w:rsid w:val="003016F4"/>
    <w:rsid w:val="0030190D"/>
    <w:rsid w:val="00301D91"/>
    <w:rsid w:val="00302258"/>
    <w:rsid w:val="00302848"/>
    <w:rsid w:val="00302BDA"/>
    <w:rsid w:val="00302E6C"/>
    <w:rsid w:val="00303CE0"/>
    <w:rsid w:val="00304578"/>
    <w:rsid w:val="00304B27"/>
    <w:rsid w:val="00304F46"/>
    <w:rsid w:val="00305193"/>
    <w:rsid w:val="00306069"/>
    <w:rsid w:val="00306171"/>
    <w:rsid w:val="00307130"/>
    <w:rsid w:val="00307DF2"/>
    <w:rsid w:val="0031079E"/>
    <w:rsid w:val="00310969"/>
    <w:rsid w:val="00310EB7"/>
    <w:rsid w:val="00311055"/>
    <w:rsid w:val="003114A7"/>
    <w:rsid w:val="00311698"/>
    <w:rsid w:val="003116FE"/>
    <w:rsid w:val="00311A57"/>
    <w:rsid w:val="003125BF"/>
    <w:rsid w:val="0031280D"/>
    <w:rsid w:val="00312F4A"/>
    <w:rsid w:val="0031347A"/>
    <w:rsid w:val="00313907"/>
    <w:rsid w:val="00313E0D"/>
    <w:rsid w:val="00313F08"/>
    <w:rsid w:val="00314255"/>
    <w:rsid w:val="003147DA"/>
    <w:rsid w:val="003159D9"/>
    <w:rsid w:val="00315B3A"/>
    <w:rsid w:val="00315CE0"/>
    <w:rsid w:val="00316070"/>
    <w:rsid w:val="0031658A"/>
    <w:rsid w:val="00316A44"/>
    <w:rsid w:val="00317244"/>
    <w:rsid w:val="003172EF"/>
    <w:rsid w:val="00317C5F"/>
    <w:rsid w:val="00317C9C"/>
    <w:rsid w:val="00320373"/>
    <w:rsid w:val="0032069B"/>
    <w:rsid w:val="00320996"/>
    <w:rsid w:val="00321080"/>
    <w:rsid w:val="0032138D"/>
    <w:rsid w:val="003214D3"/>
    <w:rsid w:val="003214DF"/>
    <w:rsid w:val="0032154E"/>
    <w:rsid w:val="00321641"/>
    <w:rsid w:val="00321FAB"/>
    <w:rsid w:val="003227B7"/>
    <w:rsid w:val="00322A0E"/>
    <w:rsid w:val="0032346F"/>
    <w:rsid w:val="003243D2"/>
    <w:rsid w:val="003243FF"/>
    <w:rsid w:val="0032467F"/>
    <w:rsid w:val="00324A44"/>
    <w:rsid w:val="00324C4F"/>
    <w:rsid w:val="00324D82"/>
    <w:rsid w:val="00324F3A"/>
    <w:rsid w:val="003252B2"/>
    <w:rsid w:val="00325400"/>
    <w:rsid w:val="003256B1"/>
    <w:rsid w:val="00325939"/>
    <w:rsid w:val="00325ED7"/>
    <w:rsid w:val="00326258"/>
    <w:rsid w:val="00327A6B"/>
    <w:rsid w:val="0033088B"/>
    <w:rsid w:val="00330E47"/>
    <w:rsid w:val="00330F0A"/>
    <w:rsid w:val="003312C2"/>
    <w:rsid w:val="00331EEA"/>
    <w:rsid w:val="00332900"/>
    <w:rsid w:val="00332F77"/>
    <w:rsid w:val="00333500"/>
    <w:rsid w:val="00333803"/>
    <w:rsid w:val="00333EAF"/>
    <w:rsid w:val="00334653"/>
    <w:rsid w:val="003347BB"/>
    <w:rsid w:val="00334854"/>
    <w:rsid w:val="00334A0C"/>
    <w:rsid w:val="00335094"/>
    <w:rsid w:val="0033520C"/>
    <w:rsid w:val="0033549E"/>
    <w:rsid w:val="003359D4"/>
    <w:rsid w:val="00335B1C"/>
    <w:rsid w:val="003360D6"/>
    <w:rsid w:val="0033611F"/>
    <w:rsid w:val="00336C6C"/>
    <w:rsid w:val="00337216"/>
    <w:rsid w:val="003375F9"/>
    <w:rsid w:val="00337BCB"/>
    <w:rsid w:val="003409F2"/>
    <w:rsid w:val="003416F4"/>
    <w:rsid w:val="00341831"/>
    <w:rsid w:val="00341CE1"/>
    <w:rsid w:val="00341E6F"/>
    <w:rsid w:val="00341EE1"/>
    <w:rsid w:val="00341EE6"/>
    <w:rsid w:val="003426C6"/>
    <w:rsid w:val="00342D16"/>
    <w:rsid w:val="00342E2D"/>
    <w:rsid w:val="00343C96"/>
    <w:rsid w:val="00344029"/>
    <w:rsid w:val="00344136"/>
    <w:rsid w:val="003445AF"/>
    <w:rsid w:val="003447F9"/>
    <w:rsid w:val="003449A5"/>
    <w:rsid w:val="00345334"/>
    <w:rsid w:val="003453D2"/>
    <w:rsid w:val="0034553C"/>
    <w:rsid w:val="00345CDC"/>
    <w:rsid w:val="00345D26"/>
    <w:rsid w:val="00345FFF"/>
    <w:rsid w:val="00346A2F"/>
    <w:rsid w:val="00346D01"/>
    <w:rsid w:val="00347775"/>
    <w:rsid w:val="0034790C"/>
    <w:rsid w:val="0034798D"/>
    <w:rsid w:val="00347D1C"/>
    <w:rsid w:val="00347F29"/>
    <w:rsid w:val="00350289"/>
    <w:rsid w:val="003505D3"/>
    <w:rsid w:val="003507B2"/>
    <w:rsid w:val="00350E65"/>
    <w:rsid w:val="00350F71"/>
    <w:rsid w:val="00350F8F"/>
    <w:rsid w:val="003512BF"/>
    <w:rsid w:val="00352250"/>
    <w:rsid w:val="003526B4"/>
    <w:rsid w:val="0035297A"/>
    <w:rsid w:val="003531E6"/>
    <w:rsid w:val="00353A9F"/>
    <w:rsid w:val="00353B64"/>
    <w:rsid w:val="00353E41"/>
    <w:rsid w:val="003541A8"/>
    <w:rsid w:val="00354539"/>
    <w:rsid w:val="00355029"/>
    <w:rsid w:val="00355331"/>
    <w:rsid w:val="003558A2"/>
    <w:rsid w:val="003558CB"/>
    <w:rsid w:val="00355A8D"/>
    <w:rsid w:val="00355D8B"/>
    <w:rsid w:val="00355FAD"/>
    <w:rsid w:val="0035622D"/>
    <w:rsid w:val="0035639A"/>
    <w:rsid w:val="003563BF"/>
    <w:rsid w:val="0035665E"/>
    <w:rsid w:val="00356C67"/>
    <w:rsid w:val="00356F36"/>
    <w:rsid w:val="00357A41"/>
    <w:rsid w:val="00357B85"/>
    <w:rsid w:val="00357EE5"/>
    <w:rsid w:val="00360678"/>
    <w:rsid w:val="0036122E"/>
    <w:rsid w:val="0036157F"/>
    <w:rsid w:val="00361765"/>
    <w:rsid w:val="003620FA"/>
    <w:rsid w:val="00362115"/>
    <w:rsid w:val="00362D65"/>
    <w:rsid w:val="00363075"/>
    <w:rsid w:val="00363499"/>
    <w:rsid w:val="0036381F"/>
    <w:rsid w:val="0036391E"/>
    <w:rsid w:val="00363A9B"/>
    <w:rsid w:val="00363BF5"/>
    <w:rsid w:val="00363DDC"/>
    <w:rsid w:val="00363E14"/>
    <w:rsid w:val="00364655"/>
    <w:rsid w:val="00364783"/>
    <w:rsid w:val="00364D0E"/>
    <w:rsid w:val="00364DEC"/>
    <w:rsid w:val="00364E97"/>
    <w:rsid w:val="00365553"/>
    <w:rsid w:val="00366515"/>
    <w:rsid w:val="00366C50"/>
    <w:rsid w:val="00367461"/>
    <w:rsid w:val="00367535"/>
    <w:rsid w:val="00367595"/>
    <w:rsid w:val="003677C2"/>
    <w:rsid w:val="00370177"/>
    <w:rsid w:val="0037024E"/>
    <w:rsid w:val="003706FE"/>
    <w:rsid w:val="00370797"/>
    <w:rsid w:val="00370B2F"/>
    <w:rsid w:val="0037162B"/>
    <w:rsid w:val="003721D3"/>
    <w:rsid w:val="003731C4"/>
    <w:rsid w:val="003733C6"/>
    <w:rsid w:val="00373770"/>
    <w:rsid w:val="00373D5A"/>
    <w:rsid w:val="00374131"/>
    <w:rsid w:val="00374343"/>
    <w:rsid w:val="00374445"/>
    <w:rsid w:val="00374584"/>
    <w:rsid w:val="00374629"/>
    <w:rsid w:val="00374657"/>
    <w:rsid w:val="00374827"/>
    <w:rsid w:val="003748E5"/>
    <w:rsid w:val="00374D51"/>
    <w:rsid w:val="00374EB6"/>
    <w:rsid w:val="00375A6E"/>
    <w:rsid w:val="00375DB4"/>
    <w:rsid w:val="003762A6"/>
    <w:rsid w:val="00376984"/>
    <w:rsid w:val="003769EA"/>
    <w:rsid w:val="00376AAC"/>
    <w:rsid w:val="00376B13"/>
    <w:rsid w:val="003775FC"/>
    <w:rsid w:val="0037786C"/>
    <w:rsid w:val="003779FF"/>
    <w:rsid w:val="00377D56"/>
    <w:rsid w:val="003807B9"/>
    <w:rsid w:val="00380928"/>
    <w:rsid w:val="00380CAC"/>
    <w:rsid w:val="003819C0"/>
    <w:rsid w:val="00381B8A"/>
    <w:rsid w:val="00381C7E"/>
    <w:rsid w:val="00381DCF"/>
    <w:rsid w:val="00381FAF"/>
    <w:rsid w:val="0038214B"/>
    <w:rsid w:val="00382192"/>
    <w:rsid w:val="003832BC"/>
    <w:rsid w:val="0038337A"/>
    <w:rsid w:val="003839A2"/>
    <w:rsid w:val="00384D83"/>
    <w:rsid w:val="00384DFB"/>
    <w:rsid w:val="00385DF1"/>
    <w:rsid w:val="00386464"/>
    <w:rsid w:val="003866A0"/>
    <w:rsid w:val="00386A77"/>
    <w:rsid w:val="00386B56"/>
    <w:rsid w:val="00386D17"/>
    <w:rsid w:val="00387003"/>
    <w:rsid w:val="0038705F"/>
    <w:rsid w:val="00387A8C"/>
    <w:rsid w:val="00387B23"/>
    <w:rsid w:val="00387F8D"/>
    <w:rsid w:val="003905E5"/>
    <w:rsid w:val="003906C3"/>
    <w:rsid w:val="00390746"/>
    <w:rsid w:val="00390B46"/>
    <w:rsid w:val="00390B81"/>
    <w:rsid w:val="00390E2A"/>
    <w:rsid w:val="0039148A"/>
    <w:rsid w:val="00391593"/>
    <w:rsid w:val="003923B0"/>
    <w:rsid w:val="0039241D"/>
    <w:rsid w:val="0039268E"/>
    <w:rsid w:val="00392D7A"/>
    <w:rsid w:val="00392FAE"/>
    <w:rsid w:val="0039324F"/>
    <w:rsid w:val="003938FF"/>
    <w:rsid w:val="00393C99"/>
    <w:rsid w:val="00393D21"/>
    <w:rsid w:val="00394371"/>
    <w:rsid w:val="003947BD"/>
    <w:rsid w:val="00394C6D"/>
    <w:rsid w:val="00394C8F"/>
    <w:rsid w:val="00395A73"/>
    <w:rsid w:val="00395B63"/>
    <w:rsid w:val="00395B84"/>
    <w:rsid w:val="00396237"/>
    <w:rsid w:val="00396309"/>
    <w:rsid w:val="00396F1B"/>
    <w:rsid w:val="003A0D68"/>
    <w:rsid w:val="003A0FFE"/>
    <w:rsid w:val="003A15D2"/>
    <w:rsid w:val="003A1758"/>
    <w:rsid w:val="003A2527"/>
    <w:rsid w:val="003A257C"/>
    <w:rsid w:val="003A2725"/>
    <w:rsid w:val="003A2E90"/>
    <w:rsid w:val="003A44D7"/>
    <w:rsid w:val="003A4E3E"/>
    <w:rsid w:val="003A4E76"/>
    <w:rsid w:val="003A5DDB"/>
    <w:rsid w:val="003A5F29"/>
    <w:rsid w:val="003A62A6"/>
    <w:rsid w:val="003A6977"/>
    <w:rsid w:val="003A6BC0"/>
    <w:rsid w:val="003A6EB3"/>
    <w:rsid w:val="003A71A8"/>
    <w:rsid w:val="003A77BA"/>
    <w:rsid w:val="003A7A06"/>
    <w:rsid w:val="003A7B86"/>
    <w:rsid w:val="003B009D"/>
    <w:rsid w:val="003B0AB1"/>
    <w:rsid w:val="003B0DCC"/>
    <w:rsid w:val="003B0EFE"/>
    <w:rsid w:val="003B13B5"/>
    <w:rsid w:val="003B1411"/>
    <w:rsid w:val="003B1E0E"/>
    <w:rsid w:val="003B21E0"/>
    <w:rsid w:val="003B2ACA"/>
    <w:rsid w:val="003B2D97"/>
    <w:rsid w:val="003B332A"/>
    <w:rsid w:val="003B3FB1"/>
    <w:rsid w:val="003B4055"/>
    <w:rsid w:val="003B4A54"/>
    <w:rsid w:val="003B4ACE"/>
    <w:rsid w:val="003B4BA0"/>
    <w:rsid w:val="003B5259"/>
    <w:rsid w:val="003B5E1F"/>
    <w:rsid w:val="003B5E42"/>
    <w:rsid w:val="003B60BA"/>
    <w:rsid w:val="003B60EC"/>
    <w:rsid w:val="003B6B86"/>
    <w:rsid w:val="003B6F42"/>
    <w:rsid w:val="003B7222"/>
    <w:rsid w:val="003B7586"/>
    <w:rsid w:val="003C0CB0"/>
    <w:rsid w:val="003C0DC0"/>
    <w:rsid w:val="003C0FD0"/>
    <w:rsid w:val="003C1037"/>
    <w:rsid w:val="003C14FF"/>
    <w:rsid w:val="003C1F8B"/>
    <w:rsid w:val="003C2440"/>
    <w:rsid w:val="003C2AAE"/>
    <w:rsid w:val="003C3028"/>
    <w:rsid w:val="003C3488"/>
    <w:rsid w:val="003C3698"/>
    <w:rsid w:val="003C3AE5"/>
    <w:rsid w:val="003C4199"/>
    <w:rsid w:val="003C41D3"/>
    <w:rsid w:val="003C41EC"/>
    <w:rsid w:val="003C448D"/>
    <w:rsid w:val="003C44A1"/>
    <w:rsid w:val="003C45E7"/>
    <w:rsid w:val="003C48C0"/>
    <w:rsid w:val="003C5690"/>
    <w:rsid w:val="003C674F"/>
    <w:rsid w:val="003C6E06"/>
    <w:rsid w:val="003C7A25"/>
    <w:rsid w:val="003D01AD"/>
    <w:rsid w:val="003D08D2"/>
    <w:rsid w:val="003D18D2"/>
    <w:rsid w:val="003D233D"/>
    <w:rsid w:val="003D2785"/>
    <w:rsid w:val="003D2BFD"/>
    <w:rsid w:val="003D3C1B"/>
    <w:rsid w:val="003D3E40"/>
    <w:rsid w:val="003D41CF"/>
    <w:rsid w:val="003D44B8"/>
    <w:rsid w:val="003D4DE3"/>
    <w:rsid w:val="003D5199"/>
    <w:rsid w:val="003D54E0"/>
    <w:rsid w:val="003D56BC"/>
    <w:rsid w:val="003D5753"/>
    <w:rsid w:val="003D5756"/>
    <w:rsid w:val="003D6599"/>
    <w:rsid w:val="003D6AD8"/>
    <w:rsid w:val="003D6C0B"/>
    <w:rsid w:val="003D71B3"/>
    <w:rsid w:val="003D76B5"/>
    <w:rsid w:val="003D795B"/>
    <w:rsid w:val="003E0015"/>
    <w:rsid w:val="003E054E"/>
    <w:rsid w:val="003E0574"/>
    <w:rsid w:val="003E06A9"/>
    <w:rsid w:val="003E0873"/>
    <w:rsid w:val="003E0974"/>
    <w:rsid w:val="003E15EE"/>
    <w:rsid w:val="003E1674"/>
    <w:rsid w:val="003E1710"/>
    <w:rsid w:val="003E25F3"/>
    <w:rsid w:val="003E27BC"/>
    <w:rsid w:val="003E2A00"/>
    <w:rsid w:val="003E3355"/>
    <w:rsid w:val="003E339F"/>
    <w:rsid w:val="003E3504"/>
    <w:rsid w:val="003E43DD"/>
    <w:rsid w:val="003E477E"/>
    <w:rsid w:val="003E4DDE"/>
    <w:rsid w:val="003E50B6"/>
    <w:rsid w:val="003E5746"/>
    <w:rsid w:val="003E5FC9"/>
    <w:rsid w:val="003E611C"/>
    <w:rsid w:val="003E61CA"/>
    <w:rsid w:val="003E65E7"/>
    <w:rsid w:val="003E6690"/>
    <w:rsid w:val="003E66E5"/>
    <w:rsid w:val="003E6F5E"/>
    <w:rsid w:val="003E6F6B"/>
    <w:rsid w:val="003E7295"/>
    <w:rsid w:val="003E7A54"/>
    <w:rsid w:val="003E7B25"/>
    <w:rsid w:val="003F01B2"/>
    <w:rsid w:val="003F03A4"/>
    <w:rsid w:val="003F0541"/>
    <w:rsid w:val="003F15E4"/>
    <w:rsid w:val="003F1712"/>
    <w:rsid w:val="003F1774"/>
    <w:rsid w:val="003F1784"/>
    <w:rsid w:val="003F181C"/>
    <w:rsid w:val="003F1F61"/>
    <w:rsid w:val="003F253B"/>
    <w:rsid w:val="003F2805"/>
    <w:rsid w:val="003F2C0E"/>
    <w:rsid w:val="003F3821"/>
    <w:rsid w:val="003F3CA6"/>
    <w:rsid w:val="003F4243"/>
    <w:rsid w:val="003F4330"/>
    <w:rsid w:val="003F44FE"/>
    <w:rsid w:val="003F505B"/>
    <w:rsid w:val="003F530B"/>
    <w:rsid w:val="003F534E"/>
    <w:rsid w:val="003F59A9"/>
    <w:rsid w:val="003F5C80"/>
    <w:rsid w:val="003F5FED"/>
    <w:rsid w:val="003F64E7"/>
    <w:rsid w:val="003F66C8"/>
    <w:rsid w:val="003F68CF"/>
    <w:rsid w:val="003F7377"/>
    <w:rsid w:val="003F73AF"/>
    <w:rsid w:val="003F76F4"/>
    <w:rsid w:val="00400A4D"/>
    <w:rsid w:val="00400DC2"/>
    <w:rsid w:val="00400EB7"/>
    <w:rsid w:val="00400F27"/>
    <w:rsid w:val="004025C2"/>
    <w:rsid w:val="004026DE"/>
    <w:rsid w:val="00402B7B"/>
    <w:rsid w:val="00403645"/>
    <w:rsid w:val="0040412A"/>
    <w:rsid w:val="00404428"/>
    <w:rsid w:val="004044DE"/>
    <w:rsid w:val="004046F8"/>
    <w:rsid w:val="00404994"/>
    <w:rsid w:val="00405930"/>
    <w:rsid w:val="00405A2D"/>
    <w:rsid w:val="00405FE3"/>
    <w:rsid w:val="00406994"/>
    <w:rsid w:val="00407072"/>
    <w:rsid w:val="004071C0"/>
    <w:rsid w:val="00407874"/>
    <w:rsid w:val="0040797B"/>
    <w:rsid w:val="00407B07"/>
    <w:rsid w:val="00407CCA"/>
    <w:rsid w:val="004108E5"/>
    <w:rsid w:val="00411A0F"/>
    <w:rsid w:val="00411CE0"/>
    <w:rsid w:val="00411F80"/>
    <w:rsid w:val="00412036"/>
    <w:rsid w:val="004132E2"/>
    <w:rsid w:val="004146E2"/>
    <w:rsid w:val="00414B01"/>
    <w:rsid w:val="00414F1F"/>
    <w:rsid w:val="00415BEA"/>
    <w:rsid w:val="00415CE5"/>
    <w:rsid w:val="00416A0B"/>
    <w:rsid w:val="00417C44"/>
    <w:rsid w:val="00417CD7"/>
    <w:rsid w:val="00417EB7"/>
    <w:rsid w:val="00420230"/>
    <w:rsid w:val="004205F1"/>
    <w:rsid w:val="00420A2E"/>
    <w:rsid w:val="00421232"/>
    <w:rsid w:val="004217E0"/>
    <w:rsid w:val="004219F2"/>
    <w:rsid w:val="00421D5E"/>
    <w:rsid w:val="00422208"/>
    <w:rsid w:val="00422907"/>
    <w:rsid w:val="00422DBF"/>
    <w:rsid w:val="004231CC"/>
    <w:rsid w:val="004234EF"/>
    <w:rsid w:val="0042382E"/>
    <w:rsid w:val="00423F6C"/>
    <w:rsid w:val="00424AC9"/>
    <w:rsid w:val="0042513A"/>
    <w:rsid w:val="004251CF"/>
    <w:rsid w:val="004258D9"/>
    <w:rsid w:val="00425B14"/>
    <w:rsid w:val="00425EAC"/>
    <w:rsid w:val="0042608B"/>
    <w:rsid w:val="00427553"/>
    <w:rsid w:val="004277BB"/>
    <w:rsid w:val="0043035C"/>
    <w:rsid w:val="00430398"/>
    <w:rsid w:val="00431439"/>
    <w:rsid w:val="004317C8"/>
    <w:rsid w:val="00431EB5"/>
    <w:rsid w:val="004321C3"/>
    <w:rsid w:val="004325E4"/>
    <w:rsid w:val="0043267E"/>
    <w:rsid w:val="004326B3"/>
    <w:rsid w:val="00432E69"/>
    <w:rsid w:val="00433581"/>
    <w:rsid w:val="00433AA5"/>
    <w:rsid w:val="00433F10"/>
    <w:rsid w:val="00434427"/>
    <w:rsid w:val="00434C7B"/>
    <w:rsid w:val="00434E65"/>
    <w:rsid w:val="00434FC5"/>
    <w:rsid w:val="004356E4"/>
    <w:rsid w:val="00435D7A"/>
    <w:rsid w:val="00436011"/>
    <w:rsid w:val="004367E1"/>
    <w:rsid w:val="004376FC"/>
    <w:rsid w:val="0043797E"/>
    <w:rsid w:val="00437D15"/>
    <w:rsid w:val="00440399"/>
    <w:rsid w:val="00440739"/>
    <w:rsid w:val="004409AC"/>
    <w:rsid w:val="00440A45"/>
    <w:rsid w:val="00440D89"/>
    <w:rsid w:val="00440ED6"/>
    <w:rsid w:val="0044162C"/>
    <w:rsid w:val="00441826"/>
    <w:rsid w:val="0044195F"/>
    <w:rsid w:val="00441E1E"/>
    <w:rsid w:val="00441FBF"/>
    <w:rsid w:val="0044289D"/>
    <w:rsid w:val="00442AE6"/>
    <w:rsid w:val="00443149"/>
    <w:rsid w:val="004434A5"/>
    <w:rsid w:val="004436BD"/>
    <w:rsid w:val="004437F9"/>
    <w:rsid w:val="0044386E"/>
    <w:rsid w:val="004438B2"/>
    <w:rsid w:val="00443A0B"/>
    <w:rsid w:val="00443A0F"/>
    <w:rsid w:val="00443FA9"/>
    <w:rsid w:val="0044490C"/>
    <w:rsid w:val="0044585A"/>
    <w:rsid w:val="00445D2D"/>
    <w:rsid w:val="00446D17"/>
    <w:rsid w:val="00446E24"/>
    <w:rsid w:val="00447597"/>
    <w:rsid w:val="00447B84"/>
    <w:rsid w:val="00447F8F"/>
    <w:rsid w:val="004500A3"/>
    <w:rsid w:val="00450BCA"/>
    <w:rsid w:val="00450DD8"/>
    <w:rsid w:val="0045137E"/>
    <w:rsid w:val="00451B60"/>
    <w:rsid w:val="00451C31"/>
    <w:rsid w:val="00451D27"/>
    <w:rsid w:val="0045206B"/>
    <w:rsid w:val="004522AE"/>
    <w:rsid w:val="004524C5"/>
    <w:rsid w:val="004526CA"/>
    <w:rsid w:val="0045281E"/>
    <w:rsid w:val="004529AA"/>
    <w:rsid w:val="004529E9"/>
    <w:rsid w:val="00452FD0"/>
    <w:rsid w:val="004534A0"/>
    <w:rsid w:val="0045414C"/>
    <w:rsid w:val="00454D86"/>
    <w:rsid w:val="00454E6A"/>
    <w:rsid w:val="004551A2"/>
    <w:rsid w:val="004559C7"/>
    <w:rsid w:val="00456796"/>
    <w:rsid w:val="00456BB6"/>
    <w:rsid w:val="00456C53"/>
    <w:rsid w:val="0045715A"/>
    <w:rsid w:val="00457513"/>
    <w:rsid w:val="00457B45"/>
    <w:rsid w:val="00457C0E"/>
    <w:rsid w:val="004608B2"/>
    <w:rsid w:val="00460AC4"/>
    <w:rsid w:val="00461A07"/>
    <w:rsid w:val="00461E88"/>
    <w:rsid w:val="004627C9"/>
    <w:rsid w:val="00462CCF"/>
    <w:rsid w:val="004632EC"/>
    <w:rsid w:val="00463443"/>
    <w:rsid w:val="00464472"/>
    <w:rsid w:val="004646C3"/>
    <w:rsid w:val="00464752"/>
    <w:rsid w:val="0046492C"/>
    <w:rsid w:val="00465A23"/>
    <w:rsid w:val="00465F5A"/>
    <w:rsid w:val="00466297"/>
    <w:rsid w:val="00466620"/>
    <w:rsid w:val="00466A38"/>
    <w:rsid w:val="00466C07"/>
    <w:rsid w:val="00467054"/>
    <w:rsid w:val="004713F1"/>
    <w:rsid w:val="004714A1"/>
    <w:rsid w:val="0047160E"/>
    <w:rsid w:val="0047212E"/>
    <w:rsid w:val="00472862"/>
    <w:rsid w:val="00472BAF"/>
    <w:rsid w:val="004736A2"/>
    <w:rsid w:val="00473888"/>
    <w:rsid w:val="00473A59"/>
    <w:rsid w:val="00473B49"/>
    <w:rsid w:val="00473D8E"/>
    <w:rsid w:val="00474157"/>
    <w:rsid w:val="00474EB2"/>
    <w:rsid w:val="00475401"/>
    <w:rsid w:val="00475D65"/>
    <w:rsid w:val="00476090"/>
    <w:rsid w:val="0047694A"/>
    <w:rsid w:val="00476AD7"/>
    <w:rsid w:val="00476DB6"/>
    <w:rsid w:val="0047709B"/>
    <w:rsid w:val="00477434"/>
    <w:rsid w:val="00477C56"/>
    <w:rsid w:val="00480472"/>
    <w:rsid w:val="00480A0A"/>
    <w:rsid w:val="00480A45"/>
    <w:rsid w:val="004816F4"/>
    <w:rsid w:val="00482738"/>
    <w:rsid w:val="00482CF0"/>
    <w:rsid w:val="00482F81"/>
    <w:rsid w:val="0048398A"/>
    <w:rsid w:val="00483C4A"/>
    <w:rsid w:val="00483EEE"/>
    <w:rsid w:val="004846D4"/>
    <w:rsid w:val="00484EAE"/>
    <w:rsid w:val="00484FA1"/>
    <w:rsid w:val="004857FB"/>
    <w:rsid w:val="00486204"/>
    <w:rsid w:val="00486890"/>
    <w:rsid w:val="00486B40"/>
    <w:rsid w:val="00486DE5"/>
    <w:rsid w:val="004871FB"/>
    <w:rsid w:val="00487595"/>
    <w:rsid w:val="004879CD"/>
    <w:rsid w:val="00487CF8"/>
    <w:rsid w:val="00487E5B"/>
    <w:rsid w:val="00490703"/>
    <w:rsid w:val="004908EC"/>
    <w:rsid w:val="004913CA"/>
    <w:rsid w:val="004916B1"/>
    <w:rsid w:val="004918A0"/>
    <w:rsid w:val="00492109"/>
    <w:rsid w:val="00492608"/>
    <w:rsid w:val="00493149"/>
    <w:rsid w:val="004931AB"/>
    <w:rsid w:val="00493B0A"/>
    <w:rsid w:val="00494B70"/>
    <w:rsid w:val="00495226"/>
    <w:rsid w:val="004953FA"/>
    <w:rsid w:val="004955CA"/>
    <w:rsid w:val="00496275"/>
    <w:rsid w:val="004965D6"/>
    <w:rsid w:val="00496ABF"/>
    <w:rsid w:val="00497481"/>
    <w:rsid w:val="004974E2"/>
    <w:rsid w:val="004978DD"/>
    <w:rsid w:val="0049793F"/>
    <w:rsid w:val="00497945"/>
    <w:rsid w:val="004A10FF"/>
    <w:rsid w:val="004A1315"/>
    <w:rsid w:val="004A1319"/>
    <w:rsid w:val="004A1472"/>
    <w:rsid w:val="004A167F"/>
    <w:rsid w:val="004A16A3"/>
    <w:rsid w:val="004A1853"/>
    <w:rsid w:val="004A1B63"/>
    <w:rsid w:val="004A1D42"/>
    <w:rsid w:val="004A1F15"/>
    <w:rsid w:val="004A2024"/>
    <w:rsid w:val="004A205E"/>
    <w:rsid w:val="004A23CC"/>
    <w:rsid w:val="004A25CB"/>
    <w:rsid w:val="004A2F96"/>
    <w:rsid w:val="004A3030"/>
    <w:rsid w:val="004A3277"/>
    <w:rsid w:val="004A3637"/>
    <w:rsid w:val="004A3768"/>
    <w:rsid w:val="004A3AF8"/>
    <w:rsid w:val="004A3B24"/>
    <w:rsid w:val="004A3CF0"/>
    <w:rsid w:val="004A3D2F"/>
    <w:rsid w:val="004A4337"/>
    <w:rsid w:val="004A44E1"/>
    <w:rsid w:val="004A450E"/>
    <w:rsid w:val="004A5015"/>
    <w:rsid w:val="004A5286"/>
    <w:rsid w:val="004A5A37"/>
    <w:rsid w:val="004A745D"/>
    <w:rsid w:val="004A7744"/>
    <w:rsid w:val="004A784B"/>
    <w:rsid w:val="004B00C8"/>
    <w:rsid w:val="004B011E"/>
    <w:rsid w:val="004B0411"/>
    <w:rsid w:val="004B0F39"/>
    <w:rsid w:val="004B1092"/>
    <w:rsid w:val="004B22BA"/>
    <w:rsid w:val="004B299F"/>
    <w:rsid w:val="004B2AE7"/>
    <w:rsid w:val="004B2F2F"/>
    <w:rsid w:val="004B327B"/>
    <w:rsid w:val="004B3A77"/>
    <w:rsid w:val="004B3B52"/>
    <w:rsid w:val="004B3EB7"/>
    <w:rsid w:val="004B40F6"/>
    <w:rsid w:val="004B411F"/>
    <w:rsid w:val="004B4135"/>
    <w:rsid w:val="004B475D"/>
    <w:rsid w:val="004B4BD8"/>
    <w:rsid w:val="004B4CFF"/>
    <w:rsid w:val="004B4D80"/>
    <w:rsid w:val="004B4E24"/>
    <w:rsid w:val="004B5172"/>
    <w:rsid w:val="004B53CE"/>
    <w:rsid w:val="004B5EA1"/>
    <w:rsid w:val="004B5F5D"/>
    <w:rsid w:val="004B6094"/>
    <w:rsid w:val="004B6355"/>
    <w:rsid w:val="004B7127"/>
    <w:rsid w:val="004B732D"/>
    <w:rsid w:val="004B7A79"/>
    <w:rsid w:val="004B7B48"/>
    <w:rsid w:val="004B7B65"/>
    <w:rsid w:val="004C01A4"/>
    <w:rsid w:val="004C0A91"/>
    <w:rsid w:val="004C0D30"/>
    <w:rsid w:val="004C0D36"/>
    <w:rsid w:val="004C1A5C"/>
    <w:rsid w:val="004C2553"/>
    <w:rsid w:val="004C2648"/>
    <w:rsid w:val="004C27DE"/>
    <w:rsid w:val="004C2A67"/>
    <w:rsid w:val="004C2DE1"/>
    <w:rsid w:val="004C2EFD"/>
    <w:rsid w:val="004C4367"/>
    <w:rsid w:val="004C4377"/>
    <w:rsid w:val="004C47B2"/>
    <w:rsid w:val="004C5E67"/>
    <w:rsid w:val="004C6098"/>
    <w:rsid w:val="004C60C8"/>
    <w:rsid w:val="004C61FF"/>
    <w:rsid w:val="004C623F"/>
    <w:rsid w:val="004C65B8"/>
    <w:rsid w:val="004C6BE1"/>
    <w:rsid w:val="004C6E35"/>
    <w:rsid w:val="004C6FCF"/>
    <w:rsid w:val="004C70DA"/>
    <w:rsid w:val="004C7FAC"/>
    <w:rsid w:val="004D03EA"/>
    <w:rsid w:val="004D1645"/>
    <w:rsid w:val="004D1744"/>
    <w:rsid w:val="004D22B1"/>
    <w:rsid w:val="004D3A1F"/>
    <w:rsid w:val="004D4160"/>
    <w:rsid w:val="004D515B"/>
    <w:rsid w:val="004D5332"/>
    <w:rsid w:val="004D5435"/>
    <w:rsid w:val="004D63D6"/>
    <w:rsid w:val="004D6587"/>
    <w:rsid w:val="004D6A5C"/>
    <w:rsid w:val="004D6EB4"/>
    <w:rsid w:val="004D776F"/>
    <w:rsid w:val="004D783F"/>
    <w:rsid w:val="004E0BA3"/>
    <w:rsid w:val="004E0E1A"/>
    <w:rsid w:val="004E0F86"/>
    <w:rsid w:val="004E10BE"/>
    <w:rsid w:val="004E136B"/>
    <w:rsid w:val="004E20D2"/>
    <w:rsid w:val="004E2181"/>
    <w:rsid w:val="004E258F"/>
    <w:rsid w:val="004E2827"/>
    <w:rsid w:val="004E2ACC"/>
    <w:rsid w:val="004E30F8"/>
    <w:rsid w:val="004E3771"/>
    <w:rsid w:val="004E3CF9"/>
    <w:rsid w:val="004E470A"/>
    <w:rsid w:val="004E4B28"/>
    <w:rsid w:val="004E53BB"/>
    <w:rsid w:val="004E5538"/>
    <w:rsid w:val="004E5739"/>
    <w:rsid w:val="004E5A10"/>
    <w:rsid w:val="004E5C0F"/>
    <w:rsid w:val="004E6C72"/>
    <w:rsid w:val="004E6E7C"/>
    <w:rsid w:val="004E7058"/>
    <w:rsid w:val="004E77BE"/>
    <w:rsid w:val="004E7A9D"/>
    <w:rsid w:val="004F1283"/>
    <w:rsid w:val="004F13C2"/>
    <w:rsid w:val="004F1A18"/>
    <w:rsid w:val="004F330C"/>
    <w:rsid w:val="004F3354"/>
    <w:rsid w:val="004F33C0"/>
    <w:rsid w:val="004F3DFE"/>
    <w:rsid w:val="004F3F89"/>
    <w:rsid w:val="004F422A"/>
    <w:rsid w:val="004F42C5"/>
    <w:rsid w:val="004F4633"/>
    <w:rsid w:val="004F4999"/>
    <w:rsid w:val="004F499C"/>
    <w:rsid w:val="004F4A4C"/>
    <w:rsid w:val="004F4D5B"/>
    <w:rsid w:val="004F4E41"/>
    <w:rsid w:val="004F5137"/>
    <w:rsid w:val="004F567A"/>
    <w:rsid w:val="004F5BC4"/>
    <w:rsid w:val="004F61C6"/>
    <w:rsid w:val="004F66F1"/>
    <w:rsid w:val="004F677B"/>
    <w:rsid w:val="004F7B30"/>
    <w:rsid w:val="004F7CF8"/>
    <w:rsid w:val="005001B1"/>
    <w:rsid w:val="005004A5"/>
    <w:rsid w:val="00500623"/>
    <w:rsid w:val="00500675"/>
    <w:rsid w:val="00500AB6"/>
    <w:rsid w:val="005018A5"/>
    <w:rsid w:val="00501AB0"/>
    <w:rsid w:val="005026D3"/>
    <w:rsid w:val="005027A9"/>
    <w:rsid w:val="0050311A"/>
    <w:rsid w:val="00503840"/>
    <w:rsid w:val="00503BE5"/>
    <w:rsid w:val="00503D05"/>
    <w:rsid w:val="00503D5A"/>
    <w:rsid w:val="00503EF1"/>
    <w:rsid w:val="00504187"/>
    <w:rsid w:val="00504450"/>
    <w:rsid w:val="0050455A"/>
    <w:rsid w:val="005046CA"/>
    <w:rsid w:val="005049E6"/>
    <w:rsid w:val="00505054"/>
    <w:rsid w:val="005057FE"/>
    <w:rsid w:val="00505AB0"/>
    <w:rsid w:val="00505ECD"/>
    <w:rsid w:val="00506F8A"/>
    <w:rsid w:val="00507236"/>
    <w:rsid w:val="0050793A"/>
    <w:rsid w:val="00507F26"/>
    <w:rsid w:val="005102BD"/>
    <w:rsid w:val="005109D8"/>
    <w:rsid w:val="00510B09"/>
    <w:rsid w:val="005114E6"/>
    <w:rsid w:val="0051176F"/>
    <w:rsid w:val="005122B2"/>
    <w:rsid w:val="005123AC"/>
    <w:rsid w:val="005126CF"/>
    <w:rsid w:val="00512A48"/>
    <w:rsid w:val="00512D8B"/>
    <w:rsid w:val="00513286"/>
    <w:rsid w:val="0051413C"/>
    <w:rsid w:val="00514181"/>
    <w:rsid w:val="00514E7C"/>
    <w:rsid w:val="005153E5"/>
    <w:rsid w:val="00515DD4"/>
    <w:rsid w:val="005164EA"/>
    <w:rsid w:val="005169CC"/>
    <w:rsid w:val="00516BBF"/>
    <w:rsid w:val="00516BE3"/>
    <w:rsid w:val="00516C6D"/>
    <w:rsid w:val="00516F9A"/>
    <w:rsid w:val="00517908"/>
    <w:rsid w:val="00520170"/>
    <w:rsid w:val="005212A5"/>
    <w:rsid w:val="005216AC"/>
    <w:rsid w:val="00521A3A"/>
    <w:rsid w:val="00521D02"/>
    <w:rsid w:val="0052234B"/>
    <w:rsid w:val="00522AED"/>
    <w:rsid w:val="005231B0"/>
    <w:rsid w:val="00523A09"/>
    <w:rsid w:val="00523CD8"/>
    <w:rsid w:val="0052426F"/>
    <w:rsid w:val="00524477"/>
    <w:rsid w:val="00524659"/>
    <w:rsid w:val="00524E76"/>
    <w:rsid w:val="00524EE6"/>
    <w:rsid w:val="005251E4"/>
    <w:rsid w:val="0052530F"/>
    <w:rsid w:val="00525D05"/>
    <w:rsid w:val="00525F1D"/>
    <w:rsid w:val="00526D8F"/>
    <w:rsid w:val="00526ED3"/>
    <w:rsid w:val="00526F7B"/>
    <w:rsid w:val="0052763A"/>
    <w:rsid w:val="00527888"/>
    <w:rsid w:val="00527A7C"/>
    <w:rsid w:val="005301AA"/>
    <w:rsid w:val="005302BF"/>
    <w:rsid w:val="00530466"/>
    <w:rsid w:val="005309F1"/>
    <w:rsid w:val="00530C7E"/>
    <w:rsid w:val="00530E10"/>
    <w:rsid w:val="00530E55"/>
    <w:rsid w:val="00531555"/>
    <w:rsid w:val="00531B9A"/>
    <w:rsid w:val="005320CF"/>
    <w:rsid w:val="005325CD"/>
    <w:rsid w:val="0053384F"/>
    <w:rsid w:val="00534456"/>
    <w:rsid w:val="005345B1"/>
    <w:rsid w:val="00534EAF"/>
    <w:rsid w:val="00535BCC"/>
    <w:rsid w:val="00535D00"/>
    <w:rsid w:val="00535DFE"/>
    <w:rsid w:val="00536043"/>
    <w:rsid w:val="00536726"/>
    <w:rsid w:val="00536DDB"/>
    <w:rsid w:val="0053735B"/>
    <w:rsid w:val="00537AFA"/>
    <w:rsid w:val="00537F67"/>
    <w:rsid w:val="005400ED"/>
    <w:rsid w:val="00540286"/>
    <w:rsid w:val="00540A71"/>
    <w:rsid w:val="0054100C"/>
    <w:rsid w:val="00541D40"/>
    <w:rsid w:val="005427F5"/>
    <w:rsid w:val="00542808"/>
    <w:rsid w:val="00542BA4"/>
    <w:rsid w:val="00543AD8"/>
    <w:rsid w:val="00543B7F"/>
    <w:rsid w:val="00543F04"/>
    <w:rsid w:val="00544035"/>
    <w:rsid w:val="00544083"/>
    <w:rsid w:val="00544ECE"/>
    <w:rsid w:val="00545754"/>
    <w:rsid w:val="00545823"/>
    <w:rsid w:val="005465D6"/>
    <w:rsid w:val="0054667C"/>
    <w:rsid w:val="005467D8"/>
    <w:rsid w:val="00546CC1"/>
    <w:rsid w:val="0054717C"/>
    <w:rsid w:val="005475C5"/>
    <w:rsid w:val="00547B49"/>
    <w:rsid w:val="00547CAD"/>
    <w:rsid w:val="0055068E"/>
    <w:rsid w:val="005508B3"/>
    <w:rsid w:val="00551260"/>
    <w:rsid w:val="005515D7"/>
    <w:rsid w:val="00551926"/>
    <w:rsid w:val="00552338"/>
    <w:rsid w:val="0055236B"/>
    <w:rsid w:val="005526F7"/>
    <w:rsid w:val="00552FA4"/>
    <w:rsid w:val="00552FD6"/>
    <w:rsid w:val="00553853"/>
    <w:rsid w:val="005545EA"/>
    <w:rsid w:val="00554793"/>
    <w:rsid w:val="00554852"/>
    <w:rsid w:val="00554E94"/>
    <w:rsid w:val="0055612E"/>
    <w:rsid w:val="00556223"/>
    <w:rsid w:val="00557250"/>
    <w:rsid w:val="0055766B"/>
    <w:rsid w:val="005578B8"/>
    <w:rsid w:val="005600D3"/>
    <w:rsid w:val="00560EA8"/>
    <w:rsid w:val="0056111F"/>
    <w:rsid w:val="00561A48"/>
    <w:rsid w:val="00562204"/>
    <w:rsid w:val="00562F61"/>
    <w:rsid w:val="00563407"/>
    <w:rsid w:val="005636A8"/>
    <w:rsid w:val="005636B2"/>
    <w:rsid w:val="00563B7C"/>
    <w:rsid w:val="0056446E"/>
    <w:rsid w:val="005647D4"/>
    <w:rsid w:val="00564FC0"/>
    <w:rsid w:val="005651EC"/>
    <w:rsid w:val="005654F1"/>
    <w:rsid w:val="005659AC"/>
    <w:rsid w:val="00565FFB"/>
    <w:rsid w:val="005660E0"/>
    <w:rsid w:val="00566A59"/>
    <w:rsid w:val="005673D7"/>
    <w:rsid w:val="005704E1"/>
    <w:rsid w:val="00570776"/>
    <w:rsid w:val="00570CCC"/>
    <w:rsid w:val="00571083"/>
    <w:rsid w:val="00571101"/>
    <w:rsid w:val="0057120A"/>
    <w:rsid w:val="005721D6"/>
    <w:rsid w:val="005723FA"/>
    <w:rsid w:val="00572E47"/>
    <w:rsid w:val="00573397"/>
    <w:rsid w:val="0057353F"/>
    <w:rsid w:val="00573719"/>
    <w:rsid w:val="005737E9"/>
    <w:rsid w:val="00573A0C"/>
    <w:rsid w:val="00573B5B"/>
    <w:rsid w:val="00573D97"/>
    <w:rsid w:val="00574202"/>
    <w:rsid w:val="005742F0"/>
    <w:rsid w:val="005743FB"/>
    <w:rsid w:val="005748E0"/>
    <w:rsid w:val="005749E1"/>
    <w:rsid w:val="00574C26"/>
    <w:rsid w:val="00575152"/>
    <w:rsid w:val="0057521D"/>
    <w:rsid w:val="0057597A"/>
    <w:rsid w:val="00575EA4"/>
    <w:rsid w:val="00576432"/>
    <w:rsid w:val="005767C5"/>
    <w:rsid w:val="00576F3D"/>
    <w:rsid w:val="00580804"/>
    <w:rsid w:val="005816D6"/>
    <w:rsid w:val="005817E7"/>
    <w:rsid w:val="00581CC5"/>
    <w:rsid w:val="00582162"/>
    <w:rsid w:val="00582C4D"/>
    <w:rsid w:val="00582FB1"/>
    <w:rsid w:val="0058303D"/>
    <w:rsid w:val="00583BC8"/>
    <w:rsid w:val="005844B4"/>
    <w:rsid w:val="005845AB"/>
    <w:rsid w:val="005845D1"/>
    <w:rsid w:val="00584777"/>
    <w:rsid w:val="005857FA"/>
    <w:rsid w:val="00585A58"/>
    <w:rsid w:val="00585AE5"/>
    <w:rsid w:val="00586051"/>
    <w:rsid w:val="0058623E"/>
    <w:rsid w:val="005866D0"/>
    <w:rsid w:val="00586785"/>
    <w:rsid w:val="00586CAF"/>
    <w:rsid w:val="00587530"/>
    <w:rsid w:val="00587DA8"/>
    <w:rsid w:val="00587FCA"/>
    <w:rsid w:val="00590081"/>
    <w:rsid w:val="00590613"/>
    <w:rsid w:val="0059097D"/>
    <w:rsid w:val="005910F4"/>
    <w:rsid w:val="00591437"/>
    <w:rsid w:val="00591480"/>
    <w:rsid w:val="00591A2F"/>
    <w:rsid w:val="00591B64"/>
    <w:rsid w:val="0059291D"/>
    <w:rsid w:val="00592E11"/>
    <w:rsid w:val="005931E1"/>
    <w:rsid w:val="00593694"/>
    <w:rsid w:val="005936B4"/>
    <w:rsid w:val="00593C9B"/>
    <w:rsid w:val="00595B1F"/>
    <w:rsid w:val="00595CE7"/>
    <w:rsid w:val="00595DED"/>
    <w:rsid w:val="00595E6E"/>
    <w:rsid w:val="005966C6"/>
    <w:rsid w:val="0059704A"/>
    <w:rsid w:val="005973D1"/>
    <w:rsid w:val="0059761A"/>
    <w:rsid w:val="00597ADE"/>
    <w:rsid w:val="005A06D8"/>
    <w:rsid w:val="005A0B48"/>
    <w:rsid w:val="005A0C46"/>
    <w:rsid w:val="005A0D36"/>
    <w:rsid w:val="005A1BBD"/>
    <w:rsid w:val="005A1CE7"/>
    <w:rsid w:val="005A1D2E"/>
    <w:rsid w:val="005A1FE7"/>
    <w:rsid w:val="005A21B8"/>
    <w:rsid w:val="005A293B"/>
    <w:rsid w:val="005A2B1A"/>
    <w:rsid w:val="005A2C39"/>
    <w:rsid w:val="005A2CCB"/>
    <w:rsid w:val="005A37B4"/>
    <w:rsid w:val="005A3912"/>
    <w:rsid w:val="005A3DE4"/>
    <w:rsid w:val="005A437D"/>
    <w:rsid w:val="005A459D"/>
    <w:rsid w:val="005A46B4"/>
    <w:rsid w:val="005A5339"/>
    <w:rsid w:val="005A5C98"/>
    <w:rsid w:val="005A5E89"/>
    <w:rsid w:val="005A6531"/>
    <w:rsid w:val="005A6B15"/>
    <w:rsid w:val="005A6B1E"/>
    <w:rsid w:val="005A76B3"/>
    <w:rsid w:val="005A78DB"/>
    <w:rsid w:val="005B0031"/>
    <w:rsid w:val="005B003F"/>
    <w:rsid w:val="005B02FD"/>
    <w:rsid w:val="005B0351"/>
    <w:rsid w:val="005B03AA"/>
    <w:rsid w:val="005B0623"/>
    <w:rsid w:val="005B0A71"/>
    <w:rsid w:val="005B0D34"/>
    <w:rsid w:val="005B0E74"/>
    <w:rsid w:val="005B18E7"/>
    <w:rsid w:val="005B1DAE"/>
    <w:rsid w:val="005B1E2B"/>
    <w:rsid w:val="005B23CA"/>
    <w:rsid w:val="005B24BA"/>
    <w:rsid w:val="005B27AD"/>
    <w:rsid w:val="005B28C6"/>
    <w:rsid w:val="005B2C07"/>
    <w:rsid w:val="005B2C54"/>
    <w:rsid w:val="005B2D52"/>
    <w:rsid w:val="005B32FD"/>
    <w:rsid w:val="005B3CDD"/>
    <w:rsid w:val="005B45C7"/>
    <w:rsid w:val="005B5157"/>
    <w:rsid w:val="005B52AB"/>
    <w:rsid w:val="005B55C6"/>
    <w:rsid w:val="005B6EEC"/>
    <w:rsid w:val="005B70CC"/>
    <w:rsid w:val="005B73E5"/>
    <w:rsid w:val="005B7CD2"/>
    <w:rsid w:val="005C018A"/>
    <w:rsid w:val="005C0CF0"/>
    <w:rsid w:val="005C0F69"/>
    <w:rsid w:val="005C113F"/>
    <w:rsid w:val="005C16AC"/>
    <w:rsid w:val="005C1B0A"/>
    <w:rsid w:val="005C2377"/>
    <w:rsid w:val="005C238E"/>
    <w:rsid w:val="005C286C"/>
    <w:rsid w:val="005C28F0"/>
    <w:rsid w:val="005C2E91"/>
    <w:rsid w:val="005C3320"/>
    <w:rsid w:val="005C3405"/>
    <w:rsid w:val="005C38F6"/>
    <w:rsid w:val="005C39AA"/>
    <w:rsid w:val="005C3AFD"/>
    <w:rsid w:val="005C3BF8"/>
    <w:rsid w:val="005C3F44"/>
    <w:rsid w:val="005C411B"/>
    <w:rsid w:val="005C46C1"/>
    <w:rsid w:val="005C48EF"/>
    <w:rsid w:val="005C5661"/>
    <w:rsid w:val="005C5B25"/>
    <w:rsid w:val="005C5F01"/>
    <w:rsid w:val="005C7B4F"/>
    <w:rsid w:val="005C7DAE"/>
    <w:rsid w:val="005D0290"/>
    <w:rsid w:val="005D0655"/>
    <w:rsid w:val="005D06AB"/>
    <w:rsid w:val="005D1017"/>
    <w:rsid w:val="005D1650"/>
    <w:rsid w:val="005D2406"/>
    <w:rsid w:val="005D285B"/>
    <w:rsid w:val="005D2B95"/>
    <w:rsid w:val="005D3674"/>
    <w:rsid w:val="005D3688"/>
    <w:rsid w:val="005D3B4A"/>
    <w:rsid w:val="005D3E5C"/>
    <w:rsid w:val="005D46E9"/>
    <w:rsid w:val="005D4766"/>
    <w:rsid w:val="005D4B77"/>
    <w:rsid w:val="005D4BDA"/>
    <w:rsid w:val="005D4E7C"/>
    <w:rsid w:val="005D4EE2"/>
    <w:rsid w:val="005D521C"/>
    <w:rsid w:val="005D5276"/>
    <w:rsid w:val="005D566E"/>
    <w:rsid w:val="005D56B8"/>
    <w:rsid w:val="005D56CD"/>
    <w:rsid w:val="005D56DB"/>
    <w:rsid w:val="005D5767"/>
    <w:rsid w:val="005D59F8"/>
    <w:rsid w:val="005D5AC4"/>
    <w:rsid w:val="005D5E8E"/>
    <w:rsid w:val="005D5EC8"/>
    <w:rsid w:val="005D66A1"/>
    <w:rsid w:val="005D6DF2"/>
    <w:rsid w:val="005D731C"/>
    <w:rsid w:val="005D78F3"/>
    <w:rsid w:val="005D7EE5"/>
    <w:rsid w:val="005D7FD3"/>
    <w:rsid w:val="005E023A"/>
    <w:rsid w:val="005E0540"/>
    <w:rsid w:val="005E05D3"/>
    <w:rsid w:val="005E0CBB"/>
    <w:rsid w:val="005E0E8F"/>
    <w:rsid w:val="005E13FD"/>
    <w:rsid w:val="005E1C38"/>
    <w:rsid w:val="005E1FDE"/>
    <w:rsid w:val="005E2922"/>
    <w:rsid w:val="005E2A04"/>
    <w:rsid w:val="005E2E28"/>
    <w:rsid w:val="005E33F6"/>
    <w:rsid w:val="005E36CE"/>
    <w:rsid w:val="005E43A6"/>
    <w:rsid w:val="005E496D"/>
    <w:rsid w:val="005E4EAC"/>
    <w:rsid w:val="005E509D"/>
    <w:rsid w:val="005E5189"/>
    <w:rsid w:val="005E5513"/>
    <w:rsid w:val="005E5541"/>
    <w:rsid w:val="005E5CB7"/>
    <w:rsid w:val="005E5D5A"/>
    <w:rsid w:val="005E6942"/>
    <w:rsid w:val="005E6E2E"/>
    <w:rsid w:val="005E6EE9"/>
    <w:rsid w:val="005E7B6C"/>
    <w:rsid w:val="005E7C7D"/>
    <w:rsid w:val="005F045A"/>
    <w:rsid w:val="005F04F6"/>
    <w:rsid w:val="005F094F"/>
    <w:rsid w:val="005F0D63"/>
    <w:rsid w:val="005F14BB"/>
    <w:rsid w:val="005F1AF6"/>
    <w:rsid w:val="005F1B54"/>
    <w:rsid w:val="005F1E0A"/>
    <w:rsid w:val="005F1F6B"/>
    <w:rsid w:val="005F21B5"/>
    <w:rsid w:val="005F23B9"/>
    <w:rsid w:val="005F2853"/>
    <w:rsid w:val="005F2949"/>
    <w:rsid w:val="005F2A19"/>
    <w:rsid w:val="005F2B46"/>
    <w:rsid w:val="005F3137"/>
    <w:rsid w:val="005F336A"/>
    <w:rsid w:val="005F34CE"/>
    <w:rsid w:val="005F387A"/>
    <w:rsid w:val="005F3C1D"/>
    <w:rsid w:val="005F3DAA"/>
    <w:rsid w:val="005F3DC8"/>
    <w:rsid w:val="005F41A4"/>
    <w:rsid w:val="005F4603"/>
    <w:rsid w:val="005F4753"/>
    <w:rsid w:val="005F49C4"/>
    <w:rsid w:val="005F4DAB"/>
    <w:rsid w:val="005F5885"/>
    <w:rsid w:val="005F5CA0"/>
    <w:rsid w:val="005F5ED0"/>
    <w:rsid w:val="005F5F10"/>
    <w:rsid w:val="005F5FDB"/>
    <w:rsid w:val="005F6064"/>
    <w:rsid w:val="005F61AA"/>
    <w:rsid w:val="005F7291"/>
    <w:rsid w:val="005F78DB"/>
    <w:rsid w:val="005F7EC3"/>
    <w:rsid w:val="005F7FD3"/>
    <w:rsid w:val="0060026B"/>
    <w:rsid w:val="00600627"/>
    <w:rsid w:val="00600789"/>
    <w:rsid w:val="00600B0A"/>
    <w:rsid w:val="00601776"/>
    <w:rsid w:val="00601B0D"/>
    <w:rsid w:val="00602954"/>
    <w:rsid w:val="00602AC4"/>
    <w:rsid w:val="00602E02"/>
    <w:rsid w:val="0060434D"/>
    <w:rsid w:val="00604720"/>
    <w:rsid w:val="00604A1B"/>
    <w:rsid w:val="0060511E"/>
    <w:rsid w:val="006051E2"/>
    <w:rsid w:val="0060533E"/>
    <w:rsid w:val="00605794"/>
    <w:rsid w:val="00605CFE"/>
    <w:rsid w:val="00605ECC"/>
    <w:rsid w:val="00605FA1"/>
    <w:rsid w:val="00605FFF"/>
    <w:rsid w:val="00606035"/>
    <w:rsid w:val="00606760"/>
    <w:rsid w:val="00606A33"/>
    <w:rsid w:val="00606DCF"/>
    <w:rsid w:val="00606F42"/>
    <w:rsid w:val="00607215"/>
    <w:rsid w:val="0060779A"/>
    <w:rsid w:val="00610093"/>
    <w:rsid w:val="00610C92"/>
    <w:rsid w:val="00611022"/>
    <w:rsid w:val="006111A8"/>
    <w:rsid w:val="006112CA"/>
    <w:rsid w:val="00611785"/>
    <w:rsid w:val="00611AA9"/>
    <w:rsid w:val="00611B87"/>
    <w:rsid w:val="006120E9"/>
    <w:rsid w:val="00612464"/>
    <w:rsid w:val="00612B14"/>
    <w:rsid w:val="00612B81"/>
    <w:rsid w:val="00612D8E"/>
    <w:rsid w:val="00613463"/>
    <w:rsid w:val="00613C3B"/>
    <w:rsid w:val="00614120"/>
    <w:rsid w:val="00614283"/>
    <w:rsid w:val="006145EA"/>
    <w:rsid w:val="00614872"/>
    <w:rsid w:val="006149FC"/>
    <w:rsid w:val="00614D6A"/>
    <w:rsid w:val="00615019"/>
    <w:rsid w:val="00615075"/>
    <w:rsid w:val="006156D5"/>
    <w:rsid w:val="006156ED"/>
    <w:rsid w:val="00615978"/>
    <w:rsid w:val="00615982"/>
    <w:rsid w:val="0061661D"/>
    <w:rsid w:val="0061714B"/>
    <w:rsid w:val="00617155"/>
    <w:rsid w:val="006174A0"/>
    <w:rsid w:val="0061764D"/>
    <w:rsid w:val="006179AE"/>
    <w:rsid w:val="00617A13"/>
    <w:rsid w:val="00617CE8"/>
    <w:rsid w:val="00617E88"/>
    <w:rsid w:val="00620C63"/>
    <w:rsid w:val="00621320"/>
    <w:rsid w:val="006213F6"/>
    <w:rsid w:val="006218A8"/>
    <w:rsid w:val="006225A3"/>
    <w:rsid w:val="00622789"/>
    <w:rsid w:val="006228D0"/>
    <w:rsid w:val="00622A49"/>
    <w:rsid w:val="00622FAF"/>
    <w:rsid w:val="00622FBD"/>
    <w:rsid w:val="006236BE"/>
    <w:rsid w:val="00623C5E"/>
    <w:rsid w:val="00623DBD"/>
    <w:rsid w:val="00624961"/>
    <w:rsid w:val="00624B9A"/>
    <w:rsid w:val="00624C13"/>
    <w:rsid w:val="006250AC"/>
    <w:rsid w:val="00625C00"/>
    <w:rsid w:val="006261C2"/>
    <w:rsid w:val="006263AE"/>
    <w:rsid w:val="00626432"/>
    <w:rsid w:val="00626644"/>
    <w:rsid w:val="006266F5"/>
    <w:rsid w:val="00626A47"/>
    <w:rsid w:val="00626E10"/>
    <w:rsid w:val="00626FDD"/>
    <w:rsid w:val="0062719F"/>
    <w:rsid w:val="00627D0D"/>
    <w:rsid w:val="006304EC"/>
    <w:rsid w:val="0063086D"/>
    <w:rsid w:val="00631479"/>
    <w:rsid w:val="00631B76"/>
    <w:rsid w:val="00632074"/>
    <w:rsid w:val="006323F5"/>
    <w:rsid w:val="00633080"/>
    <w:rsid w:val="00633458"/>
    <w:rsid w:val="006335CE"/>
    <w:rsid w:val="006338C3"/>
    <w:rsid w:val="00633B63"/>
    <w:rsid w:val="006347FF"/>
    <w:rsid w:val="00634C3E"/>
    <w:rsid w:val="00635408"/>
    <w:rsid w:val="006355C4"/>
    <w:rsid w:val="00635B2A"/>
    <w:rsid w:val="00635D64"/>
    <w:rsid w:val="00637898"/>
    <w:rsid w:val="00637D57"/>
    <w:rsid w:val="00640173"/>
    <w:rsid w:val="00640A88"/>
    <w:rsid w:val="00640B71"/>
    <w:rsid w:val="00640BF4"/>
    <w:rsid w:val="00640C63"/>
    <w:rsid w:val="00641235"/>
    <w:rsid w:val="006419FE"/>
    <w:rsid w:val="00641BE4"/>
    <w:rsid w:val="00641FE6"/>
    <w:rsid w:val="006424F2"/>
    <w:rsid w:val="00642C1E"/>
    <w:rsid w:val="00642FFB"/>
    <w:rsid w:val="00643145"/>
    <w:rsid w:val="006435D7"/>
    <w:rsid w:val="006439A2"/>
    <w:rsid w:val="00643E5A"/>
    <w:rsid w:val="00643EAF"/>
    <w:rsid w:val="006440A8"/>
    <w:rsid w:val="0064461D"/>
    <w:rsid w:val="00644A0C"/>
    <w:rsid w:val="006459ED"/>
    <w:rsid w:val="00645AB6"/>
    <w:rsid w:val="0064624F"/>
    <w:rsid w:val="0064665D"/>
    <w:rsid w:val="006468C7"/>
    <w:rsid w:val="00646948"/>
    <w:rsid w:val="00646B11"/>
    <w:rsid w:val="00646BB6"/>
    <w:rsid w:val="00646C8E"/>
    <w:rsid w:val="0064718F"/>
    <w:rsid w:val="006475E6"/>
    <w:rsid w:val="0065036D"/>
    <w:rsid w:val="00650ACD"/>
    <w:rsid w:val="00650C2F"/>
    <w:rsid w:val="00650C56"/>
    <w:rsid w:val="00650D0B"/>
    <w:rsid w:val="00651128"/>
    <w:rsid w:val="006516DB"/>
    <w:rsid w:val="006519B5"/>
    <w:rsid w:val="00651E7C"/>
    <w:rsid w:val="006521C1"/>
    <w:rsid w:val="006522A6"/>
    <w:rsid w:val="006522B2"/>
    <w:rsid w:val="00652B75"/>
    <w:rsid w:val="00653D23"/>
    <w:rsid w:val="006542F2"/>
    <w:rsid w:val="006546C1"/>
    <w:rsid w:val="0065519C"/>
    <w:rsid w:val="00655A91"/>
    <w:rsid w:val="00655E47"/>
    <w:rsid w:val="006564FA"/>
    <w:rsid w:val="006575B0"/>
    <w:rsid w:val="006576BF"/>
    <w:rsid w:val="00657849"/>
    <w:rsid w:val="00657B88"/>
    <w:rsid w:val="00657F02"/>
    <w:rsid w:val="00660E71"/>
    <w:rsid w:val="00660FA8"/>
    <w:rsid w:val="00661CA8"/>
    <w:rsid w:val="00661E57"/>
    <w:rsid w:val="00662E6B"/>
    <w:rsid w:val="00663669"/>
    <w:rsid w:val="006638FB"/>
    <w:rsid w:val="006641F1"/>
    <w:rsid w:val="0066423D"/>
    <w:rsid w:val="006642EB"/>
    <w:rsid w:val="006647E4"/>
    <w:rsid w:val="0066515F"/>
    <w:rsid w:val="00665309"/>
    <w:rsid w:val="00667041"/>
    <w:rsid w:val="00667055"/>
    <w:rsid w:val="006670FC"/>
    <w:rsid w:val="006677AD"/>
    <w:rsid w:val="006678DA"/>
    <w:rsid w:val="0066798E"/>
    <w:rsid w:val="00670446"/>
    <w:rsid w:val="006704EA"/>
    <w:rsid w:val="0067075B"/>
    <w:rsid w:val="006708C5"/>
    <w:rsid w:val="00670EDC"/>
    <w:rsid w:val="006710FB"/>
    <w:rsid w:val="006715A6"/>
    <w:rsid w:val="00671C53"/>
    <w:rsid w:val="00671CB6"/>
    <w:rsid w:val="00671DFF"/>
    <w:rsid w:val="00672728"/>
    <w:rsid w:val="0067280D"/>
    <w:rsid w:val="0067285D"/>
    <w:rsid w:val="00672912"/>
    <w:rsid w:val="00673796"/>
    <w:rsid w:val="00673948"/>
    <w:rsid w:val="00673C30"/>
    <w:rsid w:val="00673F40"/>
    <w:rsid w:val="006743B5"/>
    <w:rsid w:val="006745BC"/>
    <w:rsid w:val="006746E5"/>
    <w:rsid w:val="00674ABF"/>
    <w:rsid w:val="00674B82"/>
    <w:rsid w:val="00674BFE"/>
    <w:rsid w:val="00674DEC"/>
    <w:rsid w:val="00674ED8"/>
    <w:rsid w:val="00675722"/>
    <w:rsid w:val="0067591B"/>
    <w:rsid w:val="00675E2B"/>
    <w:rsid w:val="0067615F"/>
    <w:rsid w:val="00676776"/>
    <w:rsid w:val="00676860"/>
    <w:rsid w:val="00676C18"/>
    <w:rsid w:val="006772FC"/>
    <w:rsid w:val="00677718"/>
    <w:rsid w:val="006777EB"/>
    <w:rsid w:val="00680611"/>
    <w:rsid w:val="006807AE"/>
    <w:rsid w:val="00680901"/>
    <w:rsid w:val="00680AD5"/>
    <w:rsid w:val="006819C5"/>
    <w:rsid w:val="00681FE0"/>
    <w:rsid w:val="0068205B"/>
    <w:rsid w:val="0068234A"/>
    <w:rsid w:val="006823C4"/>
    <w:rsid w:val="006824BE"/>
    <w:rsid w:val="00682664"/>
    <w:rsid w:val="0068266A"/>
    <w:rsid w:val="006826A8"/>
    <w:rsid w:val="00682802"/>
    <w:rsid w:val="006828BC"/>
    <w:rsid w:val="00682DCE"/>
    <w:rsid w:val="006833BD"/>
    <w:rsid w:val="00683473"/>
    <w:rsid w:val="0068395A"/>
    <w:rsid w:val="00683A20"/>
    <w:rsid w:val="00683C5C"/>
    <w:rsid w:val="00684FA7"/>
    <w:rsid w:val="00685359"/>
    <w:rsid w:val="00685551"/>
    <w:rsid w:val="00685934"/>
    <w:rsid w:val="006859B5"/>
    <w:rsid w:val="00685C9A"/>
    <w:rsid w:val="006860C1"/>
    <w:rsid w:val="0068667B"/>
    <w:rsid w:val="00686A5E"/>
    <w:rsid w:val="00686F7C"/>
    <w:rsid w:val="0068709B"/>
    <w:rsid w:val="00687AC8"/>
    <w:rsid w:val="00687D2E"/>
    <w:rsid w:val="00690E8D"/>
    <w:rsid w:val="00691137"/>
    <w:rsid w:val="00691A5B"/>
    <w:rsid w:val="00691DAD"/>
    <w:rsid w:val="0069218D"/>
    <w:rsid w:val="0069259C"/>
    <w:rsid w:val="006929AB"/>
    <w:rsid w:val="006930A8"/>
    <w:rsid w:val="00693267"/>
    <w:rsid w:val="006936C3"/>
    <w:rsid w:val="00693E3A"/>
    <w:rsid w:val="00694980"/>
    <w:rsid w:val="00695139"/>
    <w:rsid w:val="00695228"/>
    <w:rsid w:val="0069588C"/>
    <w:rsid w:val="006964D8"/>
    <w:rsid w:val="00696894"/>
    <w:rsid w:val="00696A41"/>
    <w:rsid w:val="00696B1E"/>
    <w:rsid w:val="00696B9C"/>
    <w:rsid w:val="0069728D"/>
    <w:rsid w:val="0069774D"/>
    <w:rsid w:val="006A202C"/>
    <w:rsid w:val="006A2F9F"/>
    <w:rsid w:val="006A3DB2"/>
    <w:rsid w:val="006A3E9F"/>
    <w:rsid w:val="006A4139"/>
    <w:rsid w:val="006A4DC8"/>
    <w:rsid w:val="006A54D9"/>
    <w:rsid w:val="006A5BE2"/>
    <w:rsid w:val="006A5E72"/>
    <w:rsid w:val="006A69D0"/>
    <w:rsid w:val="006A6EC4"/>
    <w:rsid w:val="006A725B"/>
    <w:rsid w:val="006A7660"/>
    <w:rsid w:val="006B00D4"/>
    <w:rsid w:val="006B010B"/>
    <w:rsid w:val="006B0392"/>
    <w:rsid w:val="006B0451"/>
    <w:rsid w:val="006B0564"/>
    <w:rsid w:val="006B096F"/>
    <w:rsid w:val="006B0B0C"/>
    <w:rsid w:val="006B106A"/>
    <w:rsid w:val="006B12CB"/>
    <w:rsid w:val="006B196E"/>
    <w:rsid w:val="006B2375"/>
    <w:rsid w:val="006B2989"/>
    <w:rsid w:val="006B2F75"/>
    <w:rsid w:val="006B2FD2"/>
    <w:rsid w:val="006B3059"/>
    <w:rsid w:val="006B340A"/>
    <w:rsid w:val="006B36DA"/>
    <w:rsid w:val="006B40F8"/>
    <w:rsid w:val="006B4ADA"/>
    <w:rsid w:val="006B4C77"/>
    <w:rsid w:val="006B4FF2"/>
    <w:rsid w:val="006B504F"/>
    <w:rsid w:val="006B555D"/>
    <w:rsid w:val="006B5898"/>
    <w:rsid w:val="006B5E19"/>
    <w:rsid w:val="006B6183"/>
    <w:rsid w:val="006B61B8"/>
    <w:rsid w:val="006B649D"/>
    <w:rsid w:val="006B6AF7"/>
    <w:rsid w:val="006B6D79"/>
    <w:rsid w:val="006B782F"/>
    <w:rsid w:val="006B7D44"/>
    <w:rsid w:val="006C0C38"/>
    <w:rsid w:val="006C10F6"/>
    <w:rsid w:val="006C15CF"/>
    <w:rsid w:val="006C1E24"/>
    <w:rsid w:val="006C2141"/>
    <w:rsid w:val="006C237A"/>
    <w:rsid w:val="006C2641"/>
    <w:rsid w:val="006C2658"/>
    <w:rsid w:val="006C2715"/>
    <w:rsid w:val="006C28C3"/>
    <w:rsid w:val="006C2E03"/>
    <w:rsid w:val="006C2F5F"/>
    <w:rsid w:val="006C3979"/>
    <w:rsid w:val="006C3D59"/>
    <w:rsid w:val="006C3FD5"/>
    <w:rsid w:val="006C4E80"/>
    <w:rsid w:val="006C535F"/>
    <w:rsid w:val="006C542C"/>
    <w:rsid w:val="006C5C59"/>
    <w:rsid w:val="006C5CF4"/>
    <w:rsid w:val="006C5E53"/>
    <w:rsid w:val="006C5EE9"/>
    <w:rsid w:val="006C61FD"/>
    <w:rsid w:val="006C6C3A"/>
    <w:rsid w:val="006C6EF2"/>
    <w:rsid w:val="006C7104"/>
    <w:rsid w:val="006C7841"/>
    <w:rsid w:val="006C7C98"/>
    <w:rsid w:val="006D00EB"/>
    <w:rsid w:val="006D05A6"/>
    <w:rsid w:val="006D0728"/>
    <w:rsid w:val="006D09AA"/>
    <w:rsid w:val="006D165E"/>
    <w:rsid w:val="006D23D4"/>
    <w:rsid w:val="006D2630"/>
    <w:rsid w:val="006D26A8"/>
    <w:rsid w:val="006D2917"/>
    <w:rsid w:val="006D2A0E"/>
    <w:rsid w:val="006D2F3E"/>
    <w:rsid w:val="006D3555"/>
    <w:rsid w:val="006D3A8F"/>
    <w:rsid w:val="006D4601"/>
    <w:rsid w:val="006D5309"/>
    <w:rsid w:val="006D54F2"/>
    <w:rsid w:val="006D5A21"/>
    <w:rsid w:val="006D5A54"/>
    <w:rsid w:val="006D7C9D"/>
    <w:rsid w:val="006D7CA4"/>
    <w:rsid w:val="006D7DEC"/>
    <w:rsid w:val="006E0110"/>
    <w:rsid w:val="006E08A3"/>
    <w:rsid w:val="006E0C19"/>
    <w:rsid w:val="006E1460"/>
    <w:rsid w:val="006E1471"/>
    <w:rsid w:val="006E1B92"/>
    <w:rsid w:val="006E1C1D"/>
    <w:rsid w:val="006E264B"/>
    <w:rsid w:val="006E2A69"/>
    <w:rsid w:val="006E2B5A"/>
    <w:rsid w:val="006E2CF3"/>
    <w:rsid w:val="006E2D88"/>
    <w:rsid w:val="006E2E93"/>
    <w:rsid w:val="006E2F7E"/>
    <w:rsid w:val="006E2FD7"/>
    <w:rsid w:val="006E3108"/>
    <w:rsid w:val="006E36DC"/>
    <w:rsid w:val="006E3705"/>
    <w:rsid w:val="006E43B5"/>
    <w:rsid w:val="006E493E"/>
    <w:rsid w:val="006E4E79"/>
    <w:rsid w:val="006E52C6"/>
    <w:rsid w:val="006E52EB"/>
    <w:rsid w:val="006E52FF"/>
    <w:rsid w:val="006E5481"/>
    <w:rsid w:val="006E619E"/>
    <w:rsid w:val="006E6453"/>
    <w:rsid w:val="006E6460"/>
    <w:rsid w:val="006E6FB9"/>
    <w:rsid w:val="006E7AF5"/>
    <w:rsid w:val="006E7F64"/>
    <w:rsid w:val="006F0029"/>
    <w:rsid w:val="006F088B"/>
    <w:rsid w:val="006F0ABF"/>
    <w:rsid w:val="006F0B68"/>
    <w:rsid w:val="006F1936"/>
    <w:rsid w:val="006F1A2B"/>
    <w:rsid w:val="006F1EF8"/>
    <w:rsid w:val="006F2045"/>
    <w:rsid w:val="006F2307"/>
    <w:rsid w:val="006F2A56"/>
    <w:rsid w:val="006F2C0C"/>
    <w:rsid w:val="006F2C70"/>
    <w:rsid w:val="006F304B"/>
    <w:rsid w:val="006F3054"/>
    <w:rsid w:val="006F3234"/>
    <w:rsid w:val="006F3F32"/>
    <w:rsid w:val="006F42D9"/>
    <w:rsid w:val="006F459E"/>
    <w:rsid w:val="006F4DE2"/>
    <w:rsid w:val="006F5358"/>
    <w:rsid w:val="006F5A30"/>
    <w:rsid w:val="006F68CE"/>
    <w:rsid w:val="006F74F4"/>
    <w:rsid w:val="006F7796"/>
    <w:rsid w:val="006F7B46"/>
    <w:rsid w:val="006F7EEE"/>
    <w:rsid w:val="00700114"/>
    <w:rsid w:val="00700228"/>
    <w:rsid w:val="007003C8"/>
    <w:rsid w:val="007006F1"/>
    <w:rsid w:val="00700A4E"/>
    <w:rsid w:val="00701655"/>
    <w:rsid w:val="00701B07"/>
    <w:rsid w:val="007024BB"/>
    <w:rsid w:val="007029B0"/>
    <w:rsid w:val="00702D31"/>
    <w:rsid w:val="00703501"/>
    <w:rsid w:val="00703AE9"/>
    <w:rsid w:val="00703DAD"/>
    <w:rsid w:val="00703DFB"/>
    <w:rsid w:val="00705562"/>
    <w:rsid w:val="00705580"/>
    <w:rsid w:val="0070592B"/>
    <w:rsid w:val="00705A2C"/>
    <w:rsid w:val="00706325"/>
    <w:rsid w:val="007071AF"/>
    <w:rsid w:val="007071D3"/>
    <w:rsid w:val="00707523"/>
    <w:rsid w:val="007100A8"/>
    <w:rsid w:val="00710467"/>
    <w:rsid w:val="00710682"/>
    <w:rsid w:val="007109FC"/>
    <w:rsid w:val="00710B64"/>
    <w:rsid w:val="00711288"/>
    <w:rsid w:val="0071137C"/>
    <w:rsid w:val="0071183F"/>
    <w:rsid w:val="007119F8"/>
    <w:rsid w:val="007121BA"/>
    <w:rsid w:val="007134F9"/>
    <w:rsid w:val="007137A5"/>
    <w:rsid w:val="00713E2B"/>
    <w:rsid w:val="00713F5E"/>
    <w:rsid w:val="00714124"/>
    <w:rsid w:val="007142F0"/>
    <w:rsid w:val="00714800"/>
    <w:rsid w:val="00714860"/>
    <w:rsid w:val="00715A77"/>
    <w:rsid w:val="00717B4B"/>
    <w:rsid w:val="00717CAC"/>
    <w:rsid w:val="0072039C"/>
    <w:rsid w:val="007203A8"/>
    <w:rsid w:val="007205D1"/>
    <w:rsid w:val="00720D6D"/>
    <w:rsid w:val="00720E39"/>
    <w:rsid w:val="00720FC1"/>
    <w:rsid w:val="00721188"/>
    <w:rsid w:val="00721F1E"/>
    <w:rsid w:val="007225B0"/>
    <w:rsid w:val="007227E8"/>
    <w:rsid w:val="007229E3"/>
    <w:rsid w:val="00723557"/>
    <w:rsid w:val="00723616"/>
    <w:rsid w:val="007237A7"/>
    <w:rsid w:val="00723937"/>
    <w:rsid w:val="00723C24"/>
    <w:rsid w:val="007245FB"/>
    <w:rsid w:val="00724E1B"/>
    <w:rsid w:val="00724E25"/>
    <w:rsid w:val="0072591D"/>
    <w:rsid w:val="00725927"/>
    <w:rsid w:val="00725937"/>
    <w:rsid w:val="00725E49"/>
    <w:rsid w:val="00725FEC"/>
    <w:rsid w:val="00726C8D"/>
    <w:rsid w:val="007274C8"/>
    <w:rsid w:val="00727797"/>
    <w:rsid w:val="00727EB7"/>
    <w:rsid w:val="00727F9A"/>
    <w:rsid w:val="007309CC"/>
    <w:rsid w:val="00731BD4"/>
    <w:rsid w:val="00731C05"/>
    <w:rsid w:val="007320D3"/>
    <w:rsid w:val="00732626"/>
    <w:rsid w:val="00732A56"/>
    <w:rsid w:val="00732D30"/>
    <w:rsid w:val="00732F27"/>
    <w:rsid w:val="007331BB"/>
    <w:rsid w:val="007337A7"/>
    <w:rsid w:val="007338CA"/>
    <w:rsid w:val="007339E7"/>
    <w:rsid w:val="00733A04"/>
    <w:rsid w:val="00734DD7"/>
    <w:rsid w:val="00735222"/>
    <w:rsid w:val="007352ED"/>
    <w:rsid w:val="007358BF"/>
    <w:rsid w:val="007358F0"/>
    <w:rsid w:val="00735A17"/>
    <w:rsid w:val="00735D2D"/>
    <w:rsid w:val="00735F28"/>
    <w:rsid w:val="007360E1"/>
    <w:rsid w:val="00736120"/>
    <w:rsid w:val="007362C8"/>
    <w:rsid w:val="007373AC"/>
    <w:rsid w:val="007374B1"/>
    <w:rsid w:val="00737DEE"/>
    <w:rsid w:val="00737EB5"/>
    <w:rsid w:val="007402F1"/>
    <w:rsid w:val="00740B54"/>
    <w:rsid w:val="0074221C"/>
    <w:rsid w:val="0074295A"/>
    <w:rsid w:val="00742A3B"/>
    <w:rsid w:val="00743C5A"/>
    <w:rsid w:val="00743F22"/>
    <w:rsid w:val="007440AA"/>
    <w:rsid w:val="00744282"/>
    <w:rsid w:val="00744440"/>
    <w:rsid w:val="007451C3"/>
    <w:rsid w:val="007453A2"/>
    <w:rsid w:val="00745941"/>
    <w:rsid w:val="007469CE"/>
    <w:rsid w:val="00746A2B"/>
    <w:rsid w:val="007474BB"/>
    <w:rsid w:val="00747CD9"/>
    <w:rsid w:val="00747D80"/>
    <w:rsid w:val="00747E1C"/>
    <w:rsid w:val="00747EAB"/>
    <w:rsid w:val="00750006"/>
    <w:rsid w:val="00750326"/>
    <w:rsid w:val="00750605"/>
    <w:rsid w:val="007506A7"/>
    <w:rsid w:val="00751E4B"/>
    <w:rsid w:val="00751F3E"/>
    <w:rsid w:val="00751FD9"/>
    <w:rsid w:val="00752037"/>
    <w:rsid w:val="00752319"/>
    <w:rsid w:val="00752C2A"/>
    <w:rsid w:val="00752C36"/>
    <w:rsid w:val="0075346C"/>
    <w:rsid w:val="00753E2E"/>
    <w:rsid w:val="007545E3"/>
    <w:rsid w:val="00754C96"/>
    <w:rsid w:val="0075570D"/>
    <w:rsid w:val="007563E5"/>
    <w:rsid w:val="00757435"/>
    <w:rsid w:val="00757CCF"/>
    <w:rsid w:val="00760062"/>
    <w:rsid w:val="007600BE"/>
    <w:rsid w:val="00760B7F"/>
    <w:rsid w:val="00760E5B"/>
    <w:rsid w:val="00761296"/>
    <w:rsid w:val="0076133C"/>
    <w:rsid w:val="0076166A"/>
    <w:rsid w:val="00761C9A"/>
    <w:rsid w:val="00762110"/>
    <w:rsid w:val="007624D5"/>
    <w:rsid w:val="00762B1B"/>
    <w:rsid w:val="00762D14"/>
    <w:rsid w:val="0076341A"/>
    <w:rsid w:val="007637C0"/>
    <w:rsid w:val="007639C0"/>
    <w:rsid w:val="00763BF9"/>
    <w:rsid w:val="00764A50"/>
    <w:rsid w:val="00764CDF"/>
    <w:rsid w:val="00765B26"/>
    <w:rsid w:val="00765C16"/>
    <w:rsid w:val="00766A3C"/>
    <w:rsid w:val="00766D3D"/>
    <w:rsid w:val="007670C1"/>
    <w:rsid w:val="00767C13"/>
    <w:rsid w:val="00767E9D"/>
    <w:rsid w:val="007705EA"/>
    <w:rsid w:val="00770947"/>
    <w:rsid w:val="00770A2D"/>
    <w:rsid w:val="00770C80"/>
    <w:rsid w:val="00770F8D"/>
    <w:rsid w:val="00771291"/>
    <w:rsid w:val="00771617"/>
    <w:rsid w:val="0077199C"/>
    <w:rsid w:val="00771C61"/>
    <w:rsid w:val="007736F4"/>
    <w:rsid w:val="007737A6"/>
    <w:rsid w:val="00773837"/>
    <w:rsid w:val="00774676"/>
    <w:rsid w:val="00774BFB"/>
    <w:rsid w:val="00775180"/>
    <w:rsid w:val="00775D7B"/>
    <w:rsid w:val="00775D96"/>
    <w:rsid w:val="00776291"/>
    <w:rsid w:val="007766E9"/>
    <w:rsid w:val="00776C20"/>
    <w:rsid w:val="00777A94"/>
    <w:rsid w:val="00777ADF"/>
    <w:rsid w:val="0078035D"/>
    <w:rsid w:val="00780693"/>
    <w:rsid w:val="007806D8"/>
    <w:rsid w:val="0078110D"/>
    <w:rsid w:val="0078117D"/>
    <w:rsid w:val="0078221E"/>
    <w:rsid w:val="00782904"/>
    <w:rsid w:val="00782EEF"/>
    <w:rsid w:val="007834FB"/>
    <w:rsid w:val="007836D7"/>
    <w:rsid w:val="00784235"/>
    <w:rsid w:val="00784456"/>
    <w:rsid w:val="0078445E"/>
    <w:rsid w:val="00784BDB"/>
    <w:rsid w:val="00784DBF"/>
    <w:rsid w:val="00784E05"/>
    <w:rsid w:val="00785123"/>
    <w:rsid w:val="00785193"/>
    <w:rsid w:val="0078527F"/>
    <w:rsid w:val="007856F4"/>
    <w:rsid w:val="00785E15"/>
    <w:rsid w:val="0078612A"/>
    <w:rsid w:val="00786C19"/>
    <w:rsid w:val="00787A42"/>
    <w:rsid w:val="00787D85"/>
    <w:rsid w:val="00790D28"/>
    <w:rsid w:val="00790FE4"/>
    <w:rsid w:val="007916A2"/>
    <w:rsid w:val="00791A5C"/>
    <w:rsid w:val="0079248F"/>
    <w:rsid w:val="00792F3C"/>
    <w:rsid w:val="00792FAB"/>
    <w:rsid w:val="007938C8"/>
    <w:rsid w:val="00793B25"/>
    <w:rsid w:val="00793E30"/>
    <w:rsid w:val="007941B2"/>
    <w:rsid w:val="007947B3"/>
    <w:rsid w:val="00794B5D"/>
    <w:rsid w:val="00794C06"/>
    <w:rsid w:val="00794F09"/>
    <w:rsid w:val="0079549A"/>
    <w:rsid w:val="00795778"/>
    <w:rsid w:val="00795A92"/>
    <w:rsid w:val="0079613F"/>
    <w:rsid w:val="00796961"/>
    <w:rsid w:val="007975B7"/>
    <w:rsid w:val="007A0FA1"/>
    <w:rsid w:val="007A1161"/>
    <w:rsid w:val="007A22EF"/>
    <w:rsid w:val="007A2D43"/>
    <w:rsid w:val="007A2E3E"/>
    <w:rsid w:val="007A2F2E"/>
    <w:rsid w:val="007A307D"/>
    <w:rsid w:val="007A35D3"/>
    <w:rsid w:val="007A386D"/>
    <w:rsid w:val="007A3B3B"/>
    <w:rsid w:val="007A3C0B"/>
    <w:rsid w:val="007A4501"/>
    <w:rsid w:val="007A46F3"/>
    <w:rsid w:val="007A4A79"/>
    <w:rsid w:val="007A599D"/>
    <w:rsid w:val="007A5C4A"/>
    <w:rsid w:val="007A5CFE"/>
    <w:rsid w:val="007A62A5"/>
    <w:rsid w:val="007A639A"/>
    <w:rsid w:val="007A65CC"/>
    <w:rsid w:val="007A6677"/>
    <w:rsid w:val="007A66DB"/>
    <w:rsid w:val="007A6B67"/>
    <w:rsid w:val="007A6E40"/>
    <w:rsid w:val="007A71F5"/>
    <w:rsid w:val="007B02C8"/>
    <w:rsid w:val="007B0440"/>
    <w:rsid w:val="007B054A"/>
    <w:rsid w:val="007B0D90"/>
    <w:rsid w:val="007B0EC4"/>
    <w:rsid w:val="007B100A"/>
    <w:rsid w:val="007B1493"/>
    <w:rsid w:val="007B1785"/>
    <w:rsid w:val="007B1944"/>
    <w:rsid w:val="007B1CAE"/>
    <w:rsid w:val="007B250C"/>
    <w:rsid w:val="007B2610"/>
    <w:rsid w:val="007B2FC5"/>
    <w:rsid w:val="007B339B"/>
    <w:rsid w:val="007B366F"/>
    <w:rsid w:val="007B37D5"/>
    <w:rsid w:val="007B3860"/>
    <w:rsid w:val="007B431F"/>
    <w:rsid w:val="007B43D0"/>
    <w:rsid w:val="007B4E59"/>
    <w:rsid w:val="007B53CB"/>
    <w:rsid w:val="007B5985"/>
    <w:rsid w:val="007B5CB4"/>
    <w:rsid w:val="007B662A"/>
    <w:rsid w:val="007B6C17"/>
    <w:rsid w:val="007B6D20"/>
    <w:rsid w:val="007B73EB"/>
    <w:rsid w:val="007B784A"/>
    <w:rsid w:val="007B79D9"/>
    <w:rsid w:val="007B7ABC"/>
    <w:rsid w:val="007C0489"/>
    <w:rsid w:val="007C067A"/>
    <w:rsid w:val="007C0FB6"/>
    <w:rsid w:val="007C1885"/>
    <w:rsid w:val="007C197F"/>
    <w:rsid w:val="007C1CE3"/>
    <w:rsid w:val="007C1FC7"/>
    <w:rsid w:val="007C22A0"/>
    <w:rsid w:val="007C2463"/>
    <w:rsid w:val="007C269D"/>
    <w:rsid w:val="007C2946"/>
    <w:rsid w:val="007C29A4"/>
    <w:rsid w:val="007C2FA7"/>
    <w:rsid w:val="007C374B"/>
    <w:rsid w:val="007C3DC4"/>
    <w:rsid w:val="007C4020"/>
    <w:rsid w:val="007C4C77"/>
    <w:rsid w:val="007C4EED"/>
    <w:rsid w:val="007C5335"/>
    <w:rsid w:val="007C5A0F"/>
    <w:rsid w:val="007C5A25"/>
    <w:rsid w:val="007C5CD2"/>
    <w:rsid w:val="007C602A"/>
    <w:rsid w:val="007C698A"/>
    <w:rsid w:val="007C6FDA"/>
    <w:rsid w:val="007C73B3"/>
    <w:rsid w:val="007C7D27"/>
    <w:rsid w:val="007D046C"/>
    <w:rsid w:val="007D10BF"/>
    <w:rsid w:val="007D1243"/>
    <w:rsid w:val="007D1BC4"/>
    <w:rsid w:val="007D24D9"/>
    <w:rsid w:val="007D2543"/>
    <w:rsid w:val="007D28D8"/>
    <w:rsid w:val="007D2E67"/>
    <w:rsid w:val="007D3BCC"/>
    <w:rsid w:val="007D3D91"/>
    <w:rsid w:val="007D3F88"/>
    <w:rsid w:val="007D40FC"/>
    <w:rsid w:val="007D4123"/>
    <w:rsid w:val="007D42DC"/>
    <w:rsid w:val="007D437B"/>
    <w:rsid w:val="007D50D6"/>
    <w:rsid w:val="007D6317"/>
    <w:rsid w:val="007D66A0"/>
    <w:rsid w:val="007D6981"/>
    <w:rsid w:val="007D6FF4"/>
    <w:rsid w:val="007D7397"/>
    <w:rsid w:val="007D7418"/>
    <w:rsid w:val="007D7CD0"/>
    <w:rsid w:val="007D7E52"/>
    <w:rsid w:val="007E02D9"/>
    <w:rsid w:val="007E02F2"/>
    <w:rsid w:val="007E03ED"/>
    <w:rsid w:val="007E04BF"/>
    <w:rsid w:val="007E05C6"/>
    <w:rsid w:val="007E0E11"/>
    <w:rsid w:val="007E1026"/>
    <w:rsid w:val="007E1155"/>
    <w:rsid w:val="007E11F1"/>
    <w:rsid w:val="007E16FD"/>
    <w:rsid w:val="007E18E6"/>
    <w:rsid w:val="007E19B4"/>
    <w:rsid w:val="007E1B07"/>
    <w:rsid w:val="007E2096"/>
    <w:rsid w:val="007E20A6"/>
    <w:rsid w:val="007E2648"/>
    <w:rsid w:val="007E2906"/>
    <w:rsid w:val="007E2C3F"/>
    <w:rsid w:val="007E2D97"/>
    <w:rsid w:val="007E2F56"/>
    <w:rsid w:val="007E3234"/>
    <w:rsid w:val="007E3246"/>
    <w:rsid w:val="007E4150"/>
    <w:rsid w:val="007E4C77"/>
    <w:rsid w:val="007E5232"/>
    <w:rsid w:val="007E548B"/>
    <w:rsid w:val="007E595A"/>
    <w:rsid w:val="007E5D49"/>
    <w:rsid w:val="007E6379"/>
    <w:rsid w:val="007E671C"/>
    <w:rsid w:val="007E7172"/>
    <w:rsid w:val="007E759F"/>
    <w:rsid w:val="007E79DA"/>
    <w:rsid w:val="007E7D75"/>
    <w:rsid w:val="007F0021"/>
    <w:rsid w:val="007F0634"/>
    <w:rsid w:val="007F0A2B"/>
    <w:rsid w:val="007F0D4D"/>
    <w:rsid w:val="007F15AD"/>
    <w:rsid w:val="007F2ACD"/>
    <w:rsid w:val="007F2BBD"/>
    <w:rsid w:val="007F3620"/>
    <w:rsid w:val="007F36E1"/>
    <w:rsid w:val="007F36E2"/>
    <w:rsid w:val="007F3BD8"/>
    <w:rsid w:val="007F3CE0"/>
    <w:rsid w:val="007F4102"/>
    <w:rsid w:val="007F4344"/>
    <w:rsid w:val="007F435C"/>
    <w:rsid w:val="007F476A"/>
    <w:rsid w:val="007F56C5"/>
    <w:rsid w:val="007F5BA3"/>
    <w:rsid w:val="007F6396"/>
    <w:rsid w:val="007F63FA"/>
    <w:rsid w:val="007F67D2"/>
    <w:rsid w:val="007F68DD"/>
    <w:rsid w:val="007F6AEC"/>
    <w:rsid w:val="007F761B"/>
    <w:rsid w:val="007F79EF"/>
    <w:rsid w:val="007F7B65"/>
    <w:rsid w:val="0080043D"/>
    <w:rsid w:val="0080074D"/>
    <w:rsid w:val="008007E0"/>
    <w:rsid w:val="00800CC9"/>
    <w:rsid w:val="00800F1C"/>
    <w:rsid w:val="00801241"/>
    <w:rsid w:val="008012C4"/>
    <w:rsid w:val="0080174B"/>
    <w:rsid w:val="008019DA"/>
    <w:rsid w:val="00801BB9"/>
    <w:rsid w:val="008022E7"/>
    <w:rsid w:val="00802626"/>
    <w:rsid w:val="008030FB"/>
    <w:rsid w:val="0080336C"/>
    <w:rsid w:val="00803919"/>
    <w:rsid w:val="00803A99"/>
    <w:rsid w:val="00803BA1"/>
    <w:rsid w:val="00803CBC"/>
    <w:rsid w:val="008040D4"/>
    <w:rsid w:val="008045E1"/>
    <w:rsid w:val="00804AD4"/>
    <w:rsid w:val="0080566B"/>
    <w:rsid w:val="00805886"/>
    <w:rsid w:val="0080614F"/>
    <w:rsid w:val="00806CF7"/>
    <w:rsid w:val="00807117"/>
    <w:rsid w:val="008077E7"/>
    <w:rsid w:val="008078B4"/>
    <w:rsid w:val="00807C6F"/>
    <w:rsid w:val="00810350"/>
    <w:rsid w:val="008104B8"/>
    <w:rsid w:val="00810855"/>
    <w:rsid w:val="00810C00"/>
    <w:rsid w:val="00810FAA"/>
    <w:rsid w:val="00810FEE"/>
    <w:rsid w:val="008110A0"/>
    <w:rsid w:val="008110E5"/>
    <w:rsid w:val="00811D26"/>
    <w:rsid w:val="008121A6"/>
    <w:rsid w:val="00812540"/>
    <w:rsid w:val="00812608"/>
    <w:rsid w:val="0081296E"/>
    <w:rsid w:val="008129F8"/>
    <w:rsid w:val="00812AE8"/>
    <w:rsid w:val="00812BD1"/>
    <w:rsid w:val="0081335C"/>
    <w:rsid w:val="008139E7"/>
    <w:rsid w:val="00813B8E"/>
    <w:rsid w:val="00813C82"/>
    <w:rsid w:val="00815B3F"/>
    <w:rsid w:val="00815DBA"/>
    <w:rsid w:val="008163CE"/>
    <w:rsid w:val="00816DB6"/>
    <w:rsid w:val="00817005"/>
    <w:rsid w:val="00817078"/>
    <w:rsid w:val="0081723E"/>
    <w:rsid w:val="008173D1"/>
    <w:rsid w:val="008175BD"/>
    <w:rsid w:val="00817ED9"/>
    <w:rsid w:val="00820A46"/>
    <w:rsid w:val="00821092"/>
    <w:rsid w:val="0082152C"/>
    <w:rsid w:val="0082158D"/>
    <w:rsid w:val="00821726"/>
    <w:rsid w:val="0082184D"/>
    <w:rsid w:val="00821891"/>
    <w:rsid w:val="00821FA0"/>
    <w:rsid w:val="008229BA"/>
    <w:rsid w:val="00822C8A"/>
    <w:rsid w:val="008243B4"/>
    <w:rsid w:val="00824F8D"/>
    <w:rsid w:val="00825424"/>
    <w:rsid w:val="00825CB9"/>
    <w:rsid w:val="00825EED"/>
    <w:rsid w:val="00827C7A"/>
    <w:rsid w:val="00827E46"/>
    <w:rsid w:val="00830206"/>
    <w:rsid w:val="00830385"/>
    <w:rsid w:val="00830583"/>
    <w:rsid w:val="00830D55"/>
    <w:rsid w:val="00831032"/>
    <w:rsid w:val="008314FC"/>
    <w:rsid w:val="00832279"/>
    <w:rsid w:val="00832817"/>
    <w:rsid w:val="00832B44"/>
    <w:rsid w:val="00833567"/>
    <w:rsid w:val="008337E4"/>
    <w:rsid w:val="00833806"/>
    <w:rsid w:val="00833AE8"/>
    <w:rsid w:val="00834038"/>
    <w:rsid w:val="00835625"/>
    <w:rsid w:val="008357A2"/>
    <w:rsid w:val="00835873"/>
    <w:rsid w:val="00835936"/>
    <w:rsid w:val="008359D1"/>
    <w:rsid w:val="0083652F"/>
    <w:rsid w:val="00836B3C"/>
    <w:rsid w:val="00836B9B"/>
    <w:rsid w:val="00836C6E"/>
    <w:rsid w:val="00837179"/>
    <w:rsid w:val="00837382"/>
    <w:rsid w:val="0083747B"/>
    <w:rsid w:val="00837C74"/>
    <w:rsid w:val="00837F3B"/>
    <w:rsid w:val="00840034"/>
    <w:rsid w:val="00840C39"/>
    <w:rsid w:val="008418E3"/>
    <w:rsid w:val="00841944"/>
    <w:rsid w:val="00841B6E"/>
    <w:rsid w:val="008421D3"/>
    <w:rsid w:val="0084243A"/>
    <w:rsid w:val="00842478"/>
    <w:rsid w:val="0084247E"/>
    <w:rsid w:val="00842A95"/>
    <w:rsid w:val="0084336D"/>
    <w:rsid w:val="0084342A"/>
    <w:rsid w:val="0084364B"/>
    <w:rsid w:val="008439D4"/>
    <w:rsid w:val="00844459"/>
    <w:rsid w:val="008444FB"/>
    <w:rsid w:val="008448E6"/>
    <w:rsid w:val="00844C0E"/>
    <w:rsid w:val="00844D6F"/>
    <w:rsid w:val="00845233"/>
    <w:rsid w:val="008460F9"/>
    <w:rsid w:val="0084613E"/>
    <w:rsid w:val="00846621"/>
    <w:rsid w:val="008469AA"/>
    <w:rsid w:val="00846BBD"/>
    <w:rsid w:val="00846E96"/>
    <w:rsid w:val="00846EAA"/>
    <w:rsid w:val="00847124"/>
    <w:rsid w:val="0084739E"/>
    <w:rsid w:val="008474F8"/>
    <w:rsid w:val="0084752F"/>
    <w:rsid w:val="00847B62"/>
    <w:rsid w:val="00847C5A"/>
    <w:rsid w:val="008506A3"/>
    <w:rsid w:val="008508D9"/>
    <w:rsid w:val="00850A90"/>
    <w:rsid w:val="00850C9C"/>
    <w:rsid w:val="00850EDF"/>
    <w:rsid w:val="008512DD"/>
    <w:rsid w:val="00851BD1"/>
    <w:rsid w:val="00851ECC"/>
    <w:rsid w:val="00851EFA"/>
    <w:rsid w:val="00852288"/>
    <w:rsid w:val="00852B1D"/>
    <w:rsid w:val="00853062"/>
    <w:rsid w:val="00853A75"/>
    <w:rsid w:val="008544CC"/>
    <w:rsid w:val="008544FC"/>
    <w:rsid w:val="0085452E"/>
    <w:rsid w:val="00854629"/>
    <w:rsid w:val="00854C9F"/>
    <w:rsid w:val="0085519E"/>
    <w:rsid w:val="00855529"/>
    <w:rsid w:val="00855E19"/>
    <w:rsid w:val="00855E24"/>
    <w:rsid w:val="00855F47"/>
    <w:rsid w:val="00856047"/>
    <w:rsid w:val="00856615"/>
    <w:rsid w:val="008569E9"/>
    <w:rsid w:val="00856A69"/>
    <w:rsid w:val="00856B2E"/>
    <w:rsid w:val="00856FF0"/>
    <w:rsid w:val="00857164"/>
    <w:rsid w:val="00857574"/>
    <w:rsid w:val="008577A6"/>
    <w:rsid w:val="00857B71"/>
    <w:rsid w:val="00857E14"/>
    <w:rsid w:val="0086048D"/>
    <w:rsid w:val="00860952"/>
    <w:rsid w:val="00861D72"/>
    <w:rsid w:val="008621CC"/>
    <w:rsid w:val="0086230D"/>
    <w:rsid w:val="00862946"/>
    <w:rsid w:val="00862B11"/>
    <w:rsid w:val="00862C42"/>
    <w:rsid w:val="00863264"/>
    <w:rsid w:val="00864235"/>
    <w:rsid w:val="008648EA"/>
    <w:rsid w:val="008654B5"/>
    <w:rsid w:val="00865AB6"/>
    <w:rsid w:val="008662C5"/>
    <w:rsid w:val="00866615"/>
    <w:rsid w:val="00866E3E"/>
    <w:rsid w:val="00867617"/>
    <w:rsid w:val="00867CEC"/>
    <w:rsid w:val="00867E41"/>
    <w:rsid w:val="00867E7A"/>
    <w:rsid w:val="008704A1"/>
    <w:rsid w:val="00870952"/>
    <w:rsid w:val="00870F49"/>
    <w:rsid w:val="0087150F"/>
    <w:rsid w:val="00871566"/>
    <w:rsid w:val="00871C6D"/>
    <w:rsid w:val="008721E9"/>
    <w:rsid w:val="0087229D"/>
    <w:rsid w:val="008724DB"/>
    <w:rsid w:val="0087260B"/>
    <w:rsid w:val="00872719"/>
    <w:rsid w:val="008727D8"/>
    <w:rsid w:val="00872C64"/>
    <w:rsid w:val="00872C6D"/>
    <w:rsid w:val="00872E3D"/>
    <w:rsid w:val="00872EB8"/>
    <w:rsid w:val="008731D1"/>
    <w:rsid w:val="00873849"/>
    <w:rsid w:val="00873E35"/>
    <w:rsid w:val="00874409"/>
    <w:rsid w:val="0087472E"/>
    <w:rsid w:val="00874B8A"/>
    <w:rsid w:val="00874EAC"/>
    <w:rsid w:val="00875BFF"/>
    <w:rsid w:val="00875D4E"/>
    <w:rsid w:val="008767DE"/>
    <w:rsid w:val="00876CC1"/>
    <w:rsid w:val="00877264"/>
    <w:rsid w:val="008772A2"/>
    <w:rsid w:val="00877D5D"/>
    <w:rsid w:val="0088014E"/>
    <w:rsid w:val="008807D2"/>
    <w:rsid w:val="00880BEC"/>
    <w:rsid w:val="00881AEC"/>
    <w:rsid w:val="00881C70"/>
    <w:rsid w:val="00882647"/>
    <w:rsid w:val="00882755"/>
    <w:rsid w:val="00882982"/>
    <w:rsid w:val="008834D1"/>
    <w:rsid w:val="00884779"/>
    <w:rsid w:val="00884798"/>
    <w:rsid w:val="008849D0"/>
    <w:rsid w:val="00884CE4"/>
    <w:rsid w:val="00884FF7"/>
    <w:rsid w:val="0088508D"/>
    <w:rsid w:val="008860B7"/>
    <w:rsid w:val="0088669D"/>
    <w:rsid w:val="00886EE9"/>
    <w:rsid w:val="008870F4"/>
    <w:rsid w:val="00887C6C"/>
    <w:rsid w:val="0089025A"/>
    <w:rsid w:val="00890914"/>
    <w:rsid w:val="00890A91"/>
    <w:rsid w:val="00890FBC"/>
    <w:rsid w:val="0089164D"/>
    <w:rsid w:val="00891953"/>
    <w:rsid w:val="00891BA7"/>
    <w:rsid w:val="00891E39"/>
    <w:rsid w:val="008925D4"/>
    <w:rsid w:val="00892682"/>
    <w:rsid w:val="008927A0"/>
    <w:rsid w:val="00892C44"/>
    <w:rsid w:val="00893F68"/>
    <w:rsid w:val="00894301"/>
    <w:rsid w:val="008947E0"/>
    <w:rsid w:val="00894ED2"/>
    <w:rsid w:val="00895429"/>
    <w:rsid w:val="00895E7C"/>
    <w:rsid w:val="0089629B"/>
    <w:rsid w:val="008964E1"/>
    <w:rsid w:val="008964E6"/>
    <w:rsid w:val="0089655F"/>
    <w:rsid w:val="00896AEE"/>
    <w:rsid w:val="00896F10"/>
    <w:rsid w:val="00896F6A"/>
    <w:rsid w:val="008970D2"/>
    <w:rsid w:val="00897396"/>
    <w:rsid w:val="00897655"/>
    <w:rsid w:val="00897A85"/>
    <w:rsid w:val="00897E02"/>
    <w:rsid w:val="00897EC0"/>
    <w:rsid w:val="00897FD5"/>
    <w:rsid w:val="008A0684"/>
    <w:rsid w:val="008A06AA"/>
    <w:rsid w:val="008A0723"/>
    <w:rsid w:val="008A080C"/>
    <w:rsid w:val="008A08EC"/>
    <w:rsid w:val="008A1650"/>
    <w:rsid w:val="008A1669"/>
    <w:rsid w:val="008A17A2"/>
    <w:rsid w:val="008A1BE2"/>
    <w:rsid w:val="008A219B"/>
    <w:rsid w:val="008A27EC"/>
    <w:rsid w:val="008A28A5"/>
    <w:rsid w:val="008A2F3A"/>
    <w:rsid w:val="008A34BE"/>
    <w:rsid w:val="008A37B1"/>
    <w:rsid w:val="008A4948"/>
    <w:rsid w:val="008A4D07"/>
    <w:rsid w:val="008A4EED"/>
    <w:rsid w:val="008A50F7"/>
    <w:rsid w:val="008A58DC"/>
    <w:rsid w:val="008A594A"/>
    <w:rsid w:val="008A5D91"/>
    <w:rsid w:val="008A6622"/>
    <w:rsid w:val="008A70B5"/>
    <w:rsid w:val="008A712F"/>
    <w:rsid w:val="008A7AF9"/>
    <w:rsid w:val="008B0006"/>
    <w:rsid w:val="008B01BE"/>
    <w:rsid w:val="008B044F"/>
    <w:rsid w:val="008B0673"/>
    <w:rsid w:val="008B087C"/>
    <w:rsid w:val="008B094A"/>
    <w:rsid w:val="008B25E8"/>
    <w:rsid w:val="008B3641"/>
    <w:rsid w:val="008B3A40"/>
    <w:rsid w:val="008B3E02"/>
    <w:rsid w:val="008B434E"/>
    <w:rsid w:val="008B46F2"/>
    <w:rsid w:val="008B519D"/>
    <w:rsid w:val="008B5344"/>
    <w:rsid w:val="008B5381"/>
    <w:rsid w:val="008B5C28"/>
    <w:rsid w:val="008B5F04"/>
    <w:rsid w:val="008B677D"/>
    <w:rsid w:val="008B6899"/>
    <w:rsid w:val="008B6DD7"/>
    <w:rsid w:val="008B7093"/>
    <w:rsid w:val="008B729F"/>
    <w:rsid w:val="008B72DB"/>
    <w:rsid w:val="008B7CB5"/>
    <w:rsid w:val="008C0534"/>
    <w:rsid w:val="008C05AE"/>
    <w:rsid w:val="008C0793"/>
    <w:rsid w:val="008C08A4"/>
    <w:rsid w:val="008C0C6C"/>
    <w:rsid w:val="008C15D1"/>
    <w:rsid w:val="008C1730"/>
    <w:rsid w:val="008C182F"/>
    <w:rsid w:val="008C1FA1"/>
    <w:rsid w:val="008C24BB"/>
    <w:rsid w:val="008C27F9"/>
    <w:rsid w:val="008C2955"/>
    <w:rsid w:val="008C2D5B"/>
    <w:rsid w:val="008C338E"/>
    <w:rsid w:val="008C357A"/>
    <w:rsid w:val="008C3F3A"/>
    <w:rsid w:val="008C41B1"/>
    <w:rsid w:val="008C4285"/>
    <w:rsid w:val="008C47CA"/>
    <w:rsid w:val="008C4AD7"/>
    <w:rsid w:val="008C4BA0"/>
    <w:rsid w:val="008C4E4D"/>
    <w:rsid w:val="008C5580"/>
    <w:rsid w:val="008C582E"/>
    <w:rsid w:val="008C6478"/>
    <w:rsid w:val="008C6DBB"/>
    <w:rsid w:val="008C6F1D"/>
    <w:rsid w:val="008C732D"/>
    <w:rsid w:val="008C7996"/>
    <w:rsid w:val="008C7AB2"/>
    <w:rsid w:val="008C7D00"/>
    <w:rsid w:val="008D0212"/>
    <w:rsid w:val="008D02D6"/>
    <w:rsid w:val="008D0636"/>
    <w:rsid w:val="008D0EA8"/>
    <w:rsid w:val="008D21BA"/>
    <w:rsid w:val="008D2593"/>
    <w:rsid w:val="008D3085"/>
    <w:rsid w:val="008D356F"/>
    <w:rsid w:val="008D3D67"/>
    <w:rsid w:val="008D3FB5"/>
    <w:rsid w:val="008D408E"/>
    <w:rsid w:val="008D4330"/>
    <w:rsid w:val="008D49FA"/>
    <w:rsid w:val="008D4CB3"/>
    <w:rsid w:val="008D4DCA"/>
    <w:rsid w:val="008D50DD"/>
    <w:rsid w:val="008D54B3"/>
    <w:rsid w:val="008D553B"/>
    <w:rsid w:val="008D5590"/>
    <w:rsid w:val="008D5820"/>
    <w:rsid w:val="008D5B8D"/>
    <w:rsid w:val="008D6346"/>
    <w:rsid w:val="008D646A"/>
    <w:rsid w:val="008D658C"/>
    <w:rsid w:val="008D7802"/>
    <w:rsid w:val="008D7885"/>
    <w:rsid w:val="008D7C48"/>
    <w:rsid w:val="008D7EC2"/>
    <w:rsid w:val="008E010B"/>
    <w:rsid w:val="008E0EC6"/>
    <w:rsid w:val="008E1B9A"/>
    <w:rsid w:val="008E1C62"/>
    <w:rsid w:val="008E1F40"/>
    <w:rsid w:val="008E2B7D"/>
    <w:rsid w:val="008E47FB"/>
    <w:rsid w:val="008E4819"/>
    <w:rsid w:val="008E4F4D"/>
    <w:rsid w:val="008E53C9"/>
    <w:rsid w:val="008E5422"/>
    <w:rsid w:val="008E5C0E"/>
    <w:rsid w:val="008E5C3B"/>
    <w:rsid w:val="008E5DD1"/>
    <w:rsid w:val="008E643E"/>
    <w:rsid w:val="008E691D"/>
    <w:rsid w:val="008E6BF5"/>
    <w:rsid w:val="008E6CD4"/>
    <w:rsid w:val="008E6D28"/>
    <w:rsid w:val="008E7710"/>
    <w:rsid w:val="008F00B7"/>
    <w:rsid w:val="008F032C"/>
    <w:rsid w:val="008F0597"/>
    <w:rsid w:val="008F118A"/>
    <w:rsid w:val="008F1209"/>
    <w:rsid w:val="008F1894"/>
    <w:rsid w:val="008F196B"/>
    <w:rsid w:val="008F19B0"/>
    <w:rsid w:val="008F1A7A"/>
    <w:rsid w:val="008F1E49"/>
    <w:rsid w:val="008F20DB"/>
    <w:rsid w:val="008F3324"/>
    <w:rsid w:val="008F3652"/>
    <w:rsid w:val="008F4BC9"/>
    <w:rsid w:val="008F4E08"/>
    <w:rsid w:val="008F502F"/>
    <w:rsid w:val="008F50C5"/>
    <w:rsid w:val="008F5F33"/>
    <w:rsid w:val="008F66CE"/>
    <w:rsid w:val="008F6C3B"/>
    <w:rsid w:val="008F7067"/>
    <w:rsid w:val="008F7567"/>
    <w:rsid w:val="008F75A0"/>
    <w:rsid w:val="008F79DC"/>
    <w:rsid w:val="008F7E93"/>
    <w:rsid w:val="00900239"/>
    <w:rsid w:val="00900648"/>
    <w:rsid w:val="009008DE"/>
    <w:rsid w:val="009009C8"/>
    <w:rsid w:val="00901292"/>
    <w:rsid w:val="009015C3"/>
    <w:rsid w:val="00901DBF"/>
    <w:rsid w:val="0090219C"/>
    <w:rsid w:val="00902808"/>
    <w:rsid w:val="00902F47"/>
    <w:rsid w:val="00902FA2"/>
    <w:rsid w:val="00903640"/>
    <w:rsid w:val="00903931"/>
    <w:rsid w:val="00903FBF"/>
    <w:rsid w:val="0090458F"/>
    <w:rsid w:val="0090467E"/>
    <w:rsid w:val="00904A8F"/>
    <w:rsid w:val="009054AE"/>
    <w:rsid w:val="0090614A"/>
    <w:rsid w:val="009065AB"/>
    <w:rsid w:val="00907B86"/>
    <w:rsid w:val="00907B94"/>
    <w:rsid w:val="0091088D"/>
    <w:rsid w:val="009108ED"/>
    <w:rsid w:val="00911C9F"/>
    <w:rsid w:val="00911E06"/>
    <w:rsid w:val="0091275E"/>
    <w:rsid w:val="00912BE1"/>
    <w:rsid w:val="00912DCA"/>
    <w:rsid w:val="00912E48"/>
    <w:rsid w:val="00912F49"/>
    <w:rsid w:val="00912F75"/>
    <w:rsid w:val="009131D4"/>
    <w:rsid w:val="009135E0"/>
    <w:rsid w:val="00913FB5"/>
    <w:rsid w:val="0091443A"/>
    <w:rsid w:val="00914494"/>
    <w:rsid w:val="009145A2"/>
    <w:rsid w:val="009148F2"/>
    <w:rsid w:val="00914A3A"/>
    <w:rsid w:val="0091516B"/>
    <w:rsid w:val="009153F8"/>
    <w:rsid w:val="00916730"/>
    <w:rsid w:val="00916E02"/>
    <w:rsid w:val="009170F0"/>
    <w:rsid w:val="0091729D"/>
    <w:rsid w:val="00917481"/>
    <w:rsid w:val="00920150"/>
    <w:rsid w:val="00920A71"/>
    <w:rsid w:val="00920F4A"/>
    <w:rsid w:val="00921D71"/>
    <w:rsid w:val="009225A8"/>
    <w:rsid w:val="009230E4"/>
    <w:rsid w:val="00924635"/>
    <w:rsid w:val="0092463A"/>
    <w:rsid w:val="00924BA9"/>
    <w:rsid w:val="0092508B"/>
    <w:rsid w:val="00925219"/>
    <w:rsid w:val="00925600"/>
    <w:rsid w:val="0092569A"/>
    <w:rsid w:val="00925852"/>
    <w:rsid w:val="009258B1"/>
    <w:rsid w:val="00925CBB"/>
    <w:rsid w:val="00925FE7"/>
    <w:rsid w:val="009265E6"/>
    <w:rsid w:val="0092722D"/>
    <w:rsid w:val="009272AC"/>
    <w:rsid w:val="009276AC"/>
    <w:rsid w:val="009276B0"/>
    <w:rsid w:val="009279C2"/>
    <w:rsid w:val="00930299"/>
    <w:rsid w:val="009310B3"/>
    <w:rsid w:val="00931438"/>
    <w:rsid w:val="00931A50"/>
    <w:rsid w:val="0093235C"/>
    <w:rsid w:val="0093361B"/>
    <w:rsid w:val="00934405"/>
    <w:rsid w:val="00934862"/>
    <w:rsid w:val="00934CC2"/>
    <w:rsid w:val="009355AB"/>
    <w:rsid w:val="009358DC"/>
    <w:rsid w:val="00935A9E"/>
    <w:rsid w:val="00935EDE"/>
    <w:rsid w:val="00936768"/>
    <w:rsid w:val="009368E0"/>
    <w:rsid w:val="009375D9"/>
    <w:rsid w:val="009379A4"/>
    <w:rsid w:val="009405CF"/>
    <w:rsid w:val="00940F81"/>
    <w:rsid w:val="009413B3"/>
    <w:rsid w:val="00941434"/>
    <w:rsid w:val="009427C5"/>
    <w:rsid w:val="009428A2"/>
    <w:rsid w:val="00942C47"/>
    <w:rsid w:val="00943149"/>
    <w:rsid w:val="00943540"/>
    <w:rsid w:val="0094360E"/>
    <w:rsid w:val="00943CC1"/>
    <w:rsid w:val="00944BD1"/>
    <w:rsid w:val="00944C7F"/>
    <w:rsid w:val="00944F00"/>
    <w:rsid w:val="00944F99"/>
    <w:rsid w:val="0094542B"/>
    <w:rsid w:val="009457EE"/>
    <w:rsid w:val="0094583B"/>
    <w:rsid w:val="00945B58"/>
    <w:rsid w:val="00946336"/>
    <w:rsid w:val="009466D9"/>
    <w:rsid w:val="00946E72"/>
    <w:rsid w:val="00947108"/>
    <w:rsid w:val="00947272"/>
    <w:rsid w:val="009475CD"/>
    <w:rsid w:val="0094761F"/>
    <w:rsid w:val="00947728"/>
    <w:rsid w:val="009478E6"/>
    <w:rsid w:val="00947D55"/>
    <w:rsid w:val="009501EF"/>
    <w:rsid w:val="009502ED"/>
    <w:rsid w:val="009506E5"/>
    <w:rsid w:val="00950A96"/>
    <w:rsid w:val="00950F75"/>
    <w:rsid w:val="00951030"/>
    <w:rsid w:val="009510C2"/>
    <w:rsid w:val="0095153A"/>
    <w:rsid w:val="009515DC"/>
    <w:rsid w:val="0095164B"/>
    <w:rsid w:val="0095166F"/>
    <w:rsid w:val="009517FE"/>
    <w:rsid w:val="0095280D"/>
    <w:rsid w:val="00952C7A"/>
    <w:rsid w:val="00952DB5"/>
    <w:rsid w:val="00952E3E"/>
    <w:rsid w:val="009532D9"/>
    <w:rsid w:val="00953A71"/>
    <w:rsid w:val="00953D32"/>
    <w:rsid w:val="009555D4"/>
    <w:rsid w:val="00955DB9"/>
    <w:rsid w:val="009566F5"/>
    <w:rsid w:val="00956942"/>
    <w:rsid w:val="009619F4"/>
    <w:rsid w:val="00961B47"/>
    <w:rsid w:val="00961B83"/>
    <w:rsid w:val="00961D77"/>
    <w:rsid w:val="00962D0A"/>
    <w:rsid w:val="00962DA3"/>
    <w:rsid w:val="009631F0"/>
    <w:rsid w:val="00963A2C"/>
    <w:rsid w:val="00963FFB"/>
    <w:rsid w:val="009649D2"/>
    <w:rsid w:val="00964E9A"/>
    <w:rsid w:val="009658A8"/>
    <w:rsid w:val="00965D43"/>
    <w:rsid w:val="00965D4A"/>
    <w:rsid w:val="00965D5A"/>
    <w:rsid w:val="00965FA4"/>
    <w:rsid w:val="0096621A"/>
    <w:rsid w:val="009662AF"/>
    <w:rsid w:val="00966397"/>
    <w:rsid w:val="00966617"/>
    <w:rsid w:val="00966CE3"/>
    <w:rsid w:val="00967341"/>
    <w:rsid w:val="00967F36"/>
    <w:rsid w:val="0097008E"/>
    <w:rsid w:val="009704C8"/>
    <w:rsid w:val="00970501"/>
    <w:rsid w:val="00970F53"/>
    <w:rsid w:val="00970F69"/>
    <w:rsid w:val="009715A5"/>
    <w:rsid w:val="00971634"/>
    <w:rsid w:val="0097163F"/>
    <w:rsid w:val="00971653"/>
    <w:rsid w:val="00971771"/>
    <w:rsid w:val="009718EB"/>
    <w:rsid w:val="00971A22"/>
    <w:rsid w:val="0097222A"/>
    <w:rsid w:val="00972611"/>
    <w:rsid w:val="00972B25"/>
    <w:rsid w:val="00972B3D"/>
    <w:rsid w:val="0097311B"/>
    <w:rsid w:val="009736E5"/>
    <w:rsid w:val="00973FDF"/>
    <w:rsid w:val="00974239"/>
    <w:rsid w:val="00974290"/>
    <w:rsid w:val="009745F3"/>
    <w:rsid w:val="00974EB6"/>
    <w:rsid w:val="009750C7"/>
    <w:rsid w:val="0097570D"/>
    <w:rsid w:val="00976178"/>
    <w:rsid w:val="00976290"/>
    <w:rsid w:val="0097737B"/>
    <w:rsid w:val="00977659"/>
    <w:rsid w:val="0098024A"/>
    <w:rsid w:val="009805C2"/>
    <w:rsid w:val="00980A07"/>
    <w:rsid w:val="00980BBE"/>
    <w:rsid w:val="00980C91"/>
    <w:rsid w:val="0098117D"/>
    <w:rsid w:val="009826E0"/>
    <w:rsid w:val="009830C4"/>
    <w:rsid w:val="00983557"/>
    <w:rsid w:val="009839D1"/>
    <w:rsid w:val="00984ED5"/>
    <w:rsid w:val="009855F8"/>
    <w:rsid w:val="00985B6D"/>
    <w:rsid w:val="00985BA6"/>
    <w:rsid w:val="00985D3D"/>
    <w:rsid w:val="0098636D"/>
    <w:rsid w:val="00986519"/>
    <w:rsid w:val="0098748D"/>
    <w:rsid w:val="0098761A"/>
    <w:rsid w:val="00987F97"/>
    <w:rsid w:val="009906A7"/>
    <w:rsid w:val="00991120"/>
    <w:rsid w:val="009911DE"/>
    <w:rsid w:val="0099170A"/>
    <w:rsid w:val="009925BA"/>
    <w:rsid w:val="009926EB"/>
    <w:rsid w:val="00993387"/>
    <w:rsid w:val="0099403A"/>
    <w:rsid w:val="00994099"/>
    <w:rsid w:val="0099433A"/>
    <w:rsid w:val="009947DE"/>
    <w:rsid w:val="00994F53"/>
    <w:rsid w:val="0099592A"/>
    <w:rsid w:val="00995CB3"/>
    <w:rsid w:val="00995D93"/>
    <w:rsid w:val="00996923"/>
    <w:rsid w:val="00996CCD"/>
    <w:rsid w:val="00997102"/>
    <w:rsid w:val="00997271"/>
    <w:rsid w:val="00997ECA"/>
    <w:rsid w:val="009A0631"/>
    <w:rsid w:val="009A06D8"/>
    <w:rsid w:val="009A0A7A"/>
    <w:rsid w:val="009A14D3"/>
    <w:rsid w:val="009A1CF9"/>
    <w:rsid w:val="009A25B9"/>
    <w:rsid w:val="009A2AA9"/>
    <w:rsid w:val="009A2D84"/>
    <w:rsid w:val="009A3296"/>
    <w:rsid w:val="009A351B"/>
    <w:rsid w:val="009A3B4E"/>
    <w:rsid w:val="009A3F00"/>
    <w:rsid w:val="009A5792"/>
    <w:rsid w:val="009A582A"/>
    <w:rsid w:val="009A5A6E"/>
    <w:rsid w:val="009A5F93"/>
    <w:rsid w:val="009A6679"/>
    <w:rsid w:val="009A7368"/>
    <w:rsid w:val="009A7636"/>
    <w:rsid w:val="009A7A0D"/>
    <w:rsid w:val="009A7B8A"/>
    <w:rsid w:val="009A7D2E"/>
    <w:rsid w:val="009B090E"/>
    <w:rsid w:val="009B0A96"/>
    <w:rsid w:val="009B0ED2"/>
    <w:rsid w:val="009B113B"/>
    <w:rsid w:val="009B127E"/>
    <w:rsid w:val="009B163D"/>
    <w:rsid w:val="009B1B5E"/>
    <w:rsid w:val="009B1FA6"/>
    <w:rsid w:val="009B27EB"/>
    <w:rsid w:val="009B2E17"/>
    <w:rsid w:val="009B2F2F"/>
    <w:rsid w:val="009B3222"/>
    <w:rsid w:val="009B351D"/>
    <w:rsid w:val="009B401C"/>
    <w:rsid w:val="009B407C"/>
    <w:rsid w:val="009B54C5"/>
    <w:rsid w:val="009B5D4F"/>
    <w:rsid w:val="009B5F41"/>
    <w:rsid w:val="009B61CF"/>
    <w:rsid w:val="009B61FF"/>
    <w:rsid w:val="009B6236"/>
    <w:rsid w:val="009B69E9"/>
    <w:rsid w:val="009B6C0C"/>
    <w:rsid w:val="009B7448"/>
    <w:rsid w:val="009B7839"/>
    <w:rsid w:val="009B7C99"/>
    <w:rsid w:val="009B7E1A"/>
    <w:rsid w:val="009C0162"/>
    <w:rsid w:val="009C05FF"/>
    <w:rsid w:val="009C08EC"/>
    <w:rsid w:val="009C0D95"/>
    <w:rsid w:val="009C0F3C"/>
    <w:rsid w:val="009C14D7"/>
    <w:rsid w:val="009C1B34"/>
    <w:rsid w:val="009C1C59"/>
    <w:rsid w:val="009C1D0A"/>
    <w:rsid w:val="009C2CAF"/>
    <w:rsid w:val="009C2E74"/>
    <w:rsid w:val="009C2ED3"/>
    <w:rsid w:val="009C2F43"/>
    <w:rsid w:val="009C3306"/>
    <w:rsid w:val="009C345F"/>
    <w:rsid w:val="009C35BF"/>
    <w:rsid w:val="009C3972"/>
    <w:rsid w:val="009C3A27"/>
    <w:rsid w:val="009C3AE8"/>
    <w:rsid w:val="009C3D97"/>
    <w:rsid w:val="009C3ECD"/>
    <w:rsid w:val="009C40EF"/>
    <w:rsid w:val="009C4133"/>
    <w:rsid w:val="009C4A1E"/>
    <w:rsid w:val="009C4F77"/>
    <w:rsid w:val="009C5342"/>
    <w:rsid w:val="009C58AD"/>
    <w:rsid w:val="009C630D"/>
    <w:rsid w:val="009C68C3"/>
    <w:rsid w:val="009C6C6A"/>
    <w:rsid w:val="009C773E"/>
    <w:rsid w:val="009C77C7"/>
    <w:rsid w:val="009D053A"/>
    <w:rsid w:val="009D0A60"/>
    <w:rsid w:val="009D0CF4"/>
    <w:rsid w:val="009D1680"/>
    <w:rsid w:val="009D1AB6"/>
    <w:rsid w:val="009D27CD"/>
    <w:rsid w:val="009D2A46"/>
    <w:rsid w:val="009D3F49"/>
    <w:rsid w:val="009D4114"/>
    <w:rsid w:val="009D4493"/>
    <w:rsid w:val="009D48C2"/>
    <w:rsid w:val="009D4939"/>
    <w:rsid w:val="009D52BA"/>
    <w:rsid w:val="009D5702"/>
    <w:rsid w:val="009D58F7"/>
    <w:rsid w:val="009D5B5D"/>
    <w:rsid w:val="009D634F"/>
    <w:rsid w:val="009D66FC"/>
    <w:rsid w:val="009D6939"/>
    <w:rsid w:val="009D702D"/>
    <w:rsid w:val="009D7188"/>
    <w:rsid w:val="009D745C"/>
    <w:rsid w:val="009D74C3"/>
    <w:rsid w:val="009D7F87"/>
    <w:rsid w:val="009E0396"/>
    <w:rsid w:val="009E0536"/>
    <w:rsid w:val="009E0FEE"/>
    <w:rsid w:val="009E1D74"/>
    <w:rsid w:val="009E2AA6"/>
    <w:rsid w:val="009E2B80"/>
    <w:rsid w:val="009E2E5F"/>
    <w:rsid w:val="009E3509"/>
    <w:rsid w:val="009E3667"/>
    <w:rsid w:val="009E3737"/>
    <w:rsid w:val="009E3E6C"/>
    <w:rsid w:val="009E40B8"/>
    <w:rsid w:val="009E4395"/>
    <w:rsid w:val="009E4677"/>
    <w:rsid w:val="009E4937"/>
    <w:rsid w:val="009E4BB4"/>
    <w:rsid w:val="009E4CC2"/>
    <w:rsid w:val="009E4F6B"/>
    <w:rsid w:val="009E53C7"/>
    <w:rsid w:val="009E5769"/>
    <w:rsid w:val="009E5912"/>
    <w:rsid w:val="009E5A07"/>
    <w:rsid w:val="009E5D14"/>
    <w:rsid w:val="009E5DAD"/>
    <w:rsid w:val="009E5E40"/>
    <w:rsid w:val="009E6BCF"/>
    <w:rsid w:val="009E6D71"/>
    <w:rsid w:val="009E6F92"/>
    <w:rsid w:val="009E70E9"/>
    <w:rsid w:val="009E715A"/>
    <w:rsid w:val="009E7558"/>
    <w:rsid w:val="009E7716"/>
    <w:rsid w:val="009E7C31"/>
    <w:rsid w:val="009F0176"/>
    <w:rsid w:val="009F0487"/>
    <w:rsid w:val="009F0730"/>
    <w:rsid w:val="009F0D13"/>
    <w:rsid w:val="009F1227"/>
    <w:rsid w:val="009F1482"/>
    <w:rsid w:val="009F22EF"/>
    <w:rsid w:val="009F27FD"/>
    <w:rsid w:val="009F2E38"/>
    <w:rsid w:val="009F3DBE"/>
    <w:rsid w:val="009F442A"/>
    <w:rsid w:val="009F48F4"/>
    <w:rsid w:val="009F4DB1"/>
    <w:rsid w:val="009F50D0"/>
    <w:rsid w:val="009F54DC"/>
    <w:rsid w:val="009F5558"/>
    <w:rsid w:val="009F5D43"/>
    <w:rsid w:val="009F5E45"/>
    <w:rsid w:val="009F5F70"/>
    <w:rsid w:val="009F5FA7"/>
    <w:rsid w:val="009F62E3"/>
    <w:rsid w:val="009F6951"/>
    <w:rsid w:val="009F6A69"/>
    <w:rsid w:val="009F7079"/>
    <w:rsid w:val="009F7391"/>
    <w:rsid w:val="009F744E"/>
    <w:rsid w:val="009F7547"/>
    <w:rsid w:val="009F757C"/>
    <w:rsid w:val="00A002F2"/>
    <w:rsid w:val="00A00330"/>
    <w:rsid w:val="00A007EF"/>
    <w:rsid w:val="00A01524"/>
    <w:rsid w:val="00A01E72"/>
    <w:rsid w:val="00A02A86"/>
    <w:rsid w:val="00A02CBE"/>
    <w:rsid w:val="00A030A4"/>
    <w:rsid w:val="00A0336B"/>
    <w:rsid w:val="00A03529"/>
    <w:rsid w:val="00A039B2"/>
    <w:rsid w:val="00A03CB0"/>
    <w:rsid w:val="00A03D8A"/>
    <w:rsid w:val="00A04403"/>
    <w:rsid w:val="00A04A3C"/>
    <w:rsid w:val="00A04AD1"/>
    <w:rsid w:val="00A04EF6"/>
    <w:rsid w:val="00A05D10"/>
    <w:rsid w:val="00A05EE9"/>
    <w:rsid w:val="00A05F4D"/>
    <w:rsid w:val="00A063AB"/>
    <w:rsid w:val="00A06445"/>
    <w:rsid w:val="00A06510"/>
    <w:rsid w:val="00A06521"/>
    <w:rsid w:val="00A06784"/>
    <w:rsid w:val="00A06D53"/>
    <w:rsid w:val="00A06DCA"/>
    <w:rsid w:val="00A07567"/>
    <w:rsid w:val="00A10B5B"/>
    <w:rsid w:val="00A1106B"/>
    <w:rsid w:val="00A11730"/>
    <w:rsid w:val="00A11A41"/>
    <w:rsid w:val="00A11E0D"/>
    <w:rsid w:val="00A12280"/>
    <w:rsid w:val="00A12552"/>
    <w:rsid w:val="00A127CE"/>
    <w:rsid w:val="00A1284E"/>
    <w:rsid w:val="00A12FCE"/>
    <w:rsid w:val="00A13410"/>
    <w:rsid w:val="00A1414D"/>
    <w:rsid w:val="00A1445B"/>
    <w:rsid w:val="00A14781"/>
    <w:rsid w:val="00A14E35"/>
    <w:rsid w:val="00A15471"/>
    <w:rsid w:val="00A155FB"/>
    <w:rsid w:val="00A16335"/>
    <w:rsid w:val="00A163F8"/>
    <w:rsid w:val="00A174ED"/>
    <w:rsid w:val="00A20317"/>
    <w:rsid w:val="00A2036A"/>
    <w:rsid w:val="00A205DC"/>
    <w:rsid w:val="00A2128A"/>
    <w:rsid w:val="00A215A3"/>
    <w:rsid w:val="00A21880"/>
    <w:rsid w:val="00A2195D"/>
    <w:rsid w:val="00A21BC5"/>
    <w:rsid w:val="00A22950"/>
    <w:rsid w:val="00A23669"/>
    <w:rsid w:val="00A23FAE"/>
    <w:rsid w:val="00A24894"/>
    <w:rsid w:val="00A24DFB"/>
    <w:rsid w:val="00A24F08"/>
    <w:rsid w:val="00A25271"/>
    <w:rsid w:val="00A25755"/>
    <w:rsid w:val="00A25EB5"/>
    <w:rsid w:val="00A26462"/>
    <w:rsid w:val="00A26540"/>
    <w:rsid w:val="00A2677A"/>
    <w:rsid w:val="00A26ABF"/>
    <w:rsid w:val="00A273DB"/>
    <w:rsid w:val="00A278ED"/>
    <w:rsid w:val="00A3035A"/>
    <w:rsid w:val="00A30FA6"/>
    <w:rsid w:val="00A3129F"/>
    <w:rsid w:val="00A32863"/>
    <w:rsid w:val="00A32C87"/>
    <w:rsid w:val="00A332B8"/>
    <w:rsid w:val="00A3365F"/>
    <w:rsid w:val="00A33710"/>
    <w:rsid w:val="00A33EEE"/>
    <w:rsid w:val="00A33F7E"/>
    <w:rsid w:val="00A3494E"/>
    <w:rsid w:val="00A34BC3"/>
    <w:rsid w:val="00A357D6"/>
    <w:rsid w:val="00A35CC6"/>
    <w:rsid w:val="00A361FD"/>
    <w:rsid w:val="00A363F5"/>
    <w:rsid w:val="00A3641F"/>
    <w:rsid w:val="00A3695A"/>
    <w:rsid w:val="00A36A62"/>
    <w:rsid w:val="00A36C25"/>
    <w:rsid w:val="00A371DD"/>
    <w:rsid w:val="00A372E4"/>
    <w:rsid w:val="00A37743"/>
    <w:rsid w:val="00A4040A"/>
    <w:rsid w:val="00A40D1F"/>
    <w:rsid w:val="00A42358"/>
    <w:rsid w:val="00A42D92"/>
    <w:rsid w:val="00A436C3"/>
    <w:rsid w:val="00A44199"/>
    <w:rsid w:val="00A44C36"/>
    <w:rsid w:val="00A44DC4"/>
    <w:rsid w:val="00A44F13"/>
    <w:rsid w:val="00A45205"/>
    <w:rsid w:val="00A4525C"/>
    <w:rsid w:val="00A452C6"/>
    <w:rsid w:val="00A45390"/>
    <w:rsid w:val="00A454CC"/>
    <w:rsid w:val="00A4581D"/>
    <w:rsid w:val="00A45E9F"/>
    <w:rsid w:val="00A46131"/>
    <w:rsid w:val="00A46B11"/>
    <w:rsid w:val="00A46FE8"/>
    <w:rsid w:val="00A47560"/>
    <w:rsid w:val="00A47909"/>
    <w:rsid w:val="00A47E71"/>
    <w:rsid w:val="00A47E9A"/>
    <w:rsid w:val="00A47ECF"/>
    <w:rsid w:val="00A50161"/>
    <w:rsid w:val="00A50490"/>
    <w:rsid w:val="00A50EEC"/>
    <w:rsid w:val="00A51534"/>
    <w:rsid w:val="00A516E3"/>
    <w:rsid w:val="00A51C11"/>
    <w:rsid w:val="00A51E45"/>
    <w:rsid w:val="00A52C5F"/>
    <w:rsid w:val="00A535C6"/>
    <w:rsid w:val="00A53742"/>
    <w:rsid w:val="00A53A8A"/>
    <w:rsid w:val="00A5402E"/>
    <w:rsid w:val="00A5477C"/>
    <w:rsid w:val="00A548D8"/>
    <w:rsid w:val="00A54D09"/>
    <w:rsid w:val="00A54D3D"/>
    <w:rsid w:val="00A54FAE"/>
    <w:rsid w:val="00A551D6"/>
    <w:rsid w:val="00A55BD9"/>
    <w:rsid w:val="00A55E63"/>
    <w:rsid w:val="00A562C0"/>
    <w:rsid w:val="00A56571"/>
    <w:rsid w:val="00A56E7D"/>
    <w:rsid w:val="00A5705A"/>
    <w:rsid w:val="00A57546"/>
    <w:rsid w:val="00A57A42"/>
    <w:rsid w:val="00A60263"/>
    <w:rsid w:val="00A60680"/>
    <w:rsid w:val="00A60807"/>
    <w:rsid w:val="00A60C6B"/>
    <w:rsid w:val="00A61A85"/>
    <w:rsid w:val="00A62381"/>
    <w:rsid w:val="00A625B6"/>
    <w:rsid w:val="00A62E98"/>
    <w:rsid w:val="00A63900"/>
    <w:rsid w:val="00A63FBB"/>
    <w:rsid w:val="00A64286"/>
    <w:rsid w:val="00A649A4"/>
    <w:rsid w:val="00A64A7C"/>
    <w:rsid w:val="00A6502F"/>
    <w:rsid w:val="00A65386"/>
    <w:rsid w:val="00A653E1"/>
    <w:rsid w:val="00A65533"/>
    <w:rsid w:val="00A65603"/>
    <w:rsid w:val="00A6568C"/>
    <w:rsid w:val="00A658A2"/>
    <w:rsid w:val="00A662F5"/>
    <w:rsid w:val="00A6647B"/>
    <w:rsid w:val="00A66797"/>
    <w:rsid w:val="00A6759E"/>
    <w:rsid w:val="00A679E1"/>
    <w:rsid w:val="00A67C3E"/>
    <w:rsid w:val="00A67E58"/>
    <w:rsid w:val="00A7050F"/>
    <w:rsid w:val="00A70860"/>
    <w:rsid w:val="00A70956"/>
    <w:rsid w:val="00A70DAC"/>
    <w:rsid w:val="00A7126F"/>
    <w:rsid w:val="00A71736"/>
    <w:rsid w:val="00A71815"/>
    <w:rsid w:val="00A71DCE"/>
    <w:rsid w:val="00A71F2F"/>
    <w:rsid w:val="00A7361F"/>
    <w:rsid w:val="00A73891"/>
    <w:rsid w:val="00A73969"/>
    <w:rsid w:val="00A73B23"/>
    <w:rsid w:val="00A74A31"/>
    <w:rsid w:val="00A7551D"/>
    <w:rsid w:val="00A759B5"/>
    <w:rsid w:val="00A762F1"/>
    <w:rsid w:val="00A7713E"/>
    <w:rsid w:val="00A77456"/>
    <w:rsid w:val="00A775D3"/>
    <w:rsid w:val="00A779DF"/>
    <w:rsid w:val="00A77F67"/>
    <w:rsid w:val="00A80528"/>
    <w:rsid w:val="00A814E2"/>
    <w:rsid w:val="00A818ED"/>
    <w:rsid w:val="00A81923"/>
    <w:rsid w:val="00A81EA0"/>
    <w:rsid w:val="00A8218C"/>
    <w:rsid w:val="00A82398"/>
    <w:rsid w:val="00A82927"/>
    <w:rsid w:val="00A8337A"/>
    <w:rsid w:val="00A8380D"/>
    <w:rsid w:val="00A844D5"/>
    <w:rsid w:val="00A84578"/>
    <w:rsid w:val="00A84611"/>
    <w:rsid w:val="00A84984"/>
    <w:rsid w:val="00A860E3"/>
    <w:rsid w:val="00A86573"/>
    <w:rsid w:val="00A86772"/>
    <w:rsid w:val="00A869C9"/>
    <w:rsid w:val="00A87454"/>
    <w:rsid w:val="00A87DEA"/>
    <w:rsid w:val="00A87F62"/>
    <w:rsid w:val="00A90E9D"/>
    <w:rsid w:val="00A91142"/>
    <w:rsid w:val="00A9150E"/>
    <w:rsid w:val="00A91A51"/>
    <w:rsid w:val="00A91DF2"/>
    <w:rsid w:val="00A92EA8"/>
    <w:rsid w:val="00A932EE"/>
    <w:rsid w:val="00A93454"/>
    <w:rsid w:val="00A9389F"/>
    <w:rsid w:val="00A938DC"/>
    <w:rsid w:val="00A93AA7"/>
    <w:rsid w:val="00A93B8B"/>
    <w:rsid w:val="00A93DC1"/>
    <w:rsid w:val="00A93E3D"/>
    <w:rsid w:val="00A9436A"/>
    <w:rsid w:val="00A94A3B"/>
    <w:rsid w:val="00A954C8"/>
    <w:rsid w:val="00A957D3"/>
    <w:rsid w:val="00A9593D"/>
    <w:rsid w:val="00A96152"/>
    <w:rsid w:val="00A96273"/>
    <w:rsid w:val="00A96313"/>
    <w:rsid w:val="00A96320"/>
    <w:rsid w:val="00A96583"/>
    <w:rsid w:val="00A96854"/>
    <w:rsid w:val="00A96945"/>
    <w:rsid w:val="00A96D1A"/>
    <w:rsid w:val="00A97456"/>
    <w:rsid w:val="00A979E1"/>
    <w:rsid w:val="00A97D6D"/>
    <w:rsid w:val="00AA0501"/>
    <w:rsid w:val="00AA0689"/>
    <w:rsid w:val="00AA0895"/>
    <w:rsid w:val="00AA0A77"/>
    <w:rsid w:val="00AA0F17"/>
    <w:rsid w:val="00AA1414"/>
    <w:rsid w:val="00AA17AE"/>
    <w:rsid w:val="00AA1A2C"/>
    <w:rsid w:val="00AA2B18"/>
    <w:rsid w:val="00AA2CCC"/>
    <w:rsid w:val="00AA34E0"/>
    <w:rsid w:val="00AA3958"/>
    <w:rsid w:val="00AA3BA1"/>
    <w:rsid w:val="00AA40A2"/>
    <w:rsid w:val="00AA4194"/>
    <w:rsid w:val="00AA4470"/>
    <w:rsid w:val="00AA611E"/>
    <w:rsid w:val="00AA66EC"/>
    <w:rsid w:val="00AA6C1B"/>
    <w:rsid w:val="00AA76B6"/>
    <w:rsid w:val="00AA7D3D"/>
    <w:rsid w:val="00AB00E2"/>
    <w:rsid w:val="00AB03AC"/>
    <w:rsid w:val="00AB0406"/>
    <w:rsid w:val="00AB079D"/>
    <w:rsid w:val="00AB1A1D"/>
    <w:rsid w:val="00AB1D27"/>
    <w:rsid w:val="00AB21B9"/>
    <w:rsid w:val="00AB23B7"/>
    <w:rsid w:val="00AB280A"/>
    <w:rsid w:val="00AB28E1"/>
    <w:rsid w:val="00AB36FA"/>
    <w:rsid w:val="00AB4226"/>
    <w:rsid w:val="00AB47CD"/>
    <w:rsid w:val="00AB5EFC"/>
    <w:rsid w:val="00AB62A3"/>
    <w:rsid w:val="00AB6CF1"/>
    <w:rsid w:val="00AB75D2"/>
    <w:rsid w:val="00AB767B"/>
    <w:rsid w:val="00AB7B20"/>
    <w:rsid w:val="00AB7C1C"/>
    <w:rsid w:val="00AC03CB"/>
    <w:rsid w:val="00AC055F"/>
    <w:rsid w:val="00AC06F3"/>
    <w:rsid w:val="00AC0B22"/>
    <w:rsid w:val="00AC0D58"/>
    <w:rsid w:val="00AC10CE"/>
    <w:rsid w:val="00AC126C"/>
    <w:rsid w:val="00AC13DC"/>
    <w:rsid w:val="00AC1A38"/>
    <w:rsid w:val="00AC2211"/>
    <w:rsid w:val="00AC2329"/>
    <w:rsid w:val="00AC232A"/>
    <w:rsid w:val="00AC2381"/>
    <w:rsid w:val="00AC27FF"/>
    <w:rsid w:val="00AC3185"/>
    <w:rsid w:val="00AC3969"/>
    <w:rsid w:val="00AC3F06"/>
    <w:rsid w:val="00AC3FE7"/>
    <w:rsid w:val="00AC42F8"/>
    <w:rsid w:val="00AC46BF"/>
    <w:rsid w:val="00AC4CDA"/>
    <w:rsid w:val="00AC540D"/>
    <w:rsid w:val="00AC56DC"/>
    <w:rsid w:val="00AC5869"/>
    <w:rsid w:val="00AC5BB8"/>
    <w:rsid w:val="00AC619A"/>
    <w:rsid w:val="00AC63BE"/>
    <w:rsid w:val="00AC648C"/>
    <w:rsid w:val="00AC6632"/>
    <w:rsid w:val="00AC66A2"/>
    <w:rsid w:val="00AC7060"/>
    <w:rsid w:val="00AC7334"/>
    <w:rsid w:val="00AC7529"/>
    <w:rsid w:val="00AC765E"/>
    <w:rsid w:val="00AC7EA1"/>
    <w:rsid w:val="00AD00C1"/>
    <w:rsid w:val="00AD0595"/>
    <w:rsid w:val="00AD0A9D"/>
    <w:rsid w:val="00AD13DF"/>
    <w:rsid w:val="00AD153B"/>
    <w:rsid w:val="00AD1793"/>
    <w:rsid w:val="00AD1A4F"/>
    <w:rsid w:val="00AD204B"/>
    <w:rsid w:val="00AD24DB"/>
    <w:rsid w:val="00AD253F"/>
    <w:rsid w:val="00AD288B"/>
    <w:rsid w:val="00AD2C37"/>
    <w:rsid w:val="00AD2DFA"/>
    <w:rsid w:val="00AD303D"/>
    <w:rsid w:val="00AD36D5"/>
    <w:rsid w:val="00AD36DD"/>
    <w:rsid w:val="00AD395D"/>
    <w:rsid w:val="00AD43DC"/>
    <w:rsid w:val="00AD4E00"/>
    <w:rsid w:val="00AD51BA"/>
    <w:rsid w:val="00AD534E"/>
    <w:rsid w:val="00AD579D"/>
    <w:rsid w:val="00AD5CA9"/>
    <w:rsid w:val="00AD5DA4"/>
    <w:rsid w:val="00AD6677"/>
    <w:rsid w:val="00AD674A"/>
    <w:rsid w:val="00AE0067"/>
    <w:rsid w:val="00AE094D"/>
    <w:rsid w:val="00AE0F44"/>
    <w:rsid w:val="00AE11E2"/>
    <w:rsid w:val="00AE11FD"/>
    <w:rsid w:val="00AE1652"/>
    <w:rsid w:val="00AE1855"/>
    <w:rsid w:val="00AE18CC"/>
    <w:rsid w:val="00AE1A46"/>
    <w:rsid w:val="00AE1AC5"/>
    <w:rsid w:val="00AE232C"/>
    <w:rsid w:val="00AE2AB5"/>
    <w:rsid w:val="00AE35CF"/>
    <w:rsid w:val="00AE385E"/>
    <w:rsid w:val="00AE3ABA"/>
    <w:rsid w:val="00AE464F"/>
    <w:rsid w:val="00AE4651"/>
    <w:rsid w:val="00AE4C79"/>
    <w:rsid w:val="00AE4E74"/>
    <w:rsid w:val="00AE523F"/>
    <w:rsid w:val="00AE52BA"/>
    <w:rsid w:val="00AE5938"/>
    <w:rsid w:val="00AE5FB3"/>
    <w:rsid w:val="00AE657E"/>
    <w:rsid w:val="00AE7AA8"/>
    <w:rsid w:val="00AF0031"/>
    <w:rsid w:val="00AF0A72"/>
    <w:rsid w:val="00AF1192"/>
    <w:rsid w:val="00AF1282"/>
    <w:rsid w:val="00AF16CA"/>
    <w:rsid w:val="00AF1907"/>
    <w:rsid w:val="00AF1E10"/>
    <w:rsid w:val="00AF205F"/>
    <w:rsid w:val="00AF2186"/>
    <w:rsid w:val="00AF2AC0"/>
    <w:rsid w:val="00AF2CCC"/>
    <w:rsid w:val="00AF2D92"/>
    <w:rsid w:val="00AF307E"/>
    <w:rsid w:val="00AF39D2"/>
    <w:rsid w:val="00AF3A96"/>
    <w:rsid w:val="00AF3BF5"/>
    <w:rsid w:val="00AF4297"/>
    <w:rsid w:val="00AF4570"/>
    <w:rsid w:val="00AF48D0"/>
    <w:rsid w:val="00AF49F0"/>
    <w:rsid w:val="00AF578D"/>
    <w:rsid w:val="00AF66C5"/>
    <w:rsid w:val="00AF6742"/>
    <w:rsid w:val="00AF6785"/>
    <w:rsid w:val="00AF6FB8"/>
    <w:rsid w:val="00AF7536"/>
    <w:rsid w:val="00AF75BE"/>
    <w:rsid w:val="00AF7773"/>
    <w:rsid w:val="00AF785C"/>
    <w:rsid w:val="00B00260"/>
    <w:rsid w:val="00B0060B"/>
    <w:rsid w:val="00B0084C"/>
    <w:rsid w:val="00B011CD"/>
    <w:rsid w:val="00B01604"/>
    <w:rsid w:val="00B02342"/>
    <w:rsid w:val="00B02F5D"/>
    <w:rsid w:val="00B030CA"/>
    <w:rsid w:val="00B03879"/>
    <w:rsid w:val="00B0387C"/>
    <w:rsid w:val="00B03A28"/>
    <w:rsid w:val="00B03E07"/>
    <w:rsid w:val="00B04170"/>
    <w:rsid w:val="00B04499"/>
    <w:rsid w:val="00B04613"/>
    <w:rsid w:val="00B046B2"/>
    <w:rsid w:val="00B04730"/>
    <w:rsid w:val="00B04B64"/>
    <w:rsid w:val="00B04B69"/>
    <w:rsid w:val="00B0510F"/>
    <w:rsid w:val="00B056A8"/>
    <w:rsid w:val="00B05764"/>
    <w:rsid w:val="00B05CD3"/>
    <w:rsid w:val="00B05D5F"/>
    <w:rsid w:val="00B06120"/>
    <w:rsid w:val="00B0626A"/>
    <w:rsid w:val="00B067C6"/>
    <w:rsid w:val="00B06DE1"/>
    <w:rsid w:val="00B07058"/>
    <w:rsid w:val="00B072DF"/>
    <w:rsid w:val="00B07742"/>
    <w:rsid w:val="00B07D1C"/>
    <w:rsid w:val="00B114CD"/>
    <w:rsid w:val="00B115B5"/>
    <w:rsid w:val="00B116A4"/>
    <w:rsid w:val="00B11802"/>
    <w:rsid w:val="00B11B03"/>
    <w:rsid w:val="00B11D89"/>
    <w:rsid w:val="00B1220B"/>
    <w:rsid w:val="00B126F0"/>
    <w:rsid w:val="00B12B5B"/>
    <w:rsid w:val="00B1346D"/>
    <w:rsid w:val="00B13866"/>
    <w:rsid w:val="00B13F2D"/>
    <w:rsid w:val="00B13FFA"/>
    <w:rsid w:val="00B14709"/>
    <w:rsid w:val="00B14DD4"/>
    <w:rsid w:val="00B14F72"/>
    <w:rsid w:val="00B15032"/>
    <w:rsid w:val="00B1552A"/>
    <w:rsid w:val="00B156C6"/>
    <w:rsid w:val="00B1582F"/>
    <w:rsid w:val="00B15B03"/>
    <w:rsid w:val="00B15E01"/>
    <w:rsid w:val="00B16245"/>
    <w:rsid w:val="00B165DB"/>
    <w:rsid w:val="00B167BC"/>
    <w:rsid w:val="00B16B75"/>
    <w:rsid w:val="00B16CAB"/>
    <w:rsid w:val="00B16CE7"/>
    <w:rsid w:val="00B16D0F"/>
    <w:rsid w:val="00B16E32"/>
    <w:rsid w:val="00B176DB"/>
    <w:rsid w:val="00B178C8"/>
    <w:rsid w:val="00B17F73"/>
    <w:rsid w:val="00B201CC"/>
    <w:rsid w:val="00B20B7E"/>
    <w:rsid w:val="00B20EC6"/>
    <w:rsid w:val="00B2179F"/>
    <w:rsid w:val="00B217B2"/>
    <w:rsid w:val="00B21C03"/>
    <w:rsid w:val="00B21D6F"/>
    <w:rsid w:val="00B221E6"/>
    <w:rsid w:val="00B22489"/>
    <w:rsid w:val="00B22B59"/>
    <w:rsid w:val="00B22DD7"/>
    <w:rsid w:val="00B2307E"/>
    <w:rsid w:val="00B23B5E"/>
    <w:rsid w:val="00B24075"/>
    <w:rsid w:val="00B24300"/>
    <w:rsid w:val="00B24586"/>
    <w:rsid w:val="00B24614"/>
    <w:rsid w:val="00B24788"/>
    <w:rsid w:val="00B24877"/>
    <w:rsid w:val="00B2578C"/>
    <w:rsid w:val="00B25DAE"/>
    <w:rsid w:val="00B26A4B"/>
    <w:rsid w:val="00B26F80"/>
    <w:rsid w:val="00B27925"/>
    <w:rsid w:val="00B3003A"/>
    <w:rsid w:val="00B30290"/>
    <w:rsid w:val="00B31F45"/>
    <w:rsid w:val="00B329B3"/>
    <w:rsid w:val="00B32B98"/>
    <w:rsid w:val="00B32DA1"/>
    <w:rsid w:val="00B32DBD"/>
    <w:rsid w:val="00B33513"/>
    <w:rsid w:val="00B340E2"/>
    <w:rsid w:val="00B3422C"/>
    <w:rsid w:val="00B350F8"/>
    <w:rsid w:val="00B35844"/>
    <w:rsid w:val="00B3628F"/>
    <w:rsid w:val="00B365D3"/>
    <w:rsid w:val="00B37025"/>
    <w:rsid w:val="00B371BE"/>
    <w:rsid w:val="00B372A7"/>
    <w:rsid w:val="00B3741E"/>
    <w:rsid w:val="00B37871"/>
    <w:rsid w:val="00B37997"/>
    <w:rsid w:val="00B37BB8"/>
    <w:rsid w:val="00B40464"/>
    <w:rsid w:val="00B4055B"/>
    <w:rsid w:val="00B40D39"/>
    <w:rsid w:val="00B4128B"/>
    <w:rsid w:val="00B41929"/>
    <w:rsid w:val="00B41AFB"/>
    <w:rsid w:val="00B41DBB"/>
    <w:rsid w:val="00B42074"/>
    <w:rsid w:val="00B425FE"/>
    <w:rsid w:val="00B42A8C"/>
    <w:rsid w:val="00B42C67"/>
    <w:rsid w:val="00B43217"/>
    <w:rsid w:val="00B43598"/>
    <w:rsid w:val="00B435A1"/>
    <w:rsid w:val="00B438BA"/>
    <w:rsid w:val="00B43907"/>
    <w:rsid w:val="00B43DDF"/>
    <w:rsid w:val="00B43F38"/>
    <w:rsid w:val="00B44917"/>
    <w:rsid w:val="00B44966"/>
    <w:rsid w:val="00B449D2"/>
    <w:rsid w:val="00B44A61"/>
    <w:rsid w:val="00B44E94"/>
    <w:rsid w:val="00B45189"/>
    <w:rsid w:val="00B45C0F"/>
    <w:rsid w:val="00B46C6A"/>
    <w:rsid w:val="00B46CBE"/>
    <w:rsid w:val="00B474A5"/>
    <w:rsid w:val="00B50E48"/>
    <w:rsid w:val="00B516D4"/>
    <w:rsid w:val="00B51713"/>
    <w:rsid w:val="00B51866"/>
    <w:rsid w:val="00B51932"/>
    <w:rsid w:val="00B51C73"/>
    <w:rsid w:val="00B51FD9"/>
    <w:rsid w:val="00B5222D"/>
    <w:rsid w:val="00B5282F"/>
    <w:rsid w:val="00B52AA6"/>
    <w:rsid w:val="00B52BF4"/>
    <w:rsid w:val="00B53098"/>
    <w:rsid w:val="00B532BD"/>
    <w:rsid w:val="00B53E95"/>
    <w:rsid w:val="00B5414C"/>
    <w:rsid w:val="00B54261"/>
    <w:rsid w:val="00B547D8"/>
    <w:rsid w:val="00B54814"/>
    <w:rsid w:val="00B54B35"/>
    <w:rsid w:val="00B553F3"/>
    <w:rsid w:val="00B55F50"/>
    <w:rsid w:val="00B56064"/>
    <w:rsid w:val="00B56339"/>
    <w:rsid w:val="00B563D7"/>
    <w:rsid w:val="00B5648E"/>
    <w:rsid w:val="00B56EBD"/>
    <w:rsid w:val="00B570C2"/>
    <w:rsid w:val="00B57464"/>
    <w:rsid w:val="00B575B8"/>
    <w:rsid w:val="00B57AE7"/>
    <w:rsid w:val="00B57C2C"/>
    <w:rsid w:val="00B57EDF"/>
    <w:rsid w:val="00B60B8F"/>
    <w:rsid w:val="00B60ED1"/>
    <w:rsid w:val="00B61665"/>
    <w:rsid w:val="00B61992"/>
    <w:rsid w:val="00B61E02"/>
    <w:rsid w:val="00B63060"/>
    <w:rsid w:val="00B6381E"/>
    <w:rsid w:val="00B63954"/>
    <w:rsid w:val="00B63F8D"/>
    <w:rsid w:val="00B640E0"/>
    <w:rsid w:val="00B646C0"/>
    <w:rsid w:val="00B64A80"/>
    <w:rsid w:val="00B64FEA"/>
    <w:rsid w:val="00B65042"/>
    <w:rsid w:val="00B65451"/>
    <w:rsid w:val="00B659FD"/>
    <w:rsid w:val="00B66974"/>
    <w:rsid w:val="00B674B6"/>
    <w:rsid w:val="00B70662"/>
    <w:rsid w:val="00B70955"/>
    <w:rsid w:val="00B70ADC"/>
    <w:rsid w:val="00B70BFE"/>
    <w:rsid w:val="00B71881"/>
    <w:rsid w:val="00B7221F"/>
    <w:rsid w:val="00B730C5"/>
    <w:rsid w:val="00B73568"/>
    <w:rsid w:val="00B736FA"/>
    <w:rsid w:val="00B73775"/>
    <w:rsid w:val="00B7388A"/>
    <w:rsid w:val="00B73CE6"/>
    <w:rsid w:val="00B74105"/>
    <w:rsid w:val="00B74A71"/>
    <w:rsid w:val="00B75D1B"/>
    <w:rsid w:val="00B76FE9"/>
    <w:rsid w:val="00B7710C"/>
    <w:rsid w:val="00B77CE9"/>
    <w:rsid w:val="00B77CF2"/>
    <w:rsid w:val="00B80250"/>
    <w:rsid w:val="00B80747"/>
    <w:rsid w:val="00B808D8"/>
    <w:rsid w:val="00B8092C"/>
    <w:rsid w:val="00B80C2E"/>
    <w:rsid w:val="00B80D16"/>
    <w:rsid w:val="00B80FEB"/>
    <w:rsid w:val="00B81078"/>
    <w:rsid w:val="00B81132"/>
    <w:rsid w:val="00B811C9"/>
    <w:rsid w:val="00B81294"/>
    <w:rsid w:val="00B8164C"/>
    <w:rsid w:val="00B81EAF"/>
    <w:rsid w:val="00B8218C"/>
    <w:rsid w:val="00B82371"/>
    <w:rsid w:val="00B82663"/>
    <w:rsid w:val="00B82834"/>
    <w:rsid w:val="00B83050"/>
    <w:rsid w:val="00B835E6"/>
    <w:rsid w:val="00B843A0"/>
    <w:rsid w:val="00B84795"/>
    <w:rsid w:val="00B84972"/>
    <w:rsid w:val="00B850C5"/>
    <w:rsid w:val="00B85739"/>
    <w:rsid w:val="00B86542"/>
    <w:rsid w:val="00B867DC"/>
    <w:rsid w:val="00B86BCF"/>
    <w:rsid w:val="00B86FCC"/>
    <w:rsid w:val="00B871B4"/>
    <w:rsid w:val="00B874A2"/>
    <w:rsid w:val="00B874EB"/>
    <w:rsid w:val="00B87590"/>
    <w:rsid w:val="00B8761B"/>
    <w:rsid w:val="00B879FA"/>
    <w:rsid w:val="00B87A7D"/>
    <w:rsid w:val="00B87C85"/>
    <w:rsid w:val="00B87D6C"/>
    <w:rsid w:val="00B903DA"/>
    <w:rsid w:val="00B9096D"/>
    <w:rsid w:val="00B90D1D"/>
    <w:rsid w:val="00B91176"/>
    <w:rsid w:val="00B91409"/>
    <w:rsid w:val="00B9162F"/>
    <w:rsid w:val="00B917C5"/>
    <w:rsid w:val="00B92BE3"/>
    <w:rsid w:val="00B92EE0"/>
    <w:rsid w:val="00B9301D"/>
    <w:rsid w:val="00B9349A"/>
    <w:rsid w:val="00B93E68"/>
    <w:rsid w:val="00B940C7"/>
    <w:rsid w:val="00B9446D"/>
    <w:rsid w:val="00B944F0"/>
    <w:rsid w:val="00B9536C"/>
    <w:rsid w:val="00B954A7"/>
    <w:rsid w:val="00B958CC"/>
    <w:rsid w:val="00B95B3C"/>
    <w:rsid w:val="00B95F60"/>
    <w:rsid w:val="00B95FB7"/>
    <w:rsid w:val="00B976A7"/>
    <w:rsid w:val="00B9770F"/>
    <w:rsid w:val="00B97B03"/>
    <w:rsid w:val="00B97B81"/>
    <w:rsid w:val="00BA00D8"/>
    <w:rsid w:val="00BA0697"/>
    <w:rsid w:val="00BA0FE9"/>
    <w:rsid w:val="00BA10E2"/>
    <w:rsid w:val="00BA1A1C"/>
    <w:rsid w:val="00BA1BF2"/>
    <w:rsid w:val="00BA221B"/>
    <w:rsid w:val="00BA23AB"/>
    <w:rsid w:val="00BA2875"/>
    <w:rsid w:val="00BA28EF"/>
    <w:rsid w:val="00BA29C9"/>
    <w:rsid w:val="00BA2A5A"/>
    <w:rsid w:val="00BA3156"/>
    <w:rsid w:val="00BA31CE"/>
    <w:rsid w:val="00BA321D"/>
    <w:rsid w:val="00BA36C4"/>
    <w:rsid w:val="00BA371A"/>
    <w:rsid w:val="00BA3FB0"/>
    <w:rsid w:val="00BA4971"/>
    <w:rsid w:val="00BA4A21"/>
    <w:rsid w:val="00BA502F"/>
    <w:rsid w:val="00BA53B6"/>
    <w:rsid w:val="00BA53C4"/>
    <w:rsid w:val="00BA5764"/>
    <w:rsid w:val="00BA5915"/>
    <w:rsid w:val="00BA5947"/>
    <w:rsid w:val="00BA65E0"/>
    <w:rsid w:val="00BA6F4F"/>
    <w:rsid w:val="00BA7914"/>
    <w:rsid w:val="00BA7FCA"/>
    <w:rsid w:val="00BB0368"/>
    <w:rsid w:val="00BB0918"/>
    <w:rsid w:val="00BB0CA3"/>
    <w:rsid w:val="00BB0CF6"/>
    <w:rsid w:val="00BB19AA"/>
    <w:rsid w:val="00BB1A13"/>
    <w:rsid w:val="00BB2084"/>
    <w:rsid w:val="00BB209C"/>
    <w:rsid w:val="00BB26A3"/>
    <w:rsid w:val="00BB29DA"/>
    <w:rsid w:val="00BB2B48"/>
    <w:rsid w:val="00BB37F9"/>
    <w:rsid w:val="00BB3886"/>
    <w:rsid w:val="00BB3C70"/>
    <w:rsid w:val="00BB3CA3"/>
    <w:rsid w:val="00BB3F39"/>
    <w:rsid w:val="00BB421C"/>
    <w:rsid w:val="00BB4D58"/>
    <w:rsid w:val="00BB524D"/>
    <w:rsid w:val="00BB6E46"/>
    <w:rsid w:val="00BB7072"/>
    <w:rsid w:val="00BB7312"/>
    <w:rsid w:val="00BB73F7"/>
    <w:rsid w:val="00BB7419"/>
    <w:rsid w:val="00BB763E"/>
    <w:rsid w:val="00BB7A96"/>
    <w:rsid w:val="00BB7D26"/>
    <w:rsid w:val="00BC0283"/>
    <w:rsid w:val="00BC0DDA"/>
    <w:rsid w:val="00BC0FD0"/>
    <w:rsid w:val="00BC1195"/>
    <w:rsid w:val="00BC162D"/>
    <w:rsid w:val="00BC213B"/>
    <w:rsid w:val="00BC2532"/>
    <w:rsid w:val="00BC279C"/>
    <w:rsid w:val="00BC28A0"/>
    <w:rsid w:val="00BC314E"/>
    <w:rsid w:val="00BC3610"/>
    <w:rsid w:val="00BC388F"/>
    <w:rsid w:val="00BC43E5"/>
    <w:rsid w:val="00BC4E99"/>
    <w:rsid w:val="00BC4EB1"/>
    <w:rsid w:val="00BC4FA5"/>
    <w:rsid w:val="00BC4FEF"/>
    <w:rsid w:val="00BC5013"/>
    <w:rsid w:val="00BC5135"/>
    <w:rsid w:val="00BC52CF"/>
    <w:rsid w:val="00BC53BB"/>
    <w:rsid w:val="00BC5A4A"/>
    <w:rsid w:val="00BC6628"/>
    <w:rsid w:val="00BC666A"/>
    <w:rsid w:val="00BC6AD6"/>
    <w:rsid w:val="00BC7067"/>
    <w:rsid w:val="00BC7BD9"/>
    <w:rsid w:val="00BD07A6"/>
    <w:rsid w:val="00BD0BA1"/>
    <w:rsid w:val="00BD1CC1"/>
    <w:rsid w:val="00BD1D72"/>
    <w:rsid w:val="00BD1D77"/>
    <w:rsid w:val="00BD1FA9"/>
    <w:rsid w:val="00BD2A4A"/>
    <w:rsid w:val="00BD35C0"/>
    <w:rsid w:val="00BD3647"/>
    <w:rsid w:val="00BD3ED3"/>
    <w:rsid w:val="00BD44C1"/>
    <w:rsid w:val="00BD495B"/>
    <w:rsid w:val="00BD4993"/>
    <w:rsid w:val="00BD4A1A"/>
    <w:rsid w:val="00BD4AF6"/>
    <w:rsid w:val="00BD4E15"/>
    <w:rsid w:val="00BD4F39"/>
    <w:rsid w:val="00BD54FA"/>
    <w:rsid w:val="00BD5658"/>
    <w:rsid w:val="00BD579D"/>
    <w:rsid w:val="00BD5E1D"/>
    <w:rsid w:val="00BD62CA"/>
    <w:rsid w:val="00BD681C"/>
    <w:rsid w:val="00BD68F5"/>
    <w:rsid w:val="00BD6905"/>
    <w:rsid w:val="00BD6A24"/>
    <w:rsid w:val="00BD6C0C"/>
    <w:rsid w:val="00BD6CD3"/>
    <w:rsid w:val="00BD6CFC"/>
    <w:rsid w:val="00BD6F41"/>
    <w:rsid w:val="00BD773E"/>
    <w:rsid w:val="00BD7750"/>
    <w:rsid w:val="00BD77C8"/>
    <w:rsid w:val="00BE0484"/>
    <w:rsid w:val="00BE055C"/>
    <w:rsid w:val="00BE125F"/>
    <w:rsid w:val="00BE13CA"/>
    <w:rsid w:val="00BE1679"/>
    <w:rsid w:val="00BE17AB"/>
    <w:rsid w:val="00BE19E8"/>
    <w:rsid w:val="00BE1A5A"/>
    <w:rsid w:val="00BE1C2C"/>
    <w:rsid w:val="00BE1FEE"/>
    <w:rsid w:val="00BE2792"/>
    <w:rsid w:val="00BE2FCE"/>
    <w:rsid w:val="00BE3482"/>
    <w:rsid w:val="00BE362B"/>
    <w:rsid w:val="00BE39BD"/>
    <w:rsid w:val="00BE43D1"/>
    <w:rsid w:val="00BE4A65"/>
    <w:rsid w:val="00BE4B5B"/>
    <w:rsid w:val="00BE56D8"/>
    <w:rsid w:val="00BE5A14"/>
    <w:rsid w:val="00BE5A44"/>
    <w:rsid w:val="00BE65F3"/>
    <w:rsid w:val="00BE7548"/>
    <w:rsid w:val="00BE7713"/>
    <w:rsid w:val="00BF0069"/>
    <w:rsid w:val="00BF006C"/>
    <w:rsid w:val="00BF08DC"/>
    <w:rsid w:val="00BF09B4"/>
    <w:rsid w:val="00BF0C08"/>
    <w:rsid w:val="00BF16B7"/>
    <w:rsid w:val="00BF1C4D"/>
    <w:rsid w:val="00BF1F66"/>
    <w:rsid w:val="00BF2429"/>
    <w:rsid w:val="00BF2ABC"/>
    <w:rsid w:val="00BF30CD"/>
    <w:rsid w:val="00BF32BF"/>
    <w:rsid w:val="00BF3A6C"/>
    <w:rsid w:val="00BF3EE7"/>
    <w:rsid w:val="00BF40A7"/>
    <w:rsid w:val="00BF4BB7"/>
    <w:rsid w:val="00BF55BF"/>
    <w:rsid w:val="00BF565F"/>
    <w:rsid w:val="00BF5F4D"/>
    <w:rsid w:val="00BF64F8"/>
    <w:rsid w:val="00BF6BF4"/>
    <w:rsid w:val="00BF6D05"/>
    <w:rsid w:val="00BF6EB1"/>
    <w:rsid w:val="00BF7163"/>
    <w:rsid w:val="00BF7761"/>
    <w:rsid w:val="00BF7AAD"/>
    <w:rsid w:val="00BF7B41"/>
    <w:rsid w:val="00BF7C06"/>
    <w:rsid w:val="00BF7C2D"/>
    <w:rsid w:val="00C0010D"/>
    <w:rsid w:val="00C00D8C"/>
    <w:rsid w:val="00C015CB"/>
    <w:rsid w:val="00C01B63"/>
    <w:rsid w:val="00C01DCE"/>
    <w:rsid w:val="00C021F7"/>
    <w:rsid w:val="00C022E7"/>
    <w:rsid w:val="00C027B1"/>
    <w:rsid w:val="00C02E43"/>
    <w:rsid w:val="00C03139"/>
    <w:rsid w:val="00C03389"/>
    <w:rsid w:val="00C03569"/>
    <w:rsid w:val="00C035FB"/>
    <w:rsid w:val="00C03763"/>
    <w:rsid w:val="00C037BC"/>
    <w:rsid w:val="00C03C58"/>
    <w:rsid w:val="00C0475D"/>
    <w:rsid w:val="00C04C8D"/>
    <w:rsid w:val="00C05137"/>
    <w:rsid w:val="00C0558C"/>
    <w:rsid w:val="00C05D3B"/>
    <w:rsid w:val="00C0650B"/>
    <w:rsid w:val="00C06555"/>
    <w:rsid w:val="00C065CF"/>
    <w:rsid w:val="00C0707E"/>
    <w:rsid w:val="00C077B7"/>
    <w:rsid w:val="00C0782B"/>
    <w:rsid w:val="00C10238"/>
    <w:rsid w:val="00C10317"/>
    <w:rsid w:val="00C10543"/>
    <w:rsid w:val="00C107BE"/>
    <w:rsid w:val="00C108B2"/>
    <w:rsid w:val="00C12341"/>
    <w:rsid w:val="00C12A6E"/>
    <w:rsid w:val="00C12E83"/>
    <w:rsid w:val="00C146B6"/>
    <w:rsid w:val="00C147E6"/>
    <w:rsid w:val="00C14806"/>
    <w:rsid w:val="00C14B74"/>
    <w:rsid w:val="00C14DC7"/>
    <w:rsid w:val="00C15138"/>
    <w:rsid w:val="00C159A2"/>
    <w:rsid w:val="00C15A44"/>
    <w:rsid w:val="00C164F8"/>
    <w:rsid w:val="00C16F08"/>
    <w:rsid w:val="00C1725D"/>
    <w:rsid w:val="00C1782C"/>
    <w:rsid w:val="00C20330"/>
    <w:rsid w:val="00C2073C"/>
    <w:rsid w:val="00C20A66"/>
    <w:rsid w:val="00C20F6E"/>
    <w:rsid w:val="00C20F8F"/>
    <w:rsid w:val="00C2164E"/>
    <w:rsid w:val="00C22A37"/>
    <w:rsid w:val="00C237C7"/>
    <w:rsid w:val="00C23AAD"/>
    <w:rsid w:val="00C23B0A"/>
    <w:rsid w:val="00C23EC3"/>
    <w:rsid w:val="00C24633"/>
    <w:rsid w:val="00C248BA"/>
    <w:rsid w:val="00C24DA0"/>
    <w:rsid w:val="00C24EEE"/>
    <w:rsid w:val="00C25075"/>
    <w:rsid w:val="00C2526B"/>
    <w:rsid w:val="00C258AD"/>
    <w:rsid w:val="00C25C8F"/>
    <w:rsid w:val="00C25D42"/>
    <w:rsid w:val="00C26440"/>
    <w:rsid w:val="00C264C8"/>
    <w:rsid w:val="00C268CD"/>
    <w:rsid w:val="00C26CD3"/>
    <w:rsid w:val="00C27142"/>
    <w:rsid w:val="00C278DF"/>
    <w:rsid w:val="00C27D18"/>
    <w:rsid w:val="00C30110"/>
    <w:rsid w:val="00C301CC"/>
    <w:rsid w:val="00C303F4"/>
    <w:rsid w:val="00C30F03"/>
    <w:rsid w:val="00C30F9B"/>
    <w:rsid w:val="00C316D9"/>
    <w:rsid w:val="00C31A42"/>
    <w:rsid w:val="00C31ADC"/>
    <w:rsid w:val="00C31D64"/>
    <w:rsid w:val="00C31FB1"/>
    <w:rsid w:val="00C323C0"/>
    <w:rsid w:val="00C326A1"/>
    <w:rsid w:val="00C32CFD"/>
    <w:rsid w:val="00C336C3"/>
    <w:rsid w:val="00C33708"/>
    <w:rsid w:val="00C3396A"/>
    <w:rsid w:val="00C339DA"/>
    <w:rsid w:val="00C33A54"/>
    <w:rsid w:val="00C343E2"/>
    <w:rsid w:val="00C3473F"/>
    <w:rsid w:val="00C34C19"/>
    <w:rsid w:val="00C34E18"/>
    <w:rsid w:val="00C350E2"/>
    <w:rsid w:val="00C35ABA"/>
    <w:rsid w:val="00C35BB5"/>
    <w:rsid w:val="00C36081"/>
    <w:rsid w:val="00C36D00"/>
    <w:rsid w:val="00C36DC3"/>
    <w:rsid w:val="00C36EF0"/>
    <w:rsid w:val="00C37164"/>
    <w:rsid w:val="00C37251"/>
    <w:rsid w:val="00C37537"/>
    <w:rsid w:val="00C37B52"/>
    <w:rsid w:val="00C37EA0"/>
    <w:rsid w:val="00C40079"/>
    <w:rsid w:val="00C4049A"/>
    <w:rsid w:val="00C4073D"/>
    <w:rsid w:val="00C41498"/>
    <w:rsid w:val="00C418E2"/>
    <w:rsid w:val="00C4253B"/>
    <w:rsid w:val="00C426D2"/>
    <w:rsid w:val="00C42CA0"/>
    <w:rsid w:val="00C42E1F"/>
    <w:rsid w:val="00C43ABF"/>
    <w:rsid w:val="00C43D1A"/>
    <w:rsid w:val="00C44918"/>
    <w:rsid w:val="00C45128"/>
    <w:rsid w:val="00C4534F"/>
    <w:rsid w:val="00C45EB5"/>
    <w:rsid w:val="00C46432"/>
    <w:rsid w:val="00C467AB"/>
    <w:rsid w:val="00C46957"/>
    <w:rsid w:val="00C46B18"/>
    <w:rsid w:val="00C46D99"/>
    <w:rsid w:val="00C47102"/>
    <w:rsid w:val="00C47256"/>
    <w:rsid w:val="00C474D1"/>
    <w:rsid w:val="00C504AB"/>
    <w:rsid w:val="00C50E81"/>
    <w:rsid w:val="00C518B1"/>
    <w:rsid w:val="00C519B4"/>
    <w:rsid w:val="00C51EC3"/>
    <w:rsid w:val="00C527C3"/>
    <w:rsid w:val="00C52E6B"/>
    <w:rsid w:val="00C53168"/>
    <w:rsid w:val="00C538AB"/>
    <w:rsid w:val="00C53B5B"/>
    <w:rsid w:val="00C53DB7"/>
    <w:rsid w:val="00C5492F"/>
    <w:rsid w:val="00C5498C"/>
    <w:rsid w:val="00C55C4E"/>
    <w:rsid w:val="00C55C68"/>
    <w:rsid w:val="00C55E67"/>
    <w:rsid w:val="00C5699F"/>
    <w:rsid w:val="00C56CF7"/>
    <w:rsid w:val="00C56DB6"/>
    <w:rsid w:val="00C57EED"/>
    <w:rsid w:val="00C606E4"/>
    <w:rsid w:val="00C60E6A"/>
    <w:rsid w:val="00C6105A"/>
    <w:rsid w:val="00C610F5"/>
    <w:rsid w:val="00C618A9"/>
    <w:rsid w:val="00C62A72"/>
    <w:rsid w:val="00C62AAF"/>
    <w:rsid w:val="00C63288"/>
    <w:rsid w:val="00C6365B"/>
    <w:rsid w:val="00C639A2"/>
    <w:rsid w:val="00C63DD7"/>
    <w:rsid w:val="00C63DEF"/>
    <w:rsid w:val="00C63F00"/>
    <w:rsid w:val="00C63F22"/>
    <w:rsid w:val="00C63FB4"/>
    <w:rsid w:val="00C645C2"/>
    <w:rsid w:val="00C645C5"/>
    <w:rsid w:val="00C64816"/>
    <w:rsid w:val="00C64C22"/>
    <w:rsid w:val="00C64C91"/>
    <w:rsid w:val="00C64EBF"/>
    <w:rsid w:val="00C65339"/>
    <w:rsid w:val="00C66B12"/>
    <w:rsid w:val="00C67298"/>
    <w:rsid w:val="00C67825"/>
    <w:rsid w:val="00C67A25"/>
    <w:rsid w:val="00C70427"/>
    <w:rsid w:val="00C70471"/>
    <w:rsid w:val="00C70989"/>
    <w:rsid w:val="00C714E2"/>
    <w:rsid w:val="00C7165B"/>
    <w:rsid w:val="00C71A30"/>
    <w:rsid w:val="00C71DC5"/>
    <w:rsid w:val="00C72955"/>
    <w:rsid w:val="00C73A2D"/>
    <w:rsid w:val="00C746CA"/>
    <w:rsid w:val="00C74805"/>
    <w:rsid w:val="00C7487B"/>
    <w:rsid w:val="00C749F3"/>
    <w:rsid w:val="00C74ACC"/>
    <w:rsid w:val="00C75292"/>
    <w:rsid w:val="00C755C6"/>
    <w:rsid w:val="00C755EA"/>
    <w:rsid w:val="00C75778"/>
    <w:rsid w:val="00C75866"/>
    <w:rsid w:val="00C763EC"/>
    <w:rsid w:val="00C76AE2"/>
    <w:rsid w:val="00C76F28"/>
    <w:rsid w:val="00C77861"/>
    <w:rsid w:val="00C806C4"/>
    <w:rsid w:val="00C806D3"/>
    <w:rsid w:val="00C8075B"/>
    <w:rsid w:val="00C80BD4"/>
    <w:rsid w:val="00C80C48"/>
    <w:rsid w:val="00C80F26"/>
    <w:rsid w:val="00C81235"/>
    <w:rsid w:val="00C814ED"/>
    <w:rsid w:val="00C8192E"/>
    <w:rsid w:val="00C819B4"/>
    <w:rsid w:val="00C81E4A"/>
    <w:rsid w:val="00C820F2"/>
    <w:rsid w:val="00C8255E"/>
    <w:rsid w:val="00C82F37"/>
    <w:rsid w:val="00C83083"/>
    <w:rsid w:val="00C8342C"/>
    <w:rsid w:val="00C837A5"/>
    <w:rsid w:val="00C840E2"/>
    <w:rsid w:val="00C843CB"/>
    <w:rsid w:val="00C84EEF"/>
    <w:rsid w:val="00C85090"/>
    <w:rsid w:val="00C85FD8"/>
    <w:rsid w:val="00C860AE"/>
    <w:rsid w:val="00C867A1"/>
    <w:rsid w:val="00C8688D"/>
    <w:rsid w:val="00C86A7A"/>
    <w:rsid w:val="00C872B1"/>
    <w:rsid w:val="00C8743D"/>
    <w:rsid w:val="00C87929"/>
    <w:rsid w:val="00C906F1"/>
    <w:rsid w:val="00C90C3F"/>
    <w:rsid w:val="00C9123B"/>
    <w:rsid w:val="00C91DED"/>
    <w:rsid w:val="00C91F06"/>
    <w:rsid w:val="00C92583"/>
    <w:rsid w:val="00C92ACE"/>
    <w:rsid w:val="00C92C7D"/>
    <w:rsid w:val="00C93A08"/>
    <w:rsid w:val="00C93C15"/>
    <w:rsid w:val="00C94401"/>
    <w:rsid w:val="00C94450"/>
    <w:rsid w:val="00C95161"/>
    <w:rsid w:val="00C9560B"/>
    <w:rsid w:val="00C9747D"/>
    <w:rsid w:val="00C97541"/>
    <w:rsid w:val="00C97660"/>
    <w:rsid w:val="00C97906"/>
    <w:rsid w:val="00C979DE"/>
    <w:rsid w:val="00C97D86"/>
    <w:rsid w:val="00CA0225"/>
    <w:rsid w:val="00CA1466"/>
    <w:rsid w:val="00CA17F7"/>
    <w:rsid w:val="00CA187D"/>
    <w:rsid w:val="00CA1A0E"/>
    <w:rsid w:val="00CA20F0"/>
    <w:rsid w:val="00CA23B6"/>
    <w:rsid w:val="00CA2794"/>
    <w:rsid w:val="00CA2910"/>
    <w:rsid w:val="00CA2973"/>
    <w:rsid w:val="00CA2BC9"/>
    <w:rsid w:val="00CA2BDE"/>
    <w:rsid w:val="00CA2C3B"/>
    <w:rsid w:val="00CA2FFD"/>
    <w:rsid w:val="00CA348E"/>
    <w:rsid w:val="00CA3672"/>
    <w:rsid w:val="00CA3DA1"/>
    <w:rsid w:val="00CA3FE1"/>
    <w:rsid w:val="00CA45EE"/>
    <w:rsid w:val="00CA4D25"/>
    <w:rsid w:val="00CA6103"/>
    <w:rsid w:val="00CA6925"/>
    <w:rsid w:val="00CA6E0D"/>
    <w:rsid w:val="00CA7B87"/>
    <w:rsid w:val="00CA7C09"/>
    <w:rsid w:val="00CB0125"/>
    <w:rsid w:val="00CB01A4"/>
    <w:rsid w:val="00CB07DF"/>
    <w:rsid w:val="00CB0AF8"/>
    <w:rsid w:val="00CB0F37"/>
    <w:rsid w:val="00CB1191"/>
    <w:rsid w:val="00CB122B"/>
    <w:rsid w:val="00CB1A88"/>
    <w:rsid w:val="00CB279D"/>
    <w:rsid w:val="00CB284D"/>
    <w:rsid w:val="00CB28A0"/>
    <w:rsid w:val="00CB2AAA"/>
    <w:rsid w:val="00CB3003"/>
    <w:rsid w:val="00CB37F5"/>
    <w:rsid w:val="00CB3FF2"/>
    <w:rsid w:val="00CB4276"/>
    <w:rsid w:val="00CB4427"/>
    <w:rsid w:val="00CB4597"/>
    <w:rsid w:val="00CB4697"/>
    <w:rsid w:val="00CB4803"/>
    <w:rsid w:val="00CB494F"/>
    <w:rsid w:val="00CB4BFE"/>
    <w:rsid w:val="00CB4D8A"/>
    <w:rsid w:val="00CB506A"/>
    <w:rsid w:val="00CB51C9"/>
    <w:rsid w:val="00CB59E1"/>
    <w:rsid w:val="00CB5CCB"/>
    <w:rsid w:val="00CB6323"/>
    <w:rsid w:val="00CB66BE"/>
    <w:rsid w:val="00CB7119"/>
    <w:rsid w:val="00CB76EF"/>
    <w:rsid w:val="00CB7CB8"/>
    <w:rsid w:val="00CC023E"/>
    <w:rsid w:val="00CC0B73"/>
    <w:rsid w:val="00CC0D12"/>
    <w:rsid w:val="00CC0F4C"/>
    <w:rsid w:val="00CC1471"/>
    <w:rsid w:val="00CC1507"/>
    <w:rsid w:val="00CC1528"/>
    <w:rsid w:val="00CC1DC5"/>
    <w:rsid w:val="00CC25B5"/>
    <w:rsid w:val="00CC2CDA"/>
    <w:rsid w:val="00CC2D33"/>
    <w:rsid w:val="00CC3233"/>
    <w:rsid w:val="00CC44D7"/>
    <w:rsid w:val="00CC48C4"/>
    <w:rsid w:val="00CC4C38"/>
    <w:rsid w:val="00CC50D4"/>
    <w:rsid w:val="00CC51F9"/>
    <w:rsid w:val="00CC52C6"/>
    <w:rsid w:val="00CC5443"/>
    <w:rsid w:val="00CC5986"/>
    <w:rsid w:val="00CC5DD3"/>
    <w:rsid w:val="00CC61B2"/>
    <w:rsid w:val="00CC6B57"/>
    <w:rsid w:val="00CC6F8B"/>
    <w:rsid w:val="00CC7341"/>
    <w:rsid w:val="00CC76C1"/>
    <w:rsid w:val="00CD026F"/>
    <w:rsid w:val="00CD098D"/>
    <w:rsid w:val="00CD0B6D"/>
    <w:rsid w:val="00CD0C53"/>
    <w:rsid w:val="00CD0E18"/>
    <w:rsid w:val="00CD10AE"/>
    <w:rsid w:val="00CD1225"/>
    <w:rsid w:val="00CD1454"/>
    <w:rsid w:val="00CD16E6"/>
    <w:rsid w:val="00CD2A83"/>
    <w:rsid w:val="00CD2CB0"/>
    <w:rsid w:val="00CD3825"/>
    <w:rsid w:val="00CD3A65"/>
    <w:rsid w:val="00CD3B45"/>
    <w:rsid w:val="00CD4BD0"/>
    <w:rsid w:val="00CD4E2C"/>
    <w:rsid w:val="00CD52F1"/>
    <w:rsid w:val="00CD539F"/>
    <w:rsid w:val="00CD6F89"/>
    <w:rsid w:val="00CD7324"/>
    <w:rsid w:val="00CD7330"/>
    <w:rsid w:val="00CD7E06"/>
    <w:rsid w:val="00CD7F02"/>
    <w:rsid w:val="00CE091F"/>
    <w:rsid w:val="00CE25A4"/>
    <w:rsid w:val="00CE2F9C"/>
    <w:rsid w:val="00CE3BFF"/>
    <w:rsid w:val="00CE3DFD"/>
    <w:rsid w:val="00CE42A7"/>
    <w:rsid w:val="00CE4C05"/>
    <w:rsid w:val="00CE513F"/>
    <w:rsid w:val="00CE592D"/>
    <w:rsid w:val="00CE5BCF"/>
    <w:rsid w:val="00CE5CC5"/>
    <w:rsid w:val="00CE5DAF"/>
    <w:rsid w:val="00CE6E00"/>
    <w:rsid w:val="00CE7317"/>
    <w:rsid w:val="00CE74CF"/>
    <w:rsid w:val="00CE7698"/>
    <w:rsid w:val="00CE77E9"/>
    <w:rsid w:val="00CE78EC"/>
    <w:rsid w:val="00CF0201"/>
    <w:rsid w:val="00CF0395"/>
    <w:rsid w:val="00CF03AF"/>
    <w:rsid w:val="00CF0402"/>
    <w:rsid w:val="00CF0D15"/>
    <w:rsid w:val="00CF0F58"/>
    <w:rsid w:val="00CF10EB"/>
    <w:rsid w:val="00CF17C2"/>
    <w:rsid w:val="00CF1824"/>
    <w:rsid w:val="00CF2177"/>
    <w:rsid w:val="00CF2956"/>
    <w:rsid w:val="00CF2A90"/>
    <w:rsid w:val="00CF3102"/>
    <w:rsid w:val="00CF37C2"/>
    <w:rsid w:val="00CF3A2A"/>
    <w:rsid w:val="00CF3A34"/>
    <w:rsid w:val="00CF3D0B"/>
    <w:rsid w:val="00CF4448"/>
    <w:rsid w:val="00CF45BD"/>
    <w:rsid w:val="00CF4D15"/>
    <w:rsid w:val="00CF4F2A"/>
    <w:rsid w:val="00CF51D8"/>
    <w:rsid w:val="00CF54DD"/>
    <w:rsid w:val="00CF68ED"/>
    <w:rsid w:val="00CF7559"/>
    <w:rsid w:val="00CF75BB"/>
    <w:rsid w:val="00CF7825"/>
    <w:rsid w:val="00D0016D"/>
    <w:rsid w:val="00D0032F"/>
    <w:rsid w:val="00D0047B"/>
    <w:rsid w:val="00D0190A"/>
    <w:rsid w:val="00D01FDB"/>
    <w:rsid w:val="00D0228D"/>
    <w:rsid w:val="00D02D9A"/>
    <w:rsid w:val="00D02EA9"/>
    <w:rsid w:val="00D038DB"/>
    <w:rsid w:val="00D03AF7"/>
    <w:rsid w:val="00D03C63"/>
    <w:rsid w:val="00D04722"/>
    <w:rsid w:val="00D04BBA"/>
    <w:rsid w:val="00D04F27"/>
    <w:rsid w:val="00D054CE"/>
    <w:rsid w:val="00D05EAA"/>
    <w:rsid w:val="00D05F3C"/>
    <w:rsid w:val="00D063E3"/>
    <w:rsid w:val="00D06573"/>
    <w:rsid w:val="00D06A28"/>
    <w:rsid w:val="00D06AC6"/>
    <w:rsid w:val="00D07395"/>
    <w:rsid w:val="00D0763C"/>
    <w:rsid w:val="00D07A35"/>
    <w:rsid w:val="00D07C4D"/>
    <w:rsid w:val="00D10E5F"/>
    <w:rsid w:val="00D11353"/>
    <w:rsid w:val="00D113E7"/>
    <w:rsid w:val="00D11EC6"/>
    <w:rsid w:val="00D12572"/>
    <w:rsid w:val="00D127C0"/>
    <w:rsid w:val="00D129EE"/>
    <w:rsid w:val="00D12B04"/>
    <w:rsid w:val="00D12CC3"/>
    <w:rsid w:val="00D12DD0"/>
    <w:rsid w:val="00D130CD"/>
    <w:rsid w:val="00D133B7"/>
    <w:rsid w:val="00D13B74"/>
    <w:rsid w:val="00D13DA0"/>
    <w:rsid w:val="00D14CB5"/>
    <w:rsid w:val="00D15090"/>
    <w:rsid w:val="00D1510B"/>
    <w:rsid w:val="00D1559B"/>
    <w:rsid w:val="00D1721B"/>
    <w:rsid w:val="00D21047"/>
    <w:rsid w:val="00D21B3F"/>
    <w:rsid w:val="00D21D03"/>
    <w:rsid w:val="00D2235A"/>
    <w:rsid w:val="00D226E7"/>
    <w:rsid w:val="00D22A93"/>
    <w:rsid w:val="00D22D9B"/>
    <w:rsid w:val="00D22E3A"/>
    <w:rsid w:val="00D236F2"/>
    <w:rsid w:val="00D23762"/>
    <w:rsid w:val="00D24456"/>
    <w:rsid w:val="00D24559"/>
    <w:rsid w:val="00D245D3"/>
    <w:rsid w:val="00D25EFA"/>
    <w:rsid w:val="00D25FDF"/>
    <w:rsid w:val="00D2612A"/>
    <w:rsid w:val="00D264BB"/>
    <w:rsid w:val="00D26A7F"/>
    <w:rsid w:val="00D26C62"/>
    <w:rsid w:val="00D27526"/>
    <w:rsid w:val="00D27959"/>
    <w:rsid w:val="00D27AE6"/>
    <w:rsid w:val="00D31382"/>
    <w:rsid w:val="00D31A1C"/>
    <w:rsid w:val="00D31A34"/>
    <w:rsid w:val="00D31C47"/>
    <w:rsid w:val="00D31E08"/>
    <w:rsid w:val="00D32051"/>
    <w:rsid w:val="00D32572"/>
    <w:rsid w:val="00D32AAE"/>
    <w:rsid w:val="00D32E82"/>
    <w:rsid w:val="00D3328D"/>
    <w:rsid w:val="00D335CA"/>
    <w:rsid w:val="00D33AFE"/>
    <w:rsid w:val="00D34CBB"/>
    <w:rsid w:val="00D35750"/>
    <w:rsid w:val="00D35C04"/>
    <w:rsid w:val="00D35D61"/>
    <w:rsid w:val="00D35D83"/>
    <w:rsid w:val="00D36009"/>
    <w:rsid w:val="00D36CF9"/>
    <w:rsid w:val="00D37482"/>
    <w:rsid w:val="00D374DB"/>
    <w:rsid w:val="00D379F2"/>
    <w:rsid w:val="00D402A8"/>
    <w:rsid w:val="00D40572"/>
    <w:rsid w:val="00D407E6"/>
    <w:rsid w:val="00D408D5"/>
    <w:rsid w:val="00D40C91"/>
    <w:rsid w:val="00D40FAC"/>
    <w:rsid w:val="00D4101C"/>
    <w:rsid w:val="00D41053"/>
    <w:rsid w:val="00D4177A"/>
    <w:rsid w:val="00D41C49"/>
    <w:rsid w:val="00D422E9"/>
    <w:rsid w:val="00D4250C"/>
    <w:rsid w:val="00D42D9A"/>
    <w:rsid w:val="00D43760"/>
    <w:rsid w:val="00D4390E"/>
    <w:rsid w:val="00D43BDB"/>
    <w:rsid w:val="00D43DFD"/>
    <w:rsid w:val="00D44115"/>
    <w:rsid w:val="00D4467F"/>
    <w:rsid w:val="00D45043"/>
    <w:rsid w:val="00D455ED"/>
    <w:rsid w:val="00D45CA4"/>
    <w:rsid w:val="00D461EB"/>
    <w:rsid w:val="00D464F8"/>
    <w:rsid w:val="00D46688"/>
    <w:rsid w:val="00D46D2A"/>
    <w:rsid w:val="00D4742C"/>
    <w:rsid w:val="00D4756F"/>
    <w:rsid w:val="00D47723"/>
    <w:rsid w:val="00D477E2"/>
    <w:rsid w:val="00D47A0A"/>
    <w:rsid w:val="00D47AC5"/>
    <w:rsid w:val="00D47F62"/>
    <w:rsid w:val="00D50EA2"/>
    <w:rsid w:val="00D51519"/>
    <w:rsid w:val="00D519E8"/>
    <w:rsid w:val="00D51C23"/>
    <w:rsid w:val="00D51C34"/>
    <w:rsid w:val="00D528B3"/>
    <w:rsid w:val="00D52F31"/>
    <w:rsid w:val="00D5342D"/>
    <w:rsid w:val="00D5408B"/>
    <w:rsid w:val="00D540B0"/>
    <w:rsid w:val="00D546EF"/>
    <w:rsid w:val="00D54B34"/>
    <w:rsid w:val="00D55340"/>
    <w:rsid w:val="00D5556F"/>
    <w:rsid w:val="00D55C51"/>
    <w:rsid w:val="00D560DD"/>
    <w:rsid w:val="00D56E83"/>
    <w:rsid w:val="00D56F92"/>
    <w:rsid w:val="00D57119"/>
    <w:rsid w:val="00D57844"/>
    <w:rsid w:val="00D5795B"/>
    <w:rsid w:val="00D579C1"/>
    <w:rsid w:val="00D57C07"/>
    <w:rsid w:val="00D60070"/>
    <w:rsid w:val="00D60316"/>
    <w:rsid w:val="00D607FC"/>
    <w:rsid w:val="00D614FD"/>
    <w:rsid w:val="00D61544"/>
    <w:rsid w:val="00D61F6E"/>
    <w:rsid w:val="00D62171"/>
    <w:rsid w:val="00D62E4B"/>
    <w:rsid w:val="00D6376D"/>
    <w:rsid w:val="00D646EE"/>
    <w:rsid w:val="00D64A72"/>
    <w:rsid w:val="00D65583"/>
    <w:rsid w:val="00D657D9"/>
    <w:rsid w:val="00D659C4"/>
    <w:rsid w:val="00D65BE5"/>
    <w:rsid w:val="00D66181"/>
    <w:rsid w:val="00D66328"/>
    <w:rsid w:val="00D66AB6"/>
    <w:rsid w:val="00D66AD0"/>
    <w:rsid w:val="00D66E14"/>
    <w:rsid w:val="00D677DF"/>
    <w:rsid w:val="00D679B2"/>
    <w:rsid w:val="00D67D6E"/>
    <w:rsid w:val="00D67D8A"/>
    <w:rsid w:val="00D67F8D"/>
    <w:rsid w:val="00D7010C"/>
    <w:rsid w:val="00D7063C"/>
    <w:rsid w:val="00D71B89"/>
    <w:rsid w:val="00D71D51"/>
    <w:rsid w:val="00D7247B"/>
    <w:rsid w:val="00D729C8"/>
    <w:rsid w:val="00D72ADD"/>
    <w:rsid w:val="00D72C7C"/>
    <w:rsid w:val="00D7332D"/>
    <w:rsid w:val="00D73333"/>
    <w:rsid w:val="00D74815"/>
    <w:rsid w:val="00D74DEB"/>
    <w:rsid w:val="00D74F39"/>
    <w:rsid w:val="00D74F70"/>
    <w:rsid w:val="00D75C1F"/>
    <w:rsid w:val="00D75EA9"/>
    <w:rsid w:val="00D761CC"/>
    <w:rsid w:val="00D76390"/>
    <w:rsid w:val="00D775B7"/>
    <w:rsid w:val="00D776A2"/>
    <w:rsid w:val="00D7798B"/>
    <w:rsid w:val="00D802E2"/>
    <w:rsid w:val="00D805F4"/>
    <w:rsid w:val="00D80930"/>
    <w:rsid w:val="00D80A9B"/>
    <w:rsid w:val="00D810CB"/>
    <w:rsid w:val="00D814C6"/>
    <w:rsid w:val="00D8168C"/>
    <w:rsid w:val="00D819C6"/>
    <w:rsid w:val="00D81A68"/>
    <w:rsid w:val="00D81C0B"/>
    <w:rsid w:val="00D82482"/>
    <w:rsid w:val="00D8250F"/>
    <w:rsid w:val="00D825EB"/>
    <w:rsid w:val="00D828CD"/>
    <w:rsid w:val="00D82F26"/>
    <w:rsid w:val="00D8316E"/>
    <w:rsid w:val="00D832CD"/>
    <w:rsid w:val="00D83617"/>
    <w:rsid w:val="00D838CD"/>
    <w:rsid w:val="00D8422B"/>
    <w:rsid w:val="00D84441"/>
    <w:rsid w:val="00D849C2"/>
    <w:rsid w:val="00D84DCF"/>
    <w:rsid w:val="00D85339"/>
    <w:rsid w:val="00D855FB"/>
    <w:rsid w:val="00D85F07"/>
    <w:rsid w:val="00D861C1"/>
    <w:rsid w:val="00D86431"/>
    <w:rsid w:val="00D86772"/>
    <w:rsid w:val="00D869C6"/>
    <w:rsid w:val="00D86B35"/>
    <w:rsid w:val="00D90255"/>
    <w:rsid w:val="00D90B12"/>
    <w:rsid w:val="00D916B9"/>
    <w:rsid w:val="00D91F90"/>
    <w:rsid w:val="00D92A52"/>
    <w:rsid w:val="00D9487B"/>
    <w:rsid w:val="00D94C9B"/>
    <w:rsid w:val="00D94DF1"/>
    <w:rsid w:val="00D951DC"/>
    <w:rsid w:val="00D952CD"/>
    <w:rsid w:val="00D955F1"/>
    <w:rsid w:val="00D95C6F"/>
    <w:rsid w:val="00D95DE4"/>
    <w:rsid w:val="00D95E53"/>
    <w:rsid w:val="00D9617E"/>
    <w:rsid w:val="00D963D9"/>
    <w:rsid w:val="00D965BC"/>
    <w:rsid w:val="00D96A45"/>
    <w:rsid w:val="00D96F1E"/>
    <w:rsid w:val="00D96F25"/>
    <w:rsid w:val="00D97132"/>
    <w:rsid w:val="00D977AE"/>
    <w:rsid w:val="00D979A0"/>
    <w:rsid w:val="00D979FD"/>
    <w:rsid w:val="00D97C93"/>
    <w:rsid w:val="00DA00BD"/>
    <w:rsid w:val="00DA04B6"/>
    <w:rsid w:val="00DA0572"/>
    <w:rsid w:val="00DA0639"/>
    <w:rsid w:val="00DA064A"/>
    <w:rsid w:val="00DA06E5"/>
    <w:rsid w:val="00DA0787"/>
    <w:rsid w:val="00DA0E78"/>
    <w:rsid w:val="00DA0ED6"/>
    <w:rsid w:val="00DA1151"/>
    <w:rsid w:val="00DA1469"/>
    <w:rsid w:val="00DA1CDD"/>
    <w:rsid w:val="00DA2080"/>
    <w:rsid w:val="00DA224D"/>
    <w:rsid w:val="00DA2644"/>
    <w:rsid w:val="00DA273D"/>
    <w:rsid w:val="00DA27F9"/>
    <w:rsid w:val="00DA28F6"/>
    <w:rsid w:val="00DA3FCB"/>
    <w:rsid w:val="00DA457B"/>
    <w:rsid w:val="00DA45EF"/>
    <w:rsid w:val="00DA4972"/>
    <w:rsid w:val="00DA4B3D"/>
    <w:rsid w:val="00DA6B4E"/>
    <w:rsid w:val="00DA7227"/>
    <w:rsid w:val="00DA7465"/>
    <w:rsid w:val="00DA7B05"/>
    <w:rsid w:val="00DA7C0B"/>
    <w:rsid w:val="00DB030B"/>
    <w:rsid w:val="00DB05E9"/>
    <w:rsid w:val="00DB10BA"/>
    <w:rsid w:val="00DB13D4"/>
    <w:rsid w:val="00DB14BE"/>
    <w:rsid w:val="00DB1801"/>
    <w:rsid w:val="00DB22FA"/>
    <w:rsid w:val="00DB237A"/>
    <w:rsid w:val="00DB2B66"/>
    <w:rsid w:val="00DB2FEB"/>
    <w:rsid w:val="00DB317C"/>
    <w:rsid w:val="00DB334A"/>
    <w:rsid w:val="00DB3A80"/>
    <w:rsid w:val="00DB4423"/>
    <w:rsid w:val="00DB4754"/>
    <w:rsid w:val="00DB549F"/>
    <w:rsid w:val="00DB555C"/>
    <w:rsid w:val="00DB557F"/>
    <w:rsid w:val="00DB5A0F"/>
    <w:rsid w:val="00DB5FAD"/>
    <w:rsid w:val="00DB605C"/>
    <w:rsid w:val="00DB63EF"/>
    <w:rsid w:val="00DB71D4"/>
    <w:rsid w:val="00DC02AB"/>
    <w:rsid w:val="00DC0DCD"/>
    <w:rsid w:val="00DC13CD"/>
    <w:rsid w:val="00DC171E"/>
    <w:rsid w:val="00DC19E7"/>
    <w:rsid w:val="00DC1EA8"/>
    <w:rsid w:val="00DC25B7"/>
    <w:rsid w:val="00DC2688"/>
    <w:rsid w:val="00DC2995"/>
    <w:rsid w:val="00DC2B0A"/>
    <w:rsid w:val="00DC2DE8"/>
    <w:rsid w:val="00DC2FB4"/>
    <w:rsid w:val="00DC328E"/>
    <w:rsid w:val="00DC3963"/>
    <w:rsid w:val="00DC4089"/>
    <w:rsid w:val="00DC46B5"/>
    <w:rsid w:val="00DC4806"/>
    <w:rsid w:val="00DC5646"/>
    <w:rsid w:val="00DC566A"/>
    <w:rsid w:val="00DC5A4C"/>
    <w:rsid w:val="00DC6A20"/>
    <w:rsid w:val="00DC6EDA"/>
    <w:rsid w:val="00DC7719"/>
    <w:rsid w:val="00DC77B9"/>
    <w:rsid w:val="00DC783F"/>
    <w:rsid w:val="00DC7B03"/>
    <w:rsid w:val="00DC7B90"/>
    <w:rsid w:val="00DC7BB8"/>
    <w:rsid w:val="00DC7FA2"/>
    <w:rsid w:val="00DD027F"/>
    <w:rsid w:val="00DD0E83"/>
    <w:rsid w:val="00DD1732"/>
    <w:rsid w:val="00DD1AA3"/>
    <w:rsid w:val="00DD1E99"/>
    <w:rsid w:val="00DD2451"/>
    <w:rsid w:val="00DD313E"/>
    <w:rsid w:val="00DD3180"/>
    <w:rsid w:val="00DD3954"/>
    <w:rsid w:val="00DD3975"/>
    <w:rsid w:val="00DD408A"/>
    <w:rsid w:val="00DD4A5F"/>
    <w:rsid w:val="00DD5257"/>
    <w:rsid w:val="00DD5409"/>
    <w:rsid w:val="00DD6912"/>
    <w:rsid w:val="00DD6EF6"/>
    <w:rsid w:val="00DD72BC"/>
    <w:rsid w:val="00DD7AB4"/>
    <w:rsid w:val="00DE0265"/>
    <w:rsid w:val="00DE0818"/>
    <w:rsid w:val="00DE0C7C"/>
    <w:rsid w:val="00DE0EDF"/>
    <w:rsid w:val="00DE0EE4"/>
    <w:rsid w:val="00DE0FD7"/>
    <w:rsid w:val="00DE180B"/>
    <w:rsid w:val="00DE207E"/>
    <w:rsid w:val="00DE2986"/>
    <w:rsid w:val="00DE3190"/>
    <w:rsid w:val="00DE3A7B"/>
    <w:rsid w:val="00DE3F64"/>
    <w:rsid w:val="00DE4580"/>
    <w:rsid w:val="00DE48DF"/>
    <w:rsid w:val="00DE5249"/>
    <w:rsid w:val="00DE5F72"/>
    <w:rsid w:val="00DE6965"/>
    <w:rsid w:val="00DE6BFE"/>
    <w:rsid w:val="00DE6EF1"/>
    <w:rsid w:val="00DE737A"/>
    <w:rsid w:val="00DE77B1"/>
    <w:rsid w:val="00DE7F85"/>
    <w:rsid w:val="00DF09F9"/>
    <w:rsid w:val="00DF0A97"/>
    <w:rsid w:val="00DF131D"/>
    <w:rsid w:val="00DF166B"/>
    <w:rsid w:val="00DF1778"/>
    <w:rsid w:val="00DF1791"/>
    <w:rsid w:val="00DF1D01"/>
    <w:rsid w:val="00DF1D6C"/>
    <w:rsid w:val="00DF209D"/>
    <w:rsid w:val="00DF268B"/>
    <w:rsid w:val="00DF2B50"/>
    <w:rsid w:val="00DF2F83"/>
    <w:rsid w:val="00DF3B86"/>
    <w:rsid w:val="00DF3F96"/>
    <w:rsid w:val="00DF45BB"/>
    <w:rsid w:val="00DF46DF"/>
    <w:rsid w:val="00DF4B25"/>
    <w:rsid w:val="00DF4C1E"/>
    <w:rsid w:val="00DF4F39"/>
    <w:rsid w:val="00DF504D"/>
    <w:rsid w:val="00DF5179"/>
    <w:rsid w:val="00DF530A"/>
    <w:rsid w:val="00DF5433"/>
    <w:rsid w:val="00DF5554"/>
    <w:rsid w:val="00DF5BD3"/>
    <w:rsid w:val="00DF613F"/>
    <w:rsid w:val="00DF637B"/>
    <w:rsid w:val="00DF6462"/>
    <w:rsid w:val="00DF6700"/>
    <w:rsid w:val="00DF6816"/>
    <w:rsid w:val="00DF6859"/>
    <w:rsid w:val="00DF690E"/>
    <w:rsid w:val="00DF6979"/>
    <w:rsid w:val="00DF737A"/>
    <w:rsid w:val="00DF7BEC"/>
    <w:rsid w:val="00E002CF"/>
    <w:rsid w:val="00E002DC"/>
    <w:rsid w:val="00E0037E"/>
    <w:rsid w:val="00E00502"/>
    <w:rsid w:val="00E00692"/>
    <w:rsid w:val="00E00976"/>
    <w:rsid w:val="00E00B3F"/>
    <w:rsid w:val="00E00BA7"/>
    <w:rsid w:val="00E00CD4"/>
    <w:rsid w:val="00E01493"/>
    <w:rsid w:val="00E01657"/>
    <w:rsid w:val="00E01CB8"/>
    <w:rsid w:val="00E01E12"/>
    <w:rsid w:val="00E02281"/>
    <w:rsid w:val="00E0245C"/>
    <w:rsid w:val="00E02B5F"/>
    <w:rsid w:val="00E02FA4"/>
    <w:rsid w:val="00E02FDC"/>
    <w:rsid w:val="00E031EA"/>
    <w:rsid w:val="00E035F2"/>
    <w:rsid w:val="00E03C7A"/>
    <w:rsid w:val="00E040EF"/>
    <w:rsid w:val="00E0439D"/>
    <w:rsid w:val="00E0474E"/>
    <w:rsid w:val="00E05DF7"/>
    <w:rsid w:val="00E06825"/>
    <w:rsid w:val="00E06DA4"/>
    <w:rsid w:val="00E1047F"/>
    <w:rsid w:val="00E110BD"/>
    <w:rsid w:val="00E111E4"/>
    <w:rsid w:val="00E111F2"/>
    <w:rsid w:val="00E11F32"/>
    <w:rsid w:val="00E11FA9"/>
    <w:rsid w:val="00E12271"/>
    <w:rsid w:val="00E12D36"/>
    <w:rsid w:val="00E13186"/>
    <w:rsid w:val="00E13E7B"/>
    <w:rsid w:val="00E13EC7"/>
    <w:rsid w:val="00E14C13"/>
    <w:rsid w:val="00E14FD3"/>
    <w:rsid w:val="00E15512"/>
    <w:rsid w:val="00E15890"/>
    <w:rsid w:val="00E15BB4"/>
    <w:rsid w:val="00E1609E"/>
    <w:rsid w:val="00E16637"/>
    <w:rsid w:val="00E1696D"/>
    <w:rsid w:val="00E16F4D"/>
    <w:rsid w:val="00E1736E"/>
    <w:rsid w:val="00E174CC"/>
    <w:rsid w:val="00E1767E"/>
    <w:rsid w:val="00E17F74"/>
    <w:rsid w:val="00E17FF6"/>
    <w:rsid w:val="00E202FD"/>
    <w:rsid w:val="00E2079B"/>
    <w:rsid w:val="00E209A8"/>
    <w:rsid w:val="00E209FD"/>
    <w:rsid w:val="00E20FEC"/>
    <w:rsid w:val="00E219FD"/>
    <w:rsid w:val="00E222B2"/>
    <w:rsid w:val="00E2270D"/>
    <w:rsid w:val="00E229B7"/>
    <w:rsid w:val="00E22B51"/>
    <w:rsid w:val="00E2387A"/>
    <w:rsid w:val="00E23A15"/>
    <w:rsid w:val="00E23D70"/>
    <w:rsid w:val="00E24933"/>
    <w:rsid w:val="00E24A94"/>
    <w:rsid w:val="00E24EA1"/>
    <w:rsid w:val="00E25010"/>
    <w:rsid w:val="00E25047"/>
    <w:rsid w:val="00E25318"/>
    <w:rsid w:val="00E257E0"/>
    <w:rsid w:val="00E25A07"/>
    <w:rsid w:val="00E2625B"/>
    <w:rsid w:val="00E26C36"/>
    <w:rsid w:val="00E27031"/>
    <w:rsid w:val="00E30AD0"/>
    <w:rsid w:val="00E30B73"/>
    <w:rsid w:val="00E30D3E"/>
    <w:rsid w:val="00E3113B"/>
    <w:rsid w:val="00E3131D"/>
    <w:rsid w:val="00E314CC"/>
    <w:rsid w:val="00E31963"/>
    <w:rsid w:val="00E319ED"/>
    <w:rsid w:val="00E31CA2"/>
    <w:rsid w:val="00E31DA2"/>
    <w:rsid w:val="00E32460"/>
    <w:rsid w:val="00E325F6"/>
    <w:rsid w:val="00E32E3E"/>
    <w:rsid w:val="00E33760"/>
    <w:rsid w:val="00E337B6"/>
    <w:rsid w:val="00E33A5F"/>
    <w:rsid w:val="00E343EE"/>
    <w:rsid w:val="00E34711"/>
    <w:rsid w:val="00E34907"/>
    <w:rsid w:val="00E34D34"/>
    <w:rsid w:val="00E35054"/>
    <w:rsid w:val="00E35A6B"/>
    <w:rsid w:val="00E35AE6"/>
    <w:rsid w:val="00E35BD6"/>
    <w:rsid w:val="00E361D9"/>
    <w:rsid w:val="00E3642F"/>
    <w:rsid w:val="00E36AEE"/>
    <w:rsid w:val="00E36FFE"/>
    <w:rsid w:val="00E37293"/>
    <w:rsid w:val="00E3762B"/>
    <w:rsid w:val="00E3778F"/>
    <w:rsid w:val="00E3787C"/>
    <w:rsid w:val="00E37EEB"/>
    <w:rsid w:val="00E40334"/>
    <w:rsid w:val="00E4036F"/>
    <w:rsid w:val="00E404F9"/>
    <w:rsid w:val="00E40647"/>
    <w:rsid w:val="00E406BD"/>
    <w:rsid w:val="00E40B32"/>
    <w:rsid w:val="00E4128D"/>
    <w:rsid w:val="00E419E6"/>
    <w:rsid w:val="00E41DAA"/>
    <w:rsid w:val="00E4200F"/>
    <w:rsid w:val="00E42A12"/>
    <w:rsid w:val="00E43016"/>
    <w:rsid w:val="00E434D5"/>
    <w:rsid w:val="00E4386D"/>
    <w:rsid w:val="00E43A41"/>
    <w:rsid w:val="00E44430"/>
    <w:rsid w:val="00E444D2"/>
    <w:rsid w:val="00E44564"/>
    <w:rsid w:val="00E45637"/>
    <w:rsid w:val="00E45BCD"/>
    <w:rsid w:val="00E45C38"/>
    <w:rsid w:val="00E46019"/>
    <w:rsid w:val="00E461C9"/>
    <w:rsid w:val="00E46776"/>
    <w:rsid w:val="00E46A3E"/>
    <w:rsid w:val="00E46ADC"/>
    <w:rsid w:val="00E46B63"/>
    <w:rsid w:val="00E47295"/>
    <w:rsid w:val="00E4754B"/>
    <w:rsid w:val="00E4760F"/>
    <w:rsid w:val="00E47E62"/>
    <w:rsid w:val="00E50643"/>
    <w:rsid w:val="00E50657"/>
    <w:rsid w:val="00E5089C"/>
    <w:rsid w:val="00E50991"/>
    <w:rsid w:val="00E515E1"/>
    <w:rsid w:val="00E51C5B"/>
    <w:rsid w:val="00E51DFF"/>
    <w:rsid w:val="00E51E45"/>
    <w:rsid w:val="00E5250C"/>
    <w:rsid w:val="00E52842"/>
    <w:rsid w:val="00E52CAD"/>
    <w:rsid w:val="00E52F96"/>
    <w:rsid w:val="00E53225"/>
    <w:rsid w:val="00E544ED"/>
    <w:rsid w:val="00E544FE"/>
    <w:rsid w:val="00E546BA"/>
    <w:rsid w:val="00E55E7F"/>
    <w:rsid w:val="00E563B0"/>
    <w:rsid w:val="00E56BC9"/>
    <w:rsid w:val="00E56CEF"/>
    <w:rsid w:val="00E56D2E"/>
    <w:rsid w:val="00E5710E"/>
    <w:rsid w:val="00E576DA"/>
    <w:rsid w:val="00E57812"/>
    <w:rsid w:val="00E57883"/>
    <w:rsid w:val="00E601A5"/>
    <w:rsid w:val="00E60BC6"/>
    <w:rsid w:val="00E60FB0"/>
    <w:rsid w:val="00E610C4"/>
    <w:rsid w:val="00E620FF"/>
    <w:rsid w:val="00E62C38"/>
    <w:rsid w:val="00E63810"/>
    <w:rsid w:val="00E64B30"/>
    <w:rsid w:val="00E65429"/>
    <w:rsid w:val="00E65843"/>
    <w:rsid w:val="00E65982"/>
    <w:rsid w:val="00E65C1F"/>
    <w:rsid w:val="00E66062"/>
    <w:rsid w:val="00E66327"/>
    <w:rsid w:val="00E664C4"/>
    <w:rsid w:val="00E66937"/>
    <w:rsid w:val="00E66B9F"/>
    <w:rsid w:val="00E67370"/>
    <w:rsid w:val="00E67A99"/>
    <w:rsid w:val="00E67B24"/>
    <w:rsid w:val="00E705BF"/>
    <w:rsid w:val="00E7077B"/>
    <w:rsid w:val="00E70788"/>
    <w:rsid w:val="00E70A3F"/>
    <w:rsid w:val="00E70A57"/>
    <w:rsid w:val="00E711A5"/>
    <w:rsid w:val="00E71236"/>
    <w:rsid w:val="00E7146B"/>
    <w:rsid w:val="00E7151A"/>
    <w:rsid w:val="00E7156B"/>
    <w:rsid w:val="00E71C0A"/>
    <w:rsid w:val="00E71F13"/>
    <w:rsid w:val="00E723E6"/>
    <w:rsid w:val="00E723E9"/>
    <w:rsid w:val="00E7247A"/>
    <w:rsid w:val="00E72550"/>
    <w:rsid w:val="00E725B5"/>
    <w:rsid w:val="00E72977"/>
    <w:rsid w:val="00E72A83"/>
    <w:rsid w:val="00E72F9C"/>
    <w:rsid w:val="00E73652"/>
    <w:rsid w:val="00E73D49"/>
    <w:rsid w:val="00E73DB1"/>
    <w:rsid w:val="00E74346"/>
    <w:rsid w:val="00E74466"/>
    <w:rsid w:val="00E74710"/>
    <w:rsid w:val="00E74E45"/>
    <w:rsid w:val="00E74FC1"/>
    <w:rsid w:val="00E750E3"/>
    <w:rsid w:val="00E75231"/>
    <w:rsid w:val="00E754C5"/>
    <w:rsid w:val="00E75B10"/>
    <w:rsid w:val="00E75D40"/>
    <w:rsid w:val="00E75E4C"/>
    <w:rsid w:val="00E75E83"/>
    <w:rsid w:val="00E7663F"/>
    <w:rsid w:val="00E76E97"/>
    <w:rsid w:val="00E7713D"/>
    <w:rsid w:val="00E7719F"/>
    <w:rsid w:val="00E77987"/>
    <w:rsid w:val="00E779B1"/>
    <w:rsid w:val="00E8158E"/>
    <w:rsid w:val="00E821EF"/>
    <w:rsid w:val="00E8297A"/>
    <w:rsid w:val="00E82A72"/>
    <w:rsid w:val="00E82CA7"/>
    <w:rsid w:val="00E83D6A"/>
    <w:rsid w:val="00E8432D"/>
    <w:rsid w:val="00E84E3E"/>
    <w:rsid w:val="00E84E80"/>
    <w:rsid w:val="00E8528F"/>
    <w:rsid w:val="00E85500"/>
    <w:rsid w:val="00E8550E"/>
    <w:rsid w:val="00E85856"/>
    <w:rsid w:val="00E859AC"/>
    <w:rsid w:val="00E85C5E"/>
    <w:rsid w:val="00E85EB8"/>
    <w:rsid w:val="00E85FEA"/>
    <w:rsid w:val="00E86907"/>
    <w:rsid w:val="00E86E97"/>
    <w:rsid w:val="00E870C5"/>
    <w:rsid w:val="00E8720A"/>
    <w:rsid w:val="00E87308"/>
    <w:rsid w:val="00E874DE"/>
    <w:rsid w:val="00E87912"/>
    <w:rsid w:val="00E90B42"/>
    <w:rsid w:val="00E90E3C"/>
    <w:rsid w:val="00E90FD7"/>
    <w:rsid w:val="00E91680"/>
    <w:rsid w:val="00E91FEF"/>
    <w:rsid w:val="00E9253E"/>
    <w:rsid w:val="00E93214"/>
    <w:rsid w:val="00E9341F"/>
    <w:rsid w:val="00E93606"/>
    <w:rsid w:val="00E942CB"/>
    <w:rsid w:val="00E94443"/>
    <w:rsid w:val="00E950D3"/>
    <w:rsid w:val="00E95899"/>
    <w:rsid w:val="00E95CE4"/>
    <w:rsid w:val="00E95DB8"/>
    <w:rsid w:val="00E97FD1"/>
    <w:rsid w:val="00EA0A28"/>
    <w:rsid w:val="00EA0EF5"/>
    <w:rsid w:val="00EA10BC"/>
    <w:rsid w:val="00EA1800"/>
    <w:rsid w:val="00EA1D36"/>
    <w:rsid w:val="00EA1F2A"/>
    <w:rsid w:val="00EA2BC4"/>
    <w:rsid w:val="00EA2E85"/>
    <w:rsid w:val="00EA3FB6"/>
    <w:rsid w:val="00EA434E"/>
    <w:rsid w:val="00EA472C"/>
    <w:rsid w:val="00EA49D0"/>
    <w:rsid w:val="00EA4CBA"/>
    <w:rsid w:val="00EA4F9B"/>
    <w:rsid w:val="00EA54AC"/>
    <w:rsid w:val="00EA57D1"/>
    <w:rsid w:val="00EA5893"/>
    <w:rsid w:val="00EA5EDA"/>
    <w:rsid w:val="00EA651C"/>
    <w:rsid w:val="00EA67F1"/>
    <w:rsid w:val="00EA6A6E"/>
    <w:rsid w:val="00EA7A32"/>
    <w:rsid w:val="00EA7B10"/>
    <w:rsid w:val="00EA7C9C"/>
    <w:rsid w:val="00EB03C7"/>
    <w:rsid w:val="00EB059A"/>
    <w:rsid w:val="00EB1D3D"/>
    <w:rsid w:val="00EB24EF"/>
    <w:rsid w:val="00EB26E5"/>
    <w:rsid w:val="00EB2D35"/>
    <w:rsid w:val="00EB31DE"/>
    <w:rsid w:val="00EB38FA"/>
    <w:rsid w:val="00EB46BA"/>
    <w:rsid w:val="00EB4D88"/>
    <w:rsid w:val="00EB5262"/>
    <w:rsid w:val="00EB54DA"/>
    <w:rsid w:val="00EB5AB4"/>
    <w:rsid w:val="00EB5CF4"/>
    <w:rsid w:val="00EB63C8"/>
    <w:rsid w:val="00EB6503"/>
    <w:rsid w:val="00EB6652"/>
    <w:rsid w:val="00EB6D7A"/>
    <w:rsid w:val="00EB6F39"/>
    <w:rsid w:val="00EB7418"/>
    <w:rsid w:val="00EB7699"/>
    <w:rsid w:val="00EB7836"/>
    <w:rsid w:val="00EB7CF1"/>
    <w:rsid w:val="00EB7D99"/>
    <w:rsid w:val="00EC0165"/>
    <w:rsid w:val="00EC0A09"/>
    <w:rsid w:val="00EC0D7E"/>
    <w:rsid w:val="00EC0FCA"/>
    <w:rsid w:val="00EC1504"/>
    <w:rsid w:val="00EC15B7"/>
    <w:rsid w:val="00EC1A20"/>
    <w:rsid w:val="00EC27BC"/>
    <w:rsid w:val="00EC28D5"/>
    <w:rsid w:val="00EC29E9"/>
    <w:rsid w:val="00EC2A79"/>
    <w:rsid w:val="00EC2B25"/>
    <w:rsid w:val="00EC3E89"/>
    <w:rsid w:val="00EC433C"/>
    <w:rsid w:val="00EC433F"/>
    <w:rsid w:val="00EC4ED1"/>
    <w:rsid w:val="00EC508F"/>
    <w:rsid w:val="00EC51DC"/>
    <w:rsid w:val="00EC523D"/>
    <w:rsid w:val="00EC55AD"/>
    <w:rsid w:val="00EC5BAD"/>
    <w:rsid w:val="00EC5F63"/>
    <w:rsid w:val="00EC62E8"/>
    <w:rsid w:val="00EC63B1"/>
    <w:rsid w:val="00EC6818"/>
    <w:rsid w:val="00EC6C30"/>
    <w:rsid w:val="00EC7474"/>
    <w:rsid w:val="00EC76F5"/>
    <w:rsid w:val="00EC7C8E"/>
    <w:rsid w:val="00ED02A0"/>
    <w:rsid w:val="00ED0EA4"/>
    <w:rsid w:val="00ED161A"/>
    <w:rsid w:val="00ED19AD"/>
    <w:rsid w:val="00ED1A3B"/>
    <w:rsid w:val="00ED21F1"/>
    <w:rsid w:val="00ED2C6D"/>
    <w:rsid w:val="00ED2E08"/>
    <w:rsid w:val="00ED35E1"/>
    <w:rsid w:val="00ED4504"/>
    <w:rsid w:val="00ED457E"/>
    <w:rsid w:val="00ED5019"/>
    <w:rsid w:val="00ED53D0"/>
    <w:rsid w:val="00ED5775"/>
    <w:rsid w:val="00ED577E"/>
    <w:rsid w:val="00ED7000"/>
    <w:rsid w:val="00ED7185"/>
    <w:rsid w:val="00ED71A9"/>
    <w:rsid w:val="00ED75E3"/>
    <w:rsid w:val="00EE01EF"/>
    <w:rsid w:val="00EE04A3"/>
    <w:rsid w:val="00EE0884"/>
    <w:rsid w:val="00EE0A89"/>
    <w:rsid w:val="00EE103F"/>
    <w:rsid w:val="00EE127E"/>
    <w:rsid w:val="00EE138D"/>
    <w:rsid w:val="00EE142C"/>
    <w:rsid w:val="00EE14FD"/>
    <w:rsid w:val="00EE1A2B"/>
    <w:rsid w:val="00EE1C2E"/>
    <w:rsid w:val="00EE2298"/>
    <w:rsid w:val="00EE2747"/>
    <w:rsid w:val="00EE28E0"/>
    <w:rsid w:val="00EE291E"/>
    <w:rsid w:val="00EE2A68"/>
    <w:rsid w:val="00EE3769"/>
    <w:rsid w:val="00EE3D74"/>
    <w:rsid w:val="00EE4917"/>
    <w:rsid w:val="00EE4AD5"/>
    <w:rsid w:val="00EE4B1B"/>
    <w:rsid w:val="00EE50C2"/>
    <w:rsid w:val="00EE5295"/>
    <w:rsid w:val="00EE52F2"/>
    <w:rsid w:val="00EE55FA"/>
    <w:rsid w:val="00EE5732"/>
    <w:rsid w:val="00EE57EB"/>
    <w:rsid w:val="00EE5F75"/>
    <w:rsid w:val="00EE621C"/>
    <w:rsid w:val="00EE6B84"/>
    <w:rsid w:val="00EE7139"/>
    <w:rsid w:val="00EE72D3"/>
    <w:rsid w:val="00EF06D5"/>
    <w:rsid w:val="00EF08B3"/>
    <w:rsid w:val="00EF0E26"/>
    <w:rsid w:val="00EF0E93"/>
    <w:rsid w:val="00EF1870"/>
    <w:rsid w:val="00EF18DB"/>
    <w:rsid w:val="00EF1C12"/>
    <w:rsid w:val="00EF1D01"/>
    <w:rsid w:val="00EF20B8"/>
    <w:rsid w:val="00EF32EA"/>
    <w:rsid w:val="00EF364D"/>
    <w:rsid w:val="00EF3C32"/>
    <w:rsid w:val="00EF44B1"/>
    <w:rsid w:val="00EF4BBE"/>
    <w:rsid w:val="00EF4C94"/>
    <w:rsid w:val="00EF50F2"/>
    <w:rsid w:val="00EF51A8"/>
    <w:rsid w:val="00EF51CF"/>
    <w:rsid w:val="00EF55CC"/>
    <w:rsid w:val="00EF5B40"/>
    <w:rsid w:val="00EF5C44"/>
    <w:rsid w:val="00EF6A4B"/>
    <w:rsid w:val="00EF6C4A"/>
    <w:rsid w:val="00EF6E80"/>
    <w:rsid w:val="00EF741E"/>
    <w:rsid w:val="00EF7537"/>
    <w:rsid w:val="00EF7A49"/>
    <w:rsid w:val="00EF7D00"/>
    <w:rsid w:val="00F0061D"/>
    <w:rsid w:val="00F0084D"/>
    <w:rsid w:val="00F0098B"/>
    <w:rsid w:val="00F00B74"/>
    <w:rsid w:val="00F01031"/>
    <w:rsid w:val="00F02074"/>
    <w:rsid w:val="00F02969"/>
    <w:rsid w:val="00F02D02"/>
    <w:rsid w:val="00F03B11"/>
    <w:rsid w:val="00F03D35"/>
    <w:rsid w:val="00F04276"/>
    <w:rsid w:val="00F042CD"/>
    <w:rsid w:val="00F042DD"/>
    <w:rsid w:val="00F04C0B"/>
    <w:rsid w:val="00F04F2B"/>
    <w:rsid w:val="00F05076"/>
    <w:rsid w:val="00F05363"/>
    <w:rsid w:val="00F0568C"/>
    <w:rsid w:val="00F05C06"/>
    <w:rsid w:val="00F05FF4"/>
    <w:rsid w:val="00F0625F"/>
    <w:rsid w:val="00F06E49"/>
    <w:rsid w:val="00F074FE"/>
    <w:rsid w:val="00F07554"/>
    <w:rsid w:val="00F1028D"/>
    <w:rsid w:val="00F10F4A"/>
    <w:rsid w:val="00F10FB6"/>
    <w:rsid w:val="00F11873"/>
    <w:rsid w:val="00F12672"/>
    <w:rsid w:val="00F12CD3"/>
    <w:rsid w:val="00F12D82"/>
    <w:rsid w:val="00F13357"/>
    <w:rsid w:val="00F1343A"/>
    <w:rsid w:val="00F14459"/>
    <w:rsid w:val="00F14677"/>
    <w:rsid w:val="00F148F3"/>
    <w:rsid w:val="00F148FE"/>
    <w:rsid w:val="00F1495A"/>
    <w:rsid w:val="00F14A9B"/>
    <w:rsid w:val="00F14D0E"/>
    <w:rsid w:val="00F154DF"/>
    <w:rsid w:val="00F15C60"/>
    <w:rsid w:val="00F1620E"/>
    <w:rsid w:val="00F167DD"/>
    <w:rsid w:val="00F16884"/>
    <w:rsid w:val="00F1688F"/>
    <w:rsid w:val="00F16B5C"/>
    <w:rsid w:val="00F16D90"/>
    <w:rsid w:val="00F16F1F"/>
    <w:rsid w:val="00F1706D"/>
    <w:rsid w:val="00F177AE"/>
    <w:rsid w:val="00F17B9C"/>
    <w:rsid w:val="00F2046E"/>
    <w:rsid w:val="00F20AFC"/>
    <w:rsid w:val="00F2103D"/>
    <w:rsid w:val="00F21D27"/>
    <w:rsid w:val="00F21D30"/>
    <w:rsid w:val="00F22B38"/>
    <w:rsid w:val="00F22B91"/>
    <w:rsid w:val="00F22DEC"/>
    <w:rsid w:val="00F22EA6"/>
    <w:rsid w:val="00F239A2"/>
    <w:rsid w:val="00F247F2"/>
    <w:rsid w:val="00F24A17"/>
    <w:rsid w:val="00F24A4D"/>
    <w:rsid w:val="00F24D37"/>
    <w:rsid w:val="00F24D9C"/>
    <w:rsid w:val="00F2540D"/>
    <w:rsid w:val="00F25848"/>
    <w:rsid w:val="00F259D0"/>
    <w:rsid w:val="00F25A17"/>
    <w:rsid w:val="00F260F9"/>
    <w:rsid w:val="00F26416"/>
    <w:rsid w:val="00F26E22"/>
    <w:rsid w:val="00F2707B"/>
    <w:rsid w:val="00F271D2"/>
    <w:rsid w:val="00F274B0"/>
    <w:rsid w:val="00F27C24"/>
    <w:rsid w:val="00F27C45"/>
    <w:rsid w:val="00F301B1"/>
    <w:rsid w:val="00F304C7"/>
    <w:rsid w:val="00F30743"/>
    <w:rsid w:val="00F30BE2"/>
    <w:rsid w:val="00F30F3A"/>
    <w:rsid w:val="00F319A6"/>
    <w:rsid w:val="00F31E17"/>
    <w:rsid w:val="00F31ECE"/>
    <w:rsid w:val="00F320F9"/>
    <w:rsid w:val="00F3210B"/>
    <w:rsid w:val="00F3237E"/>
    <w:rsid w:val="00F32548"/>
    <w:rsid w:val="00F32BE7"/>
    <w:rsid w:val="00F32DD7"/>
    <w:rsid w:val="00F331BF"/>
    <w:rsid w:val="00F33ADD"/>
    <w:rsid w:val="00F33B7C"/>
    <w:rsid w:val="00F33BCA"/>
    <w:rsid w:val="00F348CA"/>
    <w:rsid w:val="00F3592D"/>
    <w:rsid w:val="00F35B47"/>
    <w:rsid w:val="00F35CD0"/>
    <w:rsid w:val="00F36166"/>
    <w:rsid w:val="00F363BF"/>
    <w:rsid w:val="00F3680C"/>
    <w:rsid w:val="00F36F3F"/>
    <w:rsid w:val="00F37331"/>
    <w:rsid w:val="00F377DD"/>
    <w:rsid w:val="00F37871"/>
    <w:rsid w:val="00F4022E"/>
    <w:rsid w:val="00F4029E"/>
    <w:rsid w:val="00F4037E"/>
    <w:rsid w:val="00F407B4"/>
    <w:rsid w:val="00F4090C"/>
    <w:rsid w:val="00F40D15"/>
    <w:rsid w:val="00F40D50"/>
    <w:rsid w:val="00F40F01"/>
    <w:rsid w:val="00F4113F"/>
    <w:rsid w:val="00F41824"/>
    <w:rsid w:val="00F41A0A"/>
    <w:rsid w:val="00F41FCE"/>
    <w:rsid w:val="00F4221D"/>
    <w:rsid w:val="00F422A4"/>
    <w:rsid w:val="00F4249D"/>
    <w:rsid w:val="00F42540"/>
    <w:rsid w:val="00F42E52"/>
    <w:rsid w:val="00F43521"/>
    <w:rsid w:val="00F43D34"/>
    <w:rsid w:val="00F43F0C"/>
    <w:rsid w:val="00F4449C"/>
    <w:rsid w:val="00F4459C"/>
    <w:rsid w:val="00F4485C"/>
    <w:rsid w:val="00F44BDA"/>
    <w:rsid w:val="00F44D45"/>
    <w:rsid w:val="00F4514B"/>
    <w:rsid w:val="00F458ED"/>
    <w:rsid w:val="00F46B16"/>
    <w:rsid w:val="00F46C54"/>
    <w:rsid w:val="00F46CA4"/>
    <w:rsid w:val="00F47AE6"/>
    <w:rsid w:val="00F47B67"/>
    <w:rsid w:val="00F47E05"/>
    <w:rsid w:val="00F501C6"/>
    <w:rsid w:val="00F50C41"/>
    <w:rsid w:val="00F50D6C"/>
    <w:rsid w:val="00F50E4E"/>
    <w:rsid w:val="00F51C38"/>
    <w:rsid w:val="00F5203D"/>
    <w:rsid w:val="00F52897"/>
    <w:rsid w:val="00F52B75"/>
    <w:rsid w:val="00F52FD6"/>
    <w:rsid w:val="00F5320E"/>
    <w:rsid w:val="00F53542"/>
    <w:rsid w:val="00F53BBC"/>
    <w:rsid w:val="00F54260"/>
    <w:rsid w:val="00F544B9"/>
    <w:rsid w:val="00F54F7C"/>
    <w:rsid w:val="00F54FF5"/>
    <w:rsid w:val="00F55A2D"/>
    <w:rsid w:val="00F55A2E"/>
    <w:rsid w:val="00F55A57"/>
    <w:rsid w:val="00F55B04"/>
    <w:rsid w:val="00F55CF8"/>
    <w:rsid w:val="00F56903"/>
    <w:rsid w:val="00F56A53"/>
    <w:rsid w:val="00F56E99"/>
    <w:rsid w:val="00F57486"/>
    <w:rsid w:val="00F5748F"/>
    <w:rsid w:val="00F5763D"/>
    <w:rsid w:val="00F57A76"/>
    <w:rsid w:val="00F60652"/>
    <w:rsid w:val="00F60A0C"/>
    <w:rsid w:val="00F60C2F"/>
    <w:rsid w:val="00F60E24"/>
    <w:rsid w:val="00F61EFA"/>
    <w:rsid w:val="00F633F2"/>
    <w:rsid w:val="00F63768"/>
    <w:rsid w:val="00F63BC4"/>
    <w:rsid w:val="00F646A3"/>
    <w:rsid w:val="00F652A4"/>
    <w:rsid w:val="00F6545D"/>
    <w:rsid w:val="00F657F9"/>
    <w:rsid w:val="00F65C91"/>
    <w:rsid w:val="00F66135"/>
    <w:rsid w:val="00F6641A"/>
    <w:rsid w:val="00F664A6"/>
    <w:rsid w:val="00F666B2"/>
    <w:rsid w:val="00F66B84"/>
    <w:rsid w:val="00F66F4D"/>
    <w:rsid w:val="00F67454"/>
    <w:rsid w:val="00F675FE"/>
    <w:rsid w:val="00F67A37"/>
    <w:rsid w:val="00F700D1"/>
    <w:rsid w:val="00F70460"/>
    <w:rsid w:val="00F70A51"/>
    <w:rsid w:val="00F70C18"/>
    <w:rsid w:val="00F70CBD"/>
    <w:rsid w:val="00F70DEB"/>
    <w:rsid w:val="00F7114B"/>
    <w:rsid w:val="00F713EA"/>
    <w:rsid w:val="00F719D2"/>
    <w:rsid w:val="00F71FA1"/>
    <w:rsid w:val="00F72211"/>
    <w:rsid w:val="00F72281"/>
    <w:rsid w:val="00F7231A"/>
    <w:rsid w:val="00F7296A"/>
    <w:rsid w:val="00F73F52"/>
    <w:rsid w:val="00F7435F"/>
    <w:rsid w:val="00F75036"/>
    <w:rsid w:val="00F75655"/>
    <w:rsid w:val="00F75680"/>
    <w:rsid w:val="00F76B92"/>
    <w:rsid w:val="00F76E9E"/>
    <w:rsid w:val="00F77172"/>
    <w:rsid w:val="00F77390"/>
    <w:rsid w:val="00F77900"/>
    <w:rsid w:val="00F7792C"/>
    <w:rsid w:val="00F779CA"/>
    <w:rsid w:val="00F802FC"/>
    <w:rsid w:val="00F8041B"/>
    <w:rsid w:val="00F8055B"/>
    <w:rsid w:val="00F8067E"/>
    <w:rsid w:val="00F80809"/>
    <w:rsid w:val="00F8094D"/>
    <w:rsid w:val="00F80A74"/>
    <w:rsid w:val="00F8159E"/>
    <w:rsid w:val="00F824EE"/>
    <w:rsid w:val="00F82A51"/>
    <w:rsid w:val="00F82AE6"/>
    <w:rsid w:val="00F82CAE"/>
    <w:rsid w:val="00F82DF6"/>
    <w:rsid w:val="00F83ABD"/>
    <w:rsid w:val="00F83ACF"/>
    <w:rsid w:val="00F83BE9"/>
    <w:rsid w:val="00F83DF6"/>
    <w:rsid w:val="00F8473B"/>
    <w:rsid w:val="00F847C3"/>
    <w:rsid w:val="00F848CB"/>
    <w:rsid w:val="00F84A52"/>
    <w:rsid w:val="00F84A6A"/>
    <w:rsid w:val="00F84C17"/>
    <w:rsid w:val="00F8599E"/>
    <w:rsid w:val="00F859F4"/>
    <w:rsid w:val="00F85A7B"/>
    <w:rsid w:val="00F8636C"/>
    <w:rsid w:val="00F86381"/>
    <w:rsid w:val="00F86666"/>
    <w:rsid w:val="00F8677C"/>
    <w:rsid w:val="00F86AFF"/>
    <w:rsid w:val="00F86C7C"/>
    <w:rsid w:val="00F86D7D"/>
    <w:rsid w:val="00F87543"/>
    <w:rsid w:val="00F87675"/>
    <w:rsid w:val="00F877BA"/>
    <w:rsid w:val="00F87831"/>
    <w:rsid w:val="00F8787D"/>
    <w:rsid w:val="00F87A3A"/>
    <w:rsid w:val="00F87FD4"/>
    <w:rsid w:val="00F90550"/>
    <w:rsid w:val="00F90664"/>
    <w:rsid w:val="00F9098E"/>
    <w:rsid w:val="00F91208"/>
    <w:rsid w:val="00F9228A"/>
    <w:rsid w:val="00F9245B"/>
    <w:rsid w:val="00F92E10"/>
    <w:rsid w:val="00F92F98"/>
    <w:rsid w:val="00F93332"/>
    <w:rsid w:val="00F93DBC"/>
    <w:rsid w:val="00F94605"/>
    <w:rsid w:val="00F94D7C"/>
    <w:rsid w:val="00F94E93"/>
    <w:rsid w:val="00F94FDF"/>
    <w:rsid w:val="00F95A2B"/>
    <w:rsid w:val="00F95B8A"/>
    <w:rsid w:val="00F9659F"/>
    <w:rsid w:val="00F96885"/>
    <w:rsid w:val="00F968EA"/>
    <w:rsid w:val="00F975F3"/>
    <w:rsid w:val="00F97C6F"/>
    <w:rsid w:val="00FA09D7"/>
    <w:rsid w:val="00FA0A8A"/>
    <w:rsid w:val="00FA2452"/>
    <w:rsid w:val="00FA27BA"/>
    <w:rsid w:val="00FA32FE"/>
    <w:rsid w:val="00FA356C"/>
    <w:rsid w:val="00FA3641"/>
    <w:rsid w:val="00FA43BC"/>
    <w:rsid w:val="00FA45A7"/>
    <w:rsid w:val="00FA4AFD"/>
    <w:rsid w:val="00FA5B12"/>
    <w:rsid w:val="00FA5D3E"/>
    <w:rsid w:val="00FA5E7C"/>
    <w:rsid w:val="00FA6474"/>
    <w:rsid w:val="00FA68D1"/>
    <w:rsid w:val="00FA6C83"/>
    <w:rsid w:val="00FA72C4"/>
    <w:rsid w:val="00FA77BF"/>
    <w:rsid w:val="00FA7A20"/>
    <w:rsid w:val="00FA7E74"/>
    <w:rsid w:val="00FB0265"/>
    <w:rsid w:val="00FB0B88"/>
    <w:rsid w:val="00FB0E1C"/>
    <w:rsid w:val="00FB10D4"/>
    <w:rsid w:val="00FB1771"/>
    <w:rsid w:val="00FB1CAD"/>
    <w:rsid w:val="00FB1E9A"/>
    <w:rsid w:val="00FB2435"/>
    <w:rsid w:val="00FB2859"/>
    <w:rsid w:val="00FB2D61"/>
    <w:rsid w:val="00FB34E5"/>
    <w:rsid w:val="00FB47DE"/>
    <w:rsid w:val="00FB4ADE"/>
    <w:rsid w:val="00FB4BC7"/>
    <w:rsid w:val="00FB50C6"/>
    <w:rsid w:val="00FB60A6"/>
    <w:rsid w:val="00FC0337"/>
    <w:rsid w:val="00FC0397"/>
    <w:rsid w:val="00FC0C43"/>
    <w:rsid w:val="00FC0D2F"/>
    <w:rsid w:val="00FC0EBE"/>
    <w:rsid w:val="00FC0FAF"/>
    <w:rsid w:val="00FC1212"/>
    <w:rsid w:val="00FC1752"/>
    <w:rsid w:val="00FC17DD"/>
    <w:rsid w:val="00FC18B3"/>
    <w:rsid w:val="00FC1CFF"/>
    <w:rsid w:val="00FC228E"/>
    <w:rsid w:val="00FC290F"/>
    <w:rsid w:val="00FC31FC"/>
    <w:rsid w:val="00FC3500"/>
    <w:rsid w:val="00FC3530"/>
    <w:rsid w:val="00FC368D"/>
    <w:rsid w:val="00FC36B2"/>
    <w:rsid w:val="00FC371E"/>
    <w:rsid w:val="00FC3D14"/>
    <w:rsid w:val="00FC3D18"/>
    <w:rsid w:val="00FC44E5"/>
    <w:rsid w:val="00FC44F4"/>
    <w:rsid w:val="00FC4AF3"/>
    <w:rsid w:val="00FC4D9C"/>
    <w:rsid w:val="00FC5229"/>
    <w:rsid w:val="00FC61D8"/>
    <w:rsid w:val="00FC68BF"/>
    <w:rsid w:val="00FC7E13"/>
    <w:rsid w:val="00FD0979"/>
    <w:rsid w:val="00FD0B6D"/>
    <w:rsid w:val="00FD0D3B"/>
    <w:rsid w:val="00FD10F0"/>
    <w:rsid w:val="00FD161E"/>
    <w:rsid w:val="00FD1D18"/>
    <w:rsid w:val="00FD239E"/>
    <w:rsid w:val="00FD2B91"/>
    <w:rsid w:val="00FD2FED"/>
    <w:rsid w:val="00FD4478"/>
    <w:rsid w:val="00FD4894"/>
    <w:rsid w:val="00FD4AA0"/>
    <w:rsid w:val="00FD4F1B"/>
    <w:rsid w:val="00FD541B"/>
    <w:rsid w:val="00FD5652"/>
    <w:rsid w:val="00FD56E6"/>
    <w:rsid w:val="00FD59F2"/>
    <w:rsid w:val="00FD65D9"/>
    <w:rsid w:val="00FD66F7"/>
    <w:rsid w:val="00FD682F"/>
    <w:rsid w:val="00FD6C5C"/>
    <w:rsid w:val="00FD716C"/>
    <w:rsid w:val="00FD75CC"/>
    <w:rsid w:val="00FD7AE9"/>
    <w:rsid w:val="00FE02D8"/>
    <w:rsid w:val="00FE145A"/>
    <w:rsid w:val="00FE16B7"/>
    <w:rsid w:val="00FE1C41"/>
    <w:rsid w:val="00FE1EEA"/>
    <w:rsid w:val="00FE2237"/>
    <w:rsid w:val="00FE2418"/>
    <w:rsid w:val="00FE2429"/>
    <w:rsid w:val="00FE2462"/>
    <w:rsid w:val="00FE27E3"/>
    <w:rsid w:val="00FE304B"/>
    <w:rsid w:val="00FE32D7"/>
    <w:rsid w:val="00FE3721"/>
    <w:rsid w:val="00FE37FA"/>
    <w:rsid w:val="00FE3AAA"/>
    <w:rsid w:val="00FE4473"/>
    <w:rsid w:val="00FE46E3"/>
    <w:rsid w:val="00FE4AA1"/>
    <w:rsid w:val="00FE528C"/>
    <w:rsid w:val="00FE5550"/>
    <w:rsid w:val="00FE57F5"/>
    <w:rsid w:val="00FE599E"/>
    <w:rsid w:val="00FE7570"/>
    <w:rsid w:val="00FE777A"/>
    <w:rsid w:val="00FF00BB"/>
    <w:rsid w:val="00FF024F"/>
    <w:rsid w:val="00FF12F5"/>
    <w:rsid w:val="00FF17BF"/>
    <w:rsid w:val="00FF193A"/>
    <w:rsid w:val="00FF1F1E"/>
    <w:rsid w:val="00FF22FB"/>
    <w:rsid w:val="00FF28BF"/>
    <w:rsid w:val="00FF2A0B"/>
    <w:rsid w:val="00FF2D24"/>
    <w:rsid w:val="00FF2EB2"/>
    <w:rsid w:val="00FF36FC"/>
    <w:rsid w:val="00FF3A63"/>
    <w:rsid w:val="00FF4028"/>
    <w:rsid w:val="00FF547C"/>
    <w:rsid w:val="00FF665C"/>
    <w:rsid w:val="00FF6B73"/>
    <w:rsid w:val="00FF6C37"/>
    <w:rsid w:val="00FF6D40"/>
    <w:rsid w:val="00FF72EC"/>
    <w:rsid w:val="00FF7823"/>
    <w:rsid w:val="00FF7EF8"/>
    <w:rsid w:val="01646E89"/>
    <w:rsid w:val="01D86DDF"/>
    <w:rsid w:val="021E53C6"/>
    <w:rsid w:val="02F050A0"/>
    <w:rsid w:val="02F649A7"/>
    <w:rsid w:val="02FE6214"/>
    <w:rsid w:val="034E5101"/>
    <w:rsid w:val="04304A25"/>
    <w:rsid w:val="045B02E2"/>
    <w:rsid w:val="045F5492"/>
    <w:rsid w:val="046119BE"/>
    <w:rsid w:val="0496717D"/>
    <w:rsid w:val="04B151DA"/>
    <w:rsid w:val="04E969F8"/>
    <w:rsid w:val="05535EB4"/>
    <w:rsid w:val="056420FB"/>
    <w:rsid w:val="05F10FF2"/>
    <w:rsid w:val="060A7505"/>
    <w:rsid w:val="0677721E"/>
    <w:rsid w:val="06A4181F"/>
    <w:rsid w:val="06BC58E5"/>
    <w:rsid w:val="07091D75"/>
    <w:rsid w:val="078B276F"/>
    <w:rsid w:val="07A55D55"/>
    <w:rsid w:val="07D43251"/>
    <w:rsid w:val="07D5271E"/>
    <w:rsid w:val="080B0DEB"/>
    <w:rsid w:val="085A4CB7"/>
    <w:rsid w:val="08C31875"/>
    <w:rsid w:val="08F43FAA"/>
    <w:rsid w:val="09095E2C"/>
    <w:rsid w:val="09CA163A"/>
    <w:rsid w:val="09DC3B18"/>
    <w:rsid w:val="0A366EC0"/>
    <w:rsid w:val="0AF55BCD"/>
    <w:rsid w:val="0B4D16BD"/>
    <w:rsid w:val="0C4B3BFD"/>
    <w:rsid w:val="0C7B7234"/>
    <w:rsid w:val="0C9A091F"/>
    <w:rsid w:val="0CA91ECA"/>
    <w:rsid w:val="0CE53B39"/>
    <w:rsid w:val="0D3B48BC"/>
    <w:rsid w:val="0D43526B"/>
    <w:rsid w:val="0EA576FB"/>
    <w:rsid w:val="0FB85909"/>
    <w:rsid w:val="104C6C51"/>
    <w:rsid w:val="10956BD1"/>
    <w:rsid w:val="10F45D16"/>
    <w:rsid w:val="11440637"/>
    <w:rsid w:val="11EB450C"/>
    <w:rsid w:val="11F517FE"/>
    <w:rsid w:val="121C0D71"/>
    <w:rsid w:val="125B2D22"/>
    <w:rsid w:val="134A7D3F"/>
    <w:rsid w:val="13CF628F"/>
    <w:rsid w:val="14540175"/>
    <w:rsid w:val="145C422A"/>
    <w:rsid w:val="14825F58"/>
    <w:rsid w:val="14EE366E"/>
    <w:rsid w:val="15274088"/>
    <w:rsid w:val="156813EF"/>
    <w:rsid w:val="15925F8F"/>
    <w:rsid w:val="15986C90"/>
    <w:rsid w:val="162309F7"/>
    <w:rsid w:val="16424C12"/>
    <w:rsid w:val="165276D8"/>
    <w:rsid w:val="16715DB0"/>
    <w:rsid w:val="16C71469"/>
    <w:rsid w:val="175042AD"/>
    <w:rsid w:val="17632709"/>
    <w:rsid w:val="181F1000"/>
    <w:rsid w:val="18482C69"/>
    <w:rsid w:val="18A67014"/>
    <w:rsid w:val="18DA2A4D"/>
    <w:rsid w:val="198C19F9"/>
    <w:rsid w:val="1A2B43DE"/>
    <w:rsid w:val="1A9C29B5"/>
    <w:rsid w:val="1B3E39FD"/>
    <w:rsid w:val="1B891B18"/>
    <w:rsid w:val="1BB2553B"/>
    <w:rsid w:val="1BFF1EE2"/>
    <w:rsid w:val="1C8D5259"/>
    <w:rsid w:val="1CC64075"/>
    <w:rsid w:val="1CEE62E3"/>
    <w:rsid w:val="1CF9545E"/>
    <w:rsid w:val="1D576658"/>
    <w:rsid w:val="1D8B5B16"/>
    <w:rsid w:val="1DA525CB"/>
    <w:rsid w:val="1DD8791A"/>
    <w:rsid w:val="1E0F5A91"/>
    <w:rsid w:val="1E2412CE"/>
    <w:rsid w:val="1F082DEE"/>
    <w:rsid w:val="1F283896"/>
    <w:rsid w:val="20610B06"/>
    <w:rsid w:val="206528CB"/>
    <w:rsid w:val="21076FA7"/>
    <w:rsid w:val="215E123D"/>
    <w:rsid w:val="217B0580"/>
    <w:rsid w:val="22010F6F"/>
    <w:rsid w:val="22570BB6"/>
    <w:rsid w:val="22763CB0"/>
    <w:rsid w:val="22E62557"/>
    <w:rsid w:val="236E104A"/>
    <w:rsid w:val="238B770E"/>
    <w:rsid w:val="23EF0915"/>
    <w:rsid w:val="23F058F5"/>
    <w:rsid w:val="24104072"/>
    <w:rsid w:val="245A64A2"/>
    <w:rsid w:val="248660ED"/>
    <w:rsid w:val="250A6BC2"/>
    <w:rsid w:val="250E2C21"/>
    <w:rsid w:val="254D052E"/>
    <w:rsid w:val="25DC098E"/>
    <w:rsid w:val="26023A0C"/>
    <w:rsid w:val="268534A3"/>
    <w:rsid w:val="26E55D3F"/>
    <w:rsid w:val="272D624B"/>
    <w:rsid w:val="27400945"/>
    <w:rsid w:val="27526C4A"/>
    <w:rsid w:val="275D3323"/>
    <w:rsid w:val="288D2754"/>
    <w:rsid w:val="289D3D40"/>
    <w:rsid w:val="29BC11C6"/>
    <w:rsid w:val="2A1235B3"/>
    <w:rsid w:val="2A20227A"/>
    <w:rsid w:val="2AFD5ECB"/>
    <w:rsid w:val="2B0E46F6"/>
    <w:rsid w:val="2B2C2086"/>
    <w:rsid w:val="2B770F44"/>
    <w:rsid w:val="2D575242"/>
    <w:rsid w:val="2D7C0EB1"/>
    <w:rsid w:val="2DE269F9"/>
    <w:rsid w:val="2E4042A2"/>
    <w:rsid w:val="2E582AFD"/>
    <w:rsid w:val="31016CBA"/>
    <w:rsid w:val="31633D23"/>
    <w:rsid w:val="3163445D"/>
    <w:rsid w:val="31D37123"/>
    <w:rsid w:val="321B7D98"/>
    <w:rsid w:val="3244555D"/>
    <w:rsid w:val="3249716B"/>
    <w:rsid w:val="32B56802"/>
    <w:rsid w:val="333762E9"/>
    <w:rsid w:val="33891134"/>
    <w:rsid w:val="33EE6027"/>
    <w:rsid w:val="342C1DC5"/>
    <w:rsid w:val="35051949"/>
    <w:rsid w:val="35FC48CB"/>
    <w:rsid w:val="362A4C38"/>
    <w:rsid w:val="3657312C"/>
    <w:rsid w:val="36B13C49"/>
    <w:rsid w:val="371445CA"/>
    <w:rsid w:val="375225B5"/>
    <w:rsid w:val="379759BA"/>
    <w:rsid w:val="37CB364D"/>
    <w:rsid w:val="381E4219"/>
    <w:rsid w:val="38542DAD"/>
    <w:rsid w:val="386F3902"/>
    <w:rsid w:val="38F30156"/>
    <w:rsid w:val="392E62D5"/>
    <w:rsid w:val="394744BB"/>
    <w:rsid w:val="39BF3787"/>
    <w:rsid w:val="3A0D5641"/>
    <w:rsid w:val="3AB7312D"/>
    <w:rsid w:val="3AE970EB"/>
    <w:rsid w:val="3B872D29"/>
    <w:rsid w:val="3C352AFB"/>
    <w:rsid w:val="3CE63FF6"/>
    <w:rsid w:val="3CE77152"/>
    <w:rsid w:val="3D056A03"/>
    <w:rsid w:val="3D29798B"/>
    <w:rsid w:val="3D9B1816"/>
    <w:rsid w:val="3E0647F3"/>
    <w:rsid w:val="3E1C7AD5"/>
    <w:rsid w:val="3EF72EC9"/>
    <w:rsid w:val="3F685714"/>
    <w:rsid w:val="40917B5C"/>
    <w:rsid w:val="40E22151"/>
    <w:rsid w:val="41B77C47"/>
    <w:rsid w:val="41DE13C8"/>
    <w:rsid w:val="41E40FE0"/>
    <w:rsid w:val="43515AD6"/>
    <w:rsid w:val="437904AB"/>
    <w:rsid w:val="43AC0269"/>
    <w:rsid w:val="43CD5398"/>
    <w:rsid w:val="43EE20BF"/>
    <w:rsid w:val="446918EE"/>
    <w:rsid w:val="44713FA5"/>
    <w:rsid w:val="453A2285"/>
    <w:rsid w:val="45B37A9B"/>
    <w:rsid w:val="45CA6910"/>
    <w:rsid w:val="46527CEA"/>
    <w:rsid w:val="471265F2"/>
    <w:rsid w:val="477B383C"/>
    <w:rsid w:val="47970E5B"/>
    <w:rsid w:val="47E65646"/>
    <w:rsid w:val="482617EA"/>
    <w:rsid w:val="48ED44B2"/>
    <w:rsid w:val="49471428"/>
    <w:rsid w:val="49853CAB"/>
    <w:rsid w:val="49B24097"/>
    <w:rsid w:val="49BC28D4"/>
    <w:rsid w:val="49E919E4"/>
    <w:rsid w:val="4A3A490C"/>
    <w:rsid w:val="4AC5767E"/>
    <w:rsid w:val="4AC66FA7"/>
    <w:rsid w:val="4B484E2A"/>
    <w:rsid w:val="4B5E2E45"/>
    <w:rsid w:val="4B634CAC"/>
    <w:rsid w:val="4B6F665D"/>
    <w:rsid w:val="4B9D63A5"/>
    <w:rsid w:val="4BC470FA"/>
    <w:rsid w:val="4C2A08F8"/>
    <w:rsid w:val="4C383661"/>
    <w:rsid w:val="4C4E70A1"/>
    <w:rsid w:val="4C717A8E"/>
    <w:rsid w:val="4D081C4E"/>
    <w:rsid w:val="4D432FAB"/>
    <w:rsid w:val="4DAE3F2B"/>
    <w:rsid w:val="4DE76525"/>
    <w:rsid w:val="4E067A35"/>
    <w:rsid w:val="4E257A5F"/>
    <w:rsid w:val="4E9F7B11"/>
    <w:rsid w:val="4F021DC7"/>
    <w:rsid w:val="4F512648"/>
    <w:rsid w:val="4FBD7D5C"/>
    <w:rsid w:val="4FED5C43"/>
    <w:rsid w:val="504030E1"/>
    <w:rsid w:val="50FD3857"/>
    <w:rsid w:val="51910A0F"/>
    <w:rsid w:val="51EE2E21"/>
    <w:rsid w:val="5259640F"/>
    <w:rsid w:val="525E6C60"/>
    <w:rsid w:val="526828D5"/>
    <w:rsid w:val="541F5FCA"/>
    <w:rsid w:val="54837AA4"/>
    <w:rsid w:val="54BB2B4E"/>
    <w:rsid w:val="553E79D4"/>
    <w:rsid w:val="558E1079"/>
    <w:rsid w:val="55924F5D"/>
    <w:rsid w:val="55DD1170"/>
    <w:rsid w:val="55FD1102"/>
    <w:rsid w:val="567B40FE"/>
    <w:rsid w:val="56BB1CCB"/>
    <w:rsid w:val="572841C2"/>
    <w:rsid w:val="573043B3"/>
    <w:rsid w:val="57414C5D"/>
    <w:rsid w:val="57D51175"/>
    <w:rsid w:val="58BA2416"/>
    <w:rsid w:val="58DF5702"/>
    <w:rsid w:val="590B2530"/>
    <w:rsid w:val="591566D5"/>
    <w:rsid w:val="59560005"/>
    <w:rsid w:val="5963264B"/>
    <w:rsid w:val="597A043A"/>
    <w:rsid w:val="597C268D"/>
    <w:rsid w:val="597F015D"/>
    <w:rsid w:val="59842D5C"/>
    <w:rsid w:val="5A5C4F28"/>
    <w:rsid w:val="5A934FEE"/>
    <w:rsid w:val="5AAD28DB"/>
    <w:rsid w:val="5AC84D1D"/>
    <w:rsid w:val="5ACB026D"/>
    <w:rsid w:val="5AEF2224"/>
    <w:rsid w:val="5B16187F"/>
    <w:rsid w:val="5B7951E4"/>
    <w:rsid w:val="5B7E57D9"/>
    <w:rsid w:val="5BCC1F66"/>
    <w:rsid w:val="5C9F4F0E"/>
    <w:rsid w:val="5CA62849"/>
    <w:rsid w:val="5CBD396F"/>
    <w:rsid w:val="5D8646FB"/>
    <w:rsid w:val="5DB572B6"/>
    <w:rsid w:val="5DBB6AAB"/>
    <w:rsid w:val="5E1F471F"/>
    <w:rsid w:val="5E5B7C85"/>
    <w:rsid w:val="5EA258F2"/>
    <w:rsid w:val="5EF52EEF"/>
    <w:rsid w:val="5F027872"/>
    <w:rsid w:val="5F1F564E"/>
    <w:rsid w:val="5F204839"/>
    <w:rsid w:val="5F753B62"/>
    <w:rsid w:val="5FC075BA"/>
    <w:rsid w:val="60B66FF7"/>
    <w:rsid w:val="60C21FE0"/>
    <w:rsid w:val="60E4081F"/>
    <w:rsid w:val="60FC2F92"/>
    <w:rsid w:val="610546AC"/>
    <w:rsid w:val="614855EE"/>
    <w:rsid w:val="617054CE"/>
    <w:rsid w:val="61894FF8"/>
    <w:rsid w:val="61957957"/>
    <w:rsid w:val="61DE4E55"/>
    <w:rsid w:val="6237564D"/>
    <w:rsid w:val="63027BFF"/>
    <w:rsid w:val="6398297D"/>
    <w:rsid w:val="63E548A3"/>
    <w:rsid w:val="641E1AC0"/>
    <w:rsid w:val="647D3C77"/>
    <w:rsid w:val="654A5121"/>
    <w:rsid w:val="657F2075"/>
    <w:rsid w:val="666A2145"/>
    <w:rsid w:val="66BE4026"/>
    <w:rsid w:val="66C7034E"/>
    <w:rsid w:val="671433EA"/>
    <w:rsid w:val="672E1109"/>
    <w:rsid w:val="677B0A07"/>
    <w:rsid w:val="6817082D"/>
    <w:rsid w:val="683442A7"/>
    <w:rsid w:val="687B7F5B"/>
    <w:rsid w:val="68F77E6E"/>
    <w:rsid w:val="69081908"/>
    <w:rsid w:val="693833C3"/>
    <w:rsid w:val="694C3940"/>
    <w:rsid w:val="695B72D9"/>
    <w:rsid w:val="6A2D6F6E"/>
    <w:rsid w:val="6A6174E1"/>
    <w:rsid w:val="6A8D4BF3"/>
    <w:rsid w:val="6AA621F3"/>
    <w:rsid w:val="6AB715E5"/>
    <w:rsid w:val="6B4E04F3"/>
    <w:rsid w:val="6B8642A5"/>
    <w:rsid w:val="6BC068EB"/>
    <w:rsid w:val="6BEE6087"/>
    <w:rsid w:val="6C111246"/>
    <w:rsid w:val="6C1F04FC"/>
    <w:rsid w:val="6CB91F73"/>
    <w:rsid w:val="6CBB1313"/>
    <w:rsid w:val="6CC547A3"/>
    <w:rsid w:val="6CE2495B"/>
    <w:rsid w:val="6CFD3BD8"/>
    <w:rsid w:val="6D1005C1"/>
    <w:rsid w:val="6D1B14B7"/>
    <w:rsid w:val="6DF9039D"/>
    <w:rsid w:val="6DF90D44"/>
    <w:rsid w:val="6E3E4F73"/>
    <w:rsid w:val="6EEB432C"/>
    <w:rsid w:val="6F1C43D6"/>
    <w:rsid w:val="6F2116FB"/>
    <w:rsid w:val="6F46189E"/>
    <w:rsid w:val="6F463E70"/>
    <w:rsid w:val="702E45E1"/>
    <w:rsid w:val="70336344"/>
    <w:rsid w:val="709570BF"/>
    <w:rsid w:val="712653DD"/>
    <w:rsid w:val="719B2596"/>
    <w:rsid w:val="719D62C8"/>
    <w:rsid w:val="7289591C"/>
    <w:rsid w:val="73067DFB"/>
    <w:rsid w:val="73095045"/>
    <w:rsid w:val="73174B80"/>
    <w:rsid w:val="73B3224A"/>
    <w:rsid w:val="73BB38A0"/>
    <w:rsid w:val="73D21E02"/>
    <w:rsid w:val="73E5342E"/>
    <w:rsid w:val="743B5C12"/>
    <w:rsid w:val="7460626B"/>
    <w:rsid w:val="748B1B79"/>
    <w:rsid w:val="74E401B5"/>
    <w:rsid w:val="75605532"/>
    <w:rsid w:val="759430FD"/>
    <w:rsid w:val="75A873B9"/>
    <w:rsid w:val="760D67F3"/>
    <w:rsid w:val="77337527"/>
    <w:rsid w:val="776311EF"/>
    <w:rsid w:val="776D5F1B"/>
    <w:rsid w:val="778704BE"/>
    <w:rsid w:val="779D7D11"/>
    <w:rsid w:val="77B1641D"/>
    <w:rsid w:val="7845393E"/>
    <w:rsid w:val="78815D46"/>
    <w:rsid w:val="789B24E3"/>
    <w:rsid w:val="79B01FE2"/>
    <w:rsid w:val="79B319E6"/>
    <w:rsid w:val="79E15B86"/>
    <w:rsid w:val="7A4A67F9"/>
    <w:rsid w:val="7A635B82"/>
    <w:rsid w:val="7ACD1322"/>
    <w:rsid w:val="7AD70183"/>
    <w:rsid w:val="7AF272FC"/>
    <w:rsid w:val="7AF43BFB"/>
    <w:rsid w:val="7B6F4FCF"/>
    <w:rsid w:val="7B854ED4"/>
    <w:rsid w:val="7C1D4C9E"/>
    <w:rsid w:val="7C4B4763"/>
    <w:rsid w:val="7C86101B"/>
    <w:rsid w:val="7D0A7E5C"/>
    <w:rsid w:val="7D485F43"/>
    <w:rsid w:val="7D5A4753"/>
    <w:rsid w:val="7DE221D8"/>
    <w:rsid w:val="7E483E67"/>
    <w:rsid w:val="7E7E2DF8"/>
    <w:rsid w:val="7EB84ADB"/>
    <w:rsid w:val="7EE71A61"/>
    <w:rsid w:val="7FD24A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0" w:semiHidden="0"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nhideWhenUsed="0" w:uiPriority="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ocked="1"/>
    <w:lsdException w:qFormat="1" w:unhideWhenUsed="0" w:uiPriority="0" w:semiHidden="0" w:name="caption"/>
    <w:lsdException w:uiPriority="99" w:name="table of figures" w:locked="1"/>
    <w:lsdException w:qFormat="1" w:unhideWhenUsed="0" w:uiPriority="99" w:name="envelope address"/>
    <w:lsdException w:qFormat="1" w:unhideWhenUsed="0" w:uiPriority="99" w:name="envelope return"/>
    <w:lsdException w:qFormat="1" w:unhideWhenUsed="0" w:uiPriority="0" w:name="footnote reference" w:locked="1"/>
    <w:lsdException w:qFormat="1" w:unhideWhenUsed="0" w:uiPriority="99" w:semiHidden="0" w:name="annotation reference"/>
    <w:lsdException w:qFormat="1" w:unhideWhenUsed="0" w:uiPriority="99" w:semiHidden="0" w:name="line number"/>
    <w:lsdException w:qFormat="1" w:unhideWhenUsed="0" w:uiPriority="0" w:semiHidden="0" w:name="page number"/>
    <w:lsdException w:uiPriority="99" w:name="endnote reference" w:locked="1"/>
    <w:lsdException w:uiPriority="99" w:name="endnote text" w:locked="1"/>
    <w:lsdException w:qFormat="1" w:unhideWhenUsed="0" w:uiPriority="99" w:name="table of authorities"/>
    <w:lsdException w:uiPriority="99" w:name="macro" w:locked="1"/>
    <w:lsdException w:qFormat="1" w:unhideWhenUsed="0" w:uiPriority="0" w:semiHidden="0" w:name="toa heading"/>
    <w:lsdException w:qFormat="1" w:unhideWhenUsed="0" w:uiPriority="0" w:semiHidden="0" w:name="List"/>
    <w:lsdException w:qFormat="1" w:unhideWhenUsed="0" w:uiPriority="99" w:name="List Bullet"/>
    <w:lsdException w:qFormat="1" w:unhideWhenUsed="0" w:uiPriority="99"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0" w:semiHidden="0" w:name="List Bullet 2"/>
    <w:lsdException w:qFormat="1" w:unhideWhenUsed="0" w:uiPriority="99" w:name="List Bullet 3"/>
    <w:lsdException w:qFormat="1" w:unhideWhenUsed="0" w:uiPriority="99" w:name="List Bullet 4"/>
    <w:lsdException w:qFormat="1" w:unhideWhenUsed="0" w:uiPriority="99" w:name="List Bullet 5"/>
    <w:lsdException w:qFormat="1" w:unhideWhenUsed="0" w:uiPriority="99" w:name="List Number 2"/>
    <w:lsdException w:qFormat="1" w:unhideWhenUsed="0" w:uiPriority="99" w:name="List Number 3"/>
    <w:lsdException w:qFormat="1" w:unhideWhenUsed="0" w:uiPriority="99" w:name="List Number 4"/>
    <w:lsdException w:qFormat="1" w:unhideWhenUsed="0" w:uiPriority="99" w:name="List Number 5"/>
    <w:lsdException w:qFormat="1" w:unhideWhenUsed="0" w:uiPriority="0" w:semiHidden="0" w:name="Title"/>
    <w:lsdException w:qFormat="1" w:unhideWhenUsed="0" w:uiPriority="99" w:name="Closing"/>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name="List Continue 5"/>
    <w:lsdException w:qFormat="1" w:unhideWhenUsed="0" w:uiPriority="99" w:name="Message Header"/>
    <w:lsdException w:qFormat="1" w:unhideWhenUsed="0" w:uiPriority="99" w:semiHidden="0" w:name="Subtitle"/>
    <w:lsdException w:qFormat="1" w:unhideWhenUsed="0" w:uiPriority="99" w:semiHidden="0" w:name="Salutation"/>
    <w:lsdException w:qFormat="1" w:unhideWhenUsed="0" w:uiPriority="0" w:semiHidden="0" w:name="Date"/>
    <w:lsdException w:qFormat="1" w:unhideWhenUsed="0" w:uiPriority="99" w:semiHidden="0" w:name="Body Text First Indent"/>
    <w:lsdException w:qFormat="1" w:unhideWhenUsed="0" w:uiPriority="99" w:name="Body Text First Indent 2"/>
    <w:lsdException w:qFormat="1" w:unhideWhenUsed="0" w:uiPriority="99" w:name="Note Heading"/>
    <w:lsdException w:qFormat="1" w:unhideWhenUsed="0" w:uiPriority="99"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nhideWhenUsed="0"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name="HTML Acronym"/>
    <w:lsdException w:qFormat="1" w:unhideWhenUsed="0" w:uiPriority="99" w:name="HTML Address"/>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qFormat="1" w:unhideWhenUsed="0" w:uiPriority="99" w:name="HTML Preformatted"/>
    <w:lsdException w:qFormat="1" w:unhideWhenUsed="0" w:uiPriority="99" w:name="HTML Sample"/>
    <w:lsdException w:qFormat="1" w:unhideWhenUsed="0" w:uiPriority="99" w:name="HTML Typewriter"/>
    <w:lsdException w:qFormat="1" w:unhideWhenUsed="0" w:uiPriority="99" w:name="HTML Variable"/>
    <w:lsdException w:qFormat="1" w:uiPriority="99" w:name="Normal Table"/>
    <w:lsdException w:qFormat="1" w:unhideWhenUsed="0" w:uiPriority="99" w:name="annotation subject"/>
    <w:lsdException w:qFormat="1" w:unhideWhenUsed="0" w:uiPriority="99" w:name="Table Simple 1"/>
    <w:lsdException w:qFormat="1" w:unhideWhenUsed="0" w:uiPriority="99" w:name="Table Simple 2"/>
    <w:lsdException w:qFormat="1" w:unhideWhenUsed="0" w:uiPriority="99" w:name="Table Simple 3"/>
    <w:lsdException w:qFormat="1" w:unhideWhenUsed="0" w:uiPriority="99" w:name="Table Classic 1"/>
    <w:lsdException w:qFormat="1" w:unhideWhenUsed="0" w:uiPriority="99" w:name="Table Classic 2"/>
    <w:lsdException w:qFormat="1" w:unhideWhenUsed="0" w:uiPriority="99" w:name="Table Classic 3"/>
    <w:lsdException w:qFormat="1" w:unhideWhenUsed="0" w:uiPriority="99" w:name="Table Classic 4"/>
    <w:lsdException w:qFormat="1" w:unhideWhenUsed="0" w:uiPriority="99" w:name="Table Colorful 1"/>
    <w:lsdException w:qFormat="1" w:unhideWhenUsed="0" w:uiPriority="99" w:name="Table Colorful 2"/>
    <w:lsdException w:qFormat="1" w:unhideWhenUsed="0" w:uiPriority="99" w:name="Table Colorful 3"/>
    <w:lsdException w:qFormat="1" w:unhideWhenUsed="0" w:uiPriority="99" w:name="Table Columns 1"/>
    <w:lsdException w:qFormat="1" w:unhideWhenUsed="0" w:uiPriority="99" w:name="Table Columns 2"/>
    <w:lsdException w:qFormat="1" w:unhideWhenUsed="0" w:uiPriority="99" w:name="Table Columns 3"/>
    <w:lsdException w:qFormat="1" w:unhideWhenUsed="0" w:uiPriority="99" w:name="Table Columns 4"/>
    <w:lsdException w:qFormat="1" w:unhideWhenUsed="0" w:uiPriority="99" w:name="Table Columns 5"/>
    <w:lsdException w:qFormat="1" w:unhideWhenUsed="0" w:uiPriority="99" w:name="Table Grid 1"/>
    <w:lsdException w:qFormat="1" w:unhideWhenUsed="0" w:uiPriority="99" w:name="Table Grid 2"/>
    <w:lsdException w:qFormat="1" w:unhideWhenUsed="0" w:uiPriority="99" w:name="Table Grid 3"/>
    <w:lsdException w:qFormat="1" w:unhideWhenUsed="0" w:uiPriority="99" w:name="Table Grid 4"/>
    <w:lsdException w:qFormat="1" w:unhideWhenUsed="0" w:uiPriority="99" w:name="Table Grid 5"/>
    <w:lsdException w:qFormat="1" w:unhideWhenUsed="0" w:uiPriority="99" w:name="Table Grid 6"/>
    <w:lsdException w:qFormat="1" w:unhideWhenUsed="0" w:uiPriority="99" w:name="Table Grid 7"/>
    <w:lsdException w:qFormat="1" w:unhideWhenUsed="0" w:uiPriority="99" w:name="Table Grid 8"/>
    <w:lsdException w:qFormat="1" w:unhideWhenUsed="0" w:uiPriority="99" w:name="Table List 1"/>
    <w:lsdException w:qFormat="1" w:unhideWhenUsed="0" w:uiPriority="99" w:name="Table List 2"/>
    <w:lsdException w:qFormat="1" w:unhideWhenUsed="0" w:uiPriority="99" w:name="Table List 3"/>
    <w:lsdException w:qFormat="1" w:unhideWhenUsed="0" w:uiPriority="99" w:name="Table List 4"/>
    <w:lsdException w:qFormat="1" w:unhideWhenUsed="0" w:uiPriority="99" w:name="Table List 5"/>
    <w:lsdException w:qFormat="1" w:unhideWhenUsed="0" w:uiPriority="99" w:name="Table List 6"/>
    <w:lsdException w:qFormat="1" w:unhideWhenUsed="0" w:uiPriority="99" w:name="Table List 7"/>
    <w:lsdException w:qFormat="1" w:unhideWhenUsed="0" w:uiPriority="99" w:name="Table List 8"/>
    <w:lsdException w:qFormat="1" w:unhideWhenUsed="0" w:uiPriority="99" w:name="Table 3D effects 1"/>
    <w:lsdException w:qFormat="1" w:unhideWhenUsed="0" w:uiPriority="99" w:name="Table 3D effects 2"/>
    <w:lsdException w:qFormat="1" w:unhideWhenUsed="0" w:uiPriority="99" w:name="Table 3D effects 3"/>
    <w:lsdException w:qFormat="1" w:unhideWhenUsed="0" w:uiPriority="99" w:name="Table Contemporary"/>
    <w:lsdException w:qFormat="1" w:unhideWhenUsed="0" w:uiPriority="99" w:name="Table Elegant"/>
    <w:lsdException w:qFormat="1" w:unhideWhenUsed="0" w:uiPriority="99" w:name="Table Professional"/>
    <w:lsdException w:qFormat="1" w:unhideWhenUsed="0" w:uiPriority="99" w:name="Table Subtle 1"/>
    <w:lsdException w:qFormat="1" w:unhideWhenUsed="0" w:uiPriority="99" w:name="Table Subtle 2"/>
    <w:lsdException w:qFormat="1" w:unhideWhenUsed="0" w:uiPriority="99" w:name="Table Web 1"/>
    <w:lsdException w:qFormat="1" w:unhideWhenUsed="0" w:uiPriority="99" w:name="Table Web 2"/>
    <w:lsdException w:qFormat="1" w:unhideWhenUsed="0" w:uiPriority="99" w:name="Table Web 3"/>
    <w:lsdException w:qFormat="1" w:unhideWhenUsed="0" w:uiPriority="99" w:semiHidden="0" w:name="Balloon Text"/>
    <w:lsdException w:qFormat="1" w:unhideWhenUsed="0" w:uiPriority="59" w:semiHidden="0" w:name="Table Grid"/>
    <w:lsdException w:qFormat="1" w:unhideWhenUsed="0"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328"/>
    <w:qFormat/>
    <w:uiPriority w:val="99"/>
    <w:pPr>
      <w:tabs>
        <w:tab w:val="right" w:leader="dot" w:pos="9061"/>
      </w:tabs>
      <w:jc w:val="center"/>
      <w:outlineLvl w:val="0"/>
    </w:pPr>
    <w:rPr>
      <w:b/>
      <w:sz w:val="36"/>
    </w:rPr>
  </w:style>
  <w:style w:type="paragraph" w:styleId="2">
    <w:name w:val="heading 2"/>
    <w:basedOn w:val="1"/>
    <w:next w:val="1"/>
    <w:link w:val="284"/>
    <w:qFormat/>
    <w:uiPriority w:val="9"/>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272"/>
    <w:qFormat/>
    <w:uiPriority w:val="99"/>
    <w:pPr>
      <w:keepNext/>
      <w:keepLines/>
      <w:spacing w:before="260" w:after="260" w:line="416" w:lineRule="auto"/>
      <w:outlineLvl w:val="2"/>
    </w:pPr>
    <w:rPr>
      <w:b/>
      <w:bCs/>
      <w:kern w:val="0"/>
      <w:sz w:val="32"/>
      <w:szCs w:val="32"/>
    </w:rPr>
  </w:style>
  <w:style w:type="paragraph" w:styleId="5">
    <w:name w:val="heading 4"/>
    <w:basedOn w:val="1"/>
    <w:next w:val="1"/>
    <w:link w:val="294"/>
    <w:qFormat/>
    <w:uiPriority w:val="99"/>
    <w:pPr>
      <w:keepNext/>
      <w:keepLines/>
      <w:spacing w:before="280" w:after="290" w:line="376" w:lineRule="auto"/>
      <w:outlineLvl w:val="3"/>
    </w:pPr>
    <w:rPr>
      <w:rFonts w:ascii="Arial" w:hAnsi="Arial" w:eastAsia="黑体"/>
      <w:b/>
      <w:bCs/>
      <w:kern w:val="0"/>
      <w:sz w:val="28"/>
      <w:szCs w:val="28"/>
    </w:rPr>
  </w:style>
  <w:style w:type="paragraph" w:styleId="6">
    <w:name w:val="heading 5"/>
    <w:basedOn w:val="1"/>
    <w:next w:val="1"/>
    <w:link w:val="275"/>
    <w:qFormat/>
    <w:uiPriority w:val="99"/>
    <w:pPr>
      <w:keepNext/>
      <w:keepLines/>
      <w:spacing w:before="280" w:after="290" w:line="376" w:lineRule="auto"/>
      <w:outlineLvl w:val="4"/>
    </w:pPr>
    <w:rPr>
      <w:b/>
      <w:bCs/>
      <w:kern w:val="0"/>
      <w:sz w:val="28"/>
      <w:szCs w:val="28"/>
    </w:rPr>
  </w:style>
  <w:style w:type="paragraph" w:styleId="7">
    <w:name w:val="heading 6"/>
    <w:basedOn w:val="1"/>
    <w:next w:val="1"/>
    <w:link w:val="290"/>
    <w:qFormat/>
    <w:uiPriority w:val="99"/>
    <w:pPr>
      <w:keepNext/>
      <w:keepLines/>
      <w:spacing w:before="240" w:after="64" w:line="320" w:lineRule="auto"/>
      <w:outlineLvl w:val="5"/>
    </w:pPr>
    <w:rPr>
      <w:rFonts w:ascii="Arial" w:hAnsi="Arial" w:eastAsia="黑体"/>
      <w:b/>
      <w:bCs/>
      <w:kern w:val="0"/>
      <w:sz w:val="20"/>
      <w:szCs w:val="20"/>
    </w:rPr>
  </w:style>
  <w:style w:type="paragraph" w:styleId="8">
    <w:name w:val="heading 7"/>
    <w:basedOn w:val="1"/>
    <w:next w:val="1"/>
    <w:link w:val="276"/>
    <w:qFormat/>
    <w:uiPriority w:val="99"/>
    <w:pPr>
      <w:keepNext/>
      <w:keepLines/>
      <w:spacing w:before="240" w:after="64" w:line="320" w:lineRule="auto"/>
      <w:jc w:val="left"/>
      <w:outlineLvl w:val="6"/>
    </w:pPr>
    <w:rPr>
      <w:b/>
      <w:bCs/>
      <w:kern w:val="0"/>
      <w:sz w:val="24"/>
      <w:szCs w:val="24"/>
    </w:rPr>
  </w:style>
  <w:style w:type="paragraph" w:styleId="9">
    <w:name w:val="heading 8"/>
    <w:basedOn w:val="1"/>
    <w:next w:val="1"/>
    <w:link w:val="326"/>
    <w:qFormat/>
    <w:uiPriority w:val="99"/>
    <w:pPr>
      <w:keepNext/>
      <w:keepLines/>
      <w:tabs>
        <w:tab w:val="left" w:pos="1440"/>
      </w:tabs>
      <w:adjustRightInd w:val="0"/>
      <w:spacing w:line="360" w:lineRule="atLeast"/>
      <w:ind w:left="1440" w:hanging="1440"/>
      <w:outlineLvl w:val="7"/>
    </w:pPr>
    <w:rPr>
      <w:rFonts w:ascii="Cambria" w:hAnsi="Cambria"/>
      <w:kern w:val="0"/>
      <w:sz w:val="24"/>
      <w:szCs w:val="24"/>
    </w:rPr>
  </w:style>
  <w:style w:type="paragraph" w:styleId="10">
    <w:name w:val="heading 9"/>
    <w:basedOn w:val="1"/>
    <w:next w:val="1"/>
    <w:link w:val="312"/>
    <w:qFormat/>
    <w:uiPriority w:val="99"/>
    <w:pPr>
      <w:keepNext/>
      <w:keepLines/>
      <w:tabs>
        <w:tab w:val="left" w:pos="1584"/>
      </w:tabs>
      <w:adjustRightInd w:val="0"/>
      <w:spacing w:line="360" w:lineRule="atLeast"/>
      <w:ind w:left="1584" w:hanging="1584"/>
      <w:outlineLvl w:val="8"/>
    </w:pPr>
    <w:rPr>
      <w:rFonts w:ascii="Cambria" w:hAnsi="Cambria"/>
      <w:kern w:val="0"/>
    </w:rPr>
  </w:style>
  <w:style w:type="character" w:default="1" w:styleId="121">
    <w:name w:val="Default Paragraph Font"/>
    <w:semiHidden/>
    <w:unhideWhenUsed/>
    <w:qFormat/>
    <w:uiPriority w:val="1"/>
  </w:style>
  <w:style w:type="table" w:default="1" w:styleId="76">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99"/>
    <w:pPr>
      <w:ind w:left="100" w:leftChars="400" w:hanging="200" w:hangingChars="200"/>
    </w:pPr>
  </w:style>
  <w:style w:type="paragraph" w:styleId="12">
    <w:name w:val="toc 7"/>
    <w:basedOn w:val="1"/>
    <w:next w:val="1"/>
    <w:qFormat/>
    <w:uiPriority w:val="0"/>
    <w:pPr>
      <w:ind w:left="1260"/>
      <w:jc w:val="left"/>
    </w:pPr>
    <w:rPr>
      <w:sz w:val="18"/>
      <w:szCs w:val="18"/>
    </w:rPr>
  </w:style>
  <w:style w:type="paragraph" w:styleId="13">
    <w:name w:val="List Number 2"/>
    <w:basedOn w:val="1"/>
    <w:semiHidden/>
    <w:qFormat/>
    <w:uiPriority w:val="99"/>
    <w:pPr>
      <w:tabs>
        <w:tab w:val="left" w:pos="780"/>
      </w:tabs>
      <w:spacing w:after="200" w:line="276" w:lineRule="auto"/>
      <w:ind w:left="780" w:leftChars="200" w:hanging="360" w:hangingChars="200"/>
      <w:jc w:val="left"/>
    </w:pPr>
    <w:rPr>
      <w:rFonts w:ascii="Calibri" w:hAnsi="Calibri" w:cs="Calibri"/>
      <w:kern w:val="0"/>
      <w:sz w:val="22"/>
      <w:szCs w:val="22"/>
      <w:lang w:eastAsia="en-US"/>
    </w:rPr>
  </w:style>
  <w:style w:type="paragraph" w:styleId="14">
    <w:name w:val="table of authorities"/>
    <w:basedOn w:val="1"/>
    <w:next w:val="1"/>
    <w:semiHidden/>
    <w:qFormat/>
    <w:uiPriority w:val="99"/>
    <w:pPr>
      <w:spacing w:after="200" w:line="276" w:lineRule="auto"/>
      <w:ind w:left="420" w:leftChars="200"/>
      <w:jc w:val="left"/>
    </w:pPr>
    <w:rPr>
      <w:rFonts w:ascii="Calibri" w:hAnsi="Calibri" w:cs="Calibri"/>
      <w:kern w:val="0"/>
      <w:sz w:val="22"/>
      <w:szCs w:val="22"/>
      <w:lang w:eastAsia="en-US"/>
    </w:rPr>
  </w:style>
  <w:style w:type="paragraph" w:styleId="15">
    <w:name w:val="Note Heading"/>
    <w:basedOn w:val="1"/>
    <w:next w:val="1"/>
    <w:link w:val="330"/>
    <w:semiHidden/>
    <w:qFormat/>
    <w:uiPriority w:val="99"/>
    <w:pPr>
      <w:spacing w:after="200" w:line="276" w:lineRule="auto"/>
      <w:jc w:val="center"/>
    </w:pPr>
    <w:rPr>
      <w:kern w:val="0"/>
    </w:rPr>
  </w:style>
  <w:style w:type="paragraph" w:styleId="16">
    <w:name w:val="List Bullet 4"/>
    <w:basedOn w:val="1"/>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17">
    <w:name w:val="E-mail Signature"/>
    <w:basedOn w:val="1"/>
    <w:link w:val="303"/>
    <w:semiHidden/>
    <w:qFormat/>
    <w:uiPriority w:val="99"/>
    <w:pPr>
      <w:spacing w:after="200" w:line="276" w:lineRule="auto"/>
      <w:jc w:val="left"/>
    </w:pPr>
    <w:rPr>
      <w:kern w:val="0"/>
    </w:rPr>
  </w:style>
  <w:style w:type="paragraph" w:styleId="18">
    <w:name w:val="List Number"/>
    <w:basedOn w:val="1"/>
    <w:semiHidden/>
    <w:qFormat/>
    <w:uiPriority w:val="99"/>
    <w:pPr>
      <w:tabs>
        <w:tab w:val="left" w:pos="360"/>
      </w:tabs>
      <w:spacing w:after="200" w:line="276" w:lineRule="auto"/>
      <w:ind w:left="360" w:hanging="360" w:hangingChars="200"/>
      <w:jc w:val="left"/>
    </w:pPr>
    <w:rPr>
      <w:rFonts w:ascii="Calibri" w:hAnsi="Calibri" w:cs="Calibri"/>
      <w:kern w:val="0"/>
      <w:sz w:val="22"/>
      <w:szCs w:val="22"/>
      <w:lang w:eastAsia="en-US"/>
    </w:rPr>
  </w:style>
  <w:style w:type="paragraph" w:styleId="19">
    <w:name w:val="Normal Indent"/>
    <w:basedOn w:val="1"/>
    <w:link w:val="270"/>
    <w:qFormat/>
    <w:uiPriority w:val="99"/>
    <w:pPr>
      <w:ind w:firstLine="420" w:firstLineChars="200"/>
    </w:pPr>
    <w:rPr>
      <w:kern w:val="0"/>
    </w:rPr>
  </w:style>
  <w:style w:type="paragraph" w:styleId="20">
    <w:name w:val="caption"/>
    <w:basedOn w:val="1"/>
    <w:next w:val="1"/>
    <w:qFormat/>
    <w:uiPriority w:val="0"/>
    <w:pPr>
      <w:spacing w:before="152" w:after="160"/>
    </w:pPr>
    <w:rPr>
      <w:rFonts w:ascii="Arial" w:hAnsi="Arial" w:eastAsia="黑体" w:cs="Arial"/>
      <w:sz w:val="20"/>
      <w:szCs w:val="20"/>
    </w:rPr>
  </w:style>
  <w:style w:type="paragraph" w:styleId="21">
    <w:name w:val="List Bullet"/>
    <w:basedOn w:val="1"/>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22">
    <w:name w:val="envelope address"/>
    <w:basedOn w:val="1"/>
    <w:semiHidden/>
    <w:qFormat/>
    <w:uiPriority w:val="99"/>
    <w:pPr>
      <w:framePr w:w="7920" w:h="1980" w:hRule="exact" w:hSpace="180" w:wrap="around" w:vAnchor="margin" w:hAnchor="page" w:xAlign="center" w:yAlign="bottom"/>
      <w:snapToGrid w:val="0"/>
      <w:spacing w:after="200" w:line="276" w:lineRule="auto"/>
      <w:ind w:left="100" w:leftChars="1400"/>
      <w:jc w:val="left"/>
    </w:pPr>
    <w:rPr>
      <w:rFonts w:ascii="Arial" w:hAnsi="Arial" w:cs="Arial"/>
      <w:kern w:val="0"/>
      <w:sz w:val="24"/>
      <w:szCs w:val="24"/>
      <w:lang w:eastAsia="en-US"/>
    </w:rPr>
  </w:style>
  <w:style w:type="paragraph" w:styleId="23">
    <w:name w:val="Document Map"/>
    <w:basedOn w:val="1"/>
    <w:link w:val="315"/>
    <w:qFormat/>
    <w:uiPriority w:val="0"/>
    <w:pPr>
      <w:shd w:val="clear" w:color="auto" w:fill="000080"/>
    </w:pPr>
    <w:rPr>
      <w:kern w:val="0"/>
      <w:sz w:val="2"/>
      <w:szCs w:val="2"/>
    </w:rPr>
  </w:style>
  <w:style w:type="paragraph" w:styleId="24">
    <w:name w:val="toa heading"/>
    <w:basedOn w:val="1"/>
    <w:next w:val="1"/>
    <w:qFormat/>
    <w:uiPriority w:val="0"/>
    <w:pPr>
      <w:spacing w:before="120"/>
    </w:pPr>
    <w:rPr>
      <w:rFonts w:ascii="Arial" w:hAnsi="Arial" w:cs="Arial"/>
      <w:sz w:val="24"/>
      <w:szCs w:val="24"/>
    </w:rPr>
  </w:style>
  <w:style w:type="paragraph" w:styleId="25">
    <w:name w:val="annotation text"/>
    <w:basedOn w:val="1"/>
    <w:link w:val="292"/>
    <w:qFormat/>
    <w:uiPriority w:val="99"/>
    <w:pPr>
      <w:spacing w:after="200" w:line="276" w:lineRule="auto"/>
      <w:jc w:val="left"/>
    </w:pPr>
    <w:rPr>
      <w:kern w:val="0"/>
    </w:rPr>
  </w:style>
  <w:style w:type="paragraph" w:styleId="26">
    <w:name w:val="Salutation"/>
    <w:basedOn w:val="1"/>
    <w:next w:val="1"/>
    <w:link w:val="258"/>
    <w:qFormat/>
    <w:uiPriority w:val="99"/>
    <w:pPr>
      <w:spacing w:after="200" w:line="276" w:lineRule="auto"/>
      <w:jc w:val="left"/>
    </w:pPr>
    <w:rPr>
      <w:kern w:val="0"/>
    </w:rPr>
  </w:style>
  <w:style w:type="paragraph" w:styleId="27">
    <w:name w:val="Body Text 3"/>
    <w:basedOn w:val="1"/>
    <w:link w:val="310"/>
    <w:qFormat/>
    <w:uiPriority w:val="99"/>
    <w:rPr>
      <w:kern w:val="0"/>
      <w:sz w:val="16"/>
      <w:szCs w:val="16"/>
    </w:rPr>
  </w:style>
  <w:style w:type="paragraph" w:styleId="28">
    <w:name w:val="Closing"/>
    <w:basedOn w:val="1"/>
    <w:link w:val="329"/>
    <w:semiHidden/>
    <w:qFormat/>
    <w:uiPriority w:val="99"/>
    <w:pPr>
      <w:spacing w:after="200" w:line="276" w:lineRule="auto"/>
      <w:ind w:left="100" w:leftChars="2100"/>
      <w:jc w:val="left"/>
    </w:pPr>
    <w:rPr>
      <w:kern w:val="0"/>
    </w:rPr>
  </w:style>
  <w:style w:type="paragraph" w:styleId="29">
    <w:name w:val="List Bullet 3"/>
    <w:basedOn w:val="1"/>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30">
    <w:name w:val="Body Text"/>
    <w:basedOn w:val="1"/>
    <w:link w:val="277"/>
    <w:qFormat/>
    <w:uiPriority w:val="99"/>
    <w:pPr>
      <w:spacing w:after="120"/>
    </w:pPr>
    <w:rPr>
      <w:kern w:val="0"/>
    </w:rPr>
  </w:style>
  <w:style w:type="paragraph" w:styleId="31">
    <w:name w:val="Body Text Indent"/>
    <w:basedOn w:val="1"/>
    <w:link w:val="313"/>
    <w:qFormat/>
    <w:uiPriority w:val="0"/>
    <w:pPr>
      <w:spacing w:line="500" w:lineRule="exact"/>
      <w:ind w:left="1588" w:leftChars="832" w:firstLine="433" w:firstLineChars="196"/>
    </w:pPr>
    <w:rPr>
      <w:kern w:val="0"/>
    </w:rPr>
  </w:style>
  <w:style w:type="paragraph" w:styleId="32">
    <w:name w:val="List Number 3"/>
    <w:basedOn w:val="1"/>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33">
    <w:name w:val="List 2"/>
    <w:basedOn w:val="1"/>
    <w:qFormat/>
    <w:uiPriority w:val="99"/>
    <w:pPr>
      <w:ind w:left="100" w:leftChars="200" w:hanging="200" w:hangingChars="200"/>
    </w:pPr>
  </w:style>
  <w:style w:type="paragraph" w:styleId="34">
    <w:name w:val="List Continue"/>
    <w:basedOn w:val="1"/>
    <w:qFormat/>
    <w:uiPriority w:val="99"/>
    <w:pPr>
      <w:spacing w:after="120"/>
      <w:ind w:left="420" w:leftChars="200"/>
    </w:pPr>
  </w:style>
  <w:style w:type="paragraph" w:styleId="35">
    <w:name w:val="Block Text"/>
    <w:basedOn w:val="1"/>
    <w:semiHidden/>
    <w:qFormat/>
    <w:uiPriority w:val="99"/>
    <w:pPr>
      <w:spacing w:after="120" w:line="276" w:lineRule="auto"/>
      <w:ind w:left="1440" w:leftChars="700" w:right="1440" w:rightChars="700"/>
      <w:jc w:val="left"/>
    </w:pPr>
    <w:rPr>
      <w:rFonts w:ascii="Calibri" w:hAnsi="Calibri" w:cs="Calibri"/>
      <w:kern w:val="0"/>
      <w:sz w:val="22"/>
      <w:szCs w:val="22"/>
      <w:lang w:eastAsia="en-US"/>
    </w:rPr>
  </w:style>
  <w:style w:type="paragraph" w:styleId="36">
    <w:name w:val="List Bullet 2"/>
    <w:basedOn w:val="1"/>
    <w:qFormat/>
    <w:uiPriority w:val="0"/>
    <w:pPr>
      <w:tabs>
        <w:tab w:val="left" w:pos="360"/>
      </w:tabs>
      <w:spacing w:after="200" w:line="276" w:lineRule="auto"/>
      <w:ind w:left="360" w:hanging="360"/>
      <w:jc w:val="left"/>
    </w:pPr>
    <w:rPr>
      <w:rFonts w:ascii="Calibri" w:hAnsi="Calibri" w:cs="Calibri"/>
      <w:kern w:val="0"/>
      <w:sz w:val="22"/>
      <w:szCs w:val="22"/>
      <w:lang w:eastAsia="en-US"/>
    </w:rPr>
  </w:style>
  <w:style w:type="paragraph" w:styleId="37">
    <w:name w:val="HTML Address"/>
    <w:basedOn w:val="1"/>
    <w:link w:val="317"/>
    <w:semiHidden/>
    <w:qFormat/>
    <w:uiPriority w:val="99"/>
    <w:pPr>
      <w:spacing w:after="200" w:line="276" w:lineRule="auto"/>
      <w:jc w:val="left"/>
    </w:pPr>
    <w:rPr>
      <w:i/>
      <w:iCs/>
      <w:kern w:val="0"/>
    </w:rPr>
  </w:style>
  <w:style w:type="paragraph" w:styleId="38">
    <w:name w:val="toc 5"/>
    <w:basedOn w:val="1"/>
    <w:next w:val="1"/>
    <w:qFormat/>
    <w:uiPriority w:val="0"/>
    <w:pPr>
      <w:ind w:left="840"/>
      <w:jc w:val="left"/>
    </w:pPr>
    <w:rPr>
      <w:sz w:val="18"/>
      <w:szCs w:val="18"/>
    </w:rPr>
  </w:style>
  <w:style w:type="paragraph" w:styleId="39">
    <w:name w:val="toc 3"/>
    <w:basedOn w:val="1"/>
    <w:next w:val="1"/>
    <w:qFormat/>
    <w:uiPriority w:val="39"/>
    <w:pPr>
      <w:spacing w:line="360" w:lineRule="auto"/>
      <w:ind w:left="420"/>
      <w:jc w:val="left"/>
    </w:pPr>
    <w:rPr>
      <w:iCs/>
      <w:sz w:val="24"/>
      <w:szCs w:val="20"/>
    </w:rPr>
  </w:style>
  <w:style w:type="paragraph" w:styleId="40">
    <w:name w:val="Plain Text"/>
    <w:basedOn w:val="1"/>
    <w:link w:val="306"/>
    <w:qFormat/>
    <w:uiPriority w:val="0"/>
    <w:rPr>
      <w:rFonts w:ascii="宋体" w:hAnsi="Courier New"/>
      <w:kern w:val="0"/>
    </w:rPr>
  </w:style>
  <w:style w:type="paragraph" w:styleId="41">
    <w:name w:val="List Bullet 5"/>
    <w:basedOn w:val="1"/>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42">
    <w:name w:val="List Number 4"/>
    <w:basedOn w:val="1"/>
    <w:semiHidden/>
    <w:qFormat/>
    <w:uiPriority w:val="99"/>
    <w:pPr>
      <w:numPr>
        <w:ilvl w:val="0"/>
        <w:numId w:val="1"/>
      </w:numPr>
      <w:tabs>
        <w:tab w:val="left" w:pos="420"/>
        <w:tab w:val="clear" w:pos="360"/>
      </w:tabs>
      <w:spacing w:after="200" w:line="276" w:lineRule="auto"/>
      <w:ind w:left="420" w:hanging="420"/>
      <w:jc w:val="left"/>
    </w:pPr>
    <w:rPr>
      <w:rFonts w:ascii="Calibri" w:hAnsi="Calibri" w:cs="Calibri"/>
      <w:kern w:val="0"/>
      <w:sz w:val="22"/>
      <w:szCs w:val="22"/>
      <w:lang w:eastAsia="en-US"/>
    </w:rPr>
  </w:style>
  <w:style w:type="paragraph" w:styleId="43">
    <w:name w:val="toc 8"/>
    <w:basedOn w:val="1"/>
    <w:next w:val="1"/>
    <w:qFormat/>
    <w:uiPriority w:val="0"/>
    <w:pPr>
      <w:ind w:left="1470"/>
      <w:jc w:val="left"/>
    </w:pPr>
    <w:rPr>
      <w:sz w:val="18"/>
      <w:szCs w:val="18"/>
    </w:rPr>
  </w:style>
  <w:style w:type="paragraph" w:styleId="44">
    <w:name w:val="Date"/>
    <w:basedOn w:val="1"/>
    <w:next w:val="1"/>
    <w:link w:val="293"/>
    <w:qFormat/>
    <w:uiPriority w:val="0"/>
    <w:pPr>
      <w:ind w:left="100" w:leftChars="2500"/>
    </w:pPr>
    <w:rPr>
      <w:kern w:val="0"/>
    </w:rPr>
  </w:style>
  <w:style w:type="paragraph" w:styleId="45">
    <w:name w:val="Body Text Indent 2"/>
    <w:basedOn w:val="1"/>
    <w:link w:val="300"/>
    <w:qFormat/>
    <w:uiPriority w:val="0"/>
    <w:pPr>
      <w:spacing w:line="500" w:lineRule="exact"/>
      <w:ind w:firstLine="442" w:firstLineChars="200"/>
    </w:pPr>
    <w:rPr>
      <w:kern w:val="0"/>
    </w:rPr>
  </w:style>
  <w:style w:type="paragraph" w:styleId="46">
    <w:name w:val="List Continue 5"/>
    <w:basedOn w:val="1"/>
    <w:semiHidden/>
    <w:qFormat/>
    <w:uiPriority w:val="99"/>
    <w:pPr>
      <w:spacing w:after="120" w:line="276" w:lineRule="auto"/>
      <w:ind w:left="2100" w:leftChars="1000"/>
      <w:jc w:val="left"/>
    </w:pPr>
    <w:rPr>
      <w:rFonts w:ascii="Calibri" w:hAnsi="Calibri" w:cs="Calibri"/>
      <w:kern w:val="0"/>
      <w:sz w:val="22"/>
      <w:szCs w:val="22"/>
      <w:lang w:eastAsia="en-US"/>
    </w:rPr>
  </w:style>
  <w:style w:type="paragraph" w:styleId="47">
    <w:name w:val="Balloon Text"/>
    <w:basedOn w:val="1"/>
    <w:link w:val="295"/>
    <w:qFormat/>
    <w:uiPriority w:val="99"/>
    <w:rPr>
      <w:sz w:val="18"/>
      <w:szCs w:val="18"/>
    </w:rPr>
  </w:style>
  <w:style w:type="paragraph" w:styleId="48">
    <w:name w:val="footer"/>
    <w:basedOn w:val="1"/>
    <w:link w:val="325"/>
    <w:qFormat/>
    <w:uiPriority w:val="99"/>
    <w:pPr>
      <w:tabs>
        <w:tab w:val="center" w:pos="4153"/>
        <w:tab w:val="right" w:pos="8306"/>
      </w:tabs>
      <w:snapToGrid w:val="0"/>
      <w:jc w:val="left"/>
    </w:pPr>
    <w:rPr>
      <w:kern w:val="0"/>
      <w:sz w:val="18"/>
      <w:szCs w:val="18"/>
    </w:rPr>
  </w:style>
  <w:style w:type="paragraph" w:styleId="49">
    <w:name w:val="envelope return"/>
    <w:basedOn w:val="1"/>
    <w:semiHidden/>
    <w:qFormat/>
    <w:uiPriority w:val="99"/>
    <w:pPr>
      <w:snapToGrid w:val="0"/>
      <w:spacing w:after="200" w:line="276" w:lineRule="auto"/>
      <w:jc w:val="left"/>
    </w:pPr>
    <w:rPr>
      <w:rFonts w:ascii="Arial" w:hAnsi="Arial" w:cs="Arial"/>
      <w:kern w:val="0"/>
      <w:sz w:val="22"/>
      <w:szCs w:val="22"/>
      <w:lang w:eastAsia="en-US"/>
    </w:rPr>
  </w:style>
  <w:style w:type="paragraph" w:styleId="50">
    <w:name w:val="header"/>
    <w:basedOn w:val="1"/>
    <w:link w:val="309"/>
    <w:qFormat/>
    <w:uiPriority w:val="0"/>
    <w:pPr>
      <w:pBdr>
        <w:bottom w:val="single" w:color="auto" w:sz="6" w:space="1"/>
      </w:pBdr>
      <w:tabs>
        <w:tab w:val="center" w:pos="4153"/>
        <w:tab w:val="right" w:pos="8306"/>
      </w:tabs>
      <w:snapToGrid w:val="0"/>
      <w:jc w:val="center"/>
    </w:pPr>
    <w:rPr>
      <w:kern w:val="0"/>
      <w:sz w:val="18"/>
      <w:szCs w:val="18"/>
    </w:rPr>
  </w:style>
  <w:style w:type="paragraph" w:styleId="51">
    <w:name w:val="Signature"/>
    <w:basedOn w:val="1"/>
    <w:link w:val="324"/>
    <w:qFormat/>
    <w:uiPriority w:val="99"/>
    <w:pPr>
      <w:ind w:left="100" w:leftChars="2100"/>
    </w:pPr>
    <w:rPr>
      <w:kern w:val="0"/>
    </w:rPr>
  </w:style>
  <w:style w:type="paragraph" w:styleId="52">
    <w:name w:val="toc 1"/>
    <w:basedOn w:val="1"/>
    <w:next w:val="1"/>
    <w:qFormat/>
    <w:uiPriority w:val="39"/>
    <w:pPr>
      <w:spacing w:before="120" w:after="120"/>
      <w:jc w:val="left"/>
    </w:pPr>
    <w:rPr>
      <w:b/>
      <w:bCs/>
      <w:caps/>
      <w:sz w:val="24"/>
      <w:szCs w:val="20"/>
    </w:rPr>
  </w:style>
  <w:style w:type="paragraph" w:styleId="53">
    <w:name w:val="List Continue 4"/>
    <w:basedOn w:val="1"/>
    <w:qFormat/>
    <w:uiPriority w:val="99"/>
    <w:pPr>
      <w:spacing w:after="120"/>
      <w:ind w:left="1680" w:leftChars="800"/>
    </w:pPr>
  </w:style>
  <w:style w:type="paragraph" w:styleId="54">
    <w:name w:val="toc 4"/>
    <w:basedOn w:val="1"/>
    <w:next w:val="1"/>
    <w:qFormat/>
    <w:uiPriority w:val="0"/>
    <w:pPr>
      <w:ind w:left="630"/>
      <w:jc w:val="left"/>
    </w:pPr>
    <w:rPr>
      <w:sz w:val="18"/>
      <w:szCs w:val="18"/>
    </w:rPr>
  </w:style>
  <w:style w:type="paragraph" w:styleId="55">
    <w:name w:val="Subtitle"/>
    <w:basedOn w:val="1"/>
    <w:link w:val="298"/>
    <w:qFormat/>
    <w:uiPriority w:val="99"/>
    <w:pPr>
      <w:spacing w:before="240" w:after="60" w:line="312" w:lineRule="auto"/>
      <w:jc w:val="center"/>
      <w:outlineLvl w:val="1"/>
    </w:pPr>
    <w:rPr>
      <w:rFonts w:ascii="Cambria" w:hAnsi="Cambria"/>
      <w:b/>
      <w:bCs/>
      <w:kern w:val="28"/>
      <w:sz w:val="32"/>
      <w:szCs w:val="32"/>
    </w:rPr>
  </w:style>
  <w:style w:type="paragraph" w:styleId="56">
    <w:name w:val="List Number 5"/>
    <w:basedOn w:val="1"/>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57">
    <w:name w:val="List"/>
    <w:basedOn w:val="1"/>
    <w:qFormat/>
    <w:uiPriority w:val="0"/>
    <w:pPr>
      <w:ind w:left="200" w:hanging="200" w:hangingChars="200"/>
    </w:pPr>
  </w:style>
  <w:style w:type="paragraph" w:styleId="58">
    <w:name w:val="footnote text"/>
    <w:basedOn w:val="1"/>
    <w:link w:val="339"/>
    <w:semiHidden/>
    <w:qFormat/>
    <w:locked/>
    <w:uiPriority w:val="0"/>
    <w:pPr>
      <w:snapToGrid w:val="0"/>
      <w:jc w:val="left"/>
    </w:pPr>
    <w:rPr>
      <w:sz w:val="18"/>
      <w:szCs w:val="18"/>
    </w:rPr>
  </w:style>
  <w:style w:type="paragraph" w:styleId="59">
    <w:name w:val="toc 6"/>
    <w:basedOn w:val="1"/>
    <w:next w:val="1"/>
    <w:qFormat/>
    <w:uiPriority w:val="0"/>
    <w:pPr>
      <w:ind w:left="1050"/>
      <w:jc w:val="left"/>
    </w:pPr>
    <w:rPr>
      <w:sz w:val="18"/>
      <w:szCs w:val="18"/>
    </w:rPr>
  </w:style>
  <w:style w:type="paragraph" w:styleId="60">
    <w:name w:val="List 5"/>
    <w:basedOn w:val="1"/>
    <w:qFormat/>
    <w:uiPriority w:val="99"/>
    <w:pPr>
      <w:ind w:left="100" w:leftChars="800" w:hanging="200" w:hangingChars="200"/>
    </w:pPr>
  </w:style>
  <w:style w:type="paragraph" w:styleId="61">
    <w:name w:val="Body Text Indent 3"/>
    <w:basedOn w:val="1"/>
    <w:link w:val="263"/>
    <w:qFormat/>
    <w:uiPriority w:val="0"/>
    <w:pPr>
      <w:tabs>
        <w:tab w:val="left" w:pos="1134"/>
        <w:tab w:val="left" w:pos="5481"/>
        <w:tab w:val="left" w:pos="5859"/>
      </w:tabs>
      <w:spacing w:line="500" w:lineRule="exact"/>
      <w:ind w:firstLine="8275" w:firstLineChars="1200"/>
    </w:pPr>
    <w:rPr>
      <w:kern w:val="0"/>
      <w:sz w:val="16"/>
      <w:szCs w:val="16"/>
    </w:rPr>
  </w:style>
  <w:style w:type="paragraph" w:styleId="62">
    <w:name w:val="toc 2"/>
    <w:basedOn w:val="1"/>
    <w:next w:val="1"/>
    <w:qFormat/>
    <w:uiPriority w:val="39"/>
    <w:pPr>
      <w:spacing w:line="360" w:lineRule="auto"/>
      <w:ind w:left="210"/>
      <w:jc w:val="left"/>
    </w:pPr>
    <w:rPr>
      <w:smallCaps/>
      <w:sz w:val="24"/>
      <w:szCs w:val="20"/>
    </w:rPr>
  </w:style>
  <w:style w:type="paragraph" w:styleId="63">
    <w:name w:val="toc 9"/>
    <w:basedOn w:val="1"/>
    <w:next w:val="1"/>
    <w:qFormat/>
    <w:uiPriority w:val="0"/>
    <w:pPr>
      <w:ind w:left="1680"/>
      <w:jc w:val="left"/>
    </w:pPr>
    <w:rPr>
      <w:sz w:val="18"/>
      <w:szCs w:val="18"/>
    </w:rPr>
  </w:style>
  <w:style w:type="paragraph" w:styleId="64">
    <w:name w:val="Body Text 2"/>
    <w:basedOn w:val="1"/>
    <w:link w:val="302"/>
    <w:qFormat/>
    <w:uiPriority w:val="99"/>
    <w:rPr>
      <w:kern w:val="0"/>
    </w:rPr>
  </w:style>
  <w:style w:type="paragraph" w:styleId="65">
    <w:name w:val="List 4"/>
    <w:basedOn w:val="1"/>
    <w:qFormat/>
    <w:uiPriority w:val="99"/>
    <w:pPr>
      <w:ind w:left="100" w:leftChars="600" w:hanging="200" w:hangingChars="200"/>
    </w:pPr>
  </w:style>
  <w:style w:type="paragraph" w:styleId="66">
    <w:name w:val="List Continue 2"/>
    <w:basedOn w:val="1"/>
    <w:qFormat/>
    <w:uiPriority w:val="99"/>
    <w:pPr>
      <w:spacing w:after="120"/>
      <w:ind w:left="840" w:leftChars="400"/>
    </w:pPr>
  </w:style>
  <w:style w:type="paragraph" w:styleId="67">
    <w:name w:val="Message Header"/>
    <w:basedOn w:val="1"/>
    <w:link w:val="322"/>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kern w:val="0"/>
      <w:sz w:val="24"/>
      <w:szCs w:val="24"/>
    </w:rPr>
  </w:style>
  <w:style w:type="paragraph" w:styleId="68">
    <w:name w:val="HTML Preformatted"/>
    <w:basedOn w:val="1"/>
    <w:link w:val="285"/>
    <w:semiHidden/>
    <w:qFormat/>
    <w:uiPriority w:val="99"/>
    <w:pPr>
      <w:spacing w:after="200" w:line="276" w:lineRule="auto"/>
      <w:jc w:val="left"/>
    </w:pPr>
    <w:rPr>
      <w:rFonts w:ascii="Courier New" w:hAnsi="Courier New"/>
      <w:kern w:val="0"/>
      <w:sz w:val="20"/>
      <w:szCs w:val="20"/>
    </w:rPr>
  </w:style>
  <w:style w:type="paragraph" w:styleId="6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70">
    <w:name w:val="List Continue 3"/>
    <w:basedOn w:val="1"/>
    <w:qFormat/>
    <w:uiPriority w:val="99"/>
    <w:pPr>
      <w:spacing w:after="120"/>
      <w:ind w:left="1260" w:leftChars="600"/>
    </w:pPr>
  </w:style>
  <w:style w:type="paragraph" w:styleId="71">
    <w:name w:val="index 1"/>
    <w:basedOn w:val="1"/>
    <w:next w:val="1"/>
    <w:qFormat/>
    <w:locked/>
    <w:uiPriority w:val="0"/>
    <w:rPr>
      <w:sz w:val="24"/>
      <w:szCs w:val="24"/>
    </w:rPr>
  </w:style>
  <w:style w:type="paragraph" w:styleId="72">
    <w:name w:val="Title"/>
    <w:basedOn w:val="1"/>
    <w:next w:val="1"/>
    <w:link w:val="304"/>
    <w:qFormat/>
    <w:uiPriority w:val="0"/>
    <w:pPr>
      <w:spacing w:before="240" w:after="60" w:line="276" w:lineRule="auto"/>
      <w:jc w:val="center"/>
      <w:outlineLvl w:val="0"/>
    </w:pPr>
    <w:rPr>
      <w:rFonts w:ascii="Cambria" w:hAnsi="Cambria"/>
      <w:b/>
      <w:bCs/>
      <w:kern w:val="0"/>
      <w:sz w:val="32"/>
      <w:szCs w:val="32"/>
    </w:rPr>
  </w:style>
  <w:style w:type="paragraph" w:styleId="73">
    <w:name w:val="annotation subject"/>
    <w:basedOn w:val="25"/>
    <w:next w:val="25"/>
    <w:link w:val="269"/>
    <w:semiHidden/>
    <w:qFormat/>
    <w:uiPriority w:val="99"/>
    <w:pPr>
      <w:spacing w:after="0" w:line="240" w:lineRule="auto"/>
    </w:pPr>
    <w:rPr>
      <w:rFonts w:ascii="Calibri" w:hAnsi="Calibri"/>
      <w:b/>
      <w:bCs/>
      <w:lang w:eastAsia="en-US"/>
    </w:rPr>
  </w:style>
  <w:style w:type="paragraph" w:styleId="74">
    <w:name w:val="Body Text First Indent"/>
    <w:basedOn w:val="1"/>
    <w:link w:val="283"/>
    <w:qFormat/>
    <w:uiPriority w:val="99"/>
    <w:pPr>
      <w:spacing w:line="400" w:lineRule="exact"/>
      <w:ind w:firstLine="200" w:firstLineChars="200"/>
    </w:pPr>
  </w:style>
  <w:style w:type="paragraph" w:styleId="75">
    <w:name w:val="Body Text First Indent 2"/>
    <w:basedOn w:val="31"/>
    <w:link w:val="265"/>
    <w:semiHidden/>
    <w:qFormat/>
    <w:uiPriority w:val="99"/>
    <w:pPr>
      <w:spacing w:after="120" w:line="276" w:lineRule="auto"/>
      <w:ind w:left="420" w:leftChars="200" w:firstLine="420" w:firstLineChars="200"/>
      <w:jc w:val="left"/>
    </w:pPr>
  </w:style>
  <w:style w:type="table" w:styleId="77">
    <w:name w:val="Table Grid"/>
    <w:basedOn w:val="76"/>
    <w:qFormat/>
    <w:uiPriority w:val="59"/>
    <w:pPr>
      <w:widowControl w:val="0"/>
      <w:spacing w:after="200" w:line="276" w:lineRule="auto"/>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8">
    <w:name w:val="Table Theme"/>
    <w:basedOn w:val="76"/>
    <w:semiHidden/>
    <w:qFormat/>
    <w:uiPriority w:val="99"/>
    <w:pPr>
      <w:widowControl w:val="0"/>
      <w:spacing w:after="200" w:line="276" w:lineRule="auto"/>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9">
    <w:name w:val="Table Colorful 1"/>
    <w:basedOn w:val="76"/>
    <w:semiHidden/>
    <w:qFormat/>
    <w:uiPriority w:val="99"/>
    <w:pPr>
      <w:widowControl w:val="0"/>
      <w:spacing w:after="200" w:line="276" w:lineRule="auto"/>
    </w:pPr>
    <w:rPr>
      <w:rFonts w:cs="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rFonts w:cs="微软雅黑"/>
        <w:b/>
        <w:bCs/>
        <w:i/>
        <w:iCs/>
      </w:rPr>
      <w:tblPr/>
      <w:tcPr>
        <w:tcBorders>
          <w:top w:val="nil"/>
          <w:left w:val="nil"/>
          <w:bottom w:val="nil"/>
          <w:right w:val="nil"/>
          <w:insideH w:val="nil"/>
          <w:insideV w:val="nil"/>
          <w:tl2br w:val="nil"/>
          <w:tr2bl w:val="nil"/>
        </w:tcBorders>
        <w:shd w:val="solid" w:color="000000" w:fill="FFFFFF"/>
      </w:tcPr>
    </w:tblStylePr>
    <w:tblStylePr w:type="firstCol">
      <w:rPr>
        <w:rFonts w:cs="微软雅黑"/>
        <w:b/>
        <w:bCs/>
        <w:i/>
        <w:iCs/>
      </w:rPr>
      <w:tblPr/>
      <w:tcPr>
        <w:tcBorders>
          <w:top w:val="nil"/>
          <w:left w:val="nil"/>
          <w:bottom w:val="nil"/>
          <w:right w:val="nil"/>
          <w:insideH w:val="nil"/>
          <w:insideV w:val="nil"/>
          <w:tl2br w:val="nil"/>
          <w:tr2bl w:val="nil"/>
        </w:tcBorders>
        <w:shd w:val="solid" w:color="000080" w:fill="FFFFFF"/>
      </w:tcPr>
    </w:tblStylePr>
    <w:tblStylePr w:type="nwCell">
      <w:rPr>
        <w:rFonts w:cs="微软雅黑"/>
      </w:rPr>
      <w:tblPr/>
      <w:tcPr>
        <w:tcBorders>
          <w:top w:val="nil"/>
          <w:left w:val="nil"/>
          <w:bottom w:val="nil"/>
          <w:right w:val="nil"/>
          <w:insideH w:val="nil"/>
          <w:insideV w:val="nil"/>
          <w:tl2br w:val="nil"/>
          <w:tr2bl w:val="nil"/>
        </w:tcBorders>
        <w:shd w:val="solid" w:color="000000" w:fill="FFFFFF"/>
      </w:tcPr>
    </w:tblStylePr>
    <w:tblStylePr w:type="swCell">
      <w:rPr>
        <w:rFonts w:cs="微软雅黑"/>
        <w:b/>
        <w:bCs/>
        <w:i w:val="0"/>
        <w:iCs w:val="0"/>
      </w:rPr>
      <w:tblPr/>
      <w:tcPr>
        <w:tcBorders>
          <w:top w:val="nil"/>
          <w:left w:val="nil"/>
          <w:bottom w:val="nil"/>
          <w:right w:val="nil"/>
          <w:insideH w:val="nil"/>
          <w:insideV w:val="nil"/>
          <w:tl2br w:val="nil"/>
          <w:tr2bl w:val="nil"/>
        </w:tcBorders>
      </w:tcPr>
    </w:tblStylePr>
  </w:style>
  <w:style w:type="table" w:styleId="80">
    <w:name w:val="Table Colorful 2"/>
    <w:basedOn w:val="76"/>
    <w:semiHidden/>
    <w:qFormat/>
    <w:uiPriority w:val="99"/>
    <w:pPr>
      <w:widowControl w:val="0"/>
      <w:spacing w:after="200" w:line="276" w:lineRule="auto"/>
    </w:pPr>
    <w:rPr>
      <w:rFonts w:cs="Calibri"/>
    </w:rPr>
    <w:tblPr>
      <w:tblBorders>
        <w:bottom w:val="single" w:color="000000" w:sz="12" w:space="0"/>
      </w:tblBorders>
    </w:tblPr>
    <w:tcPr>
      <w:shd w:val="pct20" w:color="FFFF00" w:fill="FFFFFF"/>
    </w:tcPr>
    <w:tblStylePr w:type="firstRow">
      <w:rPr>
        <w:rFonts w:cs="微软雅黑"/>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rFonts w:cs="微软雅黑"/>
        <w:b/>
        <w:bCs/>
        <w:i/>
        <w:iCs/>
      </w:rPr>
      <w:tblPr/>
      <w:tcPr>
        <w:tcBorders>
          <w:top w:val="nil"/>
          <w:left w:val="nil"/>
          <w:bottom w:val="nil"/>
          <w:right w:val="nil"/>
          <w:insideH w:val="nil"/>
          <w:insideV w:val="nil"/>
          <w:tl2br w:val="nil"/>
          <w:tr2bl w:val="nil"/>
        </w:tcBorders>
      </w:tcPr>
    </w:tblStylePr>
    <w:tblStylePr w:type="lastCol">
      <w:rPr>
        <w:rFonts w:cs="微软雅黑"/>
      </w:rPr>
      <w:tblPr/>
      <w:tcPr>
        <w:tcBorders>
          <w:top w:val="nil"/>
          <w:left w:val="nil"/>
          <w:bottom w:val="nil"/>
          <w:right w:val="nil"/>
          <w:insideH w:val="nil"/>
          <w:insideV w:val="nil"/>
          <w:tl2br w:val="nil"/>
          <w:tr2bl w:val="nil"/>
        </w:tcBorders>
        <w:shd w:val="solid" w:color="C0C0C0" w:fill="FFFFFF"/>
      </w:tcPr>
    </w:tblStylePr>
    <w:tblStylePr w:type="swCell">
      <w:rPr>
        <w:rFonts w:cs="微软雅黑"/>
        <w:b/>
        <w:bCs/>
        <w:i w:val="0"/>
        <w:iCs w:val="0"/>
      </w:rPr>
      <w:tblPr/>
      <w:tcPr>
        <w:tcBorders>
          <w:top w:val="nil"/>
          <w:left w:val="nil"/>
          <w:bottom w:val="nil"/>
          <w:right w:val="nil"/>
          <w:insideH w:val="nil"/>
          <w:insideV w:val="nil"/>
          <w:tl2br w:val="nil"/>
          <w:tr2bl w:val="nil"/>
        </w:tcBorders>
      </w:tcPr>
    </w:tblStylePr>
  </w:style>
  <w:style w:type="table" w:styleId="81">
    <w:name w:val="Table Colorful 3"/>
    <w:basedOn w:val="76"/>
    <w:semiHidden/>
    <w:qFormat/>
    <w:uiPriority w:val="99"/>
    <w:pPr>
      <w:widowControl w:val="0"/>
      <w:spacing w:after="200" w:line="276" w:lineRule="auto"/>
    </w:pPr>
    <w:rPr>
      <w:rFonts w:cs="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rPr>
        <w:rFonts w:cs="微软雅黑"/>
      </w:rPr>
      <w:tblPr/>
      <w:tcPr>
        <w:tcBorders>
          <w:top w:val="nil"/>
          <w:left w:val="nil"/>
          <w:bottom w:val="single" w:color="000000" w:sz="6" w:space="0"/>
          <w:right w:val="nil"/>
          <w:insideH w:val="nil"/>
          <w:insideV w:val="nil"/>
          <w:tl2br w:val="nil"/>
          <w:tr2bl w:val="nil"/>
        </w:tcBorders>
        <w:shd w:val="solid" w:color="008080" w:fill="FFFFFF"/>
      </w:tcPr>
    </w:tblStylePr>
    <w:tblStylePr w:type="firstCol">
      <w:rPr>
        <w:rFonts w:cs="微软雅黑"/>
      </w:rPr>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rFonts w:cs="微软雅黑"/>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2">
    <w:name w:val="Table Elegant"/>
    <w:basedOn w:val="76"/>
    <w:semiHidden/>
    <w:qFormat/>
    <w:uiPriority w:val="99"/>
    <w:pPr>
      <w:widowControl w:val="0"/>
      <w:spacing w:after="200" w:line="276" w:lineRule="auto"/>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微软雅黑"/>
        <w:caps/>
        <w:color w:val="auto"/>
      </w:rPr>
      <w:tblPr/>
      <w:tcPr>
        <w:tcBorders>
          <w:top w:val="nil"/>
          <w:left w:val="nil"/>
          <w:bottom w:val="nil"/>
          <w:right w:val="nil"/>
          <w:insideH w:val="nil"/>
          <w:insideV w:val="nil"/>
          <w:tl2br w:val="nil"/>
          <w:tr2bl w:val="nil"/>
        </w:tcBorders>
      </w:tcPr>
    </w:tblStylePr>
  </w:style>
  <w:style w:type="table" w:styleId="83">
    <w:name w:val="Table Classic 1"/>
    <w:basedOn w:val="76"/>
    <w:semiHidden/>
    <w:qFormat/>
    <w:uiPriority w:val="99"/>
    <w:pPr>
      <w:widowControl w:val="0"/>
      <w:spacing w:after="200" w:line="276" w:lineRule="auto"/>
    </w:pPr>
    <w:rPr>
      <w:rFonts w:cs="Calibri"/>
    </w:rPr>
    <w:tblPr>
      <w:tblBorders>
        <w:top w:val="single" w:color="000000" w:sz="12" w:space="0"/>
        <w:bottom w:val="single" w:color="000000" w:sz="12" w:space="0"/>
      </w:tblBorders>
    </w:tblPr>
    <w:tblStylePr w:type="firstRow">
      <w:rPr>
        <w:rFonts w:cs="微软雅黑"/>
        <w:i/>
        <w:iCs/>
      </w:rPr>
      <w:tblPr/>
      <w:tcPr>
        <w:tcBorders>
          <w:top w:val="nil"/>
          <w:left w:val="nil"/>
          <w:bottom w:val="single" w:color="000000" w:sz="6" w:space="0"/>
          <w:right w:val="nil"/>
          <w:insideH w:val="nil"/>
          <w:insideV w:val="nil"/>
          <w:tl2br w:val="nil"/>
          <w:tr2bl w:val="nil"/>
        </w:tcBorders>
      </w:tcPr>
    </w:tblStylePr>
    <w:tblStylePr w:type="lastRow">
      <w:rPr>
        <w:rFonts w:cs="微软雅黑"/>
        <w:color w:val="auto"/>
      </w:rPr>
      <w:tblPr/>
      <w:tcPr>
        <w:tcBorders>
          <w:top w:val="single" w:color="000000" w:sz="6" w:space="0"/>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000000" w:sz="6" w:space="0"/>
          <w:insideH w:val="nil"/>
          <w:insideV w:val="nil"/>
          <w:tl2br w:val="nil"/>
          <w:tr2bl w:val="nil"/>
        </w:tcBorders>
      </w:tcPr>
    </w:tblStylePr>
    <w:tblStylePr w:type="neCell">
      <w:rPr>
        <w:rFonts w:cs="微软雅黑"/>
        <w:b/>
        <w:bCs/>
        <w:i w:val="0"/>
        <w:iCs w:val="0"/>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84">
    <w:name w:val="Table Classic 2"/>
    <w:basedOn w:val="76"/>
    <w:semiHidden/>
    <w:qFormat/>
    <w:uiPriority w:val="99"/>
    <w:pPr>
      <w:widowControl w:val="0"/>
      <w:spacing w:after="200" w:line="276" w:lineRule="auto"/>
    </w:pPr>
    <w:rPr>
      <w:rFonts w:cs="Calibri"/>
    </w:rPr>
    <w:tblPr>
      <w:tblBorders>
        <w:top w:val="single" w:color="000000" w:sz="12" w:space="0"/>
        <w:bottom w:val="single" w:color="000000" w:sz="12" w:space="0"/>
      </w:tblBorders>
    </w:tblPr>
    <w:tblStylePr w:type="firstRow">
      <w:rPr>
        <w:rFonts w:cs="微软雅黑"/>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rPr>
        <w:rFonts w:cs="微软雅黑"/>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shd w:val="solid" w:color="C0C0C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nil"/>
          <w:tr2bl w:val="nil"/>
        </w:tcBorders>
        <w:shd w:val="solid" w:color="800080" w:fill="FFFFFF"/>
      </w:tcPr>
    </w:tblStylePr>
    <w:tblStylePr w:type="swCell">
      <w:rPr>
        <w:rFonts w:cs="微软雅黑"/>
        <w:color w:val="000080"/>
      </w:rPr>
      <w:tblPr/>
      <w:tcPr>
        <w:tcBorders>
          <w:top w:val="nil"/>
          <w:left w:val="nil"/>
          <w:bottom w:val="nil"/>
          <w:right w:val="nil"/>
          <w:insideH w:val="nil"/>
          <w:insideV w:val="nil"/>
          <w:tl2br w:val="nil"/>
          <w:tr2bl w:val="nil"/>
        </w:tcBorders>
      </w:tcPr>
    </w:tblStylePr>
  </w:style>
  <w:style w:type="table" w:styleId="85">
    <w:name w:val="Table Classic 3"/>
    <w:basedOn w:val="76"/>
    <w:semiHidden/>
    <w:qFormat/>
    <w:uiPriority w:val="99"/>
    <w:pPr>
      <w:widowControl w:val="0"/>
      <w:spacing w:after="200" w:line="276" w:lineRule="auto"/>
    </w:pPr>
    <w:rPr>
      <w:rFonts w:cs="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rFonts w:cs="微软雅黑"/>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rFonts w:cs="微软雅黑"/>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rFonts w:cs="微软雅黑"/>
        <w:b/>
        <w:bCs/>
        <w:color w:val="000000"/>
      </w:rPr>
      <w:tblPr/>
      <w:tcPr>
        <w:tcBorders>
          <w:top w:val="nil"/>
          <w:left w:val="nil"/>
          <w:bottom w:val="nil"/>
          <w:right w:val="nil"/>
          <w:insideH w:val="nil"/>
          <w:insideV w:val="nil"/>
          <w:tl2br w:val="nil"/>
          <w:tr2bl w:val="nil"/>
        </w:tcBorders>
      </w:tcPr>
    </w:tblStylePr>
  </w:style>
  <w:style w:type="table" w:styleId="86">
    <w:name w:val="Table Classic 4"/>
    <w:basedOn w:val="76"/>
    <w:semiHidden/>
    <w:qFormat/>
    <w:uiPriority w:val="99"/>
    <w:pPr>
      <w:widowControl w:val="0"/>
      <w:spacing w:after="200" w:line="276" w:lineRule="auto"/>
    </w:pPr>
    <w:rPr>
      <w:rFonts w:cs="Calibri"/>
    </w:rPr>
    <w:tblPr>
      <w:tblBorders>
        <w:top w:val="single" w:color="000000" w:sz="12" w:space="0"/>
        <w:left w:val="single" w:color="000000" w:sz="6" w:space="0"/>
        <w:bottom w:val="single" w:color="000000" w:sz="12" w:space="0"/>
        <w:right w:val="single" w:color="000000" w:sz="6" w:space="0"/>
      </w:tblBorders>
    </w:tblPr>
    <w:tblStylePr w:type="firstRow">
      <w:rPr>
        <w:rFonts w:cs="微软雅黑"/>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rFonts w:cs="微软雅黑"/>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rFonts w:cs="微软雅黑"/>
        <w:b/>
        <w:bCs/>
      </w:rPr>
      <w:tblPr/>
      <w:tcPr>
        <w:tcBorders>
          <w:top w:val="nil"/>
          <w:left w:val="nil"/>
          <w:bottom w:val="nil"/>
          <w:right w:val="nil"/>
          <w:insideH w:val="nil"/>
          <w:insideV w:val="nil"/>
          <w:tl2br w:val="nil"/>
          <w:tr2bl w:val="nil"/>
        </w:tcBorders>
      </w:tcPr>
    </w:tblStylePr>
    <w:tblStylePr w:type="nwCell">
      <w:rPr>
        <w:rFonts w:cs="微软雅黑"/>
        <w:b/>
        <w:bCs/>
      </w:rPr>
      <w:tblPr/>
      <w:tcPr>
        <w:tcBorders>
          <w:top w:val="nil"/>
          <w:left w:val="nil"/>
          <w:bottom w:val="nil"/>
          <w:right w:val="nil"/>
          <w:insideH w:val="nil"/>
          <w:insideV w:val="nil"/>
          <w:tl2br w:val="nil"/>
          <w:tr2bl w:val="nil"/>
        </w:tcBorders>
      </w:tcPr>
    </w:tblStylePr>
    <w:tblStylePr w:type="swCell">
      <w:rPr>
        <w:rFonts w:cs="微软雅黑"/>
        <w:color w:val="000080"/>
      </w:rPr>
      <w:tblPr/>
      <w:tcPr>
        <w:tcBorders>
          <w:top w:val="nil"/>
          <w:left w:val="nil"/>
          <w:bottom w:val="nil"/>
          <w:right w:val="nil"/>
          <w:insideH w:val="nil"/>
          <w:insideV w:val="nil"/>
          <w:tl2br w:val="nil"/>
          <w:tr2bl w:val="nil"/>
        </w:tcBorders>
      </w:tcPr>
    </w:tblStylePr>
  </w:style>
  <w:style w:type="table" w:styleId="87">
    <w:name w:val="Table Simple 1"/>
    <w:basedOn w:val="76"/>
    <w:semiHidden/>
    <w:qFormat/>
    <w:uiPriority w:val="99"/>
    <w:pPr>
      <w:widowControl w:val="0"/>
      <w:spacing w:after="200" w:line="276" w:lineRule="auto"/>
    </w:pPr>
    <w:rPr>
      <w:rFonts w:cs="Calibri"/>
    </w:rPr>
    <w:tblPr>
      <w:tblBorders>
        <w:top w:val="single" w:color="008000" w:sz="12" w:space="0"/>
        <w:bottom w:val="single" w:color="008000" w:sz="12" w:space="0"/>
      </w:tblBorders>
    </w:tblPr>
    <w:tblStylePr w:type="firstRow">
      <w:rPr>
        <w:rFonts w:cs="微软雅黑"/>
      </w:rPr>
      <w:tblPr/>
      <w:tcPr>
        <w:tcBorders>
          <w:top w:val="nil"/>
          <w:left w:val="nil"/>
          <w:bottom w:val="single" w:color="008000" w:sz="6" w:space="0"/>
          <w:right w:val="nil"/>
          <w:insideH w:val="nil"/>
          <w:insideV w:val="nil"/>
          <w:tl2br w:val="nil"/>
          <w:tr2bl w:val="nil"/>
        </w:tcBorders>
      </w:tcPr>
    </w:tblStylePr>
    <w:tblStylePr w:type="lastRow">
      <w:rPr>
        <w:rFonts w:cs="微软雅黑"/>
      </w:rPr>
      <w:tblPr/>
      <w:tcPr>
        <w:tcBorders>
          <w:top w:val="single" w:color="008000" w:sz="6" w:space="0"/>
          <w:left w:val="nil"/>
          <w:bottom w:val="nil"/>
          <w:right w:val="nil"/>
          <w:insideH w:val="nil"/>
          <w:insideV w:val="nil"/>
          <w:tl2br w:val="nil"/>
          <w:tr2bl w:val="nil"/>
        </w:tcBorders>
      </w:tcPr>
    </w:tblStylePr>
  </w:style>
  <w:style w:type="table" w:styleId="88">
    <w:name w:val="Table Simple 2"/>
    <w:basedOn w:val="76"/>
    <w:semiHidden/>
    <w:qFormat/>
    <w:uiPriority w:val="99"/>
    <w:pPr>
      <w:widowControl w:val="0"/>
      <w:spacing w:after="200" w:line="276" w:lineRule="auto"/>
    </w:pPr>
    <w:rPr>
      <w:rFonts w:cs="Calibri"/>
    </w:rPr>
    <w:tblPr/>
    <w:tblStylePr w:type="firstRow">
      <w:rPr>
        <w:rFonts w:cs="微软雅黑"/>
        <w:b/>
        <w:bCs/>
      </w:rPr>
      <w:tblPr/>
      <w:tcPr>
        <w:tcBorders>
          <w:top w:val="nil"/>
          <w:left w:val="nil"/>
          <w:bottom w:val="single" w:color="000000" w:sz="12" w:space="0"/>
          <w:right w:val="nil"/>
          <w:insideH w:val="nil"/>
          <w:insideV w:val="nil"/>
          <w:tl2br w:val="nil"/>
          <w:tr2bl w:val="nil"/>
        </w:tcBorders>
      </w:tcPr>
    </w:tblStylePr>
    <w:tblStylePr w:type="lastRow">
      <w:rPr>
        <w:rFonts w:cs="微软雅黑"/>
        <w:b/>
        <w:bCs/>
        <w:color w:val="auto"/>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single" w:color="000000" w:sz="12" w:space="0"/>
          <w:insideH w:val="nil"/>
          <w:insideV w:val="nil"/>
          <w:tl2br w:val="nil"/>
          <w:tr2bl w:val="nil"/>
        </w:tcBorders>
      </w:tcPr>
    </w:tblStylePr>
    <w:tblStylePr w:type="lastCol">
      <w:rPr>
        <w:rFonts w:cs="微软雅黑"/>
        <w:b/>
        <w:bCs/>
      </w:rPr>
      <w:tblPr/>
      <w:tcPr>
        <w:tcBorders>
          <w:top w:val="nil"/>
          <w:left w:val="single" w:color="000000" w:sz="6" w:space="0"/>
          <w:bottom w:val="nil"/>
          <w:right w:val="nil"/>
          <w:insideH w:val="nil"/>
          <w:insideV w:val="nil"/>
          <w:tl2br w:val="nil"/>
          <w:tr2bl w:val="nil"/>
        </w:tcBorders>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89">
    <w:name w:val="Table Simple 3"/>
    <w:basedOn w:val="76"/>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tblBorders>
    </w:tblPr>
    <w:tblStylePr w:type="firstRow">
      <w:rPr>
        <w:rFonts w:cs="微软雅黑"/>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0">
    <w:name w:val="Table Subtle 1"/>
    <w:basedOn w:val="76"/>
    <w:semiHidden/>
    <w:qFormat/>
    <w:uiPriority w:val="99"/>
    <w:pPr>
      <w:widowControl w:val="0"/>
      <w:spacing w:after="200" w:line="276" w:lineRule="auto"/>
    </w:pPr>
    <w:rPr>
      <w:rFonts w:cs="Calibri"/>
    </w:rPr>
    <w:tblPr>
      <w:tblStyleRowBandSize w:val="1"/>
    </w:tblPr>
    <w:tblStylePr w:type="firstRow">
      <w:rPr>
        <w:rFonts w:cs="微软雅黑"/>
      </w:rPr>
      <w:tblPr/>
      <w:tcPr>
        <w:tcBorders>
          <w:top w:val="single" w:color="000000" w:sz="6" w:space="0"/>
          <w:left w:val="nil"/>
          <w:bottom w:val="single" w:color="000000" w:sz="12" w:space="0"/>
          <w:right w:val="nil"/>
          <w:insideH w:val="nil"/>
          <w:insideV w:val="nil"/>
          <w:tl2br w:val="nil"/>
          <w:tr2bl w:val="nil"/>
        </w:tcBorders>
      </w:tcPr>
    </w:tblStylePr>
    <w:tblStylePr w:type="lastRow">
      <w:rPr>
        <w:rFonts w:cs="微软雅黑"/>
      </w:rPr>
      <w:tbl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微软雅黑"/>
      </w:rPr>
      <w:tblPr/>
      <w:tcPr>
        <w:tcBorders>
          <w:top w:val="nil"/>
          <w:left w:val="nil"/>
          <w:bottom w:val="nil"/>
          <w:right w:val="single" w:color="000000" w:sz="12" w:space="0"/>
          <w:insideH w:val="nil"/>
          <w:insideV w:val="nil"/>
          <w:tl2br w:val="nil"/>
          <w:tr2bl w:val="nil"/>
        </w:tcBorders>
      </w:tcPr>
    </w:tblStylePr>
    <w:tblStylePr w:type="lastCol">
      <w:rPr>
        <w:rFonts w:cs="微软雅黑"/>
      </w:rPr>
      <w:tblPr/>
      <w:tcPr>
        <w:tcBorders>
          <w:top w:val="nil"/>
          <w:left w:val="single" w:color="000000" w:sz="12" w:space="0"/>
          <w:bottom w:val="nil"/>
          <w:right w:val="nil"/>
          <w:insideH w:val="nil"/>
          <w:insideV w:val="nil"/>
          <w:tl2br w:val="nil"/>
          <w:tr2bl w:val="nil"/>
        </w:tcBorders>
      </w:tcPr>
    </w:tblStylePr>
    <w:tblStylePr w:type="band1Horz">
      <w:rPr>
        <w:rFonts w:cs="微软雅黑"/>
      </w:rPr>
      <w:tbl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1">
    <w:name w:val="Table Subtle 2"/>
    <w:basedOn w:val="76"/>
    <w:semiHidden/>
    <w:qFormat/>
    <w:uiPriority w:val="99"/>
    <w:pPr>
      <w:widowControl w:val="0"/>
      <w:spacing w:after="200" w:line="276" w:lineRule="auto"/>
    </w:pPr>
    <w:rPr>
      <w:rFonts w:cs="Calibri"/>
    </w:rPr>
    <w:tblPr>
      <w:tblBorders>
        <w:left w:val="single" w:color="000000" w:sz="6" w:space="0"/>
        <w:right w:val="single" w:color="000000" w:sz="6" w:space="0"/>
      </w:tblBorders>
    </w:tblPr>
    <w:tblStylePr w:type="firstRow">
      <w:rPr>
        <w:rFonts w:cs="微软雅黑"/>
      </w:rPr>
      <w:tblPr/>
      <w:tcPr>
        <w:tcBorders>
          <w:top w:val="nil"/>
          <w:left w:val="nil"/>
          <w:bottom w:val="single" w:color="000000" w:sz="12" w:space="0"/>
          <w:right w:val="nil"/>
          <w:insideH w:val="nil"/>
          <w:insideV w:val="nil"/>
          <w:tl2br w:val="nil"/>
          <w:tr2bl w:val="nil"/>
        </w:tcBorders>
      </w:tcPr>
    </w:tblStylePr>
    <w:tblStylePr w:type="lastRow">
      <w:rPr>
        <w:rFonts w:cs="微软雅黑"/>
      </w:rPr>
      <w:tblPr/>
      <w:tcPr>
        <w:tcBorders>
          <w:top w:val="single" w:color="000000" w:sz="12" w:space="0"/>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000000" w:sz="12" w:space="0"/>
          <w:insideH w:val="nil"/>
          <w:insideV w:val="nil"/>
          <w:tl2br w:val="nil"/>
          <w:tr2bl w:val="nil"/>
        </w:tcBorders>
        <w:shd w:val="pct25" w:color="008000" w:fill="FFFFFF"/>
      </w:tcPr>
    </w:tblStylePr>
    <w:tblStylePr w:type="lastCol">
      <w:rPr>
        <w:rFonts w:cs="微软雅黑"/>
      </w:rPr>
      <w:tblPr/>
      <w:tcPr>
        <w:tcBorders>
          <w:top w:val="nil"/>
          <w:left w:val="single" w:color="000000" w:sz="12" w:space="0"/>
          <w:bottom w:val="nil"/>
          <w:right w:val="nil"/>
          <w:insideH w:val="nil"/>
          <w:insideV w:val="nil"/>
          <w:tl2br w:val="nil"/>
          <w:tr2bl w:val="nil"/>
        </w:tcBorders>
        <w:shd w:val="pct25" w:color="8080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2">
    <w:name w:val="Table 3D effects 1"/>
    <w:basedOn w:val="76"/>
    <w:semiHidden/>
    <w:qFormat/>
    <w:uiPriority w:val="99"/>
    <w:pPr>
      <w:widowControl w:val="0"/>
      <w:spacing w:after="200" w:line="276" w:lineRule="auto"/>
    </w:pPr>
    <w:rPr>
      <w:rFonts w:cs="Calibri"/>
    </w:rPr>
    <w:tblPr/>
    <w:tcPr>
      <w:shd w:val="solid" w:color="C0C0C0" w:fill="FFFFFF"/>
    </w:tcPr>
    <w:tblStylePr w:type="firstRow">
      <w:rPr>
        <w:rFonts w:cs="微软雅黑"/>
        <w:b/>
        <w:bCs/>
        <w:color w:val="800080"/>
      </w:rPr>
      <w:tblPr/>
      <w:tcPr>
        <w:tcBorders>
          <w:top w:val="nil"/>
          <w:left w:val="nil"/>
          <w:bottom w:val="single" w:color="808080" w:sz="6" w:space="0"/>
          <w:right w:val="nil"/>
          <w:insideH w:val="nil"/>
          <w:insideV w:val="nil"/>
          <w:tl2br w:val="nil"/>
          <w:tr2bl w:val="nil"/>
        </w:tcBorders>
      </w:tcPr>
    </w:tblStylePr>
    <w:tblStylePr w:type="lastRow">
      <w:rPr>
        <w:rFonts w:cs="微软雅黑"/>
      </w:rPr>
      <w:tblPr/>
      <w:tcPr>
        <w:tcBorders>
          <w:top w:val="single" w:color="FFFFFF"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single" w:color="808080" w:sz="6" w:space="0"/>
          <w:insideH w:val="nil"/>
          <w:insideV w:val="nil"/>
          <w:tl2br w:val="nil"/>
          <w:tr2bl w:val="nil"/>
        </w:tcBorders>
      </w:tcPr>
    </w:tblStylePr>
    <w:tblStylePr w:type="lastCol">
      <w:rPr>
        <w:rFonts w:cs="微软雅黑"/>
      </w:rPr>
      <w:tblPr/>
      <w:tcPr>
        <w:tcBorders>
          <w:top w:val="nil"/>
          <w:left w:val="single" w:color="FFFFFF" w:sz="6" w:space="0"/>
          <w:bottom w:val="nil"/>
          <w:right w:val="nil"/>
          <w:insideH w:val="nil"/>
          <w:insideV w:val="nil"/>
          <w:tl2br w:val="nil"/>
          <w:tr2bl w:val="nil"/>
        </w:tcBorders>
      </w:tcPr>
    </w:tblStylePr>
    <w:tblStylePr w:type="neCell">
      <w:rPr>
        <w:rFonts w:cs="微软雅黑"/>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nil"/>
          <w:tr2bl w:val="nil"/>
        </w:tcBorders>
      </w:tcPr>
    </w:tblStylePr>
    <w:tblStylePr w:type="seCell">
      <w:rPr>
        <w:rFonts w:cs="微软雅黑"/>
      </w:rPr>
      <w:tblPr/>
      <w:tcPr>
        <w:tcBorders>
          <w:top w:val="nil"/>
          <w:left w:val="nil"/>
          <w:bottom w:val="nil"/>
          <w:right w:val="nil"/>
          <w:insideH w:val="nil"/>
          <w:insideV w:val="nil"/>
          <w:tl2br w:val="nil"/>
          <w:tr2bl w:val="nil"/>
        </w:tcBorders>
      </w:tcPr>
    </w:tblStylePr>
    <w:tblStylePr w:type="swCell">
      <w:rPr>
        <w:rFonts w:cs="微软雅黑"/>
        <w:color w:val="000080"/>
      </w:rPr>
      <w:tblPr/>
      <w:tcPr>
        <w:tcBorders>
          <w:top w:val="nil"/>
          <w:left w:val="nil"/>
          <w:bottom w:val="nil"/>
          <w:right w:val="nil"/>
          <w:insideH w:val="nil"/>
          <w:insideV w:val="nil"/>
          <w:tl2br w:val="nil"/>
          <w:tr2bl w:val="nil"/>
        </w:tcBorders>
      </w:tcPr>
    </w:tblStylePr>
  </w:style>
  <w:style w:type="table" w:styleId="93">
    <w:name w:val="Table 3D effects 2"/>
    <w:basedOn w:val="76"/>
    <w:semiHidden/>
    <w:qFormat/>
    <w:uiPriority w:val="99"/>
    <w:pPr>
      <w:widowControl w:val="0"/>
      <w:spacing w:after="200" w:line="276" w:lineRule="auto"/>
    </w:pPr>
    <w:rPr>
      <w:rFonts w:cs="Calibri"/>
    </w:rPr>
    <w:tblPr>
      <w:tblStyleRowBandSize w:val="1"/>
    </w:tblPr>
    <w:tcPr>
      <w:shd w:val="solid" w:color="C0C0C0" w:fill="FFFFFF"/>
    </w:tcPr>
    <w:tblStylePr w:type="firstRow">
      <w:rPr>
        <w:rFonts w:cs="微软雅黑"/>
        <w:b/>
        <w:bCs/>
      </w:rPr>
      <w:tblPr/>
      <w:tcPr>
        <w:tcBorders>
          <w:top w:val="nil"/>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808080" w:sz="6" w:space="0"/>
          <w:insideH w:val="nil"/>
          <w:insideV w:val="nil"/>
          <w:tl2br w:val="nil"/>
          <w:tr2bl w:val="nil"/>
        </w:tcBorders>
      </w:tcPr>
    </w:tblStylePr>
    <w:tblStylePr w:type="lastCol">
      <w:rPr>
        <w:rFonts w:cs="微软雅黑"/>
      </w:rPr>
      <w:tblPr/>
      <w:tcPr>
        <w:tcBorders>
          <w:top w:val="nil"/>
          <w:left w:val="nil"/>
          <w:bottom w:val="nil"/>
          <w:right w:val="single" w:color="FFFFFF" w:sz="6" w:space="0"/>
          <w:insideH w:val="nil"/>
          <w:insideV w:val="nil"/>
          <w:tl2br w:val="nil"/>
          <w:tr2bl w:val="nil"/>
        </w:tcBorders>
      </w:tcPr>
    </w:tblStylePr>
    <w:tblStylePr w:type="band1Horz">
      <w:rPr>
        <w:rFonts w:cs="微软雅黑"/>
      </w:rPr>
      <w:tblPr/>
      <w:tcPr>
        <w:tcBorders>
          <w:top w:val="single" w:color="808080" w:sz="6" w:space="0"/>
          <w:left w:val="nil"/>
          <w:bottom w:val="single" w:color="FFFFFF" w:sz="6" w:space="0"/>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4">
    <w:name w:val="Table 3D effects 3"/>
    <w:basedOn w:val="76"/>
    <w:semiHidden/>
    <w:qFormat/>
    <w:uiPriority w:val="99"/>
    <w:pPr>
      <w:widowControl w:val="0"/>
      <w:spacing w:after="200" w:line="276" w:lineRule="auto"/>
    </w:pPr>
    <w:rPr>
      <w:rFonts w:cs="Calibri"/>
    </w:rPr>
    <w:tblPr>
      <w:tblStyleRowBandSize w:val="1"/>
      <w:tblStyleColBandSize w:val="1"/>
    </w:tblPr>
    <w:tblStylePr w:type="firstRow">
      <w:rPr>
        <w:rFonts w:cs="微软雅黑"/>
        <w:b/>
        <w:bCs/>
      </w:rPr>
      <w:tblPr/>
      <w:tcPr>
        <w:tcBorders>
          <w:top w:val="nil"/>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808080" w:sz="6" w:space="0"/>
          <w:insideH w:val="nil"/>
          <w:insideV w:val="nil"/>
          <w:tl2br w:val="nil"/>
          <w:tr2bl w:val="nil"/>
        </w:tcBorders>
      </w:tcPr>
    </w:tblStylePr>
    <w:tblStylePr w:type="lastCol">
      <w:rPr>
        <w:rFonts w:cs="微软雅黑"/>
      </w:rPr>
      <w:tblPr/>
      <w:tcPr>
        <w:tcBorders>
          <w:top w:val="nil"/>
          <w:left w:val="nil"/>
          <w:bottom w:val="nil"/>
          <w:right w:val="single" w:color="FFFFFF" w:sz="6" w:space="0"/>
          <w:insideH w:val="nil"/>
          <w:insideV w:val="nil"/>
          <w:tl2br w:val="nil"/>
          <w:tr2bl w:val="nil"/>
        </w:tcBorders>
      </w:tcPr>
    </w:tblStylePr>
    <w:tblStylePr w:type="band1Vert">
      <w:rPr>
        <w:rFonts w:cs="微软雅黑"/>
        <w:color w:val="auto"/>
      </w:rPr>
      <w:tblPr/>
      <w:tcPr>
        <w:shd w:val="solid" w:color="C0C0C0" w:fill="FFFFFF"/>
      </w:tcPr>
    </w:tblStylePr>
    <w:tblStylePr w:type="band2Vert">
      <w:rPr>
        <w:rFonts w:cs="微软雅黑"/>
        <w:color w:val="auto"/>
      </w:rPr>
      <w:tblPr/>
      <w:tcPr>
        <w:shd w:val="pct50" w:color="C0C0C0" w:fill="FFFFFF"/>
      </w:tcPr>
    </w:tblStylePr>
    <w:tblStylePr w:type="band1Horz">
      <w:rPr>
        <w:rFonts w:cs="微软雅黑"/>
      </w:rPr>
      <w:tblPr/>
      <w:tcPr>
        <w:tcBorders>
          <w:top w:val="single" w:color="808080" w:sz="6" w:space="0"/>
          <w:left w:val="nil"/>
          <w:bottom w:val="single" w:color="FFFFFF" w:sz="6" w:space="0"/>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5">
    <w:name w:val="Table List 1"/>
    <w:basedOn w:val="76"/>
    <w:semiHidden/>
    <w:qFormat/>
    <w:uiPriority w:val="99"/>
    <w:pPr>
      <w:widowControl w:val="0"/>
      <w:spacing w:after="200" w:line="276" w:lineRule="auto"/>
    </w:pPr>
    <w:rPr>
      <w:rFonts w:cs="Calibri"/>
    </w:rPr>
    <w:tblPr>
      <w:tblBorders>
        <w:top w:val="single" w:color="008080" w:sz="12" w:space="0"/>
        <w:left w:val="single" w:color="008080" w:sz="6" w:space="0"/>
        <w:bottom w:val="single" w:color="008080" w:sz="12" w:space="0"/>
        <w:right w:val="single" w:color="008080" w:sz="6" w:space="0"/>
      </w:tblBorders>
    </w:tblPr>
    <w:tblStylePr w:type="firstRow">
      <w:rPr>
        <w:rFonts w:cs="微软雅黑"/>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rPr>
        <w:rFonts w:cs="微软雅黑"/>
      </w:rPr>
      <w:tblPr/>
      <w:tcPr>
        <w:tcBorders>
          <w:top w:val="single" w:color="000000" w:sz="6" w:space="0"/>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微软雅黑"/>
        <w:color w:val="auto"/>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6">
    <w:name w:val="Table List 2"/>
    <w:basedOn w:val="76"/>
    <w:semiHidden/>
    <w:qFormat/>
    <w:uiPriority w:val="99"/>
    <w:pPr>
      <w:widowControl w:val="0"/>
      <w:spacing w:after="200" w:line="276" w:lineRule="auto"/>
    </w:pPr>
    <w:rPr>
      <w:rFonts w:cs="Calibri"/>
    </w:rPr>
    <w:tblPr>
      <w:tblBorders>
        <w:bottom w:val="single" w:color="808080" w:sz="12" w:space="0"/>
      </w:tblBorders>
    </w:tblPr>
    <w:tblStylePr w:type="firstRow">
      <w:rPr>
        <w:rFonts w:cs="微软雅黑"/>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rPr>
        <w:rFonts w:cs="微软雅黑"/>
      </w:rPr>
      <w:tblPr/>
      <w:tcPr>
        <w:tcBorders>
          <w:top w:val="single" w:color="000000" w:sz="6" w:space="0"/>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微软雅黑"/>
        <w:color w:val="auto"/>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7">
    <w:name w:val="Table List 3"/>
    <w:basedOn w:val="76"/>
    <w:semiHidden/>
    <w:qFormat/>
    <w:uiPriority w:val="99"/>
    <w:pPr>
      <w:widowControl w:val="0"/>
      <w:spacing w:after="200" w:line="276" w:lineRule="auto"/>
    </w:pPr>
    <w:rPr>
      <w:rFonts w:cs="Calibri"/>
    </w:rPr>
    <w:tblPr>
      <w:tblBorders>
        <w:top w:val="single" w:color="000000" w:sz="12" w:space="0"/>
        <w:bottom w:val="single" w:color="000000" w:sz="12" w:space="0"/>
        <w:insideH w:val="single" w:color="000000" w:sz="6" w:space="0"/>
      </w:tblBorders>
    </w:tblPr>
    <w:tblStylePr w:type="firstRow">
      <w:rPr>
        <w:rFonts w:cs="微软雅黑"/>
        <w:b/>
        <w:bCs/>
        <w:color w:val="000080"/>
      </w:rPr>
      <w:tblPr/>
      <w:tcPr>
        <w:tcBorders>
          <w:top w:val="nil"/>
          <w:left w:val="nil"/>
          <w:bottom w:val="single" w:color="000000" w:sz="12" w:space="0"/>
          <w:right w:val="nil"/>
          <w:insideH w:val="nil"/>
          <w:insideV w:val="nil"/>
          <w:tl2br w:val="nil"/>
          <w:tr2bl w:val="nil"/>
        </w:tcBorders>
      </w:tcPr>
    </w:tblStylePr>
    <w:tblStylePr w:type="lastRow">
      <w:rPr>
        <w:rFonts w:cs="微软雅黑"/>
      </w:rPr>
      <w:tblPr/>
      <w:tcPr>
        <w:tcBorders>
          <w:top w:val="single" w:color="000000" w:sz="12" w:space="0"/>
          <w:left w:val="nil"/>
          <w:bottom w:val="nil"/>
          <w:right w:val="nil"/>
          <w:insideH w:val="nil"/>
          <w:insideV w:val="nil"/>
          <w:tl2br w:val="nil"/>
          <w:tr2bl w:val="nil"/>
        </w:tcBorders>
      </w:tcPr>
    </w:tblStylePr>
    <w:tblStylePr w:type="swCell">
      <w:rPr>
        <w:rFonts w:cs="微软雅黑"/>
        <w:i/>
        <w:iCs/>
        <w:color w:val="000080"/>
      </w:rPr>
      <w:tblPr/>
      <w:tcPr>
        <w:tcBorders>
          <w:top w:val="nil"/>
          <w:left w:val="nil"/>
          <w:bottom w:val="nil"/>
          <w:right w:val="nil"/>
          <w:insideH w:val="nil"/>
          <w:insideV w:val="nil"/>
          <w:tl2br w:val="nil"/>
          <w:tr2bl w:val="nil"/>
        </w:tcBorders>
      </w:tcPr>
    </w:tblStylePr>
  </w:style>
  <w:style w:type="table" w:styleId="98">
    <w:name w:val="Table List 4"/>
    <w:basedOn w:val="76"/>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rFonts w:cs="微软雅黑"/>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99">
    <w:name w:val="Table List 5"/>
    <w:basedOn w:val="76"/>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rFonts w:cs="微软雅黑"/>
        <w:b/>
        <w:bCs/>
      </w:rPr>
      <w:tblPr/>
      <w:tcPr>
        <w:tcBorders>
          <w:top w:val="nil"/>
          <w:left w:val="nil"/>
          <w:bottom w:val="single" w:color="000000" w:sz="12" w:space="0"/>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style>
  <w:style w:type="table" w:styleId="100">
    <w:name w:val="Table List 6"/>
    <w:basedOn w:val="76"/>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rFonts w:cs="微软雅黑"/>
        <w:b/>
        <w:bCs/>
      </w:rPr>
      <w:tblPr/>
      <w:tcPr>
        <w:tcBorders>
          <w:top w:val="nil"/>
          <w:left w:val="nil"/>
          <w:bottom w:val="single" w:color="000000" w:sz="12" w:space="0"/>
          <w:right w:val="nil"/>
          <w:insideH w:val="nil"/>
          <w:insideV w:val="nil"/>
          <w:tl2br w:val="nil"/>
          <w:tr2bl w:val="nil"/>
        </w:tcBorders>
      </w:tcPr>
    </w:tblStylePr>
    <w:tblStylePr w:type="firstCol">
      <w:rPr>
        <w:rFonts w:cs="微软雅黑"/>
        <w:b/>
        <w:bCs/>
      </w:rPr>
      <w:tblPr/>
      <w:tcPr>
        <w:tcBorders>
          <w:top w:val="nil"/>
          <w:left w:val="nil"/>
          <w:bottom w:val="nil"/>
          <w:right w:val="single" w:color="000000" w:sz="12" w:space="0"/>
          <w:insideH w:val="nil"/>
          <w:insideV w:val="nil"/>
          <w:tl2br w:val="nil"/>
          <w:tr2bl w:val="nil"/>
        </w:tcBorders>
      </w:tcPr>
    </w:tblStylePr>
    <w:tblStylePr w:type="band1Horz">
      <w:rPr>
        <w:rFonts w:cs="微软雅黑"/>
      </w:rPr>
      <w:tblPr/>
      <w:tcPr>
        <w:tcBorders>
          <w:top w:val="nil"/>
          <w:left w:val="nil"/>
          <w:bottom w:val="nil"/>
          <w:right w:val="nil"/>
          <w:insideH w:val="nil"/>
          <w:insideV w:val="nil"/>
          <w:tl2br w:val="nil"/>
          <w:tr2bl w:val="nil"/>
        </w:tcBorders>
        <w:shd w:val="pct25" w:color="000000" w:fill="FFFFFF"/>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01">
    <w:name w:val="Table List 7"/>
    <w:basedOn w:val="76"/>
    <w:semiHidden/>
    <w:qFormat/>
    <w:uiPriority w:val="99"/>
    <w:pPr>
      <w:widowControl w:val="0"/>
      <w:spacing w:after="200" w:line="276" w:lineRule="auto"/>
    </w:pPr>
    <w:rPr>
      <w:rFonts w:cs="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rFonts w:cs="微软雅黑"/>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rFonts w:cs="微软雅黑"/>
        <w:b/>
        <w:bCs/>
      </w:rPr>
      <w:tblPr/>
      <w:tcPr>
        <w:tcBorders>
          <w:top w:val="single" w:color="008000" w:sz="12"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微软雅黑"/>
      </w:rPr>
      <w:tblPr/>
      <w:tcPr>
        <w:tcBorders>
          <w:top w:val="nil"/>
          <w:left w:val="nil"/>
          <w:bottom w:val="nil"/>
          <w:right w:val="nil"/>
          <w:insideH w:val="nil"/>
          <w:insideV w:val="nil"/>
          <w:tl2br w:val="nil"/>
          <w:tr2bl w:val="nil"/>
        </w:tcBorders>
        <w:shd w:val="pct25" w:color="FFFF00" w:fill="FFFFFF"/>
      </w:tcPr>
    </w:tblStylePr>
  </w:style>
  <w:style w:type="table" w:styleId="102">
    <w:name w:val="Table List 8"/>
    <w:basedOn w:val="76"/>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rFonts w:cs="微软雅黑"/>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rFonts w:cs="微软雅黑"/>
        <w:b/>
        <w:bCs/>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微软雅黑"/>
      </w:rPr>
      <w:tblPr/>
      <w:tcPr>
        <w:tcBorders>
          <w:top w:val="nil"/>
          <w:left w:val="nil"/>
          <w:bottom w:val="nil"/>
          <w:right w:val="nil"/>
          <w:insideH w:val="nil"/>
          <w:insideV w:val="nil"/>
          <w:tl2br w:val="nil"/>
          <w:tr2bl w:val="nil"/>
        </w:tcBorders>
        <w:shd w:val="pct50" w:color="FF0000" w:fill="FFFFFF"/>
      </w:tcPr>
    </w:tblStylePr>
    <w:tblStylePr w:type="nwCell">
      <w:rPr>
        <w:rFonts w:cs="微软雅黑"/>
      </w:rPr>
      <w:tblPr/>
      <w:tcPr>
        <w:tcBorders>
          <w:top w:val="nil"/>
          <w:left w:val="nil"/>
          <w:bottom w:val="nil"/>
          <w:right w:val="nil"/>
          <w:insideH w:val="nil"/>
          <w:insideV w:val="nil"/>
          <w:tl2br w:val="single" w:color="auto" w:sz="6" w:space="0"/>
          <w:tr2bl w:val="nil"/>
        </w:tcBorders>
      </w:tcPr>
    </w:tblStylePr>
  </w:style>
  <w:style w:type="table" w:styleId="103">
    <w:name w:val="Table Contemporary"/>
    <w:basedOn w:val="76"/>
    <w:semiHidden/>
    <w:qFormat/>
    <w:uiPriority w:val="99"/>
    <w:pPr>
      <w:widowControl w:val="0"/>
      <w:spacing w:after="200" w:line="276" w:lineRule="auto"/>
    </w:pPr>
    <w:rPr>
      <w:rFonts w:cs="Calibri"/>
    </w:rPr>
    <w:tblPr>
      <w:tblBorders>
        <w:insideH w:val="single" w:color="FFFFFF" w:sz="18" w:space="0"/>
        <w:insideV w:val="single" w:color="FFFFFF" w:sz="18" w:space="0"/>
      </w:tblBorders>
    </w:tblPr>
    <w:tblStylePr w:type="firstRow">
      <w:rPr>
        <w:rFonts w:cs="微软雅黑"/>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微软雅黑"/>
        <w:color w:val="auto"/>
      </w:rPr>
      <w:tblPr/>
      <w:tcPr>
        <w:tcBorders>
          <w:top w:val="nil"/>
          <w:left w:val="nil"/>
          <w:bottom w:val="nil"/>
          <w:right w:val="nil"/>
          <w:insideH w:val="nil"/>
          <w:insideV w:val="nil"/>
          <w:tl2br w:val="nil"/>
          <w:tr2bl w:val="nil"/>
        </w:tcBorders>
        <w:shd w:val="pct5" w:color="000000" w:fill="FFFFFF"/>
      </w:tcPr>
    </w:tblStylePr>
    <w:tblStylePr w:type="band2Horz">
      <w:rPr>
        <w:rFonts w:cs="微软雅黑"/>
        <w:color w:val="auto"/>
      </w:rPr>
      <w:tblPr/>
      <w:tcPr>
        <w:tcBorders>
          <w:top w:val="nil"/>
          <w:left w:val="nil"/>
          <w:bottom w:val="nil"/>
          <w:right w:val="nil"/>
          <w:insideH w:val="nil"/>
          <w:insideV w:val="nil"/>
          <w:tl2br w:val="nil"/>
          <w:tr2bl w:val="nil"/>
        </w:tcBorders>
        <w:shd w:val="pct20" w:color="000000" w:fill="FFFFFF"/>
      </w:tcPr>
    </w:tblStylePr>
  </w:style>
  <w:style w:type="table" w:styleId="104">
    <w:name w:val="Table Columns 1"/>
    <w:basedOn w:val="76"/>
    <w:semiHidden/>
    <w:qFormat/>
    <w:uiPriority w:val="99"/>
    <w:pPr>
      <w:widowControl w:val="0"/>
      <w:spacing w:after="200" w:line="276" w:lineRule="auto"/>
    </w:pPr>
    <w:rPr>
      <w:rFonts w:cs="Calibri"/>
      <w:b/>
      <w:bCs/>
    </w:rPr>
    <w:tblPr>
      <w:tblBorders>
        <w:top w:val="single" w:color="000000" w:sz="12" w:space="0"/>
        <w:left w:val="single" w:color="000000" w:sz="12" w:space="0"/>
        <w:bottom w:val="single" w:color="000000" w:sz="12" w:space="0"/>
        <w:right w:val="single" w:color="000000" w:sz="12" w:space="0"/>
      </w:tblBorders>
    </w:tblPr>
    <w:tblStylePr w:type="firstRow">
      <w:rPr>
        <w:rFonts w:cs="微软雅黑"/>
        <w:b w:val="0"/>
        <w:bCs w:val="0"/>
      </w:rPr>
      <w:tblPr/>
      <w:tcPr>
        <w:tcBorders>
          <w:top w:val="nil"/>
          <w:left w:val="nil"/>
          <w:bottom w:val="double" w:color="000000" w:sz="6" w:space="0"/>
          <w:right w:val="nil"/>
          <w:insideH w:val="nil"/>
          <w:insideV w:val="nil"/>
          <w:tl2br w:val="nil"/>
          <w:tr2bl w:val="nil"/>
        </w:tcBorders>
      </w:tcPr>
    </w:tblStylePr>
    <w:tblStylePr w:type="lastRow">
      <w:rPr>
        <w:rFonts w:cs="微软雅黑"/>
        <w:b w:val="0"/>
        <w:bCs w:val="0"/>
      </w:rPr>
      <w:tblPr/>
      <w:tcPr>
        <w:tcBorders>
          <w:top w:val="nil"/>
          <w:left w:val="nil"/>
          <w:bottom w:val="nil"/>
          <w:right w:val="nil"/>
          <w:insideH w:val="nil"/>
          <w:insideV w:val="nil"/>
          <w:tl2br w:val="nil"/>
          <w:tr2bl w:val="nil"/>
        </w:tcBorders>
      </w:tcPr>
    </w:tblStylePr>
    <w:tblStylePr w:type="firstCol">
      <w:rPr>
        <w:rFonts w:cs="微软雅黑"/>
        <w:b w:val="0"/>
        <w:bCs w:val="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pct25" w:color="000000" w:fill="FFFFFF"/>
      </w:tcPr>
    </w:tblStylePr>
    <w:tblStylePr w:type="band2Vert">
      <w:rPr>
        <w:rFonts w:cs="微软雅黑"/>
        <w:color w:val="auto"/>
      </w:rPr>
      <w:tblPr/>
      <w:tcPr>
        <w:shd w:val="pct25" w:color="FFFF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105">
    <w:name w:val="Table Columns 2"/>
    <w:basedOn w:val="76"/>
    <w:semiHidden/>
    <w:qFormat/>
    <w:uiPriority w:val="99"/>
    <w:pPr>
      <w:widowControl w:val="0"/>
      <w:spacing w:after="200" w:line="276" w:lineRule="auto"/>
    </w:pPr>
    <w:rPr>
      <w:rFonts w:cs="Calibri"/>
      <w:b/>
      <w:bCs/>
    </w:rPr>
    <w:tblPr>
      <w:tblStyleColBandSize w:val="1"/>
    </w:tblPr>
    <w:tblStylePr w:type="firstRow">
      <w:rPr>
        <w:rFonts w:cs="微软雅黑"/>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微软雅黑"/>
        <w:b w:val="0"/>
        <w:bCs w:val="0"/>
      </w:rPr>
      <w:tblPr/>
      <w:tcPr>
        <w:tcBorders>
          <w:top w:val="nil"/>
          <w:left w:val="nil"/>
          <w:bottom w:val="nil"/>
          <w:right w:val="nil"/>
          <w:insideH w:val="nil"/>
          <w:insideV w:val="nil"/>
          <w:tl2br w:val="nil"/>
          <w:tr2bl w:val="nil"/>
        </w:tcBorders>
      </w:tcPr>
    </w:tblStylePr>
    <w:tblStylePr w:type="firstCol">
      <w:rPr>
        <w:rFonts w:cs="微软雅黑"/>
        <w:b w:val="0"/>
        <w:bCs w:val="0"/>
        <w:color w:val="00000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pct30" w:color="000000" w:fill="FFFFFF"/>
      </w:tcPr>
    </w:tblStylePr>
    <w:tblStylePr w:type="band2Vert">
      <w:rPr>
        <w:rFonts w:cs="微软雅黑"/>
        <w:color w:val="auto"/>
      </w:rPr>
      <w:tblPr/>
      <w:tcPr>
        <w:shd w:val="pct25" w:color="00FF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106">
    <w:name w:val="Table Columns 3"/>
    <w:basedOn w:val="76"/>
    <w:semiHidden/>
    <w:qFormat/>
    <w:uiPriority w:val="99"/>
    <w:pPr>
      <w:widowControl w:val="0"/>
      <w:spacing w:after="200" w:line="276" w:lineRule="auto"/>
    </w:pPr>
    <w:rPr>
      <w:rFonts w:cs="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rFonts w:cs="微软雅黑"/>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微软雅黑"/>
        <w:b w:val="0"/>
        <w:bCs w:val="0"/>
      </w:rPr>
      <w:tblPr/>
      <w:tcPr>
        <w:tcBorders>
          <w:top w:val="single" w:color="000080" w:sz="6" w:space="0"/>
          <w:left w:val="nil"/>
          <w:bottom w:val="nil"/>
          <w:right w:val="nil"/>
          <w:insideH w:val="nil"/>
          <w:insideV w:val="nil"/>
          <w:tl2br w:val="nil"/>
          <w:tr2bl w:val="nil"/>
        </w:tcBorders>
      </w:tcPr>
    </w:tblStylePr>
    <w:tblStylePr w:type="firstCol">
      <w:rPr>
        <w:rFonts w:cs="微软雅黑"/>
        <w:b w:val="0"/>
        <w:bCs w:val="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solid" w:color="C0C0C0" w:fill="FFFFFF"/>
      </w:tcPr>
    </w:tblStylePr>
    <w:tblStylePr w:type="band2Vert">
      <w:rPr>
        <w:rFonts w:cs="微软雅黑"/>
        <w:color w:val="auto"/>
      </w:rPr>
      <w:tblPr/>
      <w:tcPr>
        <w:shd w:val="pct10" w:color="000000" w:fill="FFFFFF"/>
      </w:tcPr>
    </w:tblStylePr>
    <w:tblStylePr w:type="neCell">
      <w:rPr>
        <w:rFonts w:cs="微软雅黑"/>
        <w:b/>
        <w:bCs/>
      </w:rPr>
      <w:tblPr/>
      <w:tcPr>
        <w:tcBorders>
          <w:top w:val="nil"/>
          <w:left w:val="nil"/>
          <w:bottom w:val="nil"/>
          <w:right w:val="nil"/>
          <w:insideH w:val="nil"/>
          <w:insideV w:val="nil"/>
          <w:tl2br w:val="nil"/>
          <w:tr2bl w:val="nil"/>
        </w:tcBorders>
      </w:tcPr>
    </w:tblStylePr>
  </w:style>
  <w:style w:type="table" w:styleId="107">
    <w:name w:val="Table Columns 4"/>
    <w:basedOn w:val="76"/>
    <w:semiHidden/>
    <w:qFormat/>
    <w:uiPriority w:val="99"/>
    <w:pPr>
      <w:widowControl w:val="0"/>
      <w:spacing w:after="200" w:line="276" w:lineRule="auto"/>
    </w:pPr>
    <w:rPr>
      <w:rFonts w:cs="Calibri"/>
    </w:rPr>
    <w:tblPr>
      <w:tblStyleColBandSize w:val="1"/>
    </w:tblPr>
    <w:tblStylePr w:type="firstRow">
      <w:rPr>
        <w:rFonts w:cs="微软雅黑"/>
        <w:color w:val="FFFFFF"/>
      </w:rPr>
      <w:tblPr/>
      <w:tcPr>
        <w:tcBorders>
          <w:top w:val="nil"/>
          <w:left w:val="nil"/>
          <w:bottom w:val="nil"/>
          <w:right w:val="nil"/>
          <w:insideH w:val="nil"/>
          <w:insideV w:val="nil"/>
          <w:tl2br w:val="nil"/>
          <w:tr2bl w:val="nil"/>
        </w:tcBorders>
        <w:shd w:val="solid" w:color="000000" w:fill="FFFFFF"/>
      </w:tcPr>
    </w:tblStylePr>
    <w:tblStylePr w:type="lastRow">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pct50" w:color="008080" w:fill="FFFFFF"/>
      </w:tcPr>
    </w:tblStylePr>
    <w:tblStylePr w:type="band2Vert">
      <w:rPr>
        <w:rFonts w:cs="微软雅黑"/>
        <w:color w:val="auto"/>
      </w:rPr>
      <w:tblPr/>
      <w:tcPr>
        <w:shd w:val="pct10" w:color="000000" w:fill="FFFFFF"/>
      </w:tcPr>
    </w:tblStylePr>
  </w:style>
  <w:style w:type="table" w:styleId="108">
    <w:name w:val="Table Columns 5"/>
    <w:basedOn w:val="76"/>
    <w:semiHidden/>
    <w:qFormat/>
    <w:uiPriority w:val="99"/>
    <w:pPr>
      <w:widowControl w:val="0"/>
      <w:spacing w:after="200" w:line="276" w:lineRule="auto"/>
    </w:pPr>
    <w:rPr>
      <w:rFonts w:cs="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rFonts w:cs="微软雅黑"/>
        <w:b/>
        <w:bCs/>
        <w:i/>
        <w:iCs/>
      </w:rPr>
      <w:tblPr/>
      <w:tcPr>
        <w:tcBorders>
          <w:top w:val="nil"/>
          <w:left w:val="nil"/>
          <w:bottom w:val="single" w:color="808080" w:sz="6" w:space="0"/>
          <w:right w:val="nil"/>
          <w:insideH w:val="nil"/>
          <w:insideV w:val="nil"/>
          <w:tl2br w:val="nil"/>
          <w:tr2bl w:val="nil"/>
        </w:tcBorders>
      </w:tcPr>
    </w:tblStylePr>
    <w:tblStylePr w:type="lastRow">
      <w:rPr>
        <w:rFonts w:cs="微软雅黑"/>
        <w:b/>
        <w:bCs/>
      </w:rPr>
      <w:tblPr/>
      <w:tcPr>
        <w:tcBorders>
          <w:top w:val="single" w:color="80808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solid" w:color="C0C0C0" w:fill="FFFFFF"/>
      </w:tcPr>
    </w:tblStylePr>
    <w:tblStylePr w:type="band2Vert">
      <w:rPr>
        <w:rFonts w:cs="微软雅黑"/>
        <w:color w:val="auto"/>
      </w:rPr>
    </w:tblStylePr>
  </w:style>
  <w:style w:type="table" w:styleId="109">
    <w:name w:val="Table Grid 1"/>
    <w:basedOn w:val="76"/>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rFonts w:cs="微软雅黑"/>
        <w:i/>
        <w:iCs/>
      </w:rPr>
      <w:tblPr/>
      <w:tcPr>
        <w:tcBorders>
          <w:top w:val="nil"/>
          <w:left w:val="nil"/>
          <w:bottom w:val="nil"/>
          <w:right w:val="nil"/>
          <w:insideH w:val="nil"/>
          <w:insideV w:val="nil"/>
          <w:tl2br w:val="nil"/>
          <w:tr2bl w:val="nil"/>
        </w:tcBorders>
      </w:tcPr>
    </w:tblStylePr>
    <w:tblStylePr w:type="lastCol">
      <w:rPr>
        <w:rFonts w:cs="微软雅黑"/>
        <w:i/>
        <w:i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0">
    <w:name w:val="Table Grid 2"/>
    <w:basedOn w:val="76"/>
    <w:semiHidden/>
    <w:qFormat/>
    <w:uiPriority w:val="99"/>
    <w:pPr>
      <w:widowControl w:val="0"/>
      <w:spacing w:after="200" w:line="276" w:lineRule="auto"/>
    </w:pPr>
    <w:rPr>
      <w:rFonts w:cs="Calibri"/>
    </w:rPr>
    <w:tblPr>
      <w:tblBorders>
        <w:insideH w:val="single" w:color="000000" w:sz="6" w:space="0"/>
        <w:insideV w:val="single" w:color="000000" w:sz="6" w:space="0"/>
      </w:tblBorders>
    </w:tblPr>
    <w:tblStylePr w:type="firstRow">
      <w:rPr>
        <w:rFonts w:cs="微软雅黑"/>
        <w:b/>
        <w:bCs/>
      </w:rPr>
      <w:tblPr/>
      <w:tcPr>
        <w:tcBorders>
          <w:top w:val="nil"/>
          <w:left w:val="nil"/>
          <w:bottom w:val="nil"/>
          <w:right w:val="nil"/>
          <w:insideH w:val="nil"/>
          <w:insideV w:val="nil"/>
          <w:tl2br w:val="nil"/>
          <w:tr2bl w:val="nil"/>
        </w:tcBorders>
      </w:tcPr>
    </w:tblStylePr>
    <w:tblStylePr w:type="lastRow">
      <w:rPr>
        <w:rFonts w:cs="微软雅黑"/>
        <w:b/>
        <w:bCs/>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style>
  <w:style w:type="table" w:styleId="111">
    <w:name w:val="Table Grid 3"/>
    <w:basedOn w:val="76"/>
    <w:semiHidden/>
    <w:qFormat/>
    <w:uiPriority w:val="99"/>
    <w:pPr>
      <w:widowControl w:val="0"/>
      <w:spacing w:after="200" w:line="276" w:lineRule="auto"/>
    </w:pPr>
    <w:rPr>
      <w:rFonts w:cs="Calibri"/>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rPr>
        <w:rFonts w:cs="微软雅黑"/>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2">
    <w:name w:val="Table Grid 4"/>
    <w:basedOn w:val="76"/>
    <w:semiHidden/>
    <w:qFormat/>
    <w:uiPriority w:val="99"/>
    <w:pPr>
      <w:widowControl w:val="0"/>
      <w:spacing w:after="200" w:line="276" w:lineRule="auto"/>
    </w:pPr>
    <w:rPr>
      <w:rFonts w:cs="Calibri"/>
    </w:rPr>
    <w:tblPr>
      <w:tblBorders>
        <w:left w:val="single" w:color="000000" w:sz="12" w:space="0"/>
        <w:right w:val="single" w:color="000000" w:sz="12" w:space="0"/>
        <w:insideH w:val="single" w:color="000000" w:sz="6" w:space="0"/>
        <w:insideV w:val="single" w:color="000000" w:sz="6" w:space="0"/>
      </w:tblBorders>
    </w:tblPr>
    <w:tblStylePr w:type="firstRow">
      <w:rPr>
        <w:rFonts w:cs="微软雅黑"/>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微软雅黑"/>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rFonts w:cs="微软雅黑"/>
        <w:b/>
        <w:bCs/>
        <w:color w:val="auto"/>
      </w:rPr>
      <w:tblPr/>
      <w:tcPr>
        <w:tcBorders>
          <w:top w:val="nil"/>
          <w:left w:val="nil"/>
          <w:bottom w:val="nil"/>
          <w:right w:val="nil"/>
          <w:insideH w:val="nil"/>
          <w:insideV w:val="nil"/>
          <w:tl2br w:val="nil"/>
          <w:tr2bl w:val="nil"/>
        </w:tcBorders>
      </w:tcPr>
    </w:tblStylePr>
  </w:style>
  <w:style w:type="table" w:styleId="113">
    <w:name w:val="Table Grid 5"/>
    <w:basedOn w:val="76"/>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微软雅黑"/>
      </w:rPr>
      <w:tblPr/>
      <w:tcPr>
        <w:tcBorders>
          <w:top w:val="nil"/>
          <w:left w:val="nil"/>
          <w:bottom w:val="single" w:color="000000" w:sz="12" w:space="0"/>
          <w:right w:val="nil"/>
          <w:insideH w:val="nil"/>
          <w:insideV w:val="nil"/>
          <w:tl2br w:val="nil"/>
          <w:tr2bl w:val="nil"/>
        </w:tcBorders>
      </w:tcPr>
    </w:tblStylePr>
    <w:tblStylePr w:type="lastRow">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4">
    <w:name w:val="Table Grid 6"/>
    <w:basedOn w:val="76"/>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rFonts w:cs="微软雅黑"/>
        <w:b/>
        <w:bCs/>
      </w:rPr>
      <w:tblPr/>
      <w:tcPr>
        <w:tcBorders>
          <w:top w:val="nil"/>
          <w:left w:val="nil"/>
          <w:bottom w:val="single" w:color="000000" w:sz="6" w:space="0"/>
          <w:right w:val="nil"/>
          <w:insideH w:val="nil"/>
          <w:insideV w:val="nil"/>
          <w:tl2br w:val="nil"/>
          <w:tr2bl w:val="nil"/>
        </w:tcBorders>
      </w:tcPr>
    </w:tblStylePr>
    <w:tblStylePr w:type="lastRow">
      <w:rPr>
        <w:rFonts w:cs="微软雅黑"/>
        <w:color w:val="auto"/>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5">
    <w:name w:val="Table Grid 7"/>
    <w:basedOn w:val="76"/>
    <w:semiHidden/>
    <w:qFormat/>
    <w:uiPriority w:val="99"/>
    <w:pPr>
      <w:widowControl w:val="0"/>
      <w:spacing w:after="200" w:line="276" w:lineRule="auto"/>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微软雅黑"/>
        <w:b w:val="0"/>
        <w:bCs w:val="0"/>
      </w:rPr>
      <w:tblPr/>
      <w:tcPr>
        <w:tcBorders>
          <w:top w:val="nil"/>
          <w:left w:val="nil"/>
          <w:bottom w:val="single" w:color="000000" w:sz="12" w:space="0"/>
          <w:right w:val="nil"/>
          <w:insideH w:val="nil"/>
          <w:insideV w:val="nil"/>
          <w:tl2br w:val="nil"/>
          <w:tr2bl w:val="nil"/>
        </w:tcBorders>
      </w:tcPr>
    </w:tblStylePr>
    <w:tblStylePr w:type="lastRow">
      <w:rPr>
        <w:rFonts w:cs="微软雅黑"/>
        <w:b w:val="0"/>
        <w:bCs w:val="0"/>
      </w:rPr>
      <w:tblPr/>
      <w:tcPr>
        <w:tcBorders>
          <w:top w:val="single" w:color="000000" w:sz="6" w:space="0"/>
          <w:left w:val="nil"/>
          <w:bottom w:val="nil"/>
          <w:right w:val="nil"/>
          <w:insideH w:val="nil"/>
          <w:insideV w:val="nil"/>
          <w:tl2br w:val="nil"/>
          <w:tr2bl w:val="nil"/>
        </w:tcBorders>
      </w:tcPr>
    </w:tblStylePr>
    <w:tblStylePr w:type="firstCol">
      <w:rPr>
        <w:rFonts w:cs="微软雅黑"/>
        <w:b w:val="0"/>
        <w:bCs w:val="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6">
    <w:name w:val="Table Grid 8"/>
    <w:basedOn w:val="76"/>
    <w:semiHidden/>
    <w:qFormat/>
    <w:uiPriority w:val="99"/>
    <w:pPr>
      <w:widowControl w:val="0"/>
      <w:spacing w:after="200" w:line="276" w:lineRule="auto"/>
    </w:pPr>
    <w:rPr>
      <w:rFonts w:cs="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rFonts w:cs="微软雅黑"/>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微软雅黑"/>
        <w:b/>
        <w:bCs/>
        <w:color w:val="auto"/>
      </w:rPr>
      <w:tblPr/>
      <w:tcPr>
        <w:tcBorders>
          <w:top w:val="nil"/>
          <w:left w:val="nil"/>
          <w:bottom w:val="nil"/>
          <w:right w:val="nil"/>
          <w:insideH w:val="nil"/>
          <w:insideV w:val="nil"/>
          <w:tl2br w:val="nil"/>
          <w:tr2bl w:val="nil"/>
        </w:tcBorders>
      </w:tcPr>
    </w:tblStylePr>
    <w:tblStylePr w:type="lastCol">
      <w:rPr>
        <w:rFonts w:cs="微软雅黑"/>
        <w:b/>
        <w:bCs/>
        <w:color w:val="auto"/>
      </w:rPr>
      <w:tblPr/>
      <w:tcPr>
        <w:tcBorders>
          <w:top w:val="nil"/>
          <w:left w:val="nil"/>
          <w:bottom w:val="nil"/>
          <w:right w:val="nil"/>
          <w:insideH w:val="nil"/>
          <w:insideV w:val="nil"/>
          <w:tl2br w:val="nil"/>
          <w:tr2bl w:val="nil"/>
        </w:tcBorders>
      </w:tcPr>
    </w:tblStylePr>
  </w:style>
  <w:style w:type="table" w:styleId="117">
    <w:name w:val="Table Web 1"/>
    <w:basedOn w:val="76"/>
    <w:semiHidden/>
    <w:qFormat/>
    <w:uiPriority w:val="99"/>
    <w:pPr>
      <w:widowControl w:val="0"/>
      <w:spacing w:after="200" w:line="276" w:lineRule="auto"/>
    </w:pPr>
    <w:rPr>
      <w:rFonts w:cs="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rFonts w:cs="微软雅黑"/>
        <w:color w:val="auto"/>
      </w:rPr>
      <w:tblPr/>
      <w:tcPr>
        <w:tcBorders>
          <w:top w:val="nil"/>
          <w:left w:val="nil"/>
          <w:bottom w:val="nil"/>
          <w:right w:val="nil"/>
          <w:insideH w:val="nil"/>
          <w:insideV w:val="nil"/>
          <w:tl2br w:val="nil"/>
          <w:tr2bl w:val="nil"/>
        </w:tcBorders>
      </w:tcPr>
    </w:tblStylePr>
  </w:style>
  <w:style w:type="table" w:styleId="118">
    <w:name w:val="Table Web 2"/>
    <w:basedOn w:val="76"/>
    <w:semiHidden/>
    <w:qFormat/>
    <w:uiPriority w:val="99"/>
    <w:pPr>
      <w:widowControl w:val="0"/>
      <w:spacing w:after="200" w:line="276" w:lineRule="auto"/>
    </w:pPr>
    <w:rPr>
      <w:rFonts w:cs="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rFonts w:cs="微软雅黑"/>
        <w:color w:val="auto"/>
      </w:rPr>
      <w:tblPr/>
      <w:tcPr>
        <w:tcBorders>
          <w:top w:val="nil"/>
          <w:left w:val="nil"/>
          <w:bottom w:val="nil"/>
          <w:right w:val="nil"/>
          <w:insideH w:val="nil"/>
          <w:insideV w:val="nil"/>
          <w:tl2br w:val="nil"/>
          <w:tr2bl w:val="nil"/>
        </w:tcBorders>
      </w:tcPr>
    </w:tblStylePr>
  </w:style>
  <w:style w:type="table" w:styleId="119">
    <w:name w:val="Table Web 3"/>
    <w:basedOn w:val="76"/>
    <w:semiHidden/>
    <w:qFormat/>
    <w:uiPriority w:val="99"/>
    <w:pPr>
      <w:widowControl w:val="0"/>
      <w:spacing w:after="200" w:line="276" w:lineRule="auto"/>
    </w:pPr>
    <w:rPr>
      <w:rFonts w:cs="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rFonts w:cs="微软雅黑"/>
        <w:color w:val="auto"/>
      </w:rPr>
      <w:tblPr/>
      <w:tcPr>
        <w:tcBorders>
          <w:top w:val="nil"/>
          <w:left w:val="nil"/>
          <w:bottom w:val="nil"/>
          <w:right w:val="nil"/>
          <w:insideH w:val="nil"/>
          <w:insideV w:val="nil"/>
          <w:tl2br w:val="nil"/>
          <w:tr2bl w:val="nil"/>
        </w:tcBorders>
      </w:tcPr>
    </w:tblStylePr>
  </w:style>
  <w:style w:type="table" w:styleId="120">
    <w:name w:val="Table Professional"/>
    <w:basedOn w:val="76"/>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微软雅黑"/>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22">
    <w:name w:val="Strong"/>
    <w:qFormat/>
    <w:uiPriority w:val="0"/>
    <w:rPr>
      <w:rFonts w:cs="Times New Roman"/>
      <w:b/>
      <w:bCs/>
    </w:rPr>
  </w:style>
  <w:style w:type="character" w:styleId="123">
    <w:name w:val="page number"/>
    <w:basedOn w:val="121"/>
    <w:qFormat/>
    <w:uiPriority w:val="0"/>
    <w:rPr>
      <w:rFonts w:cs="Times New Roman"/>
    </w:rPr>
  </w:style>
  <w:style w:type="character" w:styleId="124">
    <w:name w:val="FollowedHyperlink"/>
    <w:qFormat/>
    <w:uiPriority w:val="0"/>
    <w:rPr>
      <w:rFonts w:cs="Times New Roman"/>
      <w:color w:val="1F4F88"/>
      <w:u w:val="none"/>
    </w:rPr>
  </w:style>
  <w:style w:type="character" w:styleId="125">
    <w:name w:val="Emphasis"/>
    <w:qFormat/>
    <w:uiPriority w:val="20"/>
    <w:rPr>
      <w:rFonts w:cs="Times New Roman"/>
      <w:color w:val="auto"/>
    </w:rPr>
  </w:style>
  <w:style w:type="character" w:styleId="126">
    <w:name w:val="line number"/>
    <w:qFormat/>
    <w:uiPriority w:val="99"/>
    <w:rPr>
      <w:rFonts w:cs="Times New Roman"/>
    </w:rPr>
  </w:style>
  <w:style w:type="character" w:styleId="127">
    <w:name w:val="HTML Definition"/>
    <w:semiHidden/>
    <w:qFormat/>
    <w:uiPriority w:val="99"/>
    <w:rPr>
      <w:rFonts w:cs="Times New Roman"/>
      <w:i/>
      <w:iCs/>
    </w:rPr>
  </w:style>
  <w:style w:type="character" w:styleId="128">
    <w:name w:val="HTML Typewriter"/>
    <w:semiHidden/>
    <w:qFormat/>
    <w:uiPriority w:val="99"/>
    <w:rPr>
      <w:rFonts w:ascii="Courier New" w:hAnsi="Courier New" w:cs="Courier New"/>
      <w:sz w:val="20"/>
      <w:szCs w:val="20"/>
    </w:rPr>
  </w:style>
  <w:style w:type="character" w:styleId="129">
    <w:name w:val="HTML Acronym"/>
    <w:semiHidden/>
    <w:qFormat/>
    <w:uiPriority w:val="99"/>
    <w:rPr>
      <w:rFonts w:cs="Times New Roman"/>
    </w:rPr>
  </w:style>
  <w:style w:type="character" w:styleId="130">
    <w:name w:val="HTML Variable"/>
    <w:semiHidden/>
    <w:qFormat/>
    <w:uiPriority w:val="99"/>
    <w:rPr>
      <w:rFonts w:cs="Times New Roman"/>
      <w:i/>
      <w:iCs/>
    </w:rPr>
  </w:style>
  <w:style w:type="character" w:styleId="131">
    <w:name w:val="Hyperlink"/>
    <w:basedOn w:val="121"/>
    <w:qFormat/>
    <w:uiPriority w:val="99"/>
    <w:rPr>
      <w:rFonts w:cs="Times New Roman"/>
      <w:color w:val="1F4F88"/>
      <w:u w:val="none"/>
    </w:rPr>
  </w:style>
  <w:style w:type="character" w:styleId="132">
    <w:name w:val="HTML Code"/>
    <w:semiHidden/>
    <w:qFormat/>
    <w:uiPriority w:val="99"/>
    <w:rPr>
      <w:rFonts w:ascii="Courier New" w:hAnsi="Courier New" w:cs="Courier New"/>
      <w:sz w:val="20"/>
      <w:szCs w:val="20"/>
    </w:rPr>
  </w:style>
  <w:style w:type="character" w:styleId="133">
    <w:name w:val="annotation reference"/>
    <w:qFormat/>
    <w:uiPriority w:val="99"/>
    <w:rPr>
      <w:rFonts w:cs="Times New Roman"/>
      <w:sz w:val="21"/>
      <w:szCs w:val="21"/>
    </w:rPr>
  </w:style>
  <w:style w:type="character" w:styleId="134">
    <w:name w:val="HTML Cite"/>
    <w:semiHidden/>
    <w:qFormat/>
    <w:uiPriority w:val="99"/>
    <w:rPr>
      <w:rFonts w:cs="Times New Roman"/>
      <w:i/>
      <w:iCs/>
    </w:rPr>
  </w:style>
  <w:style w:type="character" w:styleId="135">
    <w:name w:val="footnote reference"/>
    <w:semiHidden/>
    <w:qFormat/>
    <w:locked/>
    <w:uiPriority w:val="0"/>
    <w:rPr>
      <w:vertAlign w:val="superscript"/>
    </w:rPr>
  </w:style>
  <w:style w:type="character" w:styleId="136">
    <w:name w:val="HTML Keyboard"/>
    <w:semiHidden/>
    <w:qFormat/>
    <w:uiPriority w:val="99"/>
    <w:rPr>
      <w:rFonts w:ascii="Courier New" w:hAnsi="Courier New" w:cs="Courier New"/>
      <w:sz w:val="20"/>
      <w:szCs w:val="20"/>
    </w:rPr>
  </w:style>
  <w:style w:type="character" w:styleId="137">
    <w:name w:val="HTML Sample"/>
    <w:semiHidden/>
    <w:qFormat/>
    <w:uiPriority w:val="99"/>
    <w:rPr>
      <w:rFonts w:ascii="Courier New" w:hAnsi="Courier New" w:cs="Courier New"/>
    </w:rPr>
  </w:style>
  <w:style w:type="paragraph" w:customStyle="1" w:styleId="138">
    <w:name w:val="_Style 137"/>
    <w:unhideWhenUsed/>
    <w:qFormat/>
    <w:uiPriority w:val="99"/>
    <w:rPr>
      <w:rFonts w:ascii="Times New Roman" w:hAnsi="Times New Roman" w:eastAsia="宋体" w:cs="Times New Roman"/>
      <w:kern w:val="2"/>
      <w:sz w:val="21"/>
      <w:szCs w:val="21"/>
      <w:lang w:val="en-US" w:eastAsia="zh-CN" w:bidi="ar-SA"/>
    </w:rPr>
  </w:style>
  <w:style w:type="paragraph" w:customStyle="1" w:styleId="139">
    <w:name w:val="表内文字"/>
    <w:basedOn w:val="1"/>
    <w:qFormat/>
    <w:uiPriority w:val="0"/>
    <w:pPr>
      <w:spacing w:line="360" w:lineRule="auto"/>
      <w:jc w:val="center"/>
    </w:pPr>
    <w:rPr>
      <w:rFonts w:ascii="宋体" w:hAnsi="宋体"/>
      <w:b/>
      <w:bCs/>
      <w:sz w:val="28"/>
      <w:szCs w:val="24"/>
    </w:rPr>
  </w:style>
  <w:style w:type="paragraph" w:customStyle="1" w:styleId="140">
    <w:name w:val="1正文段落"/>
    <w:basedOn w:val="1"/>
    <w:qFormat/>
    <w:uiPriority w:val="0"/>
    <w:pPr>
      <w:spacing w:line="360" w:lineRule="auto"/>
      <w:ind w:firstLine="480" w:firstLineChars="200"/>
      <w:jc w:val="left"/>
    </w:pPr>
    <w:rPr>
      <w:snapToGrid w:val="0"/>
      <w:kern w:val="0"/>
      <w:sz w:val="24"/>
      <w:szCs w:val="24"/>
    </w:rPr>
  </w:style>
  <w:style w:type="paragraph" w:customStyle="1" w:styleId="141">
    <w:name w:val="HR标题7"/>
    <w:basedOn w:val="1"/>
    <w:next w:val="142"/>
    <w:qFormat/>
    <w:uiPriority w:val="0"/>
    <w:pPr>
      <w:numPr>
        <w:ilvl w:val="6"/>
        <w:numId w:val="1"/>
      </w:numPr>
      <w:tabs>
        <w:tab w:val="left" w:pos="1332"/>
      </w:tabs>
      <w:spacing w:line="360" w:lineRule="auto"/>
      <w:outlineLvl w:val="6"/>
    </w:pPr>
    <w:rPr>
      <w:sz w:val="24"/>
      <w:szCs w:val="24"/>
    </w:rPr>
  </w:style>
  <w:style w:type="paragraph" w:customStyle="1" w:styleId="142">
    <w:name w:val="HR正文"/>
    <w:basedOn w:val="1"/>
    <w:link w:val="282"/>
    <w:qFormat/>
    <w:uiPriority w:val="0"/>
    <w:pPr>
      <w:spacing w:line="300" w:lineRule="auto"/>
      <w:ind w:firstLine="200" w:firstLineChars="200"/>
    </w:pPr>
    <w:rPr>
      <w:rFonts w:ascii="Calibri" w:hAnsi="Calibri"/>
      <w:sz w:val="24"/>
      <w:szCs w:val="24"/>
    </w:rPr>
  </w:style>
  <w:style w:type="paragraph" w:customStyle="1" w:styleId="143">
    <w:name w:val="_Style 142"/>
    <w:basedOn w:val="3"/>
    <w:next w:val="1"/>
    <w:qFormat/>
    <w:uiPriority w:val="39"/>
    <w:pPr>
      <w:keepNext/>
      <w:keepLines/>
      <w:tabs>
        <w:tab w:val="clear" w:pos="9061"/>
      </w:tabs>
      <w:spacing w:before="340" w:after="330" w:line="578" w:lineRule="auto"/>
      <w:jc w:val="both"/>
      <w:outlineLvl w:val="9"/>
    </w:pPr>
    <w:rPr>
      <w:bCs/>
      <w:kern w:val="44"/>
      <w:sz w:val="44"/>
      <w:szCs w:val="44"/>
    </w:rPr>
  </w:style>
  <w:style w:type="paragraph" w:customStyle="1" w:styleId="144">
    <w:name w:val="Char Char 字元 字元 字元 Char Char Char Char"/>
    <w:basedOn w:val="1"/>
    <w:qFormat/>
    <w:uiPriority w:val="99"/>
    <w:pPr>
      <w:adjustRightInd w:val="0"/>
      <w:spacing w:line="360" w:lineRule="auto"/>
    </w:pPr>
    <w:rPr>
      <w:kern w:val="0"/>
      <w:sz w:val="24"/>
      <w:szCs w:val="24"/>
    </w:rPr>
  </w:style>
  <w:style w:type="paragraph" w:customStyle="1" w:styleId="145">
    <w:name w:val="列表段落1"/>
    <w:basedOn w:val="1"/>
    <w:qFormat/>
    <w:uiPriority w:val="34"/>
    <w:pPr>
      <w:ind w:firstLine="420" w:firstLineChars="200"/>
    </w:pPr>
    <w:rPr>
      <w:szCs w:val="24"/>
    </w:rPr>
  </w:style>
  <w:style w:type="paragraph" w:customStyle="1" w:styleId="146">
    <w:name w:val="111111"/>
    <w:basedOn w:val="72"/>
    <w:qFormat/>
    <w:uiPriority w:val="99"/>
    <w:pPr>
      <w:jc w:val="both"/>
    </w:pPr>
  </w:style>
  <w:style w:type="paragraph" w:customStyle="1" w:styleId="147">
    <w:name w:val="插图标注（绿盟科技）"/>
    <w:next w:val="1"/>
    <w:semiHidden/>
    <w:qFormat/>
    <w:uiPriority w:val="99"/>
    <w:pPr>
      <w:tabs>
        <w:tab w:val="left" w:pos="1680"/>
      </w:tabs>
      <w:spacing w:after="156"/>
      <w:ind w:left="426"/>
      <w:jc w:val="center"/>
    </w:pPr>
    <w:rPr>
      <w:rFonts w:ascii="Arial" w:hAnsi="Arial" w:eastAsia="宋体" w:cs="Arial"/>
      <w:sz w:val="21"/>
      <w:szCs w:val="21"/>
      <w:lang w:val="en-US" w:eastAsia="zh-CN" w:bidi="ar-SA"/>
    </w:rPr>
  </w:style>
  <w:style w:type="paragraph" w:customStyle="1" w:styleId="148">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49">
    <w:name w:val="p0"/>
    <w:basedOn w:val="1"/>
    <w:semiHidden/>
    <w:qFormat/>
    <w:uiPriority w:val="99"/>
    <w:pPr>
      <w:widowControl/>
      <w:spacing w:after="200" w:line="273" w:lineRule="auto"/>
      <w:jc w:val="left"/>
    </w:pPr>
    <w:rPr>
      <w:rFonts w:ascii="Calibri" w:hAnsi="Calibri" w:cs="Calibri"/>
      <w:kern w:val="0"/>
      <w:sz w:val="22"/>
      <w:szCs w:val="22"/>
    </w:rPr>
  </w:style>
  <w:style w:type="paragraph" w:customStyle="1" w:styleId="150">
    <w:name w:val="样式7"/>
    <w:basedOn w:val="1"/>
    <w:qFormat/>
    <w:uiPriority w:val="0"/>
    <w:pPr>
      <w:widowControl/>
      <w:spacing w:line="480" w:lineRule="exact"/>
      <w:jc w:val="center"/>
    </w:pPr>
    <w:rPr>
      <w:rFonts w:eastAsia="方正大标宋简体"/>
      <w:spacing w:val="6"/>
      <w:kern w:val="0"/>
      <w:sz w:val="44"/>
      <w:szCs w:val="20"/>
    </w:rPr>
  </w:style>
  <w:style w:type="paragraph" w:customStyle="1" w:styleId="151">
    <w:name w:val="样式 正文文本 + 段前: 0.5 行 段后: 0.5 行3"/>
    <w:basedOn w:val="30"/>
    <w:qFormat/>
    <w:uiPriority w:val="0"/>
    <w:pPr>
      <w:numPr>
        <w:ilvl w:val="1"/>
        <w:numId w:val="2"/>
      </w:numPr>
      <w:spacing w:after="0" w:line="360" w:lineRule="auto"/>
    </w:pPr>
    <w:rPr>
      <w:rFonts w:cs="宋体"/>
      <w:kern w:val="2"/>
      <w:sz w:val="24"/>
      <w:szCs w:val="20"/>
      <w:lang w:val="zh-CN"/>
    </w:rPr>
  </w:style>
  <w:style w:type="paragraph" w:customStyle="1" w:styleId="152">
    <w:name w:val="样式4"/>
    <w:basedOn w:val="153"/>
    <w:qFormat/>
    <w:uiPriority w:val="99"/>
    <w:pPr>
      <w:keepNext w:val="0"/>
      <w:keepLines w:val="0"/>
      <w:tabs>
        <w:tab w:val="left" w:pos="360"/>
      </w:tabs>
      <w:autoSpaceDE/>
      <w:autoSpaceDN/>
      <w:adjustRightInd/>
      <w:spacing w:before="0" w:after="200" w:line="276" w:lineRule="auto"/>
      <w:ind w:left="360" w:firstLine="0" w:firstLineChars="0"/>
      <w:jc w:val="both"/>
      <w:outlineLvl w:val="9"/>
    </w:pPr>
    <w:rPr>
      <w:rFonts w:ascii="Calibri" w:hAnsi="Calibri" w:cs="Calibri"/>
    </w:rPr>
  </w:style>
  <w:style w:type="paragraph" w:customStyle="1" w:styleId="153">
    <w:name w:val="样式2"/>
    <w:basedOn w:val="6"/>
    <w:qFormat/>
    <w:uiPriority w:val="99"/>
    <w:pPr>
      <w:autoSpaceDE w:val="0"/>
      <w:autoSpaceDN w:val="0"/>
      <w:adjustRightInd w:val="0"/>
      <w:spacing w:before="240" w:after="240" w:line="500" w:lineRule="exact"/>
      <w:ind w:firstLine="204" w:firstLineChars="204"/>
      <w:jc w:val="left"/>
    </w:pPr>
    <w:rPr>
      <w:rFonts w:ascii="宋体" w:hAnsi="宋体" w:cs="宋体"/>
      <w:sz w:val="24"/>
      <w:szCs w:val="24"/>
    </w:rPr>
  </w:style>
  <w:style w:type="paragraph" w:customStyle="1" w:styleId="154">
    <w:name w:val="文字正文"/>
    <w:basedOn w:val="1"/>
    <w:qFormat/>
    <w:uiPriority w:val="0"/>
    <w:rPr>
      <w:szCs w:val="24"/>
    </w:rPr>
  </w:style>
  <w:style w:type="paragraph" w:customStyle="1" w:styleId="155">
    <w:name w:val="style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56">
    <w:name w:val="列出段落3"/>
    <w:basedOn w:val="1"/>
    <w:qFormat/>
    <w:uiPriority w:val="0"/>
    <w:pPr>
      <w:ind w:firstLine="420" w:firstLineChars="200"/>
    </w:pPr>
    <w:rPr>
      <w:rFonts w:ascii="Calibri" w:hAnsi="Calibri"/>
      <w:sz w:val="22"/>
      <w:szCs w:val="22"/>
    </w:rPr>
  </w:style>
  <w:style w:type="paragraph" w:customStyle="1" w:styleId="157">
    <w:name w:val="xl72"/>
    <w:basedOn w:val="1"/>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158">
    <w:name w:val="xl78"/>
    <w:basedOn w:val="1"/>
    <w:qFormat/>
    <w:uiPriority w:val="99"/>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center"/>
      <w:textAlignment w:val="center"/>
    </w:pPr>
    <w:rPr>
      <w:rFonts w:ascii="黑体" w:hAnsi="宋体" w:eastAsia="黑体" w:cs="黑体"/>
      <w:b/>
      <w:bCs/>
      <w:kern w:val="0"/>
      <w:sz w:val="28"/>
      <w:szCs w:val="28"/>
    </w:rPr>
  </w:style>
  <w:style w:type="paragraph" w:customStyle="1" w:styleId="159">
    <w:name w:val="1列"/>
    <w:basedOn w:val="1"/>
    <w:qFormat/>
    <w:uiPriority w:val="0"/>
    <w:pPr>
      <w:numPr>
        <w:ilvl w:val="0"/>
        <w:numId w:val="3"/>
      </w:numPr>
      <w:spacing w:line="360" w:lineRule="auto"/>
    </w:pPr>
    <w:rPr>
      <w:szCs w:val="24"/>
    </w:rPr>
  </w:style>
  <w:style w:type="paragraph" w:customStyle="1" w:styleId="160">
    <w:name w:val="xl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61">
    <w:name w:val="xl2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62">
    <w:name w:val="HR标题4"/>
    <w:basedOn w:val="1"/>
    <w:next w:val="142"/>
    <w:qFormat/>
    <w:uiPriority w:val="0"/>
    <w:pPr>
      <w:numPr>
        <w:ilvl w:val="3"/>
        <w:numId w:val="1"/>
      </w:numPr>
      <w:tabs>
        <w:tab w:val="left" w:pos="974"/>
      </w:tabs>
      <w:spacing w:line="360" w:lineRule="auto"/>
      <w:outlineLvl w:val="3"/>
    </w:pPr>
    <w:rPr>
      <w:sz w:val="24"/>
      <w:szCs w:val="24"/>
    </w:rPr>
  </w:style>
  <w:style w:type="paragraph" w:customStyle="1" w:styleId="163">
    <w:name w:val="HR标题6"/>
    <w:basedOn w:val="1"/>
    <w:next w:val="142"/>
    <w:qFormat/>
    <w:uiPriority w:val="0"/>
    <w:pPr>
      <w:tabs>
        <w:tab w:val="left" w:pos="1134"/>
        <w:tab w:val="left" w:pos="2520"/>
      </w:tabs>
      <w:spacing w:line="360" w:lineRule="auto"/>
      <w:ind w:left="2520" w:hanging="420"/>
      <w:outlineLvl w:val="5"/>
    </w:pPr>
    <w:rPr>
      <w:sz w:val="24"/>
      <w:szCs w:val="24"/>
    </w:rPr>
  </w:style>
  <w:style w:type="paragraph" w:customStyle="1" w:styleId="164">
    <w:name w:val="xl37"/>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65">
    <w:name w:val="A Lieferumfang Aufzählung"/>
    <w:basedOn w:val="1"/>
    <w:qFormat/>
    <w:uiPriority w:val="99"/>
    <w:pPr>
      <w:keepNext/>
      <w:widowControl/>
      <w:numPr>
        <w:ilvl w:val="0"/>
        <w:numId w:val="4"/>
      </w:numPr>
      <w:tabs>
        <w:tab w:val="left" w:pos="1701"/>
      </w:tabs>
      <w:spacing w:line="360" w:lineRule="auto"/>
      <w:jc w:val="left"/>
    </w:pPr>
    <w:rPr>
      <w:rFonts w:ascii="Arial" w:hAnsi="Arial"/>
      <w:kern w:val="0"/>
      <w:sz w:val="20"/>
      <w:szCs w:val="20"/>
      <w:lang w:val="de-DE" w:eastAsia="de-DE"/>
    </w:rPr>
  </w:style>
  <w:style w:type="paragraph" w:customStyle="1" w:styleId="166">
    <w:name w:val="样式目录三"/>
    <w:basedOn w:val="39"/>
    <w:semiHidden/>
    <w:qFormat/>
    <w:uiPriority w:val="99"/>
    <w:pPr>
      <w:numPr>
        <w:ilvl w:val="5"/>
        <w:numId w:val="1"/>
      </w:numPr>
      <w:tabs>
        <w:tab w:val="left" w:pos="1320"/>
        <w:tab w:val="right" w:leader="dot" w:pos="8597"/>
      </w:tabs>
      <w:ind w:left="0" w:firstLine="0"/>
      <w:outlineLvl w:val="2"/>
    </w:pPr>
    <w:rPr>
      <w:iCs w:val="0"/>
      <w:szCs w:val="24"/>
    </w:rPr>
  </w:style>
  <w:style w:type="paragraph" w:customStyle="1" w:styleId="167">
    <w:name w:val="xl34"/>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68">
    <w:name w:val="xl30"/>
    <w:basedOn w:val="1"/>
    <w:qFormat/>
    <w:uiPriority w:val="99"/>
    <w:pPr>
      <w:widowControl/>
      <w:pBdr>
        <w:top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69">
    <w:name w:val="列出段落4"/>
    <w:basedOn w:val="1"/>
    <w:qFormat/>
    <w:uiPriority w:val="0"/>
    <w:pPr>
      <w:ind w:firstLine="420" w:firstLineChars="200"/>
    </w:pPr>
    <w:rPr>
      <w:rFonts w:ascii="Calibri" w:hAnsi="Calibri" w:eastAsia="Times New Roman"/>
      <w:sz w:val="22"/>
      <w:szCs w:val="22"/>
    </w:rPr>
  </w:style>
  <w:style w:type="paragraph" w:customStyle="1" w:styleId="170">
    <w:name w:val="scfErstekopfzeile"/>
    <w:basedOn w:val="1"/>
    <w:qFormat/>
    <w:uiPriority w:val="99"/>
    <w:pPr>
      <w:widowControl/>
      <w:tabs>
        <w:tab w:val="left" w:pos="1701"/>
      </w:tabs>
      <w:jc w:val="left"/>
    </w:pPr>
    <w:rPr>
      <w:rFonts w:ascii="Arial" w:hAnsi="Arial"/>
      <w:vanish/>
      <w:kern w:val="0"/>
      <w:sz w:val="16"/>
      <w:szCs w:val="20"/>
      <w:lang w:val="de-DE" w:eastAsia="en-US"/>
    </w:rPr>
  </w:style>
  <w:style w:type="paragraph" w:customStyle="1" w:styleId="171">
    <w:name w:val="xl47"/>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72">
    <w:name w:val="需求书2"/>
    <w:basedOn w:val="1"/>
    <w:qFormat/>
    <w:uiPriority w:val="0"/>
    <w:pPr>
      <w:spacing w:line="400" w:lineRule="exact"/>
    </w:pPr>
    <w:rPr>
      <w:rFonts w:ascii="黑体" w:hAnsi="Calibri" w:eastAsia="黑体"/>
      <w:b/>
      <w:bCs/>
      <w:sz w:val="32"/>
      <w:szCs w:val="20"/>
    </w:rPr>
  </w:style>
  <w:style w:type="paragraph" w:customStyle="1" w:styleId="173">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74">
    <w:name w:val="样式 段前: 0.5 行 段后: 0.5 行"/>
    <w:basedOn w:val="1"/>
    <w:qFormat/>
    <w:uiPriority w:val="0"/>
    <w:pPr>
      <w:spacing w:beforeLines="50" w:afterLines="50" w:line="360" w:lineRule="auto"/>
      <w:ind w:left="420" w:leftChars="200" w:firstLine="240" w:firstLineChars="100"/>
    </w:pPr>
    <w:rPr>
      <w:rFonts w:ascii="仿宋_GB2312" w:eastAsia="仿宋_GB2312" w:cs="宋体"/>
      <w:sz w:val="24"/>
      <w:szCs w:val="20"/>
    </w:rPr>
  </w:style>
  <w:style w:type="paragraph" w:customStyle="1" w:styleId="175">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76">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77">
    <w:name w:val="xl33"/>
    <w:basedOn w:val="155"/>
    <w:qFormat/>
    <w:uiPriority w:val="99"/>
    <w:pPr>
      <w:pBdr>
        <w:bottom w:val="single" w:color="auto" w:sz="4" w:space="0"/>
        <w:right w:val="single" w:color="auto" w:sz="4" w:space="0"/>
      </w:pBdr>
      <w:jc w:val="center"/>
    </w:pPr>
    <w:rPr>
      <w:sz w:val="20"/>
      <w:szCs w:val="20"/>
    </w:rPr>
  </w:style>
  <w:style w:type="paragraph" w:customStyle="1" w:styleId="178">
    <w:name w:val="Char Char1 Char Char Char Char"/>
    <w:basedOn w:val="1"/>
    <w:qFormat/>
    <w:uiPriority w:val="99"/>
    <w:pPr>
      <w:keepNext/>
      <w:keepLines/>
      <w:adjustRightInd w:val="0"/>
      <w:spacing w:beforeLines="100" w:afterLines="100" w:line="300" w:lineRule="auto"/>
      <w:ind w:firstLine="200" w:firstLineChars="200"/>
      <w:textAlignment w:val="center"/>
    </w:pPr>
    <w:rPr>
      <w:rFonts w:ascii="仿宋_GB2312" w:hAnsi="宋体" w:eastAsia="仿宋_GB2312" w:cs="仿宋_GB2312"/>
      <w:kern w:val="0"/>
      <w:sz w:val="24"/>
      <w:szCs w:val="24"/>
    </w:rPr>
  </w:style>
  <w:style w:type="paragraph" w:customStyle="1" w:styleId="179">
    <w:name w:val="List Paragraph1"/>
    <w:basedOn w:val="1"/>
    <w:link w:val="268"/>
    <w:qFormat/>
    <w:uiPriority w:val="34"/>
    <w:pPr>
      <w:spacing w:line="360" w:lineRule="auto"/>
      <w:ind w:firstLine="480" w:firstLineChars="200"/>
    </w:pPr>
    <w:rPr>
      <w:color w:val="262626"/>
      <w:kern w:val="0"/>
      <w:sz w:val="20"/>
      <w:szCs w:val="20"/>
    </w:rPr>
  </w:style>
  <w:style w:type="paragraph" w:customStyle="1" w:styleId="180">
    <w:name w:val="样式5"/>
    <w:basedOn w:val="1"/>
    <w:next w:val="39"/>
    <w:qFormat/>
    <w:uiPriority w:val="99"/>
    <w:pPr>
      <w:tabs>
        <w:tab w:val="left" w:pos="980"/>
      </w:tabs>
      <w:spacing w:line="360" w:lineRule="auto"/>
      <w:ind w:left="140" w:right="-20"/>
      <w:outlineLvl w:val="0"/>
    </w:pPr>
    <w:rPr>
      <w:b/>
      <w:bCs/>
      <w:kern w:val="0"/>
      <w:sz w:val="28"/>
      <w:szCs w:val="28"/>
    </w:rPr>
  </w:style>
  <w:style w:type="paragraph" w:customStyle="1" w:styleId="181">
    <w:name w:val="xl3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82">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83">
    <w:name w:val="标题 2（绿盟科技）"/>
    <w:basedOn w:val="2"/>
    <w:next w:val="1"/>
    <w:semiHidden/>
    <w:qFormat/>
    <w:uiPriority w:val="99"/>
    <w:pPr>
      <w:tabs>
        <w:tab w:val="left" w:pos="840"/>
        <w:tab w:val="left" w:pos="1440"/>
      </w:tabs>
      <w:spacing w:line="415" w:lineRule="auto"/>
      <w:ind w:left="840" w:hanging="420"/>
      <w:jc w:val="left"/>
    </w:pPr>
  </w:style>
  <w:style w:type="paragraph" w:customStyle="1" w:styleId="184">
    <w:name w:val="样式1"/>
    <w:basedOn w:val="5"/>
    <w:qFormat/>
    <w:uiPriority w:val="99"/>
    <w:pPr>
      <w:autoSpaceDE w:val="0"/>
      <w:autoSpaceDN w:val="0"/>
      <w:adjustRightInd w:val="0"/>
      <w:spacing w:line="500" w:lineRule="exact"/>
      <w:ind w:firstLine="490" w:firstLineChars="204"/>
      <w:jc w:val="left"/>
    </w:pPr>
    <w:rPr>
      <w:rFonts w:ascii="宋体" w:hAnsi="宋体" w:cs="宋体"/>
      <w:sz w:val="24"/>
      <w:szCs w:val="24"/>
    </w:rPr>
  </w:style>
  <w:style w:type="paragraph" w:customStyle="1" w:styleId="185">
    <w:name w:val="xl32"/>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86">
    <w:name w:val="正文1"/>
    <w:basedOn w:val="1"/>
    <w:qFormat/>
    <w:uiPriority w:val="0"/>
    <w:pPr>
      <w:adjustRightInd w:val="0"/>
      <w:spacing w:line="400" w:lineRule="atLeast"/>
      <w:ind w:firstLine="1134"/>
      <w:jc w:val="left"/>
      <w:textAlignment w:val="baseline"/>
    </w:pPr>
    <w:rPr>
      <w:rFonts w:ascii="宋体"/>
      <w:kern w:val="0"/>
      <w:sz w:val="24"/>
      <w:szCs w:val="20"/>
    </w:rPr>
  </w:style>
  <w:style w:type="paragraph" w:customStyle="1" w:styleId="187">
    <w:name w:val="xl38"/>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188">
    <w:name w:val="默认段落字体 Para Char Char Char Char Char Char Char Char Char Char Char Char Char Char Char1 Char Char Char Char"/>
    <w:basedOn w:val="23"/>
    <w:qFormat/>
    <w:uiPriority w:val="99"/>
    <w:pPr>
      <w:adjustRightInd w:val="0"/>
      <w:spacing w:line="436" w:lineRule="exact"/>
      <w:ind w:left="357"/>
      <w:jc w:val="left"/>
      <w:outlineLvl w:val="3"/>
    </w:pPr>
    <w:rPr>
      <w:rFonts w:ascii="仿宋_GB2312" w:eastAsia="仿宋_GB2312" w:cs="仿宋_GB2312"/>
      <w:sz w:val="24"/>
      <w:szCs w:val="24"/>
    </w:rPr>
  </w:style>
  <w:style w:type="paragraph" w:customStyle="1" w:styleId="189">
    <w:name w:val="Char Char1 Char Char Char Char1"/>
    <w:basedOn w:val="1"/>
    <w:qFormat/>
    <w:uiPriority w:val="99"/>
    <w:pPr>
      <w:keepNext/>
      <w:keepLines/>
      <w:adjustRightInd w:val="0"/>
      <w:spacing w:beforeLines="100" w:afterLines="100" w:line="300" w:lineRule="auto"/>
      <w:ind w:firstLine="200" w:firstLineChars="200"/>
    </w:pPr>
    <w:rPr>
      <w:rFonts w:ascii="仿宋_GB2312" w:hAnsi="宋体" w:eastAsia="仿宋_GB2312" w:cs="仿宋_GB2312"/>
      <w:kern w:val="0"/>
      <w:sz w:val="24"/>
      <w:szCs w:val="24"/>
    </w:rPr>
  </w:style>
  <w:style w:type="paragraph" w:customStyle="1" w:styleId="190">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1">
    <w:name w:val="a2"/>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92">
    <w:name w:val="HR标题3"/>
    <w:basedOn w:val="1"/>
    <w:next w:val="142"/>
    <w:link w:val="305"/>
    <w:qFormat/>
    <w:uiPriority w:val="0"/>
    <w:pPr>
      <w:tabs>
        <w:tab w:val="left" w:pos="624"/>
        <w:tab w:val="left" w:pos="1260"/>
      </w:tabs>
      <w:spacing w:line="360" w:lineRule="auto"/>
      <w:ind w:left="1260" w:hanging="420"/>
      <w:outlineLvl w:val="2"/>
    </w:pPr>
    <w:rPr>
      <w:rFonts w:ascii="Calibri" w:hAnsi="Calibri"/>
      <w:sz w:val="24"/>
      <w:szCs w:val="24"/>
    </w:rPr>
  </w:style>
  <w:style w:type="paragraph" w:customStyle="1" w:styleId="193">
    <w:name w:val="正文2"/>
    <w:basedOn w:val="1"/>
    <w:semiHidden/>
    <w:qFormat/>
    <w:uiPriority w:val="99"/>
    <w:pPr>
      <w:spacing w:before="156" w:line="360" w:lineRule="auto"/>
      <w:ind w:firstLine="510" w:firstLineChars="200"/>
    </w:pPr>
    <w:rPr>
      <w:sz w:val="24"/>
      <w:szCs w:val="24"/>
    </w:rPr>
  </w:style>
  <w:style w:type="paragraph" w:customStyle="1" w:styleId="194">
    <w:name w:val="xl45"/>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195">
    <w:name w:val="表题"/>
    <w:basedOn w:val="40"/>
    <w:qFormat/>
    <w:uiPriority w:val="99"/>
    <w:pPr>
      <w:adjustRightInd w:val="0"/>
      <w:spacing w:line="480" w:lineRule="auto"/>
      <w:jc w:val="center"/>
    </w:pPr>
    <w:rPr>
      <w:rFonts w:ascii="Times New Roman" w:hAnsi="Times New Roman" w:eastAsia="黑体"/>
      <w:sz w:val="18"/>
      <w:szCs w:val="18"/>
    </w:rPr>
  </w:style>
  <w:style w:type="paragraph" w:customStyle="1" w:styleId="196">
    <w:name w:val="xl4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197">
    <w:name w:val="xl73"/>
    <w:basedOn w:val="1"/>
    <w:qFormat/>
    <w:uiPriority w:val="99"/>
    <w:pPr>
      <w:widowControl/>
      <w:spacing w:before="100" w:beforeAutospacing="1" w:after="100" w:afterAutospacing="1"/>
      <w:jc w:val="center"/>
      <w:textAlignment w:val="center"/>
    </w:pPr>
    <w:rPr>
      <w:rFonts w:ascii="宋体" w:hAnsi="宋体" w:cs="宋体"/>
      <w:kern w:val="0"/>
      <w:sz w:val="18"/>
      <w:szCs w:val="18"/>
    </w:rPr>
  </w:style>
  <w:style w:type="paragraph" w:customStyle="1" w:styleId="198">
    <w:name w:val="本文項目"/>
    <w:basedOn w:val="1"/>
    <w:semiHidden/>
    <w:qFormat/>
    <w:uiPriority w:val="99"/>
    <w:pPr>
      <w:tabs>
        <w:tab w:val="left" w:pos="360"/>
      </w:tabs>
      <w:autoSpaceDE w:val="0"/>
      <w:autoSpaceDN w:val="0"/>
      <w:adjustRightInd w:val="0"/>
      <w:spacing w:beforeLines="50" w:afterLines="50" w:line="360" w:lineRule="auto"/>
      <w:ind w:left="360" w:hanging="360"/>
      <w:textAlignment w:val="baseline"/>
    </w:pPr>
    <w:rPr>
      <w:b/>
      <w:bCs/>
      <w:kern w:val="0"/>
      <w:sz w:val="24"/>
      <w:szCs w:val="24"/>
    </w:rPr>
  </w:style>
  <w:style w:type="paragraph" w:customStyle="1" w:styleId="199">
    <w:name w:val="正文居中"/>
    <w:basedOn w:val="1"/>
    <w:next w:val="74"/>
    <w:qFormat/>
    <w:uiPriority w:val="99"/>
    <w:pPr>
      <w:jc w:val="center"/>
    </w:pPr>
    <w:rPr>
      <w:sz w:val="24"/>
      <w:szCs w:val="24"/>
    </w:rPr>
  </w:style>
  <w:style w:type="paragraph" w:customStyle="1" w:styleId="200">
    <w:name w:val="xl4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01">
    <w:name w:val="xl28"/>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02">
    <w:name w:val="标题 1（绿盟科技）"/>
    <w:basedOn w:val="3"/>
    <w:next w:val="1"/>
    <w:semiHidden/>
    <w:qFormat/>
    <w:uiPriority w:val="99"/>
    <w:pPr>
      <w:pBdr>
        <w:bottom w:val="single" w:color="auto" w:sz="48" w:space="1"/>
      </w:pBdr>
      <w:tabs>
        <w:tab w:val="left" w:pos="360"/>
      </w:tabs>
      <w:spacing w:line="576" w:lineRule="auto"/>
      <w:ind w:left="360" w:hanging="360"/>
      <w:jc w:val="left"/>
    </w:pPr>
    <w:rPr>
      <w:rFonts w:ascii="Arial" w:hAnsi="Arial" w:eastAsia="黑体" w:cs="Arial"/>
    </w:rPr>
  </w:style>
  <w:style w:type="paragraph" w:customStyle="1" w:styleId="203">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4">
    <w:name w:val="font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05">
    <w:name w:val="xl50"/>
    <w:basedOn w:val="1"/>
    <w:qFormat/>
    <w:uiPriority w:val="99"/>
    <w:pPr>
      <w:widowControl/>
      <w:pBdr>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06">
    <w:name w:val="xl74"/>
    <w:basedOn w:val="1"/>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207">
    <w:name w:val="xl48"/>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08">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09">
    <w:name w:val="xl5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10">
    <w:name w:val="xl49"/>
    <w:basedOn w:val="1"/>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11">
    <w:name w:val="列出段落1"/>
    <w:basedOn w:val="1"/>
    <w:qFormat/>
    <w:uiPriority w:val="34"/>
    <w:pPr>
      <w:ind w:firstLine="420" w:firstLineChars="200"/>
    </w:pPr>
  </w:style>
  <w:style w:type="paragraph" w:customStyle="1" w:styleId="212">
    <w:name w:val="PP 行"/>
    <w:basedOn w:val="51"/>
    <w:qFormat/>
    <w:uiPriority w:val="99"/>
  </w:style>
  <w:style w:type="paragraph" w:customStyle="1" w:styleId="213">
    <w:name w:val="font6"/>
    <w:basedOn w:val="1"/>
    <w:qFormat/>
    <w:uiPriority w:val="99"/>
    <w:pPr>
      <w:widowControl/>
      <w:spacing w:before="100" w:beforeAutospacing="1" w:after="100" w:afterAutospacing="1"/>
      <w:jc w:val="left"/>
    </w:pPr>
    <w:rPr>
      <w:rFonts w:ascii="宋体" w:hAnsi="宋体" w:cs="宋体"/>
      <w:b/>
      <w:bCs/>
      <w:color w:val="000000"/>
      <w:kern w:val="0"/>
      <w:sz w:val="18"/>
      <w:szCs w:val="18"/>
    </w:rPr>
  </w:style>
  <w:style w:type="paragraph" w:customStyle="1" w:styleId="214">
    <w:name w:val="xl42"/>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15">
    <w:name w:val="xl40"/>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16">
    <w:name w:val="xl3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17">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218">
    <w:name w:val="xl44"/>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219">
    <w:name w:val="五级无标题条"/>
    <w:basedOn w:val="1"/>
    <w:qFormat/>
    <w:uiPriority w:val="99"/>
    <w:pPr>
      <w:tabs>
        <w:tab w:val="left" w:pos="840"/>
      </w:tabs>
      <w:ind w:left="840" w:hanging="630"/>
    </w:pPr>
  </w:style>
  <w:style w:type="paragraph" w:customStyle="1" w:styleId="220">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21">
    <w:name w:val="HR标题5"/>
    <w:basedOn w:val="1"/>
    <w:next w:val="142"/>
    <w:qFormat/>
    <w:uiPriority w:val="0"/>
    <w:pPr>
      <w:tabs>
        <w:tab w:val="left" w:pos="1504"/>
        <w:tab w:val="left" w:pos="2100"/>
      </w:tabs>
      <w:spacing w:line="360" w:lineRule="auto"/>
      <w:ind w:left="2100" w:hanging="420"/>
      <w:outlineLvl w:val="4"/>
    </w:pPr>
    <w:rPr>
      <w:sz w:val="24"/>
      <w:szCs w:val="24"/>
    </w:rPr>
  </w:style>
  <w:style w:type="paragraph" w:customStyle="1" w:styleId="222">
    <w:name w:val="正文文本 (2)1"/>
    <w:basedOn w:val="1"/>
    <w:qFormat/>
    <w:uiPriority w:val="0"/>
    <w:pPr>
      <w:shd w:val="clear" w:color="auto" w:fill="FFFFFF"/>
      <w:adjustRightInd w:val="0"/>
      <w:spacing w:before="300" w:line="466" w:lineRule="exact"/>
      <w:jc w:val="distribute"/>
      <w:textAlignment w:val="baseline"/>
    </w:pPr>
    <w:rPr>
      <w:rFonts w:ascii="宋体" w:hAnsi="宋体" w:cs="宋体"/>
      <w:kern w:val="0"/>
      <w:sz w:val="22"/>
      <w:szCs w:val="22"/>
    </w:rPr>
  </w:style>
  <w:style w:type="paragraph" w:customStyle="1" w:styleId="223">
    <w:name w:val="xl27"/>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24">
    <w:name w:val="正文（缩进）"/>
    <w:basedOn w:val="1"/>
    <w:link w:val="262"/>
    <w:semiHidden/>
    <w:qFormat/>
    <w:uiPriority w:val="99"/>
    <w:pPr>
      <w:spacing w:beforeLines="50" w:afterLines="50" w:line="360" w:lineRule="auto"/>
      <w:ind w:firstLine="480" w:firstLineChars="200"/>
    </w:pPr>
    <w:rPr>
      <w:kern w:val="0"/>
      <w:sz w:val="24"/>
      <w:szCs w:val="20"/>
    </w:rPr>
  </w:style>
  <w:style w:type="paragraph" w:customStyle="1" w:styleId="225">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26">
    <w:name w:val="Char Char Char Char"/>
    <w:basedOn w:val="1"/>
    <w:qFormat/>
    <w:uiPriority w:val="99"/>
    <w:rPr>
      <w:rFonts w:ascii="Tahoma" w:hAnsi="Tahoma" w:cs="Tahoma"/>
      <w:sz w:val="24"/>
      <w:szCs w:val="24"/>
    </w:rPr>
  </w:style>
  <w:style w:type="paragraph" w:customStyle="1" w:styleId="227">
    <w:name w:val="标题 3（绿盟科技）"/>
    <w:basedOn w:val="4"/>
    <w:next w:val="1"/>
    <w:semiHidden/>
    <w:qFormat/>
    <w:uiPriority w:val="99"/>
    <w:pPr>
      <w:tabs>
        <w:tab w:val="left" w:pos="960"/>
        <w:tab w:val="left" w:pos="1260"/>
      </w:tabs>
      <w:spacing w:line="415" w:lineRule="auto"/>
      <w:ind w:left="1260" w:firstLine="147" w:firstLineChars="147"/>
      <w:jc w:val="left"/>
    </w:pPr>
    <w:rPr>
      <w:rFonts w:ascii="Arial" w:hAnsi="Arial" w:eastAsia="黑体" w:cs="Arial"/>
      <w:sz w:val="30"/>
      <w:szCs w:val="30"/>
    </w:rPr>
  </w:style>
  <w:style w:type="paragraph" w:customStyle="1" w:styleId="228">
    <w:name w:val="样式 正文文本 2 + 段前: 0.5 行 段后: 0.5 行3"/>
    <w:basedOn w:val="64"/>
    <w:qFormat/>
    <w:uiPriority w:val="0"/>
    <w:pPr>
      <w:tabs>
        <w:tab w:val="left" w:pos="1260"/>
        <w:tab w:val="left" w:pos="1571"/>
      </w:tabs>
      <w:spacing w:line="360" w:lineRule="auto"/>
      <w:ind w:left="567" w:hanging="420"/>
    </w:pPr>
    <w:rPr>
      <w:rFonts w:cs="宋体"/>
      <w:kern w:val="2"/>
      <w:sz w:val="24"/>
      <w:szCs w:val="20"/>
      <w:lang w:val="zh-CN"/>
    </w:rPr>
  </w:style>
  <w:style w:type="paragraph" w:customStyle="1" w:styleId="229">
    <w:name w:val="表格"/>
    <w:basedOn w:val="1"/>
    <w:next w:val="1"/>
    <w:qFormat/>
    <w:uiPriority w:val="0"/>
    <w:pPr>
      <w:spacing w:beforeLines="50" w:afterLines="50"/>
      <w:jc w:val="left"/>
    </w:pPr>
    <w:rPr>
      <w:rFonts w:ascii="宋体" w:hAnsi="宋体"/>
    </w:rPr>
  </w:style>
  <w:style w:type="paragraph" w:customStyle="1" w:styleId="230">
    <w:name w:val="标题 4（绿盟科技）"/>
    <w:basedOn w:val="5"/>
    <w:next w:val="1"/>
    <w:semiHidden/>
    <w:qFormat/>
    <w:uiPriority w:val="99"/>
    <w:pPr>
      <w:widowControl/>
      <w:tabs>
        <w:tab w:val="left" w:pos="360"/>
      </w:tabs>
      <w:ind w:left="1447" w:hanging="1021"/>
      <w:jc w:val="left"/>
    </w:pPr>
  </w:style>
  <w:style w:type="paragraph" w:customStyle="1" w:styleId="231">
    <w:name w:val="t4_2"/>
    <w:basedOn w:val="1"/>
    <w:qFormat/>
    <w:uiPriority w:val="99"/>
    <w:pPr>
      <w:widowControl/>
      <w:tabs>
        <w:tab w:val="left" w:pos="360"/>
      </w:tabs>
      <w:spacing w:line="360" w:lineRule="auto"/>
      <w:ind w:left="420"/>
      <w:jc w:val="left"/>
    </w:pPr>
    <w:rPr>
      <w:b/>
      <w:bCs/>
    </w:rPr>
  </w:style>
  <w:style w:type="paragraph" w:customStyle="1" w:styleId="232">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233">
    <w:name w:val="xl39"/>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34">
    <w:name w:val="HR标题2"/>
    <w:basedOn w:val="1"/>
    <w:next w:val="142"/>
    <w:qFormat/>
    <w:uiPriority w:val="0"/>
    <w:pPr>
      <w:numPr>
        <w:ilvl w:val="1"/>
        <w:numId w:val="1"/>
      </w:numPr>
      <w:tabs>
        <w:tab w:val="left" w:pos="454"/>
      </w:tabs>
      <w:spacing w:line="360" w:lineRule="auto"/>
      <w:outlineLvl w:val="1"/>
    </w:pPr>
    <w:rPr>
      <w:rFonts w:eastAsia="黑体"/>
      <w:sz w:val="24"/>
      <w:szCs w:val="24"/>
    </w:rPr>
  </w:style>
  <w:style w:type="paragraph" w:customStyle="1" w:styleId="235">
    <w:name w:val="列出段落2"/>
    <w:basedOn w:val="1"/>
    <w:link w:val="287"/>
    <w:qFormat/>
    <w:uiPriority w:val="0"/>
    <w:pPr>
      <w:ind w:firstLine="420" w:firstLineChars="200"/>
    </w:pPr>
    <w:rPr>
      <w:color w:val="262626"/>
      <w:kern w:val="0"/>
      <w:sz w:val="20"/>
      <w:szCs w:val="20"/>
    </w:rPr>
  </w:style>
  <w:style w:type="paragraph" w:customStyle="1" w:styleId="236">
    <w:name w:val="Char Char Char"/>
    <w:basedOn w:val="1"/>
    <w:qFormat/>
    <w:uiPriority w:val="99"/>
    <w:rPr>
      <w:rFonts w:ascii="宋体" w:hAnsi="宋体" w:cs="宋体"/>
      <w:b/>
      <w:bCs/>
      <w:sz w:val="28"/>
      <w:szCs w:val="28"/>
    </w:rPr>
  </w:style>
  <w:style w:type="paragraph" w:customStyle="1" w:styleId="237">
    <w:name w:val="标题 6（有编号）（绿盟科技）"/>
    <w:basedOn w:val="1"/>
    <w:next w:val="1"/>
    <w:semiHidden/>
    <w:qFormat/>
    <w:uiPriority w:val="99"/>
    <w:pPr>
      <w:keepNext/>
      <w:keepLines/>
      <w:numPr>
        <w:ilvl w:val="2"/>
        <w:numId w:val="1"/>
      </w:numPr>
      <w:spacing w:line="319" w:lineRule="auto"/>
      <w:ind w:left="1673" w:hanging="1247"/>
      <w:jc w:val="left"/>
      <w:outlineLvl w:val="5"/>
    </w:pPr>
    <w:rPr>
      <w:rFonts w:ascii="Arial" w:hAnsi="Arial" w:eastAsia="黑体" w:cs="Arial"/>
      <w:b/>
      <w:bCs/>
      <w:kern w:val="0"/>
    </w:rPr>
  </w:style>
  <w:style w:type="paragraph" w:customStyle="1" w:styleId="238">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39">
    <w:name w:val="HR标题8"/>
    <w:basedOn w:val="1"/>
    <w:next w:val="142"/>
    <w:qFormat/>
    <w:uiPriority w:val="0"/>
    <w:pPr>
      <w:numPr>
        <w:ilvl w:val="7"/>
        <w:numId w:val="1"/>
      </w:numPr>
      <w:tabs>
        <w:tab w:val="left" w:pos="1531"/>
      </w:tabs>
      <w:spacing w:line="360" w:lineRule="auto"/>
      <w:outlineLvl w:val="7"/>
    </w:pPr>
    <w:rPr>
      <w:sz w:val="24"/>
      <w:szCs w:val="24"/>
    </w:rPr>
  </w:style>
  <w:style w:type="paragraph" w:customStyle="1" w:styleId="240">
    <w:name w:val="标题 5（有编号）（绿盟科技）"/>
    <w:basedOn w:val="1"/>
    <w:next w:val="1"/>
    <w:semiHidden/>
    <w:qFormat/>
    <w:uiPriority w:val="99"/>
    <w:pPr>
      <w:keepNext/>
      <w:keepLines/>
      <w:tabs>
        <w:tab w:val="left" w:pos="840"/>
      </w:tabs>
      <w:spacing w:line="377" w:lineRule="auto"/>
      <w:ind w:left="1560" w:hanging="1134"/>
      <w:jc w:val="left"/>
      <w:outlineLvl w:val="4"/>
    </w:pPr>
    <w:rPr>
      <w:rFonts w:ascii="Arial" w:hAnsi="Arial" w:eastAsia="黑体" w:cs="Arial"/>
      <w:b/>
      <w:bCs/>
      <w:kern w:val="0"/>
      <w:sz w:val="24"/>
      <w:szCs w:val="24"/>
    </w:rPr>
  </w:style>
  <w:style w:type="paragraph" w:customStyle="1" w:styleId="241">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42">
    <w:name w:val="示例"/>
    <w:qFormat/>
    <w:uiPriority w:val="99"/>
    <w:pPr>
      <w:jc w:val="both"/>
    </w:pPr>
    <w:rPr>
      <w:rFonts w:ascii="宋体" w:hAnsi="Times New Roman" w:eastAsia="宋体" w:cs="宋体"/>
      <w:sz w:val="18"/>
      <w:szCs w:val="18"/>
      <w:lang w:val="en-US" w:eastAsia="zh-CN" w:bidi="ar-SA"/>
    </w:rPr>
  </w:style>
  <w:style w:type="paragraph" w:customStyle="1" w:styleId="243">
    <w:name w:val="段"/>
    <w:link w:val="279"/>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244">
    <w:name w:val="简单回函地址"/>
    <w:basedOn w:val="1"/>
    <w:qFormat/>
    <w:uiPriority w:val="99"/>
  </w:style>
  <w:style w:type="paragraph" w:customStyle="1" w:styleId="245">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46">
    <w:name w:val="_Style 3"/>
    <w:basedOn w:val="3"/>
    <w:next w:val="1"/>
    <w:qFormat/>
    <w:uiPriority w:val="39"/>
    <w:pPr>
      <w:keepNext/>
      <w:keepLines/>
      <w:tabs>
        <w:tab w:val="clear" w:pos="9061"/>
      </w:tabs>
      <w:spacing w:before="340" w:after="330" w:line="578" w:lineRule="auto"/>
      <w:jc w:val="both"/>
      <w:outlineLvl w:val="9"/>
    </w:pPr>
    <w:rPr>
      <w:bCs/>
      <w:kern w:val="44"/>
      <w:sz w:val="44"/>
      <w:szCs w:val="44"/>
    </w:rPr>
  </w:style>
  <w:style w:type="paragraph" w:customStyle="1" w:styleId="247">
    <w:name w:val="xl43"/>
    <w:basedOn w:val="155"/>
    <w:qFormat/>
    <w:uiPriority w:val="99"/>
    <w:pPr>
      <w:pBdr>
        <w:bottom w:val="single" w:color="auto" w:sz="4" w:space="0"/>
        <w:right w:val="single" w:color="auto" w:sz="4" w:space="0"/>
      </w:pBdr>
      <w:jc w:val="center"/>
    </w:pPr>
    <w:rPr>
      <w:sz w:val="21"/>
      <w:szCs w:val="21"/>
    </w:rPr>
  </w:style>
  <w:style w:type="paragraph" w:customStyle="1" w:styleId="248">
    <w:name w:val="Default"/>
    <w:link w:val="266"/>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49">
    <w:name w:val="样式 正文 + 小四 首行缩进:  2 字符"/>
    <w:basedOn w:val="1"/>
    <w:qFormat/>
    <w:uiPriority w:val="0"/>
    <w:pPr>
      <w:numPr>
        <w:ilvl w:val="1"/>
        <w:numId w:val="5"/>
      </w:numPr>
      <w:spacing w:line="440" w:lineRule="exact"/>
    </w:pPr>
    <w:rPr>
      <w:rFonts w:cs="宋体"/>
      <w:kern w:val="0"/>
      <w:sz w:val="24"/>
      <w:szCs w:val="20"/>
    </w:rPr>
  </w:style>
  <w:style w:type="paragraph" w:customStyle="1" w:styleId="250">
    <w:name w:val="表格标注（绿盟科技）"/>
    <w:basedOn w:val="147"/>
    <w:next w:val="1"/>
    <w:semiHidden/>
    <w:qFormat/>
    <w:uiPriority w:val="99"/>
    <w:pPr>
      <w:tabs>
        <w:tab w:val="left" w:pos="1620"/>
        <w:tab w:val="left" w:pos="2100"/>
        <w:tab w:val="clear" w:pos="1680"/>
      </w:tabs>
      <w:ind w:left="1620" w:hanging="360"/>
    </w:pPr>
  </w:style>
  <w:style w:type="paragraph" w:customStyle="1" w:styleId="251">
    <w:name w:val="Char"/>
    <w:basedOn w:val="1"/>
    <w:qFormat/>
    <w:uiPriority w:val="99"/>
    <w:pPr>
      <w:tabs>
        <w:tab w:val="left" w:pos="708"/>
      </w:tabs>
      <w:ind w:firstLine="420"/>
    </w:pPr>
    <w:rPr>
      <w:rFonts w:ascii="仿宋_GB2312" w:eastAsia="仿宋_GB2312" w:cs="仿宋_GB2312"/>
      <w:sz w:val="24"/>
      <w:szCs w:val="24"/>
    </w:rPr>
  </w:style>
  <w:style w:type="paragraph" w:customStyle="1" w:styleId="252">
    <w:name w:val="xl29"/>
    <w:basedOn w:val="1"/>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53">
    <w:name w:val="HR标题1"/>
    <w:basedOn w:val="1"/>
    <w:next w:val="142"/>
    <w:qFormat/>
    <w:uiPriority w:val="0"/>
    <w:pPr>
      <w:tabs>
        <w:tab w:val="left" w:pos="284"/>
        <w:tab w:val="left" w:pos="360"/>
      </w:tabs>
      <w:spacing w:line="360" w:lineRule="auto"/>
      <w:ind w:left="360" w:hanging="360"/>
      <w:outlineLvl w:val="0"/>
    </w:pPr>
    <w:rPr>
      <w:rFonts w:eastAsia="黑体"/>
      <w:sz w:val="24"/>
      <w:szCs w:val="24"/>
    </w:rPr>
  </w:style>
  <w:style w:type="paragraph" w:customStyle="1" w:styleId="254">
    <w:name w:val="xl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255">
    <w:name w:val="注×："/>
    <w:semiHidden/>
    <w:qFormat/>
    <w:uiPriority w:val="99"/>
    <w:pPr>
      <w:widowControl w:val="0"/>
      <w:tabs>
        <w:tab w:val="left" w:pos="360"/>
        <w:tab w:val="left" w:pos="630"/>
      </w:tabs>
      <w:autoSpaceDE w:val="0"/>
      <w:autoSpaceDN w:val="0"/>
      <w:ind w:left="360" w:hanging="360"/>
      <w:jc w:val="both"/>
    </w:pPr>
    <w:rPr>
      <w:rFonts w:ascii="宋体" w:hAnsi="Times New Roman" w:eastAsia="宋体" w:cs="宋体"/>
      <w:sz w:val="18"/>
      <w:szCs w:val="18"/>
      <w:lang w:val="en-US" w:eastAsia="zh-CN" w:bidi="ar-SA"/>
    </w:rPr>
  </w:style>
  <w:style w:type="character" w:customStyle="1" w:styleId="256">
    <w:name w:val="列出段落 字符"/>
    <w:qFormat/>
    <w:locked/>
    <w:uiPriority w:val="34"/>
    <w:rPr>
      <w:kern w:val="2"/>
      <w:sz w:val="21"/>
      <w:szCs w:val="24"/>
    </w:rPr>
  </w:style>
  <w:style w:type="character" w:customStyle="1" w:styleId="257">
    <w:name w:val="hover38"/>
    <w:qFormat/>
    <w:uiPriority w:val="99"/>
    <w:rPr>
      <w:rFonts w:cs="Times New Roman"/>
      <w:color w:val="auto"/>
      <w:u w:val="single"/>
    </w:rPr>
  </w:style>
  <w:style w:type="character" w:customStyle="1" w:styleId="258">
    <w:name w:val="称呼 字符"/>
    <w:link w:val="26"/>
    <w:qFormat/>
    <w:locked/>
    <w:uiPriority w:val="99"/>
    <w:rPr>
      <w:rFonts w:cs="Times New Roman"/>
      <w:sz w:val="21"/>
      <w:szCs w:val="21"/>
    </w:rPr>
  </w:style>
  <w:style w:type="character" w:customStyle="1" w:styleId="259">
    <w:name w:val="Footer Char"/>
    <w:semiHidden/>
    <w:qFormat/>
    <w:locked/>
    <w:uiPriority w:val="99"/>
    <w:rPr>
      <w:rFonts w:eastAsia="宋体"/>
      <w:sz w:val="18"/>
    </w:rPr>
  </w:style>
  <w:style w:type="character" w:customStyle="1" w:styleId="260">
    <w:name w:val="param-name1"/>
    <w:qFormat/>
    <w:uiPriority w:val="99"/>
    <w:rPr>
      <w:rFonts w:cs="Times New Roman"/>
      <w:b/>
      <w:bCs/>
    </w:rPr>
  </w:style>
  <w:style w:type="character" w:customStyle="1" w:styleId="261">
    <w:name w:val="bds_more"/>
    <w:qFormat/>
    <w:uiPriority w:val="99"/>
    <w:rPr>
      <w:rFonts w:ascii="Arial" w:hAnsi="Arial" w:cs="Arial"/>
    </w:rPr>
  </w:style>
  <w:style w:type="character" w:customStyle="1" w:styleId="262">
    <w:name w:val="正文（缩进） Char"/>
    <w:link w:val="224"/>
    <w:qFormat/>
    <w:locked/>
    <w:uiPriority w:val="99"/>
    <w:rPr>
      <w:rFonts w:eastAsia="宋体"/>
      <w:sz w:val="24"/>
    </w:rPr>
  </w:style>
  <w:style w:type="character" w:customStyle="1" w:styleId="263">
    <w:name w:val="正文文本缩进 3 字符"/>
    <w:link w:val="61"/>
    <w:qFormat/>
    <w:locked/>
    <w:uiPriority w:val="0"/>
    <w:rPr>
      <w:rFonts w:cs="Times New Roman"/>
      <w:sz w:val="16"/>
      <w:szCs w:val="16"/>
    </w:rPr>
  </w:style>
  <w:style w:type="character" w:customStyle="1" w:styleId="264">
    <w:name w:val="标题 1 Char"/>
    <w:qFormat/>
    <w:uiPriority w:val="9"/>
    <w:rPr>
      <w:rFonts w:eastAsia="宋体" w:cs="Times New Roman"/>
      <w:b/>
      <w:bCs/>
      <w:kern w:val="44"/>
      <w:sz w:val="44"/>
      <w:szCs w:val="44"/>
      <w:lang w:val="en-US" w:eastAsia="zh-CN"/>
    </w:rPr>
  </w:style>
  <w:style w:type="character" w:customStyle="1" w:styleId="265">
    <w:name w:val="正文文本首行缩进 2 字符"/>
    <w:link w:val="75"/>
    <w:semiHidden/>
    <w:qFormat/>
    <w:locked/>
    <w:uiPriority w:val="99"/>
    <w:rPr>
      <w:rFonts w:cs="Times New Roman"/>
      <w:sz w:val="21"/>
      <w:szCs w:val="21"/>
    </w:rPr>
  </w:style>
  <w:style w:type="character" w:customStyle="1" w:styleId="266">
    <w:name w:val="Default Char"/>
    <w:link w:val="248"/>
    <w:qFormat/>
    <w:uiPriority w:val="0"/>
    <w:rPr>
      <w:rFonts w:ascii="宋体"/>
      <w:color w:val="000000"/>
      <w:sz w:val="24"/>
      <w:szCs w:val="24"/>
      <w:lang w:val="en-US" w:eastAsia="zh-CN" w:bidi="ar-SA"/>
    </w:rPr>
  </w:style>
  <w:style w:type="character" w:customStyle="1" w:styleId="267">
    <w:name w:val="style61"/>
    <w:qFormat/>
    <w:uiPriority w:val="0"/>
    <w:rPr>
      <w:color w:val="CCCCCC"/>
    </w:rPr>
  </w:style>
  <w:style w:type="character" w:customStyle="1" w:styleId="268">
    <w:name w:val="列出段落 Char"/>
    <w:link w:val="179"/>
    <w:qFormat/>
    <w:locked/>
    <w:uiPriority w:val="34"/>
    <w:rPr>
      <w:rFonts w:eastAsia="宋体" w:cs="Times New Roman"/>
      <w:color w:val="262626"/>
    </w:rPr>
  </w:style>
  <w:style w:type="character" w:customStyle="1" w:styleId="269">
    <w:name w:val="批注主题 字符"/>
    <w:link w:val="73"/>
    <w:semiHidden/>
    <w:qFormat/>
    <w:locked/>
    <w:uiPriority w:val="99"/>
    <w:rPr>
      <w:rFonts w:ascii="Calibri" w:hAnsi="Calibri" w:eastAsia="宋体" w:cs="Calibri"/>
      <w:b/>
      <w:bCs/>
      <w:sz w:val="21"/>
      <w:szCs w:val="21"/>
      <w:lang w:val="en-US" w:eastAsia="en-US"/>
    </w:rPr>
  </w:style>
  <w:style w:type="character" w:customStyle="1" w:styleId="270">
    <w:name w:val="正文缩进 字符"/>
    <w:link w:val="19"/>
    <w:qFormat/>
    <w:locked/>
    <w:uiPriority w:val="99"/>
    <w:rPr>
      <w:rFonts w:eastAsia="宋体" w:cs="Times New Roman"/>
      <w:sz w:val="21"/>
      <w:szCs w:val="21"/>
    </w:rPr>
  </w:style>
  <w:style w:type="character" w:customStyle="1" w:styleId="271">
    <w:name w:val="纯文本 Char1"/>
    <w:semiHidden/>
    <w:qFormat/>
    <w:locked/>
    <w:uiPriority w:val="99"/>
    <w:rPr>
      <w:rFonts w:ascii="宋体" w:hAnsi="Courier New"/>
      <w:kern w:val="2"/>
      <w:sz w:val="21"/>
    </w:rPr>
  </w:style>
  <w:style w:type="character" w:customStyle="1" w:styleId="272">
    <w:name w:val="标题 3 字符"/>
    <w:link w:val="4"/>
    <w:qFormat/>
    <w:locked/>
    <w:uiPriority w:val="99"/>
    <w:rPr>
      <w:rFonts w:eastAsia="宋体" w:cs="Times New Roman"/>
      <w:b/>
      <w:bCs/>
      <w:sz w:val="32"/>
      <w:szCs w:val="32"/>
    </w:rPr>
  </w:style>
  <w:style w:type="character" w:customStyle="1" w:styleId="273">
    <w:name w:val="hei14"/>
    <w:semiHidden/>
    <w:qFormat/>
    <w:uiPriority w:val="99"/>
    <w:rPr>
      <w:rFonts w:cs="Times New Roman"/>
    </w:rPr>
  </w:style>
  <w:style w:type="character" w:customStyle="1" w:styleId="274">
    <w:name w:val="hover42"/>
    <w:qFormat/>
    <w:uiPriority w:val="99"/>
    <w:rPr>
      <w:rFonts w:cs="Times New Roman"/>
      <w:color w:val="FFFFFF"/>
      <w:shd w:val="clear" w:color="auto" w:fill="auto"/>
    </w:rPr>
  </w:style>
  <w:style w:type="character" w:customStyle="1" w:styleId="275">
    <w:name w:val="标题 5 字符"/>
    <w:link w:val="6"/>
    <w:qFormat/>
    <w:locked/>
    <w:uiPriority w:val="99"/>
    <w:rPr>
      <w:rFonts w:eastAsia="宋体" w:cs="Times New Roman"/>
      <w:b/>
      <w:bCs/>
      <w:sz w:val="28"/>
      <w:szCs w:val="28"/>
    </w:rPr>
  </w:style>
  <w:style w:type="character" w:customStyle="1" w:styleId="276">
    <w:name w:val="标题 7 字符"/>
    <w:link w:val="8"/>
    <w:qFormat/>
    <w:locked/>
    <w:uiPriority w:val="99"/>
    <w:rPr>
      <w:rFonts w:cs="Times New Roman"/>
      <w:b/>
      <w:bCs/>
      <w:sz w:val="24"/>
      <w:szCs w:val="24"/>
    </w:rPr>
  </w:style>
  <w:style w:type="character" w:customStyle="1" w:styleId="277">
    <w:name w:val="正文文本 字符"/>
    <w:link w:val="30"/>
    <w:semiHidden/>
    <w:qFormat/>
    <w:locked/>
    <w:uiPriority w:val="99"/>
    <w:rPr>
      <w:rFonts w:cs="Times New Roman"/>
      <w:sz w:val="21"/>
      <w:szCs w:val="21"/>
    </w:rPr>
  </w:style>
  <w:style w:type="character" w:customStyle="1" w:styleId="278">
    <w:name w:val="hover43"/>
    <w:qFormat/>
    <w:uiPriority w:val="99"/>
    <w:rPr>
      <w:rFonts w:cs="Times New Roman"/>
      <w:color w:val="auto"/>
      <w:u w:val="single"/>
    </w:rPr>
  </w:style>
  <w:style w:type="character" w:customStyle="1" w:styleId="279">
    <w:name w:val="段 Char"/>
    <w:link w:val="243"/>
    <w:qFormat/>
    <w:locked/>
    <w:uiPriority w:val="99"/>
    <w:rPr>
      <w:rFonts w:ascii="宋体" w:cs="宋体"/>
      <w:sz w:val="21"/>
      <w:szCs w:val="21"/>
      <w:lang w:val="en-US" w:eastAsia="zh-CN" w:bidi="ar-SA"/>
    </w:rPr>
  </w:style>
  <w:style w:type="character" w:customStyle="1" w:styleId="280">
    <w:name w:val="r-search1"/>
    <w:basedOn w:val="121"/>
    <w:qFormat/>
    <w:uiPriority w:val="0"/>
  </w:style>
  <w:style w:type="character" w:customStyle="1" w:styleId="281">
    <w:name w:val="ewm"/>
    <w:basedOn w:val="121"/>
    <w:qFormat/>
    <w:uiPriority w:val="0"/>
  </w:style>
  <w:style w:type="character" w:customStyle="1" w:styleId="282">
    <w:name w:val="HR正文 Char"/>
    <w:link w:val="142"/>
    <w:qFormat/>
    <w:uiPriority w:val="0"/>
    <w:rPr>
      <w:rFonts w:ascii="Calibri" w:hAnsi="Calibri"/>
      <w:kern w:val="2"/>
      <w:sz w:val="24"/>
      <w:szCs w:val="24"/>
    </w:rPr>
  </w:style>
  <w:style w:type="character" w:customStyle="1" w:styleId="283">
    <w:name w:val="正文文本首行缩进 字符"/>
    <w:link w:val="74"/>
    <w:qFormat/>
    <w:locked/>
    <w:uiPriority w:val="99"/>
    <w:rPr>
      <w:rFonts w:eastAsia="宋体" w:cs="Times New Roman"/>
      <w:sz w:val="21"/>
      <w:szCs w:val="21"/>
    </w:rPr>
  </w:style>
  <w:style w:type="character" w:customStyle="1" w:styleId="284">
    <w:name w:val="标题 2 字符"/>
    <w:link w:val="2"/>
    <w:qFormat/>
    <w:locked/>
    <w:uiPriority w:val="9"/>
    <w:rPr>
      <w:rFonts w:ascii="Arial" w:hAnsi="Arial" w:eastAsia="黑体" w:cs="Arial"/>
      <w:b/>
      <w:bCs/>
      <w:sz w:val="32"/>
      <w:szCs w:val="32"/>
    </w:rPr>
  </w:style>
  <w:style w:type="character" w:customStyle="1" w:styleId="285">
    <w:name w:val="HTML 预设格式 字符"/>
    <w:link w:val="68"/>
    <w:semiHidden/>
    <w:qFormat/>
    <w:locked/>
    <w:uiPriority w:val="99"/>
    <w:rPr>
      <w:rFonts w:ascii="Courier New" w:hAnsi="Courier New" w:cs="Courier New"/>
      <w:sz w:val="20"/>
      <w:szCs w:val="20"/>
    </w:rPr>
  </w:style>
  <w:style w:type="character" w:customStyle="1" w:styleId="286">
    <w:name w:val="Body Text Char"/>
    <w:qFormat/>
    <w:locked/>
    <w:uiPriority w:val="99"/>
    <w:rPr>
      <w:rFonts w:eastAsia="宋体"/>
      <w:sz w:val="21"/>
    </w:rPr>
  </w:style>
  <w:style w:type="character" w:customStyle="1" w:styleId="287">
    <w:name w:val="List Paragraph Char"/>
    <w:link w:val="235"/>
    <w:qFormat/>
    <w:locked/>
    <w:uiPriority w:val="0"/>
    <w:rPr>
      <w:color w:val="262626"/>
    </w:rPr>
  </w:style>
  <w:style w:type="character" w:customStyle="1" w:styleId="288">
    <w:name w:val="z-crt4"/>
    <w:qFormat/>
    <w:uiPriority w:val="0"/>
    <w:rPr>
      <w:color w:val="FFFFFF"/>
      <w:bdr w:val="single" w:color="5294E5" w:sz="4" w:space="0"/>
      <w:shd w:val="clear" w:color="auto" w:fill="5294E5"/>
    </w:rPr>
  </w:style>
  <w:style w:type="character" w:customStyle="1" w:styleId="289">
    <w:name w:val="Comment Text Char"/>
    <w:qFormat/>
    <w:locked/>
    <w:uiPriority w:val="99"/>
    <w:rPr>
      <w:rFonts w:ascii="Calibri" w:hAnsi="Calibri" w:eastAsia="宋体"/>
      <w:sz w:val="22"/>
      <w:lang w:val="en-US" w:eastAsia="en-US"/>
    </w:rPr>
  </w:style>
  <w:style w:type="character" w:customStyle="1" w:styleId="290">
    <w:name w:val="标题 6 字符"/>
    <w:link w:val="7"/>
    <w:qFormat/>
    <w:locked/>
    <w:uiPriority w:val="99"/>
    <w:rPr>
      <w:rFonts w:ascii="Arial" w:hAnsi="Arial" w:eastAsia="黑体" w:cs="Arial"/>
      <w:b/>
      <w:bCs/>
    </w:rPr>
  </w:style>
  <w:style w:type="character" w:customStyle="1" w:styleId="291">
    <w:name w:val="r-search"/>
    <w:basedOn w:val="121"/>
    <w:qFormat/>
    <w:uiPriority w:val="0"/>
  </w:style>
  <w:style w:type="character" w:customStyle="1" w:styleId="292">
    <w:name w:val="批注文字 字符"/>
    <w:link w:val="25"/>
    <w:qFormat/>
    <w:locked/>
    <w:uiPriority w:val="99"/>
    <w:rPr>
      <w:rFonts w:cs="Times New Roman"/>
      <w:sz w:val="21"/>
      <w:szCs w:val="21"/>
    </w:rPr>
  </w:style>
  <w:style w:type="character" w:customStyle="1" w:styleId="293">
    <w:name w:val="日期 字符"/>
    <w:link w:val="44"/>
    <w:qFormat/>
    <w:locked/>
    <w:uiPriority w:val="0"/>
    <w:rPr>
      <w:rFonts w:cs="Times New Roman"/>
      <w:sz w:val="21"/>
      <w:szCs w:val="21"/>
    </w:rPr>
  </w:style>
  <w:style w:type="character" w:customStyle="1" w:styleId="294">
    <w:name w:val="标题 4 字符"/>
    <w:link w:val="5"/>
    <w:qFormat/>
    <w:locked/>
    <w:uiPriority w:val="99"/>
    <w:rPr>
      <w:rFonts w:ascii="Arial" w:hAnsi="Arial" w:eastAsia="黑体" w:cs="Arial"/>
      <w:b/>
      <w:bCs/>
      <w:sz w:val="28"/>
      <w:szCs w:val="28"/>
    </w:rPr>
  </w:style>
  <w:style w:type="character" w:customStyle="1" w:styleId="295">
    <w:name w:val="批注框文本 字符"/>
    <w:link w:val="47"/>
    <w:qFormat/>
    <w:uiPriority w:val="99"/>
    <w:rPr>
      <w:kern w:val="2"/>
      <w:sz w:val="18"/>
      <w:szCs w:val="18"/>
    </w:rPr>
  </w:style>
  <w:style w:type="character" w:customStyle="1" w:styleId="296">
    <w:name w:val="Document Map Char"/>
    <w:semiHidden/>
    <w:qFormat/>
    <w:locked/>
    <w:uiPriority w:val="99"/>
    <w:rPr>
      <w:rFonts w:eastAsia="宋体"/>
      <w:sz w:val="21"/>
    </w:rPr>
  </w:style>
  <w:style w:type="character" w:customStyle="1" w:styleId="297">
    <w:name w:val="HR正文 Char1"/>
    <w:qFormat/>
    <w:uiPriority w:val="0"/>
    <w:rPr>
      <w:kern w:val="2"/>
      <w:sz w:val="24"/>
      <w:szCs w:val="24"/>
    </w:rPr>
  </w:style>
  <w:style w:type="character" w:customStyle="1" w:styleId="298">
    <w:name w:val="副标题 字符"/>
    <w:link w:val="55"/>
    <w:qFormat/>
    <w:locked/>
    <w:uiPriority w:val="99"/>
    <w:rPr>
      <w:rFonts w:ascii="Cambria" w:hAnsi="Cambria" w:cs="Cambria"/>
      <w:b/>
      <w:bCs/>
      <w:kern w:val="28"/>
      <w:sz w:val="32"/>
      <w:szCs w:val="32"/>
    </w:rPr>
  </w:style>
  <w:style w:type="character" w:customStyle="1" w:styleId="299">
    <w:name w:val="hover44"/>
    <w:qFormat/>
    <w:uiPriority w:val="99"/>
    <w:rPr>
      <w:rFonts w:ascii="微软雅黑" w:hAnsi="微软雅黑" w:eastAsia="微软雅黑" w:cs="微软雅黑"/>
      <w:b/>
      <w:bCs/>
      <w:color w:val="auto"/>
      <w:sz w:val="22"/>
      <w:szCs w:val="22"/>
      <w:u w:val="single"/>
    </w:rPr>
  </w:style>
  <w:style w:type="character" w:customStyle="1" w:styleId="300">
    <w:name w:val="正文文本缩进 2 字符"/>
    <w:link w:val="45"/>
    <w:qFormat/>
    <w:locked/>
    <w:uiPriority w:val="0"/>
    <w:rPr>
      <w:rFonts w:cs="Times New Roman"/>
      <w:sz w:val="21"/>
      <w:szCs w:val="21"/>
    </w:rPr>
  </w:style>
  <w:style w:type="character" w:customStyle="1" w:styleId="301">
    <w:name w:val="Header Char"/>
    <w:semiHidden/>
    <w:qFormat/>
    <w:locked/>
    <w:uiPriority w:val="99"/>
    <w:rPr>
      <w:rFonts w:eastAsia="宋体"/>
      <w:sz w:val="18"/>
    </w:rPr>
  </w:style>
  <w:style w:type="character" w:customStyle="1" w:styleId="302">
    <w:name w:val="正文文本 2 字符"/>
    <w:link w:val="64"/>
    <w:qFormat/>
    <w:locked/>
    <w:uiPriority w:val="99"/>
    <w:rPr>
      <w:rFonts w:cs="Times New Roman"/>
      <w:sz w:val="21"/>
      <w:szCs w:val="21"/>
    </w:rPr>
  </w:style>
  <w:style w:type="character" w:customStyle="1" w:styleId="303">
    <w:name w:val="电子邮件签名 字符"/>
    <w:link w:val="17"/>
    <w:semiHidden/>
    <w:qFormat/>
    <w:locked/>
    <w:uiPriority w:val="99"/>
    <w:rPr>
      <w:rFonts w:cs="Times New Roman"/>
      <w:sz w:val="21"/>
      <w:szCs w:val="21"/>
    </w:rPr>
  </w:style>
  <w:style w:type="character" w:customStyle="1" w:styleId="304">
    <w:name w:val="标题 字符"/>
    <w:link w:val="72"/>
    <w:qFormat/>
    <w:locked/>
    <w:uiPriority w:val="0"/>
    <w:rPr>
      <w:rFonts w:ascii="Cambria" w:hAnsi="Cambria" w:cs="Cambria"/>
      <w:b/>
      <w:bCs/>
      <w:sz w:val="32"/>
      <w:szCs w:val="32"/>
    </w:rPr>
  </w:style>
  <w:style w:type="character" w:customStyle="1" w:styleId="305">
    <w:name w:val="HR标题3 Char"/>
    <w:link w:val="192"/>
    <w:qFormat/>
    <w:uiPriority w:val="0"/>
    <w:rPr>
      <w:rFonts w:ascii="Calibri" w:hAnsi="Calibri"/>
      <w:kern w:val="2"/>
      <w:sz w:val="24"/>
      <w:szCs w:val="24"/>
    </w:rPr>
  </w:style>
  <w:style w:type="character" w:customStyle="1" w:styleId="306">
    <w:name w:val="纯文本 字符1"/>
    <w:link w:val="40"/>
    <w:qFormat/>
    <w:locked/>
    <w:uiPriority w:val="0"/>
    <w:rPr>
      <w:rFonts w:ascii="宋体" w:hAnsi="Courier New" w:cs="宋体"/>
      <w:sz w:val="21"/>
      <w:szCs w:val="21"/>
    </w:rPr>
  </w:style>
  <w:style w:type="character" w:customStyle="1" w:styleId="307">
    <w:name w:val="hover39"/>
    <w:qFormat/>
    <w:uiPriority w:val="99"/>
    <w:rPr>
      <w:rFonts w:cs="Times New Roman"/>
      <w:color w:val="FFFFFF"/>
      <w:shd w:val="clear" w:color="auto" w:fill="auto"/>
    </w:rPr>
  </w:style>
  <w:style w:type="character" w:customStyle="1" w:styleId="308">
    <w:name w:val="hover40"/>
    <w:qFormat/>
    <w:uiPriority w:val="99"/>
    <w:rPr>
      <w:rFonts w:cs="Times New Roman"/>
      <w:color w:val="auto"/>
      <w:u w:val="single"/>
    </w:rPr>
  </w:style>
  <w:style w:type="character" w:customStyle="1" w:styleId="309">
    <w:name w:val="页眉 字符"/>
    <w:link w:val="50"/>
    <w:qFormat/>
    <w:locked/>
    <w:uiPriority w:val="0"/>
    <w:rPr>
      <w:rFonts w:cs="Times New Roman"/>
      <w:sz w:val="18"/>
      <w:szCs w:val="18"/>
    </w:rPr>
  </w:style>
  <w:style w:type="character" w:customStyle="1" w:styleId="310">
    <w:name w:val="正文文本 3 字符"/>
    <w:link w:val="27"/>
    <w:qFormat/>
    <w:locked/>
    <w:uiPriority w:val="99"/>
    <w:rPr>
      <w:rFonts w:cs="Times New Roman"/>
      <w:sz w:val="16"/>
      <w:szCs w:val="16"/>
    </w:rPr>
  </w:style>
  <w:style w:type="character" w:customStyle="1" w:styleId="311">
    <w:name w:val="z-crt3"/>
    <w:qFormat/>
    <w:uiPriority w:val="0"/>
    <w:rPr>
      <w:color w:val="FFFFFF"/>
      <w:bdr w:val="single" w:color="5295E6" w:sz="4" w:space="0"/>
      <w:shd w:val="clear" w:color="auto" w:fill="5295E6"/>
    </w:rPr>
  </w:style>
  <w:style w:type="character" w:customStyle="1" w:styleId="312">
    <w:name w:val="标题 9 字符"/>
    <w:link w:val="10"/>
    <w:qFormat/>
    <w:locked/>
    <w:uiPriority w:val="99"/>
    <w:rPr>
      <w:rFonts w:ascii="Cambria" w:hAnsi="Cambria" w:eastAsia="宋体" w:cs="Cambria"/>
      <w:sz w:val="21"/>
      <w:szCs w:val="21"/>
    </w:rPr>
  </w:style>
  <w:style w:type="character" w:customStyle="1" w:styleId="313">
    <w:name w:val="正文文本缩进 字符"/>
    <w:link w:val="31"/>
    <w:qFormat/>
    <w:locked/>
    <w:uiPriority w:val="0"/>
    <w:rPr>
      <w:rFonts w:cs="Times New Roman"/>
      <w:sz w:val="21"/>
      <w:szCs w:val="21"/>
    </w:rPr>
  </w:style>
  <w:style w:type="character" w:customStyle="1" w:styleId="314">
    <w:name w:val="HTML Markup"/>
    <w:qFormat/>
    <w:uiPriority w:val="0"/>
    <w:rPr>
      <w:vanish/>
      <w:color w:val="FF0000"/>
    </w:rPr>
  </w:style>
  <w:style w:type="character" w:customStyle="1" w:styleId="315">
    <w:name w:val="文档结构图 字符"/>
    <w:link w:val="23"/>
    <w:qFormat/>
    <w:locked/>
    <w:uiPriority w:val="0"/>
    <w:rPr>
      <w:rFonts w:cs="Times New Roman"/>
      <w:sz w:val="2"/>
      <w:szCs w:val="2"/>
    </w:rPr>
  </w:style>
  <w:style w:type="character" w:customStyle="1" w:styleId="316">
    <w:name w:val="纯文本 字符"/>
    <w:qFormat/>
    <w:uiPriority w:val="0"/>
    <w:rPr>
      <w:rFonts w:ascii="宋体" w:hAnsi="Courier New"/>
      <w:kern w:val="2"/>
      <w:sz w:val="21"/>
      <w:szCs w:val="21"/>
    </w:rPr>
  </w:style>
  <w:style w:type="character" w:customStyle="1" w:styleId="317">
    <w:name w:val="HTML 地址 字符"/>
    <w:link w:val="37"/>
    <w:semiHidden/>
    <w:qFormat/>
    <w:locked/>
    <w:uiPriority w:val="99"/>
    <w:rPr>
      <w:rFonts w:cs="Times New Roman"/>
      <w:i/>
      <w:iCs/>
      <w:sz w:val="21"/>
      <w:szCs w:val="21"/>
    </w:rPr>
  </w:style>
  <w:style w:type="character" w:customStyle="1" w:styleId="318">
    <w:name w:val="apple-converted-space"/>
    <w:qFormat/>
    <w:uiPriority w:val="99"/>
  </w:style>
  <w:style w:type="character" w:customStyle="1" w:styleId="319">
    <w:name w:val="Body Text First Indent Char"/>
    <w:qFormat/>
    <w:locked/>
    <w:uiPriority w:val="99"/>
    <w:rPr>
      <w:rFonts w:ascii="宋体" w:hAnsi="宋体" w:eastAsia="宋体"/>
      <w:spacing w:val="20"/>
      <w:sz w:val="24"/>
    </w:rPr>
  </w:style>
  <w:style w:type="character" w:customStyle="1" w:styleId="320">
    <w:name w:val="Char Char3"/>
    <w:qFormat/>
    <w:uiPriority w:val="99"/>
    <w:rPr>
      <w:rFonts w:ascii="Calibri" w:hAnsi="Calibri" w:eastAsia="宋体" w:cs="Calibri"/>
      <w:sz w:val="22"/>
      <w:szCs w:val="22"/>
      <w:lang w:eastAsia="en-US"/>
    </w:rPr>
  </w:style>
  <w:style w:type="character" w:customStyle="1" w:styleId="321">
    <w:name w:val="页眉 Char1"/>
    <w:semiHidden/>
    <w:qFormat/>
    <w:locked/>
    <w:uiPriority w:val="0"/>
    <w:rPr>
      <w:rFonts w:ascii="Calibri" w:hAnsi="Calibri"/>
      <w:sz w:val="18"/>
      <w:szCs w:val="18"/>
    </w:rPr>
  </w:style>
  <w:style w:type="character" w:customStyle="1" w:styleId="322">
    <w:name w:val="信息标题 字符"/>
    <w:link w:val="67"/>
    <w:semiHidden/>
    <w:qFormat/>
    <w:locked/>
    <w:uiPriority w:val="99"/>
    <w:rPr>
      <w:rFonts w:ascii="Cambria" w:hAnsi="Cambria" w:eastAsia="宋体" w:cs="Cambria"/>
      <w:sz w:val="24"/>
      <w:szCs w:val="24"/>
      <w:shd w:val="pct20" w:color="auto" w:fill="auto"/>
    </w:rPr>
  </w:style>
  <w:style w:type="character" w:customStyle="1" w:styleId="323">
    <w:name w:val="first-child"/>
    <w:basedOn w:val="121"/>
    <w:qFormat/>
    <w:uiPriority w:val="0"/>
  </w:style>
  <w:style w:type="character" w:customStyle="1" w:styleId="324">
    <w:name w:val="签名 字符"/>
    <w:link w:val="51"/>
    <w:qFormat/>
    <w:locked/>
    <w:uiPriority w:val="99"/>
    <w:rPr>
      <w:rFonts w:cs="Times New Roman"/>
      <w:sz w:val="21"/>
      <w:szCs w:val="21"/>
    </w:rPr>
  </w:style>
  <w:style w:type="character" w:customStyle="1" w:styleId="325">
    <w:name w:val="页脚 字符"/>
    <w:link w:val="48"/>
    <w:qFormat/>
    <w:locked/>
    <w:uiPriority w:val="99"/>
    <w:rPr>
      <w:rFonts w:cs="Times New Roman"/>
      <w:sz w:val="18"/>
      <w:szCs w:val="18"/>
    </w:rPr>
  </w:style>
  <w:style w:type="character" w:customStyle="1" w:styleId="326">
    <w:name w:val="标题 8 字符"/>
    <w:link w:val="9"/>
    <w:qFormat/>
    <w:locked/>
    <w:uiPriority w:val="99"/>
    <w:rPr>
      <w:rFonts w:ascii="Cambria" w:hAnsi="Cambria" w:eastAsia="宋体" w:cs="Cambria"/>
      <w:sz w:val="24"/>
      <w:szCs w:val="24"/>
    </w:rPr>
  </w:style>
  <w:style w:type="character" w:customStyle="1" w:styleId="327">
    <w:name w:val="正文文本缩进 2 Char1"/>
    <w:semiHidden/>
    <w:qFormat/>
    <w:locked/>
    <w:uiPriority w:val="99"/>
    <w:rPr>
      <w:sz w:val="21"/>
      <w:szCs w:val="21"/>
    </w:rPr>
  </w:style>
  <w:style w:type="character" w:customStyle="1" w:styleId="328">
    <w:name w:val="标题 1 字符"/>
    <w:link w:val="3"/>
    <w:qFormat/>
    <w:locked/>
    <w:uiPriority w:val="99"/>
    <w:rPr>
      <w:b/>
      <w:iCs/>
      <w:kern w:val="2"/>
      <w:sz w:val="36"/>
    </w:rPr>
  </w:style>
  <w:style w:type="character" w:customStyle="1" w:styleId="329">
    <w:name w:val="结束语 字符"/>
    <w:link w:val="28"/>
    <w:semiHidden/>
    <w:qFormat/>
    <w:locked/>
    <w:uiPriority w:val="99"/>
    <w:rPr>
      <w:rFonts w:cs="Times New Roman"/>
      <w:sz w:val="21"/>
      <w:szCs w:val="21"/>
    </w:rPr>
  </w:style>
  <w:style w:type="character" w:customStyle="1" w:styleId="330">
    <w:name w:val="注释标题 字符"/>
    <w:link w:val="15"/>
    <w:semiHidden/>
    <w:qFormat/>
    <w:locked/>
    <w:uiPriority w:val="99"/>
    <w:rPr>
      <w:rFonts w:cs="Times New Roman"/>
      <w:sz w:val="21"/>
      <w:szCs w:val="21"/>
    </w:rPr>
  </w:style>
  <w:style w:type="character" w:customStyle="1" w:styleId="331">
    <w:name w:val="hover34"/>
    <w:qFormat/>
    <w:uiPriority w:val="0"/>
    <w:rPr>
      <w:color w:val="FFFFFF"/>
      <w:bdr w:val="single" w:color="5294E5" w:sz="4" w:space="0"/>
      <w:shd w:val="clear" w:color="auto" w:fill="5294E5"/>
    </w:rPr>
  </w:style>
  <w:style w:type="table" w:customStyle="1" w:styleId="332">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33">
    <w:name w:val="浅色网格1"/>
    <w:basedOn w:val="76"/>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eastAsia="Courier New" w:cs="Times New Roman"/>
        <w:b/>
        <w:bCs/>
      </w:rPr>
      <w:tcPr>
        <w:tcBorders>
          <w:top w:val="single" w:color="000000" w:sz="8" w:space="0"/>
          <w:left w:val="single" w:color="000000" w:sz="18" w:space="0"/>
          <w:bottom w:val="single" w:color="000000" w:sz="8" w:space="0"/>
          <w:right w:val="single" w:color="000000" w:sz="8" w:space="0"/>
          <w:insideH w:val="nil"/>
          <w:insideV w:val="single" w:sz="8" w:space="0"/>
          <w:tl2br w:val="nil"/>
          <w:tr2bl w:val="nil"/>
        </w:tcBorders>
      </w:tcPr>
    </w:tblStylePr>
    <w:tblStylePr w:type="lastRow">
      <w:pPr>
        <w:spacing w:before="0" w:after="0" w:line="240" w:lineRule="auto"/>
      </w:pPr>
      <w:rPr>
        <w:rFonts w:eastAsia="Courier New" w:cs="Times New Roman"/>
        <w:b/>
        <w:bCs/>
      </w:rPr>
      <w:tcPr>
        <w:tcBorders>
          <w:top w:val="double" w:color="000000" w:sz="6" w:space="0"/>
          <w:left w:val="single" w:color="000000" w:sz="8" w:space="0"/>
          <w:bottom w:val="single" w:color="000000" w:sz="8" w:space="0"/>
          <w:right w:val="single" w:color="000000" w:sz="8" w:space="0"/>
          <w:insideH w:val="nil"/>
          <w:insideV w:val="single" w:sz="8" w:space="0"/>
          <w:tl2br w:val="nil"/>
          <w:tr2bl w:val="nil"/>
        </w:tcBorders>
      </w:tcPr>
    </w:tblStylePr>
    <w:tblStylePr w:type="firstCol">
      <w:rPr>
        <w:rFonts w:eastAsia="Courier New" w:cs="Times New Roman"/>
        <w:b/>
        <w:bCs/>
      </w:rPr>
    </w:tblStylePr>
    <w:tblStylePr w:type="lastCol">
      <w:rPr>
        <w:rFonts w:eastAsia="Courier New" w:cs="Times New Roman"/>
        <w:b/>
        <w:bCs/>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H w:val="nil"/>
          <w:insideV w:val="single" w:sz="8" w:space="0"/>
          <w:tl2br w:val="nil"/>
          <w:tr2bl w:val="nil"/>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H w:val="nil"/>
          <w:insideV w:val="single" w:sz="8" w:space="0"/>
          <w:tl2br w:val="nil"/>
          <w:tr2bl w:val="nil"/>
        </w:tcBorders>
      </w:tcPr>
    </w:tblStylePr>
  </w:style>
  <w:style w:type="character" w:customStyle="1" w:styleId="334">
    <w:name w:val="font11"/>
    <w:basedOn w:val="121"/>
    <w:qFormat/>
    <w:uiPriority w:val="0"/>
    <w:rPr>
      <w:rFonts w:hint="default" w:ascii="Arial" w:hAnsi="Arial" w:cs="Arial"/>
      <w:color w:val="000000"/>
      <w:sz w:val="24"/>
      <w:szCs w:val="24"/>
      <w:u w:val="none"/>
    </w:rPr>
  </w:style>
  <w:style w:type="character" w:customStyle="1" w:styleId="335">
    <w:name w:val="font21"/>
    <w:basedOn w:val="121"/>
    <w:qFormat/>
    <w:uiPriority w:val="0"/>
    <w:rPr>
      <w:rFonts w:hint="eastAsia" w:ascii="仿宋" w:hAnsi="仿宋" w:eastAsia="仿宋" w:cs="仿宋"/>
      <w:color w:val="000000"/>
      <w:sz w:val="24"/>
      <w:szCs w:val="24"/>
      <w:u w:val="none"/>
    </w:rPr>
  </w:style>
  <w:style w:type="paragraph" w:customStyle="1" w:styleId="336">
    <w:name w:val="Text"/>
    <w:basedOn w:val="1"/>
    <w:qFormat/>
    <w:uiPriority w:val="0"/>
    <w:pPr>
      <w:widowControl/>
      <w:tabs>
        <w:tab w:val="left" w:pos="1134"/>
      </w:tabs>
      <w:ind w:left="1134"/>
    </w:pPr>
    <w:rPr>
      <w:rFonts w:ascii="Arial" w:hAnsi="Arial"/>
      <w:kern w:val="0"/>
      <w:sz w:val="22"/>
      <w:szCs w:val="20"/>
      <w:lang w:val="de-DE"/>
    </w:rPr>
  </w:style>
  <w:style w:type="paragraph" w:customStyle="1" w:styleId="337">
    <w:name w:val="1"/>
    <w:basedOn w:val="1"/>
    <w:qFormat/>
    <w:uiPriority w:val="0"/>
    <w:rPr>
      <w:b/>
      <w:szCs w:val="24"/>
    </w:rPr>
  </w:style>
  <w:style w:type="paragraph" w:customStyle="1" w:styleId="338">
    <w:name w:val="1.1"/>
    <w:basedOn w:val="1"/>
    <w:qFormat/>
    <w:uiPriority w:val="0"/>
    <w:pPr>
      <w:widowControl/>
      <w:tabs>
        <w:tab w:val="left" w:pos="425"/>
        <w:tab w:val="left" w:pos="851"/>
      </w:tabs>
    </w:pPr>
    <w:rPr>
      <w:kern w:val="0"/>
      <w:szCs w:val="20"/>
    </w:rPr>
  </w:style>
  <w:style w:type="character" w:customStyle="1" w:styleId="339">
    <w:name w:val="脚注文本 字符"/>
    <w:basedOn w:val="121"/>
    <w:link w:val="58"/>
    <w:semiHidden/>
    <w:qFormat/>
    <w:uiPriority w:val="0"/>
    <w:rPr>
      <w:kern w:val="2"/>
      <w:sz w:val="18"/>
      <w:szCs w:val="18"/>
    </w:rPr>
  </w:style>
  <w:style w:type="table" w:customStyle="1" w:styleId="340">
    <w:name w:val="网格型1"/>
    <w:basedOn w:val="76"/>
    <w:qFormat/>
    <w:uiPriority w:val="59"/>
    <w:pPr>
      <w:widowControl w:val="0"/>
      <w:spacing w:after="200" w:line="276" w:lineRule="auto"/>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
    <w:name w:val="表格主题1"/>
    <w:basedOn w:val="76"/>
    <w:semiHidden/>
    <w:qFormat/>
    <w:uiPriority w:val="99"/>
    <w:pPr>
      <w:widowControl w:val="0"/>
      <w:spacing w:after="200" w:line="276" w:lineRule="auto"/>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
    <w:name w:val="彩色型 11"/>
    <w:basedOn w:val="76"/>
    <w:semiHidden/>
    <w:qFormat/>
    <w:uiPriority w:val="99"/>
    <w:pPr>
      <w:widowControl w:val="0"/>
      <w:spacing w:after="200" w:line="276" w:lineRule="auto"/>
    </w:pPr>
    <w:rPr>
      <w:rFonts w:ascii="Calibri" w:hAnsi="Calibri" w:cs="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rFonts w:cs="微软雅黑"/>
        <w:b/>
        <w:bCs/>
        <w:i/>
        <w:iCs/>
      </w:rPr>
      <w:tcPr>
        <w:tcBorders>
          <w:top w:val="nil"/>
          <w:left w:val="nil"/>
          <w:bottom w:val="nil"/>
          <w:right w:val="nil"/>
          <w:insideH w:val="nil"/>
          <w:insideV w:val="nil"/>
          <w:tl2br w:val="nil"/>
          <w:tr2bl w:val="nil"/>
        </w:tcBorders>
        <w:shd w:val="solid" w:color="000000" w:fill="FFFFFF"/>
      </w:tcPr>
    </w:tblStylePr>
    <w:tblStylePr w:type="firstCol">
      <w:rPr>
        <w:rFonts w:cs="微软雅黑"/>
        <w:b/>
        <w:bCs/>
        <w:i/>
        <w:iCs/>
      </w:rPr>
      <w:tcPr>
        <w:tcBorders>
          <w:top w:val="nil"/>
          <w:left w:val="nil"/>
          <w:bottom w:val="nil"/>
          <w:right w:val="nil"/>
          <w:insideH w:val="nil"/>
          <w:insideV w:val="nil"/>
          <w:tl2br w:val="nil"/>
          <w:tr2bl w:val="nil"/>
        </w:tcBorders>
        <w:shd w:val="solid" w:color="000080" w:fill="FFFFFF"/>
      </w:tcPr>
    </w:tblStylePr>
    <w:tblStylePr w:type="nwCell">
      <w:rPr>
        <w:rFonts w:cs="微软雅黑"/>
      </w:rPr>
      <w:tcPr>
        <w:tcBorders>
          <w:top w:val="nil"/>
          <w:left w:val="nil"/>
          <w:bottom w:val="nil"/>
          <w:right w:val="nil"/>
          <w:insideH w:val="nil"/>
          <w:insideV w:val="nil"/>
          <w:tl2br w:val="nil"/>
          <w:tr2bl w:val="nil"/>
        </w:tcBorders>
        <w:shd w:val="solid" w:color="000000" w:fill="FFFFFF"/>
      </w:tcPr>
    </w:tblStylePr>
    <w:tblStylePr w:type="swCell">
      <w:rPr>
        <w:rFonts w:cs="微软雅黑"/>
        <w:b/>
        <w:bCs/>
        <w:i w:val="0"/>
        <w:iCs w:val="0"/>
      </w:rPr>
      <w:tcPr>
        <w:tcBorders>
          <w:top w:val="nil"/>
          <w:left w:val="nil"/>
          <w:bottom w:val="nil"/>
          <w:right w:val="nil"/>
          <w:insideH w:val="nil"/>
          <w:insideV w:val="nil"/>
          <w:tl2br w:val="nil"/>
          <w:tr2bl w:val="nil"/>
        </w:tcBorders>
      </w:tcPr>
    </w:tblStylePr>
  </w:style>
  <w:style w:type="table" w:customStyle="1" w:styleId="343">
    <w:name w:val="彩色型 21"/>
    <w:basedOn w:val="76"/>
    <w:semiHidden/>
    <w:qFormat/>
    <w:uiPriority w:val="99"/>
    <w:pPr>
      <w:widowControl w:val="0"/>
      <w:spacing w:after="200" w:line="276" w:lineRule="auto"/>
    </w:pPr>
    <w:rPr>
      <w:rFonts w:ascii="Calibri" w:hAnsi="Calibri" w:cs="Calibri"/>
    </w:rPr>
    <w:tblPr>
      <w:tblBorders>
        <w:bottom w:val="single" w:color="000000" w:sz="12" w:space="0"/>
      </w:tblBorders>
    </w:tblPr>
    <w:tcPr>
      <w:shd w:val="pct20" w:color="FFFF00" w:fill="FFFFFF"/>
    </w:tcPr>
    <w:tblStylePr w:type="firstRow">
      <w:rPr>
        <w:rFonts w:cs="微软雅黑"/>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rFonts w:cs="微软雅黑"/>
        <w:b/>
        <w:bCs/>
        <w:i/>
        <w:iCs/>
      </w:rPr>
      <w:tcPr>
        <w:tcBorders>
          <w:top w:val="nil"/>
          <w:left w:val="nil"/>
          <w:bottom w:val="nil"/>
          <w:right w:val="nil"/>
          <w:insideH w:val="nil"/>
          <w:insideV w:val="nil"/>
          <w:tl2br w:val="nil"/>
          <w:tr2bl w:val="nil"/>
        </w:tcBorders>
      </w:tcPr>
    </w:tblStylePr>
    <w:tblStylePr w:type="lastCol">
      <w:rPr>
        <w:rFonts w:cs="微软雅黑"/>
      </w:rPr>
      <w:tcPr>
        <w:tcBorders>
          <w:top w:val="nil"/>
          <w:left w:val="nil"/>
          <w:bottom w:val="nil"/>
          <w:right w:val="nil"/>
          <w:insideH w:val="nil"/>
          <w:insideV w:val="nil"/>
          <w:tl2br w:val="nil"/>
          <w:tr2bl w:val="nil"/>
        </w:tcBorders>
        <w:shd w:val="solid" w:color="C0C0C0" w:fill="FFFFFF"/>
      </w:tcPr>
    </w:tblStylePr>
    <w:tblStylePr w:type="swCell">
      <w:rPr>
        <w:rFonts w:cs="微软雅黑"/>
        <w:b/>
        <w:bCs/>
        <w:i w:val="0"/>
        <w:iCs w:val="0"/>
      </w:rPr>
      <w:tcPr>
        <w:tcBorders>
          <w:top w:val="nil"/>
          <w:left w:val="nil"/>
          <w:bottom w:val="nil"/>
          <w:right w:val="nil"/>
          <w:insideH w:val="nil"/>
          <w:insideV w:val="nil"/>
          <w:tl2br w:val="nil"/>
          <w:tr2bl w:val="nil"/>
        </w:tcBorders>
      </w:tcPr>
    </w:tblStylePr>
  </w:style>
  <w:style w:type="table" w:customStyle="1" w:styleId="344">
    <w:name w:val="彩色型 31"/>
    <w:basedOn w:val="76"/>
    <w:semiHidden/>
    <w:qFormat/>
    <w:uiPriority w:val="99"/>
    <w:pPr>
      <w:widowControl w:val="0"/>
      <w:spacing w:after="200" w:line="276" w:lineRule="auto"/>
    </w:pPr>
    <w:rPr>
      <w:rFonts w:ascii="Calibri" w:hAnsi="Calibri" w:cs="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rPr>
        <w:rFonts w:cs="微软雅黑"/>
      </w:rPr>
      <w:tcPr>
        <w:tcBorders>
          <w:top w:val="nil"/>
          <w:left w:val="nil"/>
          <w:bottom w:val="single" w:color="000000" w:sz="6" w:space="0"/>
          <w:right w:val="nil"/>
          <w:insideH w:val="nil"/>
          <w:insideV w:val="nil"/>
          <w:tl2br w:val="nil"/>
          <w:tr2bl w:val="nil"/>
        </w:tcBorders>
        <w:shd w:val="solid" w:color="008080" w:fill="FFFFFF"/>
      </w:tcPr>
    </w:tblStylePr>
    <w:tblStylePr w:type="firstCol">
      <w:rPr>
        <w:rFonts w:cs="微软雅黑"/>
      </w:r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rFonts w:cs="微软雅黑"/>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45">
    <w:name w:val="典雅型1"/>
    <w:basedOn w:val="76"/>
    <w:semiHidden/>
    <w:qFormat/>
    <w:uiPriority w:val="99"/>
    <w:pPr>
      <w:widowControl w:val="0"/>
      <w:spacing w:after="200" w:line="276" w:lineRule="auto"/>
    </w:pPr>
    <w:rPr>
      <w:rFonts w:ascii="Calibri" w:hAnsi="Calibri"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微软雅黑"/>
        <w:caps/>
        <w:color w:val="auto"/>
      </w:rPr>
      <w:tcPr>
        <w:tcBorders>
          <w:top w:val="nil"/>
          <w:left w:val="nil"/>
          <w:bottom w:val="nil"/>
          <w:right w:val="nil"/>
          <w:insideH w:val="nil"/>
          <w:insideV w:val="nil"/>
          <w:tl2br w:val="nil"/>
          <w:tr2bl w:val="nil"/>
        </w:tcBorders>
      </w:tcPr>
    </w:tblStylePr>
  </w:style>
  <w:style w:type="table" w:customStyle="1" w:styleId="346">
    <w:name w:val="古典型 11"/>
    <w:basedOn w:val="76"/>
    <w:semiHidden/>
    <w:qFormat/>
    <w:uiPriority w:val="99"/>
    <w:pPr>
      <w:widowControl w:val="0"/>
      <w:spacing w:after="200" w:line="276" w:lineRule="auto"/>
    </w:pPr>
    <w:rPr>
      <w:rFonts w:ascii="Calibri" w:hAnsi="Calibri" w:cs="Calibri"/>
    </w:rPr>
    <w:tblPr>
      <w:tblBorders>
        <w:top w:val="single" w:color="000000" w:sz="12" w:space="0"/>
        <w:bottom w:val="single" w:color="000000" w:sz="12" w:space="0"/>
      </w:tblBorders>
    </w:tblPr>
    <w:tblStylePr w:type="firstRow">
      <w:rPr>
        <w:rFonts w:cs="微软雅黑"/>
        <w:i/>
        <w:iCs/>
      </w:rPr>
      <w:tcPr>
        <w:tcBorders>
          <w:top w:val="nil"/>
          <w:left w:val="nil"/>
          <w:bottom w:val="single" w:color="000000" w:sz="6" w:space="0"/>
          <w:right w:val="nil"/>
          <w:insideH w:val="nil"/>
          <w:insideV w:val="nil"/>
          <w:tl2br w:val="nil"/>
          <w:tr2bl w:val="nil"/>
        </w:tcBorders>
      </w:tcPr>
    </w:tblStylePr>
    <w:tblStylePr w:type="lastRow">
      <w:rPr>
        <w:rFonts w:cs="微软雅黑"/>
        <w:color w:val="auto"/>
      </w:rPr>
      <w:tcPr>
        <w:tcBorders>
          <w:top w:val="single" w:color="000000" w:sz="6" w:space="0"/>
          <w:left w:val="nil"/>
          <w:bottom w:val="nil"/>
          <w:right w:val="nil"/>
          <w:insideH w:val="nil"/>
          <w:insideV w:val="nil"/>
          <w:tl2br w:val="nil"/>
          <w:tr2bl w:val="nil"/>
        </w:tcBorders>
      </w:tcPr>
    </w:tblStylePr>
    <w:tblStylePr w:type="firstCol">
      <w:rPr>
        <w:rFonts w:cs="微软雅黑"/>
      </w:rPr>
      <w:tcPr>
        <w:tcBorders>
          <w:top w:val="nil"/>
          <w:left w:val="nil"/>
          <w:bottom w:val="nil"/>
          <w:right w:val="single" w:color="000000" w:sz="6" w:space="0"/>
          <w:insideH w:val="nil"/>
          <w:insideV w:val="nil"/>
          <w:tl2br w:val="nil"/>
          <w:tr2bl w:val="nil"/>
        </w:tcBorders>
      </w:tcPr>
    </w:tblStylePr>
    <w:tblStylePr w:type="neCell">
      <w:rPr>
        <w:rFonts w:cs="微软雅黑"/>
        <w:b/>
        <w:bCs/>
        <w:i w:val="0"/>
        <w:iCs w:val="0"/>
      </w:rPr>
      <w:tcPr>
        <w:tcBorders>
          <w:top w:val="nil"/>
          <w:left w:val="nil"/>
          <w:bottom w:val="nil"/>
          <w:right w:val="nil"/>
          <w:insideH w:val="nil"/>
          <w:insideV w:val="nil"/>
          <w:tl2br w:val="nil"/>
          <w:tr2bl w:val="nil"/>
        </w:tcBorders>
      </w:tcPr>
    </w:tblStylePr>
    <w:tblStylePr w:type="swCell">
      <w:rPr>
        <w:rFonts w:cs="微软雅黑"/>
        <w:b/>
        <w:bCs/>
      </w:rPr>
      <w:tcPr>
        <w:tcBorders>
          <w:top w:val="nil"/>
          <w:left w:val="nil"/>
          <w:bottom w:val="nil"/>
          <w:right w:val="nil"/>
          <w:insideH w:val="nil"/>
          <w:insideV w:val="nil"/>
          <w:tl2br w:val="nil"/>
          <w:tr2bl w:val="nil"/>
        </w:tcBorders>
      </w:tcPr>
    </w:tblStylePr>
  </w:style>
  <w:style w:type="table" w:customStyle="1" w:styleId="347">
    <w:name w:val="古典型 21"/>
    <w:basedOn w:val="76"/>
    <w:semiHidden/>
    <w:qFormat/>
    <w:uiPriority w:val="99"/>
    <w:pPr>
      <w:widowControl w:val="0"/>
      <w:spacing w:after="200" w:line="276" w:lineRule="auto"/>
    </w:pPr>
    <w:rPr>
      <w:rFonts w:ascii="Calibri" w:hAnsi="Calibri" w:cs="Calibri"/>
    </w:rPr>
    <w:tblPr>
      <w:tblBorders>
        <w:top w:val="single" w:color="000000" w:sz="12" w:space="0"/>
        <w:bottom w:val="single" w:color="000000" w:sz="12" w:space="0"/>
      </w:tblBorders>
    </w:tblPr>
    <w:tblStylePr w:type="firstRow">
      <w:rPr>
        <w:rFonts w:cs="微软雅黑"/>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rPr>
        <w:rFonts w:cs="微软雅黑"/>
      </w:rPr>
      <w:tcPr>
        <w:tcBorders>
          <w:top w:val="single" w:color="000000" w:sz="6" w:space="0"/>
          <w:left w:val="nil"/>
          <w:bottom w:val="nil"/>
          <w:right w:val="nil"/>
          <w:insideH w:val="nil"/>
          <w:insideV w:val="nil"/>
          <w:tl2br w:val="nil"/>
          <w:tr2bl w:val="nil"/>
        </w:tcBorders>
      </w:tcPr>
    </w:tblStylePr>
    <w:tblStylePr w:type="firstCol">
      <w:rPr>
        <w:rFonts w:cs="微软雅黑"/>
        <w:b/>
        <w:bCs/>
      </w:rPr>
      <w:tcPr>
        <w:tcBorders>
          <w:top w:val="nil"/>
          <w:left w:val="nil"/>
          <w:bottom w:val="nil"/>
          <w:right w:val="nil"/>
          <w:insideH w:val="nil"/>
          <w:insideV w:val="nil"/>
          <w:tl2br w:val="nil"/>
          <w:tr2bl w:val="nil"/>
        </w:tcBorders>
        <w:shd w:val="solid" w:color="C0C0C0" w:fill="FFFFFF"/>
      </w:tcPr>
    </w:tblStylePr>
    <w:tblStylePr w:type="neCell">
      <w:rPr>
        <w:rFonts w:cs="微软雅黑"/>
        <w:b/>
        <w:bCs/>
      </w:rPr>
      <w:tcPr>
        <w:tcBorders>
          <w:top w:val="nil"/>
          <w:left w:val="nil"/>
          <w:bottom w:val="nil"/>
          <w:right w:val="nil"/>
          <w:insideH w:val="nil"/>
          <w:insideV w:val="nil"/>
          <w:tl2br w:val="nil"/>
          <w:tr2bl w:val="nil"/>
        </w:tcBorders>
      </w:tcPr>
    </w:tblStylePr>
    <w:tblStylePr w:type="nwCell">
      <w:rPr>
        <w:rFonts w:cs="微软雅黑"/>
      </w:rPr>
      <w:tcPr>
        <w:tcBorders>
          <w:top w:val="nil"/>
          <w:left w:val="nil"/>
          <w:bottom w:val="nil"/>
          <w:right w:val="nil"/>
          <w:insideH w:val="nil"/>
          <w:insideV w:val="nil"/>
          <w:tl2br w:val="nil"/>
          <w:tr2bl w:val="nil"/>
        </w:tcBorders>
        <w:shd w:val="solid" w:color="800080" w:fill="FFFFFF"/>
      </w:tcPr>
    </w:tblStylePr>
    <w:tblStylePr w:type="swCell">
      <w:rPr>
        <w:rFonts w:cs="微软雅黑"/>
        <w:color w:val="000080"/>
      </w:rPr>
      <w:tcPr>
        <w:tcBorders>
          <w:top w:val="nil"/>
          <w:left w:val="nil"/>
          <w:bottom w:val="nil"/>
          <w:right w:val="nil"/>
          <w:insideH w:val="nil"/>
          <w:insideV w:val="nil"/>
          <w:tl2br w:val="nil"/>
          <w:tr2bl w:val="nil"/>
        </w:tcBorders>
      </w:tcPr>
    </w:tblStylePr>
  </w:style>
  <w:style w:type="table" w:customStyle="1" w:styleId="348">
    <w:name w:val="古典型 31"/>
    <w:basedOn w:val="76"/>
    <w:semiHidden/>
    <w:qFormat/>
    <w:uiPriority w:val="99"/>
    <w:pPr>
      <w:widowControl w:val="0"/>
      <w:spacing w:after="200" w:line="276" w:lineRule="auto"/>
    </w:pPr>
    <w:rPr>
      <w:rFonts w:ascii="Calibri" w:hAnsi="Calibri" w:cs="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rFonts w:cs="微软雅黑"/>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rFonts w:cs="微软雅黑"/>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rFonts w:cs="微软雅黑"/>
        <w:b/>
        <w:bCs/>
        <w:color w:val="000000"/>
      </w:rPr>
      <w:tcPr>
        <w:tcBorders>
          <w:top w:val="nil"/>
          <w:left w:val="nil"/>
          <w:bottom w:val="nil"/>
          <w:right w:val="nil"/>
          <w:insideH w:val="nil"/>
          <w:insideV w:val="nil"/>
          <w:tl2br w:val="nil"/>
          <w:tr2bl w:val="nil"/>
        </w:tcBorders>
      </w:tcPr>
    </w:tblStylePr>
  </w:style>
  <w:style w:type="table" w:customStyle="1" w:styleId="349">
    <w:name w:val="古典型 41"/>
    <w:basedOn w:val="76"/>
    <w:semiHidden/>
    <w:qFormat/>
    <w:uiPriority w:val="99"/>
    <w:pPr>
      <w:widowControl w:val="0"/>
      <w:spacing w:after="200" w:line="276" w:lineRule="auto"/>
    </w:pPr>
    <w:rPr>
      <w:rFonts w:ascii="Calibri" w:hAnsi="Calibri" w:cs="Calibri"/>
    </w:rPr>
    <w:tblPr>
      <w:tblBorders>
        <w:top w:val="single" w:color="000000" w:sz="12" w:space="0"/>
        <w:left w:val="single" w:color="000000" w:sz="6" w:space="0"/>
        <w:bottom w:val="single" w:color="000000" w:sz="12" w:space="0"/>
        <w:right w:val="single" w:color="000000" w:sz="6" w:space="0"/>
      </w:tblBorders>
    </w:tblPr>
    <w:tblStylePr w:type="firstRow">
      <w:rPr>
        <w:rFonts w:cs="微软雅黑"/>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rFonts w:cs="微软雅黑"/>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rFonts w:cs="微软雅黑"/>
        <w:b/>
        <w:bCs/>
      </w:rPr>
      <w:tcPr>
        <w:tcBorders>
          <w:top w:val="nil"/>
          <w:left w:val="nil"/>
          <w:bottom w:val="nil"/>
          <w:right w:val="nil"/>
          <w:insideH w:val="nil"/>
          <w:insideV w:val="nil"/>
          <w:tl2br w:val="nil"/>
          <w:tr2bl w:val="nil"/>
        </w:tcBorders>
      </w:tcPr>
    </w:tblStylePr>
    <w:tblStylePr w:type="nwCell">
      <w:rPr>
        <w:rFonts w:cs="微软雅黑"/>
        <w:b/>
        <w:bCs/>
      </w:rPr>
      <w:tcPr>
        <w:tcBorders>
          <w:top w:val="nil"/>
          <w:left w:val="nil"/>
          <w:bottom w:val="nil"/>
          <w:right w:val="nil"/>
          <w:insideH w:val="nil"/>
          <w:insideV w:val="nil"/>
          <w:tl2br w:val="nil"/>
          <w:tr2bl w:val="nil"/>
        </w:tcBorders>
      </w:tcPr>
    </w:tblStylePr>
    <w:tblStylePr w:type="swCell">
      <w:rPr>
        <w:rFonts w:cs="微软雅黑"/>
        <w:color w:val="000080"/>
      </w:rPr>
      <w:tcPr>
        <w:tcBorders>
          <w:top w:val="nil"/>
          <w:left w:val="nil"/>
          <w:bottom w:val="nil"/>
          <w:right w:val="nil"/>
          <w:insideH w:val="nil"/>
          <w:insideV w:val="nil"/>
          <w:tl2br w:val="nil"/>
          <w:tr2bl w:val="nil"/>
        </w:tcBorders>
      </w:tcPr>
    </w:tblStylePr>
  </w:style>
  <w:style w:type="table" w:customStyle="1" w:styleId="350">
    <w:name w:val="简明型 11"/>
    <w:basedOn w:val="76"/>
    <w:semiHidden/>
    <w:qFormat/>
    <w:uiPriority w:val="99"/>
    <w:pPr>
      <w:widowControl w:val="0"/>
      <w:spacing w:after="200" w:line="276" w:lineRule="auto"/>
    </w:pPr>
    <w:rPr>
      <w:rFonts w:ascii="Calibri" w:hAnsi="Calibri" w:cs="Calibri"/>
    </w:rPr>
    <w:tblPr>
      <w:tblBorders>
        <w:top w:val="single" w:color="008000" w:sz="12" w:space="0"/>
        <w:bottom w:val="single" w:color="008000" w:sz="12" w:space="0"/>
      </w:tblBorders>
    </w:tblPr>
    <w:tblStylePr w:type="firstRow">
      <w:rPr>
        <w:rFonts w:cs="微软雅黑"/>
      </w:rPr>
      <w:tcPr>
        <w:tcBorders>
          <w:top w:val="nil"/>
          <w:left w:val="nil"/>
          <w:bottom w:val="single" w:color="008000" w:sz="6" w:space="0"/>
          <w:right w:val="nil"/>
          <w:insideH w:val="nil"/>
          <w:insideV w:val="nil"/>
          <w:tl2br w:val="nil"/>
          <w:tr2bl w:val="nil"/>
        </w:tcBorders>
      </w:tcPr>
    </w:tblStylePr>
    <w:tblStylePr w:type="lastRow">
      <w:rPr>
        <w:rFonts w:cs="微软雅黑"/>
      </w:rPr>
      <w:tcPr>
        <w:tcBorders>
          <w:top w:val="single" w:color="008000" w:sz="6" w:space="0"/>
          <w:left w:val="nil"/>
          <w:bottom w:val="nil"/>
          <w:right w:val="nil"/>
          <w:insideH w:val="nil"/>
          <w:insideV w:val="nil"/>
          <w:tl2br w:val="nil"/>
          <w:tr2bl w:val="nil"/>
        </w:tcBorders>
      </w:tcPr>
    </w:tblStylePr>
  </w:style>
  <w:style w:type="table" w:customStyle="1" w:styleId="351">
    <w:name w:val="简明型 21"/>
    <w:basedOn w:val="76"/>
    <w:semiHidden/>
    <w:qFormat/>
    <w:uiPriority w:val="99"/>
    <w:pPr>
      <w:widowControl w:val="0"/>
      <w:spacing w:after="200" w:line="276" w:lineRule="auto"/>
    </w:pPr>
    <w:rPr>
      <w:rFonts w:ascii="Calibri" w:hAnsi="Calibri" w:cs="Calibri"/>
    </w:rPr>
    <w:tblStylePr w:type="firstRow">
      <w:rPr>
        <w:rFonts w:cs="微软雅黑"/>
        <w:b/>
        <w:bCs/>
      </w:rPr>
      <w:tcPr>
        <w:tcBorders>
          <w:top w:val="nil"/>
          <w:left w:val="nil"/>
          <w:bottom w:val="single" w:color="000000" w:sz="12" w:space="0"/>
          <w:right w:val="nil"/>
          <w:insideH w:val="nil"/>
          <w:insideV w:val="nil"/>
          <w:tl2br w:val="nil"/>
          <w:tr2bl w:val="nil"/>
        </w:tcBorders>
      </w:tcPr>
    </w:tblStylePr>
    <w:tblStylePr w:type="lastRow">
      <w:rPr>
        <w:rFonts w:cs="微软雅黑"/>
        <w:b/>
        <w:bCs/>
        <w:color w:val="auto"/>
      </w:rPr>
      <w:tcPr>
        <w:tcBorders>
          <w:top w:val="single" w:color="000000" w:sz="6" w:space="0"/>
          <w:left w:val="nil"/>
          <w:bottom w:val="nil"/>
          <w:right w:val="nil"/>
          <w:insideH w:val="nil"/>
          <w:insideV w:val="nil"/>
          <w:tl2br w:val="nil"/>
          <w:tr2bl w:val="nil"/>
        </w:tcBorders>
      </w:tcPr>
    </w:tblStylePr>
    <w:tblStylePr w:type="firstCol">
      <w:rPr>
        <w:rFonts w:cs="微软雅黑"/>
        <w:b/>
        <w:bCs/>
      </w:rPr>
      <w:tcPr>
        <w:tcBorders>
          <w:top w:val="nil"/>
          <w:left w:val="nil"/>
          <w:bottom w:val="nil"/>
          <w:right w:val="single" w:color="000000" w:sz="12" w:space="0"/>
          <w:insideH w:val="nil"/>
          <w:insideV w:val="nil"/>
          <w:tl2br w:val="nil"/>
          <w:tr2bl w:val="nil"/>
        </w:tcBorders>
      </w:tcPr>
    </w:tblStylePr>
    <w:tblStylePr w:type="lastCol">
      <w:rPr>
        <w:rFonts w:cs="微软雅黑"/>
        <w:b/>
        <w:bCs/>
      </w:rPr>
      <w:tcPr>
        <w:tcBorders>
          <w:top w:val="nil"/>
          <w:left w:val="single" w:color="000000" w:sz="6" w:space="0"/>
          <w:bottom w:val="nil"/>
          <w:right w:val="nil"/>
          <w:insideH w:val="nil"/>
          <w:insideV w:val="nil"/>
          <w:tl2br w:val="nil"/>
          <w:tr2bl w:val="nil"/>
        </w:tcBorders>
      </w:tcPr>
    </w:tblStylePr>
    <w:tblStylePr w:type="neCell">
      <w:rPr>
        <w:rFonts w:cs="微软雅黑"/>
        <w:b/>
        <w:bCs/>
      </w:rPr>
      <w:tcPr>
        <w:tcBorders>
          <w:top w:val="nil"/>
          <w:left w:val="nil"/>
          <w:bottom w:val="nil"/>
          <w:right w:val="nil"/>
          <w:insideH w:val="nil"/>
          <w:insideV w:val="nil"/>
          <w:tl2br w:val="nil"/>
          <w:tr2bl w:val="nil"/>
        </w:tcBorders>
      </w:tcPr>
    </w:tblStylePr>
    <w:tblStylePr w:type="swCell">
      <w:rPr>
        <w:rFonts w:cs="微软雅黑"/>
        <w:b/>
        <w:bCs/>
      </w:rPr>
      <w:tcPr>
        <w:tcBorders>
          <w:top w:val="nil"/>
          <w:left w:val="nil"/>
          <w:bottom w:val="nil"/>
          <w:right w:val="nil"/>
          <w:insideH w:val="nil"/>
          <w:insideV w:val="nil"/>
          <w:tl2br w:val="nil"/>
          <w:tr2bl w:val="nil"/>
        </w:tcBorders>
      </w:tcPr>
    </w:tblStylePr>
  </w:style>
  <w:style w:type="table" w:customStyle="1" w:styleId="352">
    <w:name w:val="简明型 31"/>
    <w:basedOn w:val="76"/>
    <w:semiHidden/>
    <w:qFormat/>
    <w:uiPriority w:val="99"/>
    <w:pPr>
      <w:widowControl w:val="0"/>
      <w:spacing w:after="200" w:line="276" w:lineRule="auto"/>
    </w:pPr>
    <w:rPr>
      <w:rFonts w:ascii="Calibri" w:hAnsi="Calibri" w:cs="Calibri"/>
    </w:rPr>
    <w:tblPr>
      <w:tblBorders>
        <w:top w:val="single" w:color="000000" w:sz="12" w:space="0"/>
        <w:left w:val="single" w:color="000000" w:sz="12" w:space="0"/>
        <w:bottom w:val="single" w:color="000000" w:sz="12" w:space="0"/>
        <w:right w:val="single" w:color="000000" w:sz="12" w:space="0"/>
      </w:tblBorders>
    </w:tblPr>
    <w:tblStylePr w:type="firstRow">
      <w:rPr>
        <w:rFonts w:cs="微软雅黑"/>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53">
    <w:name w:val="精巧型 11"/>
    <w:basedOn w:val="76"/>
    <w:semiHidden/>
    <w:qFormat/>
    <w:uiPriority w:val="99"/>
    <w:pPr>
      <w:widowControl w:val="0"/>
      <w:spacing w:after="200" w:line="276" w:lineRule="auto"/>
    </w:pPr>
    <w:rPr>
      <w:rFonts w:ascii="Calibri" w:hAnsi="Calibri" w:cs="Calibri"/>
    </w:rPr>
    <w:tblStylePr w:type="firstRow">
      <w:rPr>
        <w:rFonts w:cs="微软雅黑"/>
      </w:rPr>
      <w:tcPr>
        <w:tcBorders>
          <w:top w:val="single" w:color="000000" w:sz="6" w:space="0"/>
          <w:left w:val="nil"/>
          <w:bottom w:val="single" w:color="000000" w:sz="12" w:space="0"/>
          <w:right w:val="nil"/>
          <w:insideH w:val="nil"/>
          <w:insideV w:val="nil"/>
          <w:tl2br w:val="nil"/>
          <w:tr2bl w:val="nil"/>
        </w:tcBorders>
      </w:tcPr>
    </w:tblStylePr>
    <w:tblStylePr w:type="lastRow">
      <w:rPr>
        <w:rFonts w:cs="微软雅黑"/>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微软雅黑"/>
      </w:rPr>
      <w:tcPr>
        <w:tcBorders>
          <w:top w:val="nil"/>
          <w:left w:val="nil"/>
          <w:bottom w:val="nil"/>
          <w:right w:val="single" w:color="000000" w:sz="12" w:space="0"/>
          <w:insideH w:val="nil"/>
          <w:insideV w:val="nil"/>
          <w:tl2br w:val="nil"/>
          <w:tr2bl w:val="nil"/>
        </w:tcBorders>
      </w:tcPr>
    </w:tblStylePr>
    <w:tblStylePr w:type="lastCol">
      <w:rPr>
        <w:rFonts w:cs="微软雅黑"/>
      </w:rPr>
      <w:tcPr>
        <w:tcBorders>
          <w:top w:val="nil"/>
          <w:left w:val="single" w:color="000000" w:sz="12" w:space="0"/>
          <w:bottom w:val="nil"/>
          <w:right w:val="nil"/>
          <w:insideH w:val="nil"/>
          <w:insideV w:val="nil"/>
          <w:tl2br w:val="nil"/>
          <w:tr2bl w:val="nil"/>
        </w:tcBorders>
      </w:tcPr>
    </w:tblStylePr>
    <w:tblStylePr w:type="band1Horz">
      <w:rPr>
        <w:rFonts w:cs="微软雅黑"/>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微软雅黑"/>
        <w:b/>
        <w:bCs/>
      </w:rPr>
      <w:tcPr>
        <w:tcBorders>
          <w:top w:val="nil"/>
          <w:left w:val="nil"/>
          <w:bottom w:val="nil"/>
          <w:right w:val="nil"/>
          <w:insideH w:val="nil"/>
          <w:insideV w:val="nil"/>
          <w:tl2br w:val="nil"/>
          <w:tr2bl w:val="nil"/>
        </w:tcBorders>
      </w:tcPr>
    </w:tblStylePr>
    <w:tblStylePr w:type="swCell">
      <w:rPr>
        <w:rFonts w:cs="微软雅黑"/>
        <w:b/>
        <w:bCs/>
      </w:rPr>
      <w:tcPr>
        <w:tcBorders>
          <w:top w:val="nil"/>
          <w:left w:val="nil"/>
          <w:bottom w:val="nil"/>
          <w:right w:val="nil"/>
          <w:insideH w:val="nil"/>
          <w:insideV w:val="nil"/>
          <w:tl2br w:val="nil"/>
          <w:tr2bl w:val="nil"/>
        </w:tcBorders>
      </w:tcPr>
    </w:tblStylePr>
  </w:style>
  <w:style w:type="table" w:customStyle="1" w:styleId="354">
    <w:name w:val="精巧型 21"/>
    <w:basedOn w:val="76"/>
    <w:semiHidden/>
    <w:qFormat/>
    <w:uiPriority w:val="99"/>
    <w:pPr>
      <w:widowControl w:val="0"/>
      <w:spacing w:after="200" w:line="276" w:lineRule="auto"/>
    </w:pPr>
    <w:rPr>
      <w:rFonts w:ascii="Calibri" w:hAnsi="Calibri" w:cs="Calibri"/>
    </w:rPr>
    <w:tblPr>
      <w:tblBorders>
        <w:left w:val="single" w:color="000000" w:sz="6" w:space="0"/>
        <w:right w:val="single" w:color="000000" w:sz="6" w:space="0"/>
      </w:tblBorders>
    </w:tblPr>
    <w:tblStylePr w:type="firstRow">
      <w:rPr>
        <w:rFonts w:cs="微软雅黑"/>
      </w:rPr>
      <w:tcPr>
        <w:tcBorders>
          <w:top w:val="nil"/>
          <w:left w:val="nil"/>
          <w:bottom w:val="single" w:color="000000" w:sz="12" w:space="0"/>
          <w:right w:val="nil"/>
          <w:insideH w:val="nil"/>
          <w:insideV w:val="nil"/>
          <w:tl2br w:val="nil"/>
          <w:tr2bl w:val="nil"/>
        </w:tcBorders>
      </w:tcPr>
    </w:tblStylePr>
    <w:tblStylePr w:type="lastRow">
      <w:rPr>
        <w:rFonts w:cs="微软雅黑"/>
      </w:rPr>
      <w:tcPr>
        <w:tcBorders>
          <w:top w:val="single" w:color="000000" w:sz="12" w:space="0"/>
          <w:left w:val="nil"/>
          <w:bottom w:val="nil"/>
          <w:right w:val="nil"/>
          <w:insideH w:val="nil"/>
          <w:insideV w:val="nil"/>
          <w:tl2br w:val="nil"/>
          <w:tr2bl w:val="nil"/>
        </w:tcBorders>
      </w:tcPr>
    </w:tblStylePr>
    <w:tblStylePr w:type="firstCol">
      <w:rPr>
        <w:rFonts w:cs="微软雅黑"/>
      </w:rPr>
      <w:tcPr>
        <w:tcBorders>
          <w:top w:val="nil"/>
          <w:left w:val="nil"/>
          <w:bottom w:val="nil"/>
          <w:right w:val="single" w:color="000000" w:sz="12" w:space="0"/>
          <w:insideH w:val="nil"/>
          <w:insideV w:val="nil"/>
          <w:tl2br w:val="nil"/>
          <w:tr2bl w:val="nil"/>
        </w:tcBorders>
        <w:shd w:val="pct25" w:color="008000" w:fill="FFFFFF"/>
      </w:tcPr>
    </w:tblStylePr>
    <w:tblStylePr w:type="lastCol">
      <w:rPr>
        <w:rFonts w:cs="微软雅黑"/>
      </w:rPr>
      <w:tcPr>
        <w:tcBorders>
          <w:top w:val="nil"/>
          <w:left w:val="single" w:color="000000" w:sz="12" w:space="0"/>
          <w:bottom w:val="nil"/>
          <w:right w:val="nil"/>
          <w:insideH w:val="nil"/>
          <w:insideV w:val="nil"/>
          <w:tl2br w:val="nil"/>
          <w:tr2bl w:val="nil"/>
        </w:tcBorders>
        <w:shd w:val="pct25" w:color="808000" w:fill="FFFFFF"/>
      </w:tcPr>
    </w:tblStylePr>
    <w:tblStylePr w:type="neCell">
      <w:rPr>
        <w:rFonts w:cs="微软雅黑"/>
        <w:b/>
        <w:bCs/>
      </w:rPr>
      <w:tcPr>
        <w:tcBorders>
          <w:top w:val="nil"/>
          <w:left w:val="nil"/>
          <w:bottom w:val="nil"/>
          <w:right w:val="nil"/>
          <w:insideH w:val="nil"/>
          <w:insideV w:val="nil"/>
          <w:tl2br w:val="nil"/>
          <w:tr2bl w:val="nil"/>
        </w:tcBorders>
      </w:tcPr>
    </w:tblStylePr>
    <w:tblStylePr w:type="swCell">
      <w:rPr>
        <w:rFonts w:cs="微软雅黑"/>
        <w:b/>
        <w:bCs/>
      </w:rPr>
      <w:tcPr>
        <w:tcBorders>
          <w:top w:val="nil"/>
          <w:left w:val="nil"/>
          <w:bottom w:val="nil"/>
          <w:right w:val="nil"/>
          <w:insideH w:val="nil"/>
          <w:insideV w:val="nil"/>
          <w:tl2br w:val="nil"/>
          <w:tr2bl w:val="nil"/>
        </w:tcBorders>
      </w:tcPr>
    </w:tblStylePr>
  </w:style>
  <w:style w:type="table" w:customStyle="1" w:styleId="355">
    <w:name w:val="表三维效果 11"/>
    <w:basedOn w:val="76"/>
    <w:semiHidden/>
    <w:qFormat/>
    <w:uiPriority w:val="99"/>
    <w:pPr>
      <w:widowControl w:val="0"/>
      <w:spacing w:after="200" w:line="276" w:lineRule="auto"/>
    </w:pPr>
    <w:rPr>
      <w:rFonts w:ascii="Calibri" w:hAnsi="Calibri" w:cs="Calibri"/>
    </w:rPr>
    <w:tcPr>
      <w:shd w:val="solid" w:color="C0C0C0" w:fill="FFFFFF"/>
    </w:tcPr>
    <w:tblStylePr w:type="firstRow">
      <w:rPr>
        <w:rFonts w:cs="微软雅黑"/>
        <w:b/>
        <w:bCs/>
        <w:color w:val="800080"/>
      </w:rPr>
      <w:tcPr>
        <w:tcBorders>
          <w:top w:val="nil"/>
          <w:left w:val="nil"/>
          <w:bottom w:val="single" w:color="808080" w:sz="6" w:space="0"/>
          <w:right w:val="nil"/>
          <w:insideH w:val="nil"/>
          <w:insideV w:val="nil"/>
          <w:tl2br w:val="nil"/>
          <w:tr2bl w:val="nil"/>
        </w:tcBorders>
      </w:tcPr>
    </w:tblStylePr>
    <w:tblStylePr w:type="lastRow">
      <w:rPr>
        <w:rFonts w:cs="微软雅黑"/>
      </w:rPr>
      <w:tcPr>
        <w:tcBorders>
          <w:top w:val="single" w:color="FFFFFF" w:sz="6" w:space="0"/>
          <w:left w:val="nil"/>
          <w:bottom w:val="nil"/>
          <w:right w:val="nil"/>
          <w:insideH w:val="nil"/>
          <w:insideV w:val="nil"/>
          <w:tl2br w:val="nil"/>
          <w:tr2bl w:val="nil"/>
        </w:tcBorders>
      </w:tcPr>
    </w:tblStylePr>
    <w:tblStylePr w:type="firstCol">
      <w:rPr>
        <w:rFonts w:cs="微软雅黑"/>
        <w:b/>
        <w:bCs/>
      </w:rPr>
      <w:tcPr>
        <w:tcBorders>
          <w:top w:val="nil"/>
          <w:left w:val="nil"/>
          <w:bottom w:val="nil"/>
          <w:right w:val="single" w:color="808080" w:sz="6" w:space="0"/>
          <w:insideH w:val="nil"/>
          <w:insideV w:val="nil"/>
          <w:tl2br w:val="nil"/>
          <w:tr2bl w:val="nil"/>
        </w:tcBorders>
      </w:tcPr>
    </w:tblStylePr>
    <w:tblStylePr w:type="lastCol">
      <w:rPr>
        <w:rFonts w:cs="微软雅黑"/>
      </w:rPr>
      <w:tcPr>
        <w:tcBorders>
          <w:top w:val="nil"/>
          <w:left w:val="single" w:color="FFFFFF" w:sz="6" w:space="0"/>
          <w:bottom w:val="nil"/>
          <w:right w:val="nil"/>
          <w:insideH w:val="nil"/>
          <w:insideV w:val="nil"/>
          <w:tl2br w:val="nil"/>
          <w:tr2bl w:val="nil"/>
        </w:tcBorders>
      </w:tcPr>
    </w:tblStylePr>
    <w:tblStylePr w:type="neCell">
      <w:rPr>
        <w:rFonts w:cs="微软雅黑"/>
      </w:rPr>
      <w:tcPr>
        <w:tcBorders>
          <w:top w:val="nil"/>
          <w:left w:val="nil"/>
          <w:bottom w:val="nil"/>
          <w:right w:val="nil"/>
          <w:insideH w:val="nil"/>
          <w:insideV w:val="nil"/>
          <w:tl2br w:val="nil"/>
          <w:tr2bl w:val="nil"/>
        </w:tcBorders>
      </w:tcPr>
    </w:tblStylePr>
    <w:tblStylePr w:type="nwCell">
      <w:rPr>
        <w:rFonts w:cs="微软雅黑"/>
      </w:rPr>
      <w:tcPr>
        <w:tcBorders>
          <w:top w:val="nil"/>
          <w:left w:val="nil"/>
          <w:bottom w:val="nil"/>
          <w:right w:val="nil"/>
          <w:insideH w:val="nil"/>
          <w:insideV w:val="nil"/>
          <w:tl2br w:val="nil"/>
          <w:tr2bl w:val="nil"/>
        </w:tcBorders>
      </w:tcPr>
    </w:tblStylePr>
    <w:tblStylePr w:type="seCell">
      <w:rPr>
        <w:rFonts w:cs="微软雅黑"/>
      </w:rPr>
      <w:tcPr>
        <w:tcBorders>
          <w:top w:val="nil"/>
          <w:left w:val="nil"/>
          <w:bottom w:val="nil"/>
          <w:right w:val="nil"/>
          <w:insideH w:val="nil"/>
          <w:insideV w:val="nil"/>
          <w:tl2br w:val="nil"/>
          <w:tr2bl w:val="nil"/>
        </w:tcBorders>
      </w:tcPr>
    </w:tblStylePr>
    <w:tblStylePr w:type="swCell">
      <w:rPr>
        <w:rFonts w:cs="微软雅黑"/>
        <w:color w:val="000080"/>
      </w:rPr>
      <w:tcPr>
        <w:tcBorders>
          <w:top w:val="nil"/>
          <w:left w:val="nil"/>
          <w:bottom w:val="nil"/>
          <w:right w:val="nil"/>
          <w:insideH w:val="nil"/>
          <w:insideV w:val="nil"/>
          <w:tl2br w:val="nil"/>
          <w:tr2bl w:val="nil"/>
        </w:tcBorders>
      </w:tcPr>
    </w:tblStylePr>
  </w:style>
  <w:style w:type="table" w:customStyle="1" w:styleId="356">
    <w:name w:val="表三维效果 21"/>
    <w:basedOn w:val="76"/>
    <w:semiHidden/>
    <w:qFormat/>
    <w:uiPriority w:val="99"/>
    <w:pPr>
      <w:widowControl w:val="0"/>
      <w:spacing w:after="200" w:line="276" w:lineRule="auto"/>
    </w:pPr>
    <w:rPr>
      <w:rFonts w:ascii="Calibri" w:hAnsi="Calibri" w:cs="Calibri"/>
    </w:rPr>
    <w:tcPr>
      <w:shd w:val="solid" w:color="C0C0C0" w:fill="FFFFFF"/>
    </w:tcPr>
    <w:tblStylePr w:type="firstRow">
      <w:rPr>
        <w:rFonts w:cs="微软雅黑"/>
        <w:b/>
        <w:bCs/>
      </w:rPr>
      <w:tcPr>
        <w:tcBorders>
          <w:top w:val="nil"/>
          <w:left w:val="nil"/>
          <w:bottom w:val="nil"/>
          <w:right w:val="nil"/>
          <w:insideH w:val="nil"/>
          <w:insideV w:val="nil"/>
          <w:tl2br w:val="nil"/>
          <w:tr2bl w:val="nil"/>
        </w:tcBorders>
      </w:tcPr>
    </w:tblStylePr>
    <w:tblStylePr w:type="firstCol">
      <w:rPr>
        <w:rFonts w:cs="微软雅黑"/>
      </w:rPr>
      <w:tcPr>
        <w:tcBorders>
          <w:top w:val="nil"/>
          <w:left w:val="nil"/>
          <w:bottom w:val="nil"/>
          <w:right w:val="single" w:color="808080" w:sz="6" w:space="0"/>
          <w:insideH w:val="nil"/>
          <w:insideV w:val="nil"/>
          <w:tl2br w:val="nil"/>
          <w:tr2bl w:val="nil"/>
        </w:tcBorders>
      </w:tcPr>
    </w:tblStylePr>
    <w:tblStylePr w:type="lastCol">
      <w:rPr>
        <w:rFonts w:cs="微软雅黑"/>
      </w:rPr>
      <w:tcPr>
        <w:tcBorders>
          <w:top w:val="nil"/>
          <w:left w:val="nil"/>
          <w:bottom w:val="nil"/>
          <w:right w:val="single" w:color="FFFFFF" w:sz="6" w:space="0"/>
          <w:insideH w:val="nil"/>
          <w:insideV w:val="nil"/>
          <w:tl2br w:val="nil"/>
          <w:tr2bl w:val="nil"/>
        </w:tcBorders>
      </w:tcPr>
    </w:tblStylePr>
    <w:tblStylePr w:type="band1Horz">
      <w:rPr>
        <w:rFonts w:cs="微软雅黑"/>
      </w:rPr>
      <w:tcPr>
        <w:tcBorders>
          <w:top w:val="single" w:color="808080" w:sz="6" w:space="0"/>
          <w:left w:val="nil"/>
          <w:bottom w:val="single" w:color="FFFFFF" w:sz="6" w:space="0"/>
          <w:right w:val="nil"/>
          <w:insideH w:val="nil"/>
          <w:insideV w:val="nil"/>
          <w:tl2br w:val="nil"/>
          <w:tr2bl w:val="nil"/>
        </w:tcBorders>
      </w:tcPr>
    </w:tblStylePr>
    <w:tblStylePr w:type="swCell">
      <w:rPr>
        <w:rFonts w:cs="微软雅黑"/>
        <w:b/>
        <w:bCs/>
      </w:rPr>
      <w:tcPr>
        <w:tcBorders>
          <w:top w:val="nil"/>
          <w:left w:val="nil"/>
          <w:bottom w:val="nil"/>
          <w:right w:val="nil"/>
          <w:insideH w:val="nil"/>
          <w:insideV w:val="nil"/>
          <w:tl2br w:val="nil"/>
          <w:tr2bl w:val="nil"/>
        </w:tcBorders>
      </w:tcPr>
    </w:tblStylePr>
  </w:style>
  <w:style w:type="table" w:customStyle="1" w:styleId="357">
    <w:name w:val="表三维效果 31"/>
    <w:basedOn w:val="76"/>
    <w:semiHidden/>
    <w:qFormat/>
    <w:uiPriority w:val="99"/>
    <w:pPr>
      <w:widowControl w:val="0"/>
      <w:spacing w:after="200" w:line="276" w:lineRule="auto"/>
    </w:pPr>
    <w:rPr>
      <w:rFonts w:ascii="Calibri" w:hAnsi="Calibri" w:cs="Calibri"/>
    </w:rPr>
    <w:tblStylePr w:type="firstRow">
      <w:rPr>
        <w:rFonts w:cs="微软雅黑"/>
        <w:b/>
        <w:bCs/>
      </w:rPr>
      <w:tcPr>
        <w:tcBorders>
          <w:top w:val="nil"/>
          <w:left w:val="nil"/>
          <w:bottom w:val="nil"/>
          <w:right w:val="nil"/>
          <w:insideH w:val="nil"/>
          <w:insideV w:val="nil"/>
          <w:tl2br w:val="nil"/>
          <w:tr2bl w:val="nil"/>
        </w:tcBorders>
      </w:tcPr>
    </w:tblStylePr>
    <w:tblStylePr w:type="firstCol">
      <w:rPr>
        <w:rFonts w:cs="微软雅黑"/>
      </w:rPr>
      <w:tcPr>
        <w:tcBorders>
          <w:top w:val="nil"/>
          <w:left w:val="nil"/>
          <w:bottom w:val="nil"/>
          <w:right w:val="single" w:color="808080" w:sz="6" w:space="0"/>
          <w:insideH w:val="nil"/>
          <w:insideV w:val="nil"/>
          <w:tl2br w:val="nil"/>
          <w:tr2bl w:val="nil"/>
        </w:tcBorders>
      </w:tcPr>
    </w:tblStylePr>
    <w:tblStylePr w:type="lastCol">
      <w:rPr>
        <w:rFonts w:cs="微软雅黑"/>
      </w:rPr>
      <w:tcPr>
        <w:tcBorders>
          <w:top w:val="nil"/>
          <w:left w:val="nil"/>
          <w:bottom w:val="nil"/>
          <w:right w:val="single" w:color="FFFFFF" w:sz="6" w:space="0"/>
          <w:insideH w:val="nil"/>
          <w:insideV w:val="nil"/>
          <w:tl2br w:val="nil"/>
          <w:tr2bl w:val="nil"/>
        </w:tcBorders>
      </w:tcPr>
    </w:tblStylePr>
    <w:tblStylePr w:type="band1Vert">
      <w:rPr>
        <w:rFonts w:cs="微软雅黑"/>
        <w:color w:val="auto"/>
      </w:rPr>
      <w:tcPr>
        <w:shd w:val="solid" w:color="C0C0C0" w:fill="FFFFFF"/>
      </w:tcPr>
    </w:tblStylePr>
    <w:tblStylePr w:type="band2Vert">
      <w:rPr>
        <w:rFonts w:cs="微软雅黑"/>
        <w:color w:val="auto"/>
      </w:rPr>
      <w:tcPr>
        <w:shd w:val="pct50" w:color="C0C0C0" w:fill="FFFFFF"/>
      </w:tcPr>
    </w:tblStylePr>
    <w:tblStylePr w:type="band1Horz">
      <w:rPr>
        <w:rFonts w:cs="微软雅黑"/>
      </w:rPr>
      <w:tcPr>
        <w:tcBorders>
          <w:top w:val="single" w:color="808080" w:sz="6" w:space="0"/>
          <w:left w:val="nil"/>
          <w:bottom w:val="single" w:color="FFFFFF" w:sz="6" w:space="0"/>
          <w:right w:val="nil"/>
          <w:insideH w:val="nil"/>
          <w:insideV w:val="nil"/>
          <w:tl2br w:val="nil"/>
          <w:tr2bl w:val="nil"/>
        </w:tcBorders>
      </w:tcPr>
    </w:tblStylePr>
    <w:tblStylePr w:type="swCell">
      <w:rPr>
        <w:rFonts w:cs="微软雅黑"/>
        <w:b/>
        <w:bCs/>
      </w:rPr>
      <w:tcPr>
        <w:tcBorders>
          <w:top w:val="nil"/>
          <w:left w:val="nil"/>
          <w:bottom w:val="nil"/>
          <w:right w:val="nil"/>
          <w:insideH w:val="nil"/>
          <w:insideV w:val="nil"/>
          <w:tl2br w:val="nil"/>
          <w:tr2bl w:val="nil"/>
        </w:tcBorders>
      </w:tcPr>
    </w:tblStylePr>
  </w:style>
  <w:style w:type="table" w:customStyle="1" w:styleId="358">
    <w:name w:val="列表型 11"/>
    <w:basedOn w:val="76"/>
    <w:semiHidden/>
    <w:qFormat/>
    <w:uiPriority w:val="99"/>
    <w:pPr>
      <w:widowControl w:val="0"/>
      <w:spacing w:after="200" w:line="276" w:lineRule="auto"/>
    </w:pPr>
    <w:rPr>
      <w:rFonts w:ascii="Calibri" w:hAnsi="Calibri" w:cs="Calibri"/>
    </w:rPr>
    <w:tblPr>
      <w:tblBorders>
        <w:top w:val="single" w:color="008080" w:sz="12" w:space="0"/>
        <w:left w:val="single" w:color="008080" w:sz="6" w:space="0"/>
        <w:bottom w:val="single" w:color="008080" w:sz="12" w:space="0"/>
        <w:right w:val="single" w:color="008080" w:sz="6" w:space="0"/>
      </w:tblBorders>
    </w:tblPr>
    <w:tblStylePr w:type="firstRow">
      <w:rPr>
        <w:rFonts w:cs="微软雅黑"/>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rPr>
        <w:rFonts w:cs="微软雅黑"/>
      </w:rPr>
      <w:tcPr>
        <w:tcBorders>
          <w:top w:val="single" w:color="000000" w:sz="6" w:space="0"/>
          <w:left w:val="nil"/>
          <w:bottom w:val="nil"/>
          <w:right w:val="nil"/>
          <w:insideH w:val="nil"/>
          <w:insideV w:val="nil"/>
          <w:tl2br w:val="nil"/>
          <w:tr2bl w:val="nil"/>
        </w:tcBorders>
      </w:tcPr>
    </w:tblStylePr>
    <w:tblStylePr w:type="band1Horz">
      <w:rPr>
        <w:rFonts w:cs="微软雅黑"/>
        <w:color w:val="auto"/>
      </w:rPr>
      <w:tcPr>
        <w:tcBorders>
          <w:top w:val="nil"/>
          <w:left w:val="nil"/>
          <w:bottom w:val="nil"/>
          <w:right w:val="nil"/>
          <w:insideH w:val="nil"/>
          <w:insideV w:val="nil"/>
          <w:tl2br w:val="nil"/>
          <w:tr2bl w:val="nil"/>
        </w:tcBorders>
        <w:shd w:val="solid" w:color="C0C0C0" w:fill="FFFFFF"/>
      </w:tcPr>
    </w:tblStylePr>
    <w:tblStylePr w:type="band2Horz">
      <w:rPr>
        <w:rFonts w:cs="微软雅黑"/>
        <w:color w:val="auto"/>
      </w:rPr>
      <w:tcPr>
        <w:tcBorders>
          <w:top w:val="nil"/>
          <w:left w:val="nil"/>
          <w:bottom w:val="nil"/>
          <w:right w:val="nil"/>
          <w:insideH w:val="nil"/>
          <w:insideV w:val="nil"/>
          <w:tl2br w:val="nil"/>
          <w:tr2bl w:val="nil"/>
        </w:tcBorders>
      </w:tcPr>
    </w:tblStylePr>
    <w:tblStylePr w:type="swCell">
      <w:rPr>
        <w:rFonts w:cs="微软雅黑"/>
        <w:b/>
        <w:bCs/>
      </w:rPr>
      <w:tcPr>
        <w:tcBorders>
          <w:top w:val="nil"/>
          <w:left w:val="nil"/>
          <w:bottom w:val="nil"/>
          <w:right w:val="nil"/>
          <w:insideH w:val="nil"/>
          <w:insideV w:val="nil"/>
          <w:tl2br w:val="nil"/>
          <w:tr2bl w:val="nil"/>
        </w:tcBorders>
      </w:tcPr>
    </w:tblStylePr>
  </w:style>
  <w:style w:type="table" w:customStyle="1" w:styleId="359">
    <w:name w:val="列表型 21"/>
    <w:basedOn w:val="76"/>
    <w:semiHidden/>
    <w:qFormat/>
    <w:uiPriority w:val="99"/>
    <w:pPr>
      <w:widowControl w:val="0"/>
      <w:spacing w:after="200" w:line="276" w:lineRule="auto"/>
    </w:pPr>
    <w:rPr>
      <w:rFonts w:ascii="Calibri" w:hAnsi="Calibri" w:cs="Calibri"/>
    </w:rPr>
    <w:tblPr>
      <w:tblBorders>
        <w:bottom w:val="single" w:color="808080" w:sz="12" w:space="0"/>
      </w:tblBorders>
    </w:tblPr>
    <w:tblStylePr w:type="firstRow">
      <w:rPr>
        <w:rFonts w:cs="微软雅黑"/>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rPr>
        <w:rFonts w:cs="微软雅黑"/>
      </w:rPr>
      <w:tcPr>
        <w:tcBorders>
          <w:top w:val="single" w:color="000000" w:sz="6" w:space="0"/>
          <w:left w:val="nil"/>
          <w:bottom w:val="nil"/>
          <w:right w:val="nil"/>
          <w:insideH w:val="nil"/>
          <w:insideV w:val="nil"/>
          <w:tl2br w:val="nil"/>
          <w:tr2bl w:val="nil"/>
        </w:tcBorders>
      </w:tcPr>
    </w:tblStylePr>
    <w:tblStylePr w:type="band1Horz">
      <w:rPr>
        <w:rFonts w:cs="微软雅黑"/>
        <w:color w:val="auto"/>
      </w:rPr>
      <w:tcPr>
        <w:tcBorders>
          <w:top w:val="nil"/>
          <w:left w:val="nil"/>
          <w:bottom w:val="nil"/>
          <w:right w:val="nil"/>
          <w:insideH w:val="nil"/>
          <w:insideV w:val="nil"/>
          <w:tl2br w:val="nil"/>
          <w:tr2bl w:val="nil"/>
        </w:tcBorders>
        <w:shd w:val="pct20" w:color="00FF00" w:fill="FFFFFF"/>
      </w:tcPr>
    </w:tblStylePr>
    <w:tblStylePr w:type="band2Horz">
      <w:rPr>
        <w:rFonts w:cs="微软雅黑"/>
        <w:color w:val="auto"/>
      </w:rPr>
      <w:tcPr>
        <w:tcBorders>
          <w:top w:val="nil"/>
          <w:left w:val="nil"/>
          <w:bottom w:val="nil"/>
          <w:right w:val="nil"/>
          <w:insideH w:val="nil"/>
          <w:insideV w:val="nil"/>
          <w:tl2br w:val="nil"/>
          <w:tr2bl w:val="nil"/>
        </w:tcBorders>
      </w:tcPr>
    </w:tblStylePr>
    <w:tblStylePr w:type="swCell">
      <w:rPr>
        <w:rFonts w:cs="微软雅黑"/>
        <w:b/>
        <w:bCs/>
      </w:rPr>
      <w:tcPr>
        <w:tcBorders>
          <w:top w:val="nil"/>
          <w:left w:val="nil"/>
          <w:bottom w:val="nil"/>
          <w:right w:val="nil"/>
          <w:insideH w:val="nil"/>
          <w:insideV w:val="nil"/>
          <w:tl2br w:val="nil"/>
          <w:tr2bl w:val="nil"/>
        </w:tcBorders>
      </w:tcPr>
    </w:tblStylePr>
  </w:style>
  <w:style w:type="table" w:customStyle="1" w:styleId="360">
    <w:name w:val="列表型 31"/>
    <w:basedOn w:val="76"/>
    <w:semiHidden/>
    <w:qFormat/>
    <w:uiPriority w:val="99"/>
    <w:pPr>
      <w:widowControl w:val="0"/>
      <w:spacing w:after="200" w:line="276" w:lineRule="auto"/>
    </w:pPr>
    <w:rPr>
      <w:rFonts w:ascii="Calibri" w:hAnsi="Calibri" w:cs="Calibri"/>
    </w:rPr>
    <w:tblPr>
      <w:tblBorders>
        <w:top w:val="single" w:color="000000" w:sz="12" w:space="0"/>
        <w:bottom w:val="single" w:color="000000" w:sz="12" w:space="0"/>
        <w:insideH w:val="single" w:color="000000" w:sz="6" w:space="0"/>
      </w:tblBorders>
    </w:tblPr>
    <w:tblStylePr w:type="firstRow">
      <w:rPr>
        <w:rFonts w:cs="微软雅黑"/>
        <w:b/>
        <w:bCs/>
        <w:color w:val="000080"/>
      </w:rPr>
      <w:tcPr>
        <w:tcBorders>
          <w:top w:val="nil"/>
          <w:left w:val="nil"/>
          <w:bottom w:val="single" w:color="000000" w:sz="12" w:space="0"/>
          <w:right w:val="nil"/>
          <w:insideH w:val="nil"/>
          <w:insideV w:val="nil"/>
          <w:tl2br w:val="nil"/>
          <w:tr2bl w:val="nil"/>
        </w:tcBorders>
      </w:tcPr>
    </w:tblStylePr>
    <w:tblStylePr w:type="lastRow">
      <w:rPr>
        <w:rFonts w:cs="微软雅黑"/>
      </w:rPr>
      <w:tcPr>
        <w:tcBorders>
          <w:top w:val="single" w:color="000000" w:sz="12" w:space="0"/>
          <w:left w:val="nil"/>
          <w:bottom w:val="nil"/>
          <w:right w:val="nil"/>
          <w:insideH w:val="nil"/>
          <w:insideV w:val="nil"/>
          <w:tl2br w:val="nil"/>
          <w:tr2bl w:val="nil"/>
        </w:tcBorders>
      </w:tcPr>
    </w:tblStylePr>
    <w:tblStylePr w:type="swCell">
      <w:rPr>
        <w:rFonts w:cs="微软雅黑"/>
        <w:i/>
        <w:iCs/>
        <w:color w:val="000080"/>
      </w:rPr>
      <w:tcPr>
        <w:tcBorders>
          <w:top w:val="nil"/>
          <w:left w:val="nil"/>
          <w:bottom w:val="nil"/>
          <w:right w:val="nil"/>
          <w:insideH w:val="nil"/>
          <w:insideV w:val="nil"/>
          <w:tl2br w:val="nil"/>
          <w:tr2bl w:val="nil"/>
        </w:tcBorders>
      </w:tcPr>
    </w:tblStylePr>
  </w:style>
  <w:style w:type="table" w:customStyle="1" w:styleId="361">
    <w:name w:val="列表型 41"/>
    <w:basedOn w:val="76"/>
    <w:semiHidden/>
    <w:qFormat/>
    <w:uiPriority w:val="99"/>
    <w:pPr>
      <w:widowControl w:val="0"/>
      <w:spacing w:after="200" w:line="276" w:lineRule="auto"/>
    </w:pPr>
    <w:rPr>
      <w:rFonts w:ascii="Calibri" w:hAnsi="Calibri" w:cs="Calibri"/>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rFonts w:cs="微软雅黑"/>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62">
    <w:name w:val="列表型 51"/>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rFonts w:cs="微软雅黑"/>
        <w:b/>
        <w:bCs/>
      </w:rPr>
      <w:tcPr>
        <w:tcBorders>
          <w:top w:val="nil"/>
          <w:left w:val="nil"/>
          <w:bottom w:val="single" w:color="000000" w:sz="12" w:space="0"/>
          <w:right w:val="nil"/>
          <w:insideH w:val="nil"/>
          <w:insideV w:val="nil"/>
          <w:tl2br w:val="nil"/>
          <w:tr2bl w:val="nil"/>
        </w:tcBorders>
      </w:tcPr>
    </w:tblStylePr>
    <w:tblStylePr w:type="firstCol">
      <w:rPr>
        <w:rFonts w:cs="微软雅黑"/>
        <w:b/>
        <w:bCs/>
      </w:rPr>
      <w:tcPr>
        <w:tcBorders>
          <w:top w:val="nil"/>
          <w:left w:val="nil"/>
          <w:bottom w:val="nil"/>
          <w:right w:val="nil"/>
          <w:insideH w:val="nil"/>
          <w:insideV w:val="nil"/>
          <w:tl2br w:val="nil"/>
          <w:tr2bl w:val="nil"/>
        </w:tcBorders>
      </w:tcPr>
    </w:tblStylePr>
  </w:style>
  <w:style w:type="table" w:customStyle="1" w:styleId="363">
    <w:name w:val="列表型 61"/>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rFonts w:cs="微软雅黑"/>
        <w:b/>
        <w:bCs/>
      </w:rPr>
      <w:tcPr>
        <w:tcBorders>
          <w:top w:val="nil"/>
          <w:left w:val="nil"/>
          <w:bottom w:val="single" w:color="000000" w:sz="12" w:space="0"/>
          <w:right w:val="nil"/>
          <w:insideH w:val="nil"/>
          <w:insideV w:val="nil"/>
          <w:tl2br w:val="nil"/>
          <w:tr2bl w:val="nil"/>
        </w:tcBorders>
      </w:tcPr>
    </w:tblStylePr>
    <w:tblStylePr w:type="firstCol">
      <w:rPr>
        <w:rFonts w:cs="微软雅黑"/>
        <w:b/>
        <w:bCs/>
      </w:rPr>
      <w:tcPr>
        <w:tcBorders>
          <w:top w:val="nil"/>
          <w:left w:val="nil"/>
          <w:bottom w:val="nil"/>
          <w:right w:val="single" w:color="000000" w:sz="12" w:space="0"/>
          <w:insideH w:val="nil"/>
          <w:insideV w:val="nil"/>
          <w:tl2br w:val="nil"/>
          <w:tr2bl w:val="nil"/>
        </w:tcBorders>
      </w:tcPr>
    </w:tblStylePr>
    <w:tblStylePr w:type="band1Horz">
      <w:rPr>
        <w:rFonts w:cs="微软雅黑"/>
      </w:rPr>
      <w:tcPr>
        <w:tcBorders>
          <w:top w:val="nil"/>
          <w:left w:val="nil"/>
          <w:bottom w:val="nil"/>
          <w:right w:val="nil"/>
          <w:insideH w:val="nil"/>
          <w:insideV w:val="nil"/>
          <w:tl2br w:val="nil"/>
          <w:tr2bl w:val="nil"/>
        </w:tcBorders>
        <w:shd w:val="pct25" w:color="000000" w:fill="FFFFFF"/>
      </w:tcPr>
    </w:tblStylePr>
    <w:tblStylePr w:type="nwCell">
      <w:rPr>
        <w:rFonts w:cs="微软雅黑"/>
      </w:rPr>
      <w:tcPr>
        <w:tcBorders>
          <w:top w:val="nil"/>
          <w:left w:val="nil"/>
          <w:bottom w:val="nil"/>
          <w:right w:val="nil"/>
          <w:insideH w:val="nil"/>
          <w:insideV w:val="nil"/>
          <w:tl2br w:val="single" w:color="000000" w:sz="6" w:space="0"/>
          <w:tr2bl w:val="nil"/>
        </w:tcBorders>
      </w:tcPr>
    </w:tblStylePr>
  </w:style>
  <w:style w:type="table" w:customStyle="1" w:styleId="364">
    <w:name w:val="列表型 71"/>
    <w:basedOn w:val="76"/>
    <w:semiHidden/>
    <w:qFormat/>
    <w:uiPriority w:val="99"/>
    <w:pPr>
      <w:widowControl w:val="0"/>
      <w:spacing w:after="200" w:line="276" w:lineRule="auto"/>
    </w:pPr>
    <w:rPr>
      <w:rFonts w:ascii="Calibri" w:hAnsi="Calibri" w:cs="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rFonts w:cs="微软雅黑"/>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rFonts w:cs="微软雅黑"/>
        <w:b/>
        <w:bCs/>
      </w:rPr>
      <w:tcPr>
        <w:tcBorders>
          <w:top w:val="single" w:color="008000" w:sz="12" w:space="0"/>
          <w:left w:val="nil"/>
          <w:bottom w:val="nil"/>
          <w:right w:val="nil"/>
          <w:insideH w:val="nil"/>
          <w:insideV w:val="nil"/>
          <w:tl2br w:val="nil"/>
          <w:tr2bl w:val="nil"/>
        </w:tcBorders>
      </w:tcPr>
    </w:tblStylePr>
    <w:tblStylePr w:type="firstCol">
      <w:rPr>
        <w:rFonts w:cs="微软雅黑"/>
        <w:b/>
        <w:bCs/>
      </w:rPr>
      <w:tcPr>
        <w:tcBorders>
          <w:top w:val="nil"/>
          <w:left w:val="nil"/>
          <w:bottom w:val="nil"/>
          <w:right w:val="nil"/>
          <w:insideH w:val="nil"/>
          <w:insideV w:val="nil"/>
          <w:tl2br w:val="nil"/>
          <w:tr2bl w:val="nil"/>
        </w:tcBorders>
      </w:tcPr>
    </w:tblStylePr>
    <w:tblStylePr w:type="lastCol">
      <w:rPr>
        <w:rFonts w:cs="微软雅黑"/>
        <w:b/>
        <w:bCs/>
      </w:rPr>
      <w:tcPr>
        <w:tcBorders>
          <w:top w:val="nil"/>
          <w:left w:val="nil"/>
          <w:bottom w:val="nil"/>
          <w:right w:val="nil"/>
          <w:insideH w:val="nil"/>
          <w:insideV w:val="nil"/>
          <w:tl2br w:val="nil"/>
          <w:tr2bl w:val="nil"/>
        </w:tcBorders>
      </w:tcPr>
    </w:tblStylePr>
    <w:tblStylePr w:type="band1Horz">
      <w:rPr>
        <w:rFonts w:cs="微软雅黑"/>
        <w:color w:val="auto"/>
      </w:rPr>
      <w:tcPr>
        <w:tcBorders>
          <w:top w:val="nil"/>
          <w:left w:val="nil"/>
          <w:bottom w:val="nil"/>
          <w:right w:val="nil"/>
          <w:insideH w:val="nil"/>
          <w:insideV w:val="nil"/>
          <w:tl2br w:val="nil"/>
          <w:tr2bl w:val="nil"/>
        </w:tcBorders>
        <w:shd w:val="pct20" w:color="000000" w:fill="FFFFFF"/>
      </w:tcPr>
    </w:tblStylePr>
    <w:tblStylePr w:type="band2Horz">
      <w:rPr>
        <w:rFonts w:cs="微软雅黑"/>
      </w:rPr>
      <w:tcPr>
        <w:tcBorders>
          <w:top w:val="nil"/>
          <w:left w:val="nil"/>
          <w:bottom w:val="nil"/>
          <w:right w:val="nil"/>
          <w:insideH w:val="nil"/>
          <w:insideV w:val="nil"/>
          <w:tl2br w:val="nil"/>
          <w:tr2bl w:val="nil"/>
        </w:tcBorders>
        <w:shd w:val="pct25" w:color="FFFF00" w:fill="FFFFFF"/>
      </w:tcPr>
    </w:tblStylePr>
  </w:style>
  <w:style w:type="table" w:customStyle="1" w:styleId="365">
    <w:name w:val="列表型 81"/>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rFonts w:cs="微软雅黑"/>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rFonts w:cs="微软雅黑"/>
        <w:b/>
        <w:bCs/>
      </w:rPr>
      <w:tcPr>
        <w:tcBorders>
          <w:top w:val="single" w:color="000000" w:sz="6" w:space="0"/>
          <w:left w:val="nil"/>
          <w:bottom w:val="nil"/>
          <w:right w:val="nil"/>
          <w:insideH w:val="nil"/>
          <w:insideV w:val="nil"/>
          <w:tl2br w:val="nil"/>
          <w:tr2bl w:val="nil"/>
        </w:tcBorders>
      </w:tcPr>
    </w:tblStylePr>
    <w:tblStylePr w:type="firstCol">
      <w:rPr>
        <w:rFonts w:cs="微软雅黑"/>
        <w:b/>
        <w:bCs/>
      </w:rPr>
      <w:tcPr>
        <w:tcBorders>
          <w:top w:val="nil"/>
          <w:left w:val="nil"/>
          <w:bottom w:val="nil"/>
          <w:right w:val="nil"/>
          <w:insideH w:val="nil"/>
          <w:insideV w:val="nil"/>
          <w:tl2br w:val="nil"/>
          <w:tr2bl w:val="nil"/>
        </w:tcBorders>
      </w:tcPr>
    </w:tblStylePr>
    <w:tblStylePr w:type="lastCol">
      <w:rPr>
        <w:rFonts w:cs="微软雅黑"/>
        <w:b/>
        <w:bCs/>
      </w:rPr>
      <w:tcPr>
        <w:tcBorders>
          <w:top w:val="nil"/>
          <w:left w:val="nil"/>
          <w:bottom w:val="nil"/>
          <w:right w:val="nil"/>
          <w:insideH w:val="nil"/>
          <w:insideV w:val="nil"/>
          <w:tl2br w:val="nil"/>
          <w:tr2bl w:val="nil"/>
        </w:tcBorders>
      </w:tcPr>
    </w:tblStylePr>
    <w:tblStylePr w:type="band1Horz">
      <w:rPr>
        <w:rFonts w:cs="微软雅黑"/>
        <w:color w:val="auto"/>
      </w:rPr>
      <w:tcPr>
        <w:tcBorders>
          <w:top w:val="nil"/>
          <w:left w:val="nil"/>
          <w:bottom w:val="nil"/>
          <w:right w:val="nil"/>
          <w:insideH w:val="nil"/>
          <w:insideV w:val="nil"/>
          <w:tl2br w:val="nil"/>
          <w:tr2bl w:val="nil"/>
        </w:tcBorders>
        <w:shd w:val="pct25" w:color="FFFF00" w:fill="FFFFFF"/>
      </w:tcPr>
    </w:tblStylePr>
    <w:tblStylePr w:type="band2Horz">
      <w:rPr>
        <w:rFonts w:cs="微软雅黑"/>
      </w:rPr>
      <w:tcPr>
        <w:tcBorders>
          <w:top w:val="nil"/>
          <w:left w:val="nil"/>
          <w:bottom w:val="nil"/>
          <w:right w:val="nil"/>
          <w:insideH w:val="nil"/>
          <w:insideV w:val="nil"/>
          <w:tl2br w:val="nil"/>
          <w:tr2bl w:val="nil"/>
        </w:tcBorders>
        <w:shd w:val="pct50" w:color="FF0000" w:fill="FFFFFF"/>
      </w:tcPr>
    </w:tblStylePr>
    <w:tblStylePr w:type="nwCell">
      <w:rPr>
        <w:rFonts w:cs="微软雅黑"/>
      </w:rPr>
      <w:tcPr>
        <w:tcBorders>
          <w:top w:val="nil"/>
          <w:left w:val="nil"/>
          <w:bottom w:val="nil"/>
          <w:right w:val="nil"/>
          <w:insideH w:val="nil"/>
          <w:insideV w:val="nil"/>
          <w:tl2br w:val="single" w:color="auto" w:sz="6" w:space="0"/>
          <w:tr2bl w:val="nil"/>
        </w:tcBorders>
      </w:tcPr>
    </w:tblStylePr>
  </w:style>
  <w:style w:type="table" w:customStyle="1" w:styleId="366">
    <w:name w:val="流行型1"/>
    <w:basedOn w:val="76"/>
    <w:semiHidden/>
    <w:qFormat/>
    <w:uiPriority w:val="99"/>
    <w:pPr>
      <w:widowControl w:val="0"/>
      <w:spacing w:after="200" w:line="276" w:lineRule="auto"/>
    </w:pPr>
    <w:rPr>
      <w:rFonts w:ascii="Calibri" w:hAnsi="Calibri" w:cs="Calibri"/>
    </w:rPr>
    <w:tblPr>
      <w:tblBorders>
        <w:insideH w:val="single" w:color="FFFFFF" w:sz="18" w:space="0"/>
        <w:insideV w:val="single" w:color="FFFFFF" w:sz="18" w:space="0"/>
      </w:tblBorders>
    </w:tblPr>
    <w:tblStylePr w:type="firstRow">
      <w:rPr>
        <w:rFonts w:cs="微软雅黑"/>
        <w:b/>
        <w:bCs/>
        <w:color w:val="auto"/>
      </w:rPr>
      <w:tcPr>
        <w:tcBorders>
          <w:top w:val="nil"/>
          <w:left w:val="nil"/>
          <w:bottom w:val="nil"/>
          <w:right w:val="nil"/>
          <w:insideH w:val="nil"/>
          <w:insideV w:val="nil"/>
          <w:tl2br w:val="nil"/>
          <w:tr2bl w:val="nil"/>
        </w:tcBorders>
        <w:shd w:val="pct20" w:color="000000" w:fill="FFFFFF"/>
      </w:tcPr>
    </w:tblStylePr>
    <w:tblStylePr w:type="band1Horz">
      <w:rPr>
        <w:rFonts w:cs="微软雅黑"/>
        <w:color w:val="auto"/>
      </w:rPr>
      <w:tcPr>
        <w:tcBorders>
          <w:top w:val="nil"/>
          <w:left w:val="nil"/>
          <w:bottom w:val="nil"/>
          <w:right w:val="nil"/>
          <w:insideH w:val="nil"/>
          <w:insideV w:val="nil"/>
          <w:tl2br w:val="nil"/>
          <w:tr2bl w:val="nil"/>
        </w:tcBorders>
        <w:shd w:val="pct5" w:color="000000" w:fill="FFFFFF"/>
      </w:tcPr>
    </w:tblStylePr>
    <w:tblStylePr w:type="band2Horz">
      <w:rPr>
        <w:rFonts w:cs="微软雅黑"/>
        <w:color w:val="auto"/>
      </w:rPr>
      <w:tcPr>
        <w:tcBorders>
          <w:top w:val="nil"/>
          <w:left w:val="nil"/>
          <w:bottom w:val="nil"/>
          <w:right w:val="nil"/>
          <w:insideH w:val="nil"/>
          <w:insideV w:val="nil"/>
          <w:tl2br w:val="nil"/>
          <w:tr2bl w:val="nil"/>
        </w:tcBorders>
        <w:shd w:val="pct20" w:color="000000" w:fill="FFFFFF"/>
      </w:tcPr>
    </w:tblStylePr>
  </w:style>
  <w:style w:type="table" w:customStyle="1" w:styleId="367">
    <w:name w:val="竖列型 11"/>
    <w:basedOn w:val="76"/>
    <w:semiHidden/>
    <w:qFormat/>
    <w:uiPriority w:val="99"/>
    <w:pPr>
      <w:widowControl w:val="0"/>
      <w:spacing w:after="200" w:line="276" w:lineRule="auto"/>
    </w:pPr>
    <w:rPr>
      <w:rFonts w:ascii="Calibri" w:hAnsi="Calibri" w:cs="Calibri"/>
      <w:b/>
      <w:bCs/>
    </w:rPr>
    <w:tblPr>
      <w:tblBorders>
        <w:top w:val="single" w:color="000000" w:sz="12" w:space="0"/>
        <w:left w:val="single" w:color="000000" w:sz="12" w:space="0"/>
        <w:bottom w:val="single" w:color="000000" w:sz="12" w:space="0"/>
        <w:right w:val="single" w:color="000000" w:sz="12" w:space="0"/>
      </w:tblBorders>
    </w:tblPr>
    <w:tblStylePr w:type="firstRow">
      <w:rPr>
        <w:rFonts w:cs="微软雅黑"/>
        <w:b w:val="0"/>
        <w:bCs w:val="0"/>
      </w:rPr>
      <w:tcPr>
        <w:tcBorders>
          <w:top w:val="nil"/>
          <w:left w:val="nil"/>
          <w:bottom w:val="double" w:color="000000" w:sz="6" w:space="0"/>
          <w:right w:val="nil"/>
          <w:insideH w:val="nil"/>
          <w:insideV w:val="nil"/>
          <w:tl2br w:val="nil"/>
          <w:tr2bl w:val="nil"/>
        </w:tcBorders>
      </w:tcPr>
    </w:tblStylePr>
    <w:tblStylePr w:type="lastRow">
      <w:rPr>
        <w:rFonts w:cs="微软雅黑"/>
        <w:b w:val="0"/>
        <w:bCs w:val="0"/>
      </w:rPr>
      <w:tcPr>
        <w:tcBorders>
          <w:top w:val="nil"/>
          <w:left w:val="nil"/>
          <w:bottom w:val="nil"/>
          <w:right w:val="nil"/>
          <w:insideH w:val="nil"/>
          <w:insideV w:val="nil"/>
          <w:tl2br w:val="nil"/>
          <w:tr2bl w:val="nil"/>
        </w:tcBorders>
      </w:tcPr>
    </w:tblStylePr>
    <w:tblStylePr w:type="firstCol">
      <w:rPr>
        <w:rFonts w:cs="微软雅黑"/>
        <w:b w:val="0"/>
        <w:bCs w:val="0"/>
      </w:rPr>
      <w:tcPr>
        <w:tcBorders>
          <w:top w:val="nil"/>
          <w:left w:val="nil"/>
          <w:bottom w:val="nil"/>
          <w:right w:val="nil"/>
          <w:insideH w:val="nil"/>
          <w:insideV w:val="nil"/>
          <w:tl2br w:val="nil"/>
          <w:tr2bl w:val="nil"/>
        </w:tcBorders>
      </w:tcPr>
    </w:tblStylePr>
    <w:tblStylePr w:type="lastCol">
      <w:rPr>
        <w:rFonts w:cs="微软雅黑"/>
        <w:b w:val="0"/>
        <w:bCs w:val="0"/>
      </w:rPr>
      <w:tcPr>
        <w:tcBorders>
          <w:top w:val="nil"/>
          <w:left w:val="nil"/>
          <w:bottom w:val="nil"/>
          <w:right w:val="nil"/>
          <w:insideH w:val="nil"/>
          <w:insideV w:val="nil"/>
          <w:tl2br w:val="nil"/>
          <w:tr2bl w:val="nil"/>
        </w:tcBorders>
      </w:tcPr>
    </w:tblStylePr>
    <w:tblStylePr w:type="band1Vert">
      <w:rPr>
        <w:rFonts w:cs="微软雅黑"/>
        <w:color w:val="auto"/>
      </w:rPr>
      <w:tcPr>
        <w:shd w:val="pct25" w:color="000000" w:fill="FFFFFF"/>
      </w:tcPr>
    </w:tblStylePr>
    <w:tblStylePr w:type="band2Vert">
      <w:rPr>
        <w:rFonts w:cs="微软雅黑"/>
        <w:color w:val="auto"/>
      </w:rPr>
      <w:tcPr>
        <w:shd w:val="pct25" w:color="FFFF00" w:fill="FFFFFF"/>
      </w:tcPr>
    </w:tblStylePr>
    <w:tblStylePr w:type="neCell">
      <w:rPr>
        <w:rFonts w:cs="微软雅黑"/>
        <w:b/>
        <w:bCs/>
      </w:rPr>
      <w:tcPr>
        <w:tcBorders>
          <w:top w:val="nil"/>
          <w:left w:val="nil"/>
          <w:bottom w:val="nil"/>
          <w:right w:val="nil"/>
          <w:insideH w:val="nil"/>
          <w:insideV w:val="nil"/>
          <w:tl2br w:val="nil"/>
          <w:tr2bl w:val="nil"/>
        </w:tcBorders>
      </w:tcPr>
    </w:tblStylePr>
    <w:tblStylePr w:type="swCell">
      <w:rPr>
        <w:rFonts w:cs="微软雅黑"/>
        <w:b/>
        <w:bCs/>
      </w:rPr>
      <w:tcPr>
        <w:tcBorders>
          <w:top w:val="nil"/>
          <w:left w:val="nil"/>
          <w:bottom w:val="nil"/>
          <w:right w:val="nil"/>
          <w:insideH w:val="nil"/>
          <w:insideV w:val="nil"/>
          <w:tl2br w:val="nil"/>
          <w:tr2bl w:val="nil"/>
        </w:tcBorders>
      </w:tcPr>
    </w:tblStylePr>
  </w:style>
  <w:style w:type="table" w:customStyle="1" w:styleId="368">
    <w:name w:val="竖列型 21"/>
    <w:basedOn w:val="76"/>
    <w:semiHidden/>
    <w:qFormat/>
    <w:uiPriority w:val="99"/>
    <w:pPr>
      <w:widowControl w:val="0"/>
      <w:spacing w:after="200" w:line="276" w:lineRule="auto"/>
    </w:pPr>
    <w:rPr>
      <w:rFonts w:ascii="Calibri" w:hAnsi="Calibri" w:cs="Calibri"/>
      <w:b/>
      <w:bCs/>
    </w:rPr>
    <w:tblStylePr w:type="firstRow">
      <w:rPr>
        <w:rFonts w:cs="微软雅黑"/>
        <w:color w:val="FFFFFF"/>
      </w:rPr>
      <w:tcPr>
        <w:tcBorders>
          <w:top w:val="nil"/>
          <w:left w:val="nil"/>
          <w:bottom w:val="nil"/>
          <w:right w:val="nil"/>
          <w:insideH w:val="nil"/>
          <w:insideV w:val="nil"/>
          <w:tl2br w:val="nil"/>
          <w:tr2bl w:val="nil"/>
        </w:tcBorders>
        <w:shd w:val="solid" w:color="000080" w:fill="FFFFFF"/>
      </w:tcPr>
    </w:tblStylePr>
    <w:tblStylePr w:type="lastRow">
      <w:rPr>
        <w:rFonts w:cs="微软雅黑"/>
        <w:b w:val="0"/>
        <w:bCs w:val="0"/>
      </w:rPr>
      <w:tcPr>
        <w:tcBorders>
          <w:top w:val="nil"/>
          <w:left w:val="nil"/>
          <w:bottom w:val="nil"/>
          <w:right w:val="nil"/>
          <w:insideH w:val="nil"/>
          <w:insideV w:val="nil"/>
          <w:tl2br w:val="nil"/>
          <w:tr2bl w:val="nil"/>
        </w:tcBorders>
      </w:tcPr>
    </w:tblStylePr>
    <w:tblStylePr w:type="firstCol">
      <w:rPr>
        <w:rFonts w:cs="微软雅黑"/>
        <w:b w:val="0"/>
        <w:bCs w:val="0"/>
        <w:color w:val="000000"/>
      </w:rPr>
      <w:tcPr>
        <w:tcBorders>
          <w:top w:val="nil"/>
          <w:left w:val="nil"/>
          <w:bottom w:val="nil"/>
          <w:right w:val="nil"/>
          <w:insideH w:val="nil"/>
          <w:insideV w:val="nil"/>
          <w:tl2br w:val="nil"/>
          <w:tr2bl w:val="nil"/>
        </w:tcBorders>
      </w:tcPr>
    </w:tblStylePr>
    <w:tblStylePr w:type="lastCol">
      <w:rPr>
        <w:rFonts w:cs="微软雅黑"/>
        <w:b w:val="0"/>
        <w:bCs w:val="0"/>
      </w:rPr>
      <w:tcPr>
        <w:tcBorders>
          <w:top w:val="nil"/>
          <w:left w:val="nil"/>
          <w:bottom w:val="nil"/>
          <w:right w:val="nil"/>
          <w:insideH w:val="nil"/>
          <w:insideV w:val="nil"/>
          <w:tl2br w:val="nil"/>
          <w:tr2bl w:val="nil"/>
        </w:tcBorders>
      </w:tcPr>
    </w:tblStylePr>
    <w:tblStylePr w:type="band1Vert">
      <w:rPr>
        <w:rFonts w:cs="微软雅黑"/>
        <w:color w:val="auto"/>
      </w:rPr>
      <w:tcPr>
        <w:shd w:val="pct30" w:color="000000" w:fill="FFFFFF"/>
      </w:tcPr>
    </w:tblStylePr>
    <w:tblStylePr w:type="band2Vert">
      <w:rPr>
        <w:rFonts w:cs="微软雅黑"/>
        <w:color w:val="auto"/>
      </w:rPr>
      <w:tcPr>
        <w:shd w:val="pct25" w:color="00FF00" w:fill="FFFFFF"/>
      </w:tcPr>
    </w:tblStylePr>
    <w:tblStylePr w:type="neCell">
      <w:rPr>
        <w:rFonts w:cs="微软雅黑"/>
        <w:b/>
        <w:bCs/>
      </w:rPr>
      <w:tcPr>
        <w:tcBorders>
          <w:top w:val="nil"/>
          <w:left w:val="nil"/>
          <w:bottom w:val="nil"/>
          <w:right w:val="nil"/>
          <w:insideH w:val="nil"/>
          <w:insideV w:val="nil"/>
          <w:tl2br w:val="nil"/>
          <w:tr2bl w:val="nil"/>
        </w:tcBorders>
      </w:tcPr>
    </w:tblStylePr>
    <w:tblStylePr w:type="swCell">
      <w:rPr>
        <w:rFonts w:cs="微软雅黑"/>
        <w:b/>
        <w:bCs/>
      </w:rPr>
      <w:tcPr>
        <w:tcBorders>
          <w:top w:val="nil"/>
          <w:left w:val="nil"/>
          <w:bottom w:val="nil"/>
          <w:right w:val="nil"/>
          <w:insideH w:val="nil"/>
          <w:insideV w:val="nil"/>
          <w:tl2br w:val="nil"/>
          <w:tr2bl w:val="nil"/>
        </w:tcBorders>
      </w:tcPr>
    </w:tblStylePr>
  </w:style>
  <w:style w:type="table" w:customStyle="1" w:styleId="369">
    <w:name w:val="竖列型 31"/>
    <w:basedOn w:val="76"/>
    <w:semiHidden/>
    <w:qFormat/>
    <w:uiPriority w:val="99"/>
    <w:pPr>
      <w:widowControl w:val="0"/>
      <w:spacing w:after="200" w:line="276" w:lineRule="auto"/>
    </w:pPr>
    <w:rPr>
      <w:rFonts w:ascii="Calibri" w:hAnsi="Calibri" w:cs="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rFonts w:cs="微软雅黑"/>
        <w:color w:val="FFFFFF"/>
      </w:rPr>
      <w:tcPr>
        <w:tcBorders>
          <w:top w:val="nil"/>
          <w:left w:val="nil"/>
          <w:bottom w:val="nil"/>
          <w:right w:val="nil"/>
          <w:insideH w:val="nil"/>
          <w:insideV w:val="nil"/>
          <w:tl2br w:val="nil"/>
          <w:tr2bl w:val="nil"/>
        </w:tcBorders>
        <w:shd w:val="solid" w:color="000080" w:fill="FFFFFF"/>
      </w:tcPr>
    </w:tblStylePr>
    <w:tblStylePr w:type="lastRow">
      <w:rPr>
        <w:rFonts w:cs="微软雅黑"/>
        <w:b w:val="0"/>
        <w:bCs w:val="0"/>
      </w:rPr>
      <w:tcPr>
        <w:tcBorders>
          <w:top w:val="single" w:color="000080" w:sz="6" w:space="0"/>
          <w:left w:val="nil"/>
          <w:bottom w:val="nil"/>
          <w:right w:val="nil"/>
          <w:insideH w:val="nil"/>
          <w:insideV w:val="nil"/>
          <w:tl2br w:val="nil"/>
          <w:tr2bl w:val="nil"/>
        </w:tcBorders>
      </w:tcPr>
    </w:tblStylePr>
    <w:tblStylePr w:type="firstCol">
      <w:rPr>
        <w:rFonts w:cs="微软雅黑"/>
        <w:b w:val="0"/>
        <w:bCs w:val="0"/>
      </w:rPr>
      <w:tcPr>
        <w:tcBorders>
          <w:top w:val="nil"/>
          <w:left w:val="nil"/>
          <w:bottom w:val="nil"/>
          <w:right w:val="nil"/>
          <w:insideH w:val="nil"/>
          <w:insideV w:val="nil"/>
          <w:tl2br w:val="nil"/>
          <w:tr2bl w:val="nil"/>
        </w:tcBorders>
      </w:tcPr>
    </w:tblStylePr>
    <w:tblStylePr w:type="lastCol">
      <w:rPr>
        <w:rFonts w:cs="微软雅黑"/>
        <w:b w:val="0"/>
        <w:bCs w:val="0"/>
      </w:rPr>
      <w:tcPr>
        <w:tcBorders>
          <w:top w:val="nil"/>
          <w:left w:val="nil"/>
          <w:bottom w:val="nil"/>
          <w:right w:val="nil"/>
          <w:insideH w:val="nil"/>
          <w:insideV w:val="nil"/>
          <w:tl2br w:val="nil"/>
          <w:tr2bl w:val="nil"/>
        </w:tcBorders>
      </w:tcPr>
    </w:tblStylePr>
    <w:tblStylePr w:type="band1Vert">
      <w:rPr>
        <w:rFonts w:cs="微软雅黑"/>
        <w:color w:val="auto"/>
      </w:rPr>
      <w:tcPr>
        <w:shd w:val="solid" w:color="C0C0C0" w:fill="FFFFFF"/>
      </w:tcPr>
    </w:tblStylePr>
    <w:tblStylePr w:type="band2Vert">
      <w:rPr>
        <w:rFonts w:cs="微软雅黑"/>
        <w:color w:val="auto"/>
      </w:rPr>
      <w:tcPr>
        <w:shd w:val="pct10" w:color="000000" w:fill="FFFFFF"/>
      </w:tcPr>
    </w:tblStylePr>
    <w:tblStylePr w:type="neCell">
      <w:rPr>
        <w:rFonts w:cs="微软雅黑"/>
        <w:b/>
        <w:bCs/>
      </w:rPr>
      <w:tcPr>
        <w:tcBorders>
          <w:top w:val="nil"/>
          <w:left w:val="nil"/>
          <w:bottom w:val="nil"/>
          <w:right w:val="nil"/>
          <w:insideH w:val="nil"/>
          <w:insideV w:val="nil"/>
          <w:tl2br w:val="nil"/>
          <w:tr2bl w:val="nil"/>
        </w:tcBorders>
      </w:tcPr>
    </w:tblStylePr>
  </w:style>
  <w:style w:type="table" w:customStyle="1" w:styleId="370">
    <w:name w:val="竖列型 41"/>
    <w:basedOn w:val="76"/>
    <w:semiHidden/>
    <w:qFormat/>
    <w:uiPriority w:val="99"/>
    <w:pPr>
      <w:widowControl w:val="0"/>
      <w:spacing w:after="200" w:line="276" w:lineRule="auto"/>
    </w:pPr>
    <w:rPr>
      <w:rFonts w:ascii="Calibri" w:hAnsi="Calibri" w:cs="Calibri"/>
    </w:rPr>
    <w:tblStylePr w:type="firstRow">
      <w:rPr>
        <w:rFonts w:cs="微软雅黑"/>
        <w:color w:val="FFFFFF"/>
      </w:rPr>
      <w:tcPr>
        <w:tcBorders>
          <w:top w:val="nil"/>
          <w:left w:val="nil"/>
          <w:bottom w:val="nil"/>
          <w:right w:val="nil"/>
          <w:insideH w:val="nil"/>
          <w:insideV w:val="nil"/>
          <w:tl2br w:val="nil"/>
          <w:tr2bl w:val="nil"/>
        </w:tcBorders>
        <w:shd w:val="solid" w:color="000000" w:fill="FFFFFF"/>
      </w:tcPr>
    </w:tblStylePr>
    <w:tblStylePr w:type="lastRow">
      <w:rPr>
        <w:rFonts w:cs="微软雅黑"/>
        <w:b/>
        <w:bCs/>
      </w:rPr>
      <w:tcPr>
        <w:tcBorders>
          <w:top w:val="nil"/>
          <w:left w:val="nil"/>
          <w:bottom w:val="nil"/>
          <w:right w:val="nil"/>
          <w:insideH w:val="nil"/>
          <w:insideV w:val="nil"/>
          <w:tl2br w:val="nil"/>
          <w:tr2bl w:val="nil"/>
        </w:tcBorders>
      </w:tcPr>
    </w:tblStylePr>
    <w:tblStylePr w:type="lastCol">
      <w:rPr>
        <w:rFonts w:cs="微软雅黑"/>
        <w:b/>
        <w:bCs/>
      </w:rPr>
      <w:tcPr>
        <w:tcBorders>
          <w:top w:val="nil"/>
          <w:left w:val="nil"/>
          <w:bottom w:val="nil"/>
          <w:right w:val="nil"/>
          <w:insideH w:val="nil"/>
          <w:insideV w:val="nil"/>
          <w:tl2br w:val="nil"/>
          <w:tr2bl w:val="nil"/>
        </w:tcBorders>
      </w:tcPr>
    </w:tblStylePr>
    <w:tblStylePr w:type="band1Vert">
      <w:rPr>
        <w:rFonts w:cs="微软雅黑"/>
        <w:color w:val="auto"/>
      </w:rPr>
      <w:tcPr>
        <w:shd w:val="pct50" w:color="008080" w:fill="FFFFFF"/>
      </w:tcPr>
    </w:tblStylePr>
    <w:tblStylePr w:type="band2Vert">
      <w:rPr>
        <w:rFonts w:cs="微软雅黑"/>
        <w:color w:val="auto"/>
      </w:rPr>
      <w:tcPr>
        <w:shd w:val="pct10" w:color="000000" w:fill="FFFFFF"/>
      </w:tcPr>
    </w:tblStylePr>
  </w:style>
  <w:style w:type="table" w:customStyle="1" w:styleId="371">
    <w:name w:val="竖列型 51"/>
    <w:basedOn w:val="76"/>
    <w:semiHidden/>
    <w:qFormat/>
    <w:uiPriority w:val="99"/>
    <w:pPr>
      <w:widowControl w:val="0"/>
      <w:spacing w:after="200" w:line="276" w:lineRule="auto"/>
    </w:pPr>
    <w:rPr>
      <w:rFonts w:ascii="Calibri" w:hAnsi="Calibri" w:cs="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rFonts w:cs="微软雅黑"/>
        <w:b/>
        <w:bCs/>
        <w:i/>
        <w:iCs/>
      </w:rPr>
      <w:tcPr>
        <w:tcBorders>
          <w:top w:val="nil"/>
          <w:left w:val="nil"/>
          <w:bottom w:val="single" w:color="808080" w:sz="6" w:space="0"/>
          <w:right w:val="nil"/>
          <w:insideH w:val="nil"/>
          <w:insideV w:val="nil"/>
          <w:tl2br w:val="nil"/>
          <w:tr2bl w:val="nil"/>
        </w:tcBorders>
      </w:tcPr>
    </w:tblStylePr>
    <w:tblStylePr w:type="lastRow">
      <w:rPr>
        <w:rFonts w:cs="微软雅黑"/>
        <w:b/>
        <w:bCs/>
      </w:rPr>
      <w:tcPr>
        <w:tcBorders>
          <w:top w:val="single" w:color="808080" w:sz="6" w:space="0"/>
          <w:left w:val="nil"/>
          <w:bottom w:val="nil"/>
          <w:right w:val="nil"/>
          <w:insideH w:val="nil"/>
          <w:insideV w:val="nil"/>
          <w:tl2br w:val="nil"/>
          <w:tr2bl w:val="nil"/>
        </w:tcBorders>
      </w:tcPr>
    </w:tblStylePr>
    <w:tblStylePr w:type="firstCol">
      <w:rPr>
        <w:rFonts w:cs="微软雅黑"/>
        <w:b/>
        <w:bCs/>
      </w:rPr>
      <w:tcPr>
        <w:tcBorders>
          <w:top w:val="nil"/>
          <w:left w:val="nil"/>
          <w:bottom w:val="nil"/>
          <w:right w:val="nil"/>
          <w:insideH w:val="nil"/>
          <w:insideV w:val="nil"/>
          <w:tl2br w:val="nil"/>
          <w:tr2bl w:val="nil"/>
        </w:tcBorders>
      </w:tcPr>
    </w:tblStylePr>
    <w:tblStylePr w:type="lastCol">
      <w:rPr>
        <w:rFonts w:cs="微软雅黑"/>
        <w:b/>
        <w:bCs/>
      </w:rPr>
      <w:tcPr>
        <w:tcBorders>
          <w:top w:val="nil"/>
          <w:left w:val="nil"/>
          <w:bottom w:val="nil"/>
          <w:right w:val="nil"/>
          <w:insideH w:val="nil"/>
          <w:insideV w:val="nil"/>
          <w:tl2br w:val="nil"/>
          <w:tr2bl w:val="nil"/>
        </w:tcBorders>
      </w:tcPr>
    </w:tblStylePr>
    <w:tblStylePr w:type="band1Vert">
      <w:rPr>
        <w:rFonts w:cs="微软雅黑"/>
        <w:color w:val="auto"/>
      </w:rPr>
      <w:tcPr>
        <w:shd w:val="solid" w:color="C0C0C0" w:fill="FFFFFF"/>
      </w:tcPr>
    </w:tblStylePr>
    <w:tblStylePr w:type="band2Vert">
      <w:rPr>
        <w:rFonts w:cs="微软雅黑"/>
        <w:color w:val="auto"/>
      </w:rPr>
    </w:tblStylePr>
  </w:style>
  <w:style w:type="table" w:customStyle="1" w:styleId="372">
    <w:name w:val="网格型 11"/>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rFonts w:cs="微软雅黑"/>
        <w:i/>
        <w:iCs/>
      </w:rPr>
      <w:tcPr>
        <w:tcBorders>
          <w:top w:val="nil"/>
          <w:left w:val="nil"/>
          <w:bottom w:val="nil"/>
          <w:right w:val="nil"/>
          <w:insideH w:val="nil"/>
          <w:insideV w:val="nil"/>
          <w:tl2br w:val="nil"/>
          <w:tr2bl w:val="nil"/>
        </w:tcBorders>
      </w:tcPr>
    </w:tblStylePr>
    <w:tblStylePr w:type="lastCol">
      <w:rPr>
        <w:rFonts w:cs="微软雅黑"/>
        <w:i/>
        <w:iCs/>
      </w:rPr>
      <w:tcPr>
        <w:tcBorders>
          <w:top w:val="nil"/>
          <w:left w:val="nil"/>
          <w:bottom w:val="nil"/>
          <w:right w:val="nil"/>
          <w:insideH w:val="nil"/>
          <w:insideV w:val="nil"/>
          <w:tl2br w:val="nil"/>
          <w:tr2bl w:val="nil"/>
        </w:tcBorders>
      </w:tcPr>
    </w:tblStylePr>
    <w:tblStylePr w:type="nwCell">
      <w:rPr>
        <w:rFonts w:cs="微软雅黑"/>
      </w:rPr>
      <w:tcPr>
        <w:tcBorders>
          <w:top w:val="nil"/>
          <w:left w:val="nil"/>
          <w:bottom w:val="nil"/>
          <w:right w:val="nil"/>
          <w:insideH w:val="nil"/>
          <w:insideV w:val="nil"/>
          <w:tl2br w:val="single" w:color="000000" w:sz="6" w:space="0"/>
          <w:tr2bl w:val="nil"/>
        </w:tcBorders>
      </w:tcPr>
    </w:tblStylePr>
  </w:style>
  <w:style w:type="table" w:customStyle="1" w:styleId="373">
    <w:name w:val="网格型 21"/>
    <w:basedOn w:val="76"/>
    <w:semiHidden/>
    <w:qFormat/>
    <w:uiPriority w:val="99"/>
    <w:pPr>
      <w:widowControl w:val="0"/>
      <w:spacing w:after="200" w:line="276" w:lineRule="auto"/>
    </w:pPr>
    <w:rPr>
      <w:rFonts w:ascii="Calibri" w:hAnsi="Calibri" w:cs="Calibri"/>
    </w:rPr>
    <w:tblPr>
      <w:tblBorders>
        <w:insideH w:val="single" w:color="000000" w:sz="6" w:space="0"/>
        <w:insideV w:val="single" w:color="000000" w:sz="6" w:space="0"/>
      </w:tblBorders>
    </w:tblPr>
    <w:tblStylePr w:type="firstRow">
      <w:rPr>
        <w:rFonts w:cs="微软雅黑"/>
        <w:b/>
        <w:bCs/>
      </w:rPr>
      <w:tcPr>
        <w:tcBorders>
          <w:top w:val="nil"/>
          <w:left w:val="nil"/>
          <w:bottom w:val="nil"/>
          <w:right w:val="nil"/>
          <w:insideH w:val="nil"/>
          <w:insideV w:val="nil"/>
          <w:tl2br w:val="nil"/>
          <w:tr2bl w:val="nil"/>
        </w:tcBorders>
      </w:tcPr>
    </w:tblStylePr>
    <w:tblStylePr w:type="lastRow">
      <w:rPr>
        <w:rFonts w:cs="微软雅黑"/>
        <w:b/>
        <w:bCs/>
      </w:rPr>
      <w:tcPr>
        <w:tcBorders>
          <w:top w:val="single" w:color="000000" w:sz="6" w:space="0"/>
          <w:left w:val="nil"/>
          <w:bottom w:val="nil"/>
          <w:right w:val="nil"/>
          <w:insideH w:val="nil"/>
          <w:insideV w:val="nil"/>
          <w:tl2br w:val="nil"/>
          <w:tr2bl w:val="nil"/>
        </w:tcBorders>
      </w:tcPr>
    </w:tblStylePr>
    <w:tblStylePr w:type="firstCol">
      <w:rPr>
        <w:rFonts w:cs="微软雅黑"/>
        <w:b/>
        <w:bCs/>
      </w:rPr>
      <w:tcPr>
        <w:tcBorders>
          <w:top w:val="nil"/>
          <w:left w:val="nil"/>
          <w:bottom w:val="nil"/>
          <w:right w:val="nil"/>
          <w:insideH w:val="nil"/>
          <w:insideV w:val="nil"/>
          <w:tl2br w:val="nil"/>
          <w:tr2bl w:val="nil"/>
        </w:tcBorders>
      </w:tcPr>
    </w:tblStylePr>
    <w:tblStylePr w:type="lastCol">
      <w:rPr>
        <w:rFonts w:cs="微软雅黑"/>
        <w:b/>
        <w:bCs/>
      </w:rPr>
      <w:tcPr>
        <w:tcBorders>
          <w:top w:val="nil"/>
          <w:left w:val="nil"/>
          <w:bottom w:val="nil"/>
          <w:right w:val="nil"/>
          <w:insideH w:val="nil"/>
          <w:insideV w:val="nil"/>
          <w:tl2br w:val="nil"/>
          <w:tr2bl w:val="nil"/>
        </w:tcBorders>
      </w:tcPr>
    </w:tblStylePr>
  </w:style>
  <w:style w:type="table" w:customStyle="1" w:styleId="374">
    <w:name w:val="网格型 31"/>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rPr>
        <w:rFonts w:cs="微软雅黑"/>
      </w:r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微软雅黑"/>
        <w:b/>
        <w:bCs/>
      </w:rPr>
      <w:tcPr>
        <w:tcBorders>
          <w:top w:val="nil"/>
          <w:left w:val="nil"/>
          <w:bottom w:val="nil"/>
          <w:right w:val="nil"/>
          <w:insideH w:val="nil"/>
          <w:insideV w:val="nil"/>
          <w:tl2br w:val="nil"/>
          <w:tr2bl w:val="nil"/>
        </w:tcBorders>
      </w:tcPr>
    </w:tblStylePr>
    <w:tblStylePr w:type="lastCol">
      <w:rPr>
        <w:rFonts w:cs="微软雅黑"/>
        <w:b/>
        <w:bCs/>
      </w:rPr>
      <w:tcPr>
        <w:tcBorders>
          <w:top w:val="nil"/>
          <w:left w:val="nil"/>
          <w:bottom w:val="nil"/>
          <w:right w:val="nil"/>
          <w:insideH w:val="nil"/>
          <w:insideV w:val="nil"/>
          <w:tl2br w:val="nil"/>
          <w:tr2bl w:val="nil"/>
        </w:tcBorders>
      </w:tcPr>
    </w:tblStylePr>
    <w:tblStylePr w:type="nwCell">
      <w:rPr>
        <w:rFonts w:cs="微软雅黑"/>
      </w:rPr>
      <w:tcPr>
        <w:tcBorders>
          <w:top w:val="nil"/>
          <w:left w:val="nil"/>
          <w:bottom w:val="nil"/>
          <w:right w:val="nil"/>
          <w:insideH w:val="nil"/>
          <w:insideV w:val="nil"/>
          <w:tl2br w:val="single" w:color="000000" w:sz="6" w:space="0"/>
          <w:tr2bl w:val="nil"/>
        </w:tcBorders>
      </w:tcPr>
    </w:tblStylePr>
  </w:style>
  <w:style w:type="table" w:customStyle="1" w:styleId="375">
    <w:name w:val="网格型 41"/>
    <w:basedOn w:val="76"/>
    <w:semiHidden/>
    <w:qFormat/>
    <w:uiPriority w:val="99"/>
    <w:pPr>
      <w:widowControl w:val="0"/>
      <w:spacing w:after="200" w:line="276" w:lineRule="auto"/>
    </w:pPr>
    <w:rPr>
      <w:rFonts w:ascii="Calibri" w:hAnsi="Calibri" w:cs="Calibri"/>
    </w:rPr>
    <w:tblPr>
      <w:tblBorders>
        <w:left w:val="single" w:color="000000" w:sz="12" w:space="0"/>
        <w:right w:val="single" w:color="000000" w:sz="12" w:space="0"/>
        <w:insideH w:val="single" w:color="000000" w:sz="6" w:space="0"/>
        <w:insideV w:val="single" w:color="000000" w:sz="6" w:space="0"/>
      </w:tblBorders>
    </w:tblPr>
    <w:tblStylePr w:type="firstRow">
      <w:rPr>
        <w:rFonts w:cs="微软雅黑"/>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微软雅黑"/>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rFonts w:cs="微软雅黑"/>
        <w:b/>
        <w:bCs/>
        <w:color w:val="auto"/>
      </w:rPr>
      <w:tcPr>
        <w:tcBorders>
          <w:top w:val="nil"/>
          <w:left w:val="nil"/>
          <w:bottom w:val="nil"/>
          <w:right w:val="nil"/>
          <w:insideH w:val="nil"/>
          <w:insideV w:val="nil"/>
          <w:tl2br w:val="nil"/>
          <w:tr2bl w:val="nil"/>
        </w:tcBorders>
      </w:tcPr>
    </w:tblStylePr>
  </w:style>
  <w:style w:type="table" w:customStyle="1" w:styleId="376">
    <w:name w:val="网格型 51"/>
    <w:basedOn w:val="76"/>
    <w:semiHidden/>
    <w:qFormat/>
    <w:uiPriority w:val="99"/>
    <w:pPr>
      <w:widowControl w:val="0"/>
      <w:spacing w:after="200" w:line="276" w:lineRule="auto"/>
    </w:pPr>
    <w:rPr>
      <w:rFonts w:ascii="Calibri" w:hAnsi="Calibri"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微软雅黑"/>
      </w:rPr>
      <w:tcPr>
        <w:tcBorders>
          <w:top w:val="nil"/>
          <w:left w:val="nil"/>
          <w:bottom w:val="single" w:color="000000" w:sz="12" w:space="0"/>
          <w:right w:val="nil"/>
          <w:insideH w:val="nil"/>
          <w:insideV w:val="nil"/>
          <w:tl2br w:val="nil"/>
          <w:tr2bl w:val="nil"/>
        </w:tcBorders>
      </w:tcPr>
    </w:tblStylePr>
    <w:tblStylePr w:type="lastRow">
      <w:rPr>
        <w:rFonts w:cs="微软雅黑"/>
        <w:b/>
        <w:bCs/>
      </w:rPr>
      <w:tcPr>
        <w:tcBorders>
          <w:top w:val="nil"/>
          <w:left w:val="nil"/>
          <w:bottom w:val="nil"/>
          <w:right w:val="nil"/>
          <w:insideH w:val="nil"/>
          <w:insideV w:val="nil"/>
          <w:tl2br w:val="nil"/>
          <w:tr2bl w:val="nil"/>
        </w:tcBorders>
      </w:tcPr>
    </w:tblStylePr>
    <w:tblStylePr w:type="lastCol">
      <w:rPr>
        <w:rFonts w:cs="微软雅黑"/>
        <w:b/>
        <w:bCs/>
      </w:rPr>
      <w:tcPr>
        <w:tcBorders>
          <w:top w:val="nil"/>
          <w:left w:val="nil"/>
          <w:bottom w:val="nil"/>
          <w:right w:val="nil"/>
          <w:insideH w:val="nil"/>
          <w:insideV w:val="nil"/>
          <w:tl2br w:val="nil"/>
          <w:tr2bl w:val="nil"/>
        </w:tcBorders>
      </w:tcPr>
    </w:tblStylePr>
    <w:tblStylePr w:type="nwCell">
      <w:rPr>
        <w:rFonts w:cs="微软雅黑"/>
      </w:rPr>
      <w:tcPr>
        <w:tcBorders>
          <w:top w:val="nil"/>
          <w:left w:val="nil"/>
          <w:bottom w:val="nil"/>
          <w:right w:val="nil"/>
          <w:insideH w:val="nil"/>
          <w:insideV w:val="nil"/>
          <w:tl2br w:val="single" w:color="000000" w:sz="6" w:space="0"/>
          <w:tr2bl w:val="nil"/>
        </w:tcBorders>
      </w:tcPr>
    </w:tblStylePr>
  </w:style>
  <w:style w:type="table" w:customStyle="1" w:styleId="377">
    <w:name w:val="网格型 61"/>
    <w:basedOn w:val="76"/>
    <w:semiHidden/>
    <w:qFormat/>
    <w:uiPriority w:val="99"/>
    <w:pPr>
      <w:widowControl w:val="0"/>
      <w:spacing w:after="200" w:line="276" w:lineRule="auto"/>
    </w:pPr>
    <w:rPr>
      <w:rFonts w:ascii="Calibri" w:hAnsi="Calibri" w:cs="Calibri"/>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rFonts w:cs="微软雅黑"/>
        <w:b/>
        <w:bCs/>
      </w:rPr>
      <w:tcPr>
        <w:tcBorders>
          <w:top w:val="nil"/>
          <w:left w:val="nil"/>
          <w:bottom w:val="single" w:color="000000" w:sz="6" w:space="0"/>
          <w:right w:val="nil"/>
          <w:insideH w:val="nil"/>
          <w:insideV w:val="nil"/>
          <w:tl2br w:val="nil"/>
          <w:tr2bl w:val="nil"/>
        </w:tcBorders>
      </w:tcPr>
    </w:tblStylePr>
    <w:tblStylePr w:type="lastRow">
      <w:rPr>
        <w:rFonts w:cs="微软雅黑"/>
        <w:color w:val="auto"/>
      </w:rPr>
      <w:tcPr>
        <w:tcBorders>
          <w:top w:val="single" w:color="000000" w:sz="6" w:space="0"/>
          <w:left w:val="nil"/>
          <w:bottom w:val="nil"/>
          <w:right w:val="nil"/>
          <w:insideH w:val="nil"/>
          <w:insideV w:val="nil"/>
          <w:tl2br w:val="nil"/>
          <w:tr2bl w:val="nil"/>
        </w:tcBorders>
      </w:tcPr>
    </w:tblStylePr>
    <w:tblStylePr w:type="firstCol">
      <w:rPr>
        <w:rFonts w:cs="微软雅黑"/>
        <w:b/>
        <w:bCs/>
      </w:rPr>
      <w:tcPr>
        <w:tcBorders>
          <w:top w:val="nil"/>
          <w:left w:val="nil"/>
          <w:bottom w:val="nil"/>
          <w:right w:val="nil"/>
          <w:insideH w:val="nil"/>
          <w:insideV w:val="nil"/>
          <w:tl2br w:val="nil"/>
          <w:tr2bl w:val="nil"/>
        </w:tcBorders>
      </w:tcPr>
    </w:tblStylePr>
    <w:tblStylePr w:type="nwCell">
      <w:rPr>
        <w:rFonts w:cs="微软雅黑"/>
      </w:rPr>
      <w:tcPr>
        <w:tcBorders>
          <w:top w:val="nil"/>
          <w:left w:val="nil"/>
          <w:bottom w:val="nil"/>
          <w:right w:val="nil"/>
          <w:insideH w:val="nil"/>
          <w:insideV w:val="nil"/>
          <w:tl2br w:val="single" w:color="000000" w:sz="6" w:space="0"/>
          <w:tr2bl w:val="nil"/>
        </w:tcBorders>
      </w:tcPr>
    </w:tblStylePr>
  </w:style>
  <w:style w:type="table" w:customStyle="1" w:styleId="378">
    <w:name w:val="网格型 71"/>
    <w:basedOn w:val="76"/>
    <w:semiHidden/>
    <w:qFormat/>
    <w:uiPriority w:val="99"/>
    <w:pPr>
      <w:widowControl w:val="0"/>
      <w:spacing w:after="200" w:line="276" w:lineRule="auto"/>
    </w:pPr>
    <w:rPr>
      <w:rFonts w:ascii="Calibri" w:hAnsi="Calibri"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微软雅黑"/>
        <w:b w:val="0"/>
        <w:bCs w:val="0"/>
      </w:rPr>
      <w:tcPr>
        <w:tcBorders>
          <w:top w:val="nil"/>
          <w:left w:val="nil"/>
          <w:bottom w:val="single" w:color="000000" w:sz="12" w:space="0"/>
          <w:right w:val="nil"/>
          <w:insideH w:val="nil"/>
          <w:insideV w:val="nil"/>
          <w:tl2br w:val="nil"/>
          <w:tr2bl w:val="nil"/>
        </w:tcBorders>
      </w:tcPr>
    </w:tblStylePr>
    <w:tblStylePr w:type="lastRow">
      <w:rPr>
        <w:rFonts w:cs="微软雅黑"/>
        <w:b w:val="0"/>
        <w:bCs w:val="0"/>
      </w:rPr>
      <w:tcPr>
        <w:tcBorders>
          <w:top w:val="single" w:color="000000" w:sz="6" w:space="0"/>
          <w:left w:val="nil"/>
          <w:bottom w:val="nil"/>
          <w:right w:val="nil"/>
          <w:insideH w:val="nil"/>
          <w:insideV w:val="nil"/>
          <w:tl2br w:val="nil"/>
          <w:tr2bl w:val="nil"/>
        </w:tcBorders>
      </w:tcPr>
    </w:tblStylePr>
    <w:tblStylePr w:type="firstCol">
      <w:rPr>
        <w:rFonts w:cs="微软雅黑"/>
        <w:b w:val="0"/>
        <w:bCs w:val="0"/>
      </w:rPr>
      <w:tcPr>
        <w:tcBorders>
          <w:top w:val="nil"/>
          <w:left w:val="nil"/>
          <w:bottom w:val="nil"/>
          <w:right w:val="nil"/>
          <w:insideH w:val="nil"/>
          <w:insideV w:val="nil"/>
          <w:tl2br w:val="nil"/>
          <w:tr2bl w:val="nil"/>
        </w:tcBorders>
      </w:tcPr>
    </w:tblStylePr>
    <w:tblStylePr w:type="lastCol">
      <w:rPr>
        <w:rFonts w:cs="微软雅黑"/>
        <w:b w:val="0"/>
        <w:bCs w:val="0"/>
      </w:rPr>
      <w:tcPr>
        <w:tcBorders>
          <w:top w:val="nil"/>
          <w:left w:val="nil"/>
          <w:bottom w:val="nil"/>
          <w:right w:val="nil"/>
          <w:insideH w:val="nil"/>
          <w:insideV w:val="nil"/>
          <w:tl2br w:val="nil"/>
          <w:tr2bl w:val="nil"/>
        </w:tcBorders>
      </w:tcPr>
    </w:tblStylePr>
    <w:tblStylePr w:type="nwCell">
      <w:rPr>
        <w:rFonts w:cs="微软雅黑"/>
      </w:rPr>
      <w:tcPr>
        <w:tcBorders>
          <w:top w:val="nil"/>
          <w:left w:val="nil"/>
          <w:bottom w:val="nil"/>
          <w:right w:val="nil"/>
          <w:insideH w:val="nil"/>
          <w:insideV w:val="nil"/>
          <w:tl2br w:val="single" w:color="000000" w:sz="6" w:space="0"/>
          <w:tr2bl w:val="nil"/>
        </w:tcBorders>
      </w:tcPr>
    </w:tblStylePr>
  </w:style>
  <w:style w:type="table" w:customStyle="1" w:styleId="379">
    <w:name w:val="网格型 81"/>
    <w:basedOn w:val="76"/>
    <w:semiHidden/>
    <w:qFormat/>
    <w:uiPriority w:val="99"/>
    <w:pPr>
      <w:widowControl w:val="0"/>
      <w:spacing w:after="200" w:line="276" w:lineRule="auto"/>
    </w:pPr>
    <w:rPr>
      <w:rFonts w:ascii="Calibri" w:hAnsi="Calibri" w:cs="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rFonts w:cs="微软雅黑"/>
        <w:b/>
        <w:bCs/>
        <w:color w:val="FFFFFF"/>
      </w:rPr>
      <w:tcPr>
        <w:tcBorders>
          <w:top w:val="nil"/>
          <w:left w:val="nil"/>
          <w:bottom w:val="nil"/>
          <w:right w:val="nil"/>
          <w:insideH w:val="nil"/>
          <w:insideV w:val="nil"/>
          <w:tl2br w:val="nil"/>
          <w:tr2bl w:val="nil"/>
        </w:tcBorders>
        <w:shd w:val="solid" w:color="000080" w:fill="FFFFFF"/>
      </w:tcPr>
    </w:tblStylePr>
    <w:tblStylePr w:type="lastRow">
      <w:rPr>
        <w:rFonts w:cs="微软雅黑"/>
        <w:b/>
        <w:bCs/>
        <w:color w:val="auto"/>
      </w:rPr>
      <w:tcPr>
        <w:tcBorders>
          <w:top w:val="nil"/>
          <w:left w:val="nil"/>
          <w:bottom w:val="nil"/>
          <w:right w:val="nil"/>
          <w:insideH w:val="nil"/>
          <w:insideV w:val="nil"/>
          <w:tl2br w:val="nil"/>
          <w:tr2bl w:val="nil"/>
        </w:tcBorders>
      </w:tcPr>
    </w:tblStylePr>
    <w:tblStylePr w:type="lastCol">
      <w:rPr>
        <w:rFonts w:cs="微软雅黑"/>
        <w:b/>
        <w:bCs/>
        <w:color w:val="auto"/>
      </w:rPr>
      <w:tcPr>
        <w:tcBorders>
          <w:top w:val="nil"/>
          <w:left w:val="nil"/>
          <w:bottom w:val="nil"/>
          <w:right w:val="nil"/>
          <w:insideH w:val="nil"/>
          <w:insideV w:val="nil"/>
          <w:tl2br w:val="nil"/>
          <w:tr2bl w:val="nil"/>
        </w:tcBorders>
      </w:tcPr>
    </w:tblStylePr>
  </w:style>
  <w:style w:type="table" w:customStyle="1" w:styleId="380">
    <w:name w:val="网页型 11"/>
    <w:basedOn w:val="76"/>
    <w:semiHidden/>
    <w:qFormat/>
    <w:uiPriority w:val="99"/>
    <w:pPr>
      <w:widowControl w:val="0"/>
      <w:spacing w:after="200" w:line="276" w:lineRule="auto"/>
    </w:pPr>
    <w:rPr>
      <w:rFonts w:ascii="Calibri" w:hAnsi="Calibri" w:cs="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rFonts w:cs="微软雅黑"/>
        <w:color w:val="auto"/>
      </w:rPr>
      <w:tcPr>
        <w:tcBorders>
          <w:top w:val="nil"/>
          <w:left w:val="nil"/>
          <w:bottom w:val="nil"/>
          <w:right w:val="nil"/>
          <w:insideH w:val="nil"/>
          <w:insideV w:val="nil"/>
          <w:tl2br w:val="nil"/>
          <w:tr2bl w:val="nil"/>
        </w:tcBorders>
      </w:tcPr>
    </w:tblStylePr>
  </w:style>
  <w:style w:type="table" w:customStyle="1" w:styleId="381">
    <w:name w:val="网页型 21"/>
    <w:basedOn w:val="76"/>
    <w:semiHidden/>
    <w:qFormat/>
    <w:uiPriority w:val="99"/>
    <w:pPr>
      <w:widowControl w:val="0"/>
      <w:spacing w:after="200" w:line="276" w:lineRule="auto"/>
    </w:pPr>
    <w:rPr>
      <w:rFonts w:ascii="Calibri" w:hAnsi="Calibri" w:cs="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rFonts w:cs="微软雅黑"/>
        <w:color w:val="auto"/>
      </w:rPr>
      <w:tcPr>
        <w:tcBorders>
          <w:top w:val="nil"/>
          <w:left w:val="nil"/>
          <w:bottom w:val="nil"/>
          <w:right w:val="nil"/>
          <w:insideH w:val="nil"/>
          <w:insideV w:val="nil"/>
          <w:tl2br w:val="nil"/>
          <w:tr2bl w:val="nil"/>
        </w:tcBorders>
      </w:tcPr>
    </w:tblStylePr>
  </w:style>
  <w:style w:type="table" w:customStyle="1" w:styleId="382">
    <w:name w:val="网页型 31"/>
    <w:basedOn w:val="76"/>
    <w:semiHidden/>
    <w:qFormat/>
    <w:uiPriority w:val="99"/>
    <w:pPr>
      <w:widowControl w:val="0"/>
      <w:spacing w:after="200" w:line="276" w:lineRule="auto"/>
    </w:pPr>
    <w:rPr>
      <w:rFonts w:ascii="Calibri" w:hAnsi="Calibri" w:cs="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rFonts w:cs="微软雅黑"/>
        <w:color w:val="auto"/>
      </w:rPr>
      <w:tcPr>
        <w:tcBorders>
          <w:top w:val="nil"/>
          <w:left w:val="nil"/>
          <w:bottom w:val="nil"/>
          <w:right w:val="nil"/>
          <w:insideH w:val="nil"/>
          <w:insideV w:val="nil"/>
          <w:tl2br w:val="nil"/>
          <w:tr2bl w:val="nil"/>
        </w:tcBorders>
      </w:tcPr>
    </w:tblStylePr>
  </w:style>
  <w:style w:type="table" w:customStyle="1" w:styleId="383">
    <w:name w:val="专业型1"/>
    <w:basedOn w:val="76"/>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微软雅黑"/>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384">
    <w:name w:val="Table Normal1"/>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385">
    <w:name w:val="NormalCharacter"/>
    <w:qFormat/>
    <w:uiPriority w:val="0"/>
  </w:style>
  <w:style w:type="paragraph" w:customStyle="1" w:styleId="386">
    <w:name w:val="标书正文格式"/>
    <w:basedOn w:val="40"/>
    <w:qFormat/>
    <w:uiPriority w:val="0"/>
    <w:pPr>
      <w:spacing w:line="360" w:lineRule="auto"/>
      <w:ind w:firstLine="200" w:firstLineChars="200"/>
    </w:pPr>
    <w:rPr>
      <w:rFonts w:hAnsi="宋体"/>
      <w:color w:val="000000"/>
      <w:sz w:val="24"/>
      <w:szCs w:val="24"/>
    </w:rPr>
  </w:style>
  <w:style w:type="character" w:customStyle="1" w:styleId="387">
    <w:name w:val="font41"/>
    <w:basedOn w:val="121"/>
    <w:qFormat/>
    <w:uiPriority w:val="0"/>
    <w:rPr>
      <w:rFonts w:hint="default"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BCDE34-A6DB-4588-90B3-51091C0D7734}">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9</Pages>
  <Words>836</Words>
  <Characters>4767</Characters>
  <Lines>39</Lines>
  <Paragraphs>11</Paragraphs>
  <TotalTime>23</TotalTime>
  <ScaleCrop>false</ScaleCrop>
  <LinksUpToDate>false</LinksUpToDate>
  <CharactersWithSpaces>5592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2021-02-24T11:43:00Z</dcterms:created>
  <dc:creator>USER</dc:creator>
  <cp:lastModifiedBy>lenovo</cp:lastModifiedBy>
  <cp:lastPrinted>2020-10-17T02:27:00Z</cp:lastPrinted>
  <dcterms:modified xsi:type="dcterms:W3CDTF">2023-08-10T06:03:10Z</dcterms:modified>
  <dc:title>招标文件目录</dc:title>
  <cp:revision>468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010D9DB782684CB2931D91A2027E39BB_13</vt:lpwstr>
  </property>
</Properties>
</file>