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模态试验室测试设备</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2"/>
        <w:rPr>
          <w:rFonts w:hint="eastAsia"/>
          <w:lang w:eastAsia="zh-CN"/>
        </w:rPr>
      </w:pPr>
    </w:p>
    <w:p>
      <w:pPr>
        <w:pStyle w:val="2"/>
        <w:rPr>
          <w:rFonts w:hint="eastAsia"/>
          <w:lang w:eastAsia="zh-CN"/>
        </w:rPr>
      </w:pPr>
    </w:p>
    <w:p>
      <w:pPr>
        <w:pStyle w:val="2"/>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b/>
          <w:bCs/>
          <w:color w:val="000000"/>
          <w:sz w:val="28"/>
          <w:szCs w:val="28"/>
          <w:highlight w:val="red"/>
        </w:rPr>
      </w:pPr>
      <w:r>
        <w:rPr>
          <w:rFonts w:ascii="Calibri" w:hAnsi="Calibri" w:eastAsia="宋体" w:cs="Times New Roman"/>
          <w:b/>
          <w:bCs/>
          <w:color w:val="000000"/>
          <w:sz w:val="28"/>
          <w:szCs w:val="28"/>
          <w:highlight w:val="red"/>
        </w:rPr>
        <w:t>202</w:t>
      </w:r>
      <w:r>
        <w:rPr>
          <w:rFonts w:hint="eastAsia" w:ascii="Calibri" w:hAnsi="Calibri" w:eastAsia="宋体" w:cs="Times New Roman"/>
          <w:b/>
          <w:bCs/>
          <w:color w:val="000000"/>
          <w:sz w:val="28"/>
          <w:szCs w:val="28"/>
          <w:highlight w:val="red"/>
        </w:rPr>
        <w:t>3</w:t>
      </w:r>
      <w:r>
        <w:rPr>
          <w:rFonts w:hint="eastAsia" w:ascii="宋体" w:hAnsi="宋体" w:eastAsia="宋体" w:cs="Times New Roman"/>
          <w:b/>
          <w:bCs/>
          <w:color w:val="000000"/>
          <w:sz w:val="28"/>
          <w:szCs w:val="28"/>
          <w:highlight w:val="red"/>
        </w:rPr>
        <w:t>年</w:t>
      </w:r>
      <w:r>
        <w:rPr>
          <w:rFonts w:ascii="Calibri" w:hAnsi="Calibri" w:eastAsia="宋体" w:cs="Times New Roman"/>
          <w:b/>
          <w:bCs/>
          <w:color w:val="000000"/>
          <w:sz w:val="28"/>
          <w:szCs w:val="28"/>
          <w:highlight w:val="red"/>
        </w:rPr>
        <w:t xml:space="preserve"> </w:t>
      </w:r>
      <w:r>
        <w:rPr>
          <w:rFonts w:hint="eastAsia" w:ascii="Calibri" w:hAnsi="Calibri" w:eastAsia="宋体" w:cs="Times New Roman"/>
          <w:b/>
          <w:bCs/>
          <w:color w:val="000000"/>
          <w:sz w:val="28"/>
          <w:szCs w:val="28"/>
          <w:highlight w:val="red"/>
          <w:lang w:val="en-US" w:eastAsia="zh-CN"/>
        </w:rPr>
        <w:t>7</w:t>
      </w:r>
      <w:r>
        <w:rPr>
          <w:rFonts w:hint="eastAsia" w:ascii="Calibri" w:hAnsi="Calibri" w:eastAsia="宋体" w:cs="Times New Roman"/>
          <w:b/>
          <w:bCs/>
          <w:color w:val="000000"/>
          <w:sz w:val="28"/>
          <w:szCs w:val="28"/>
          <w:highlight w:val="red"/>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43</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yellow"/>
                <w:lang w:val="en-US" w:eastAsia="zh-CN"/>
              </w:rPr>
              <w:t>模态试验室测试设备招标项目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red"/>
                <w:u w:val="single"/>
                <w:lang w:val="en-US" w:eastAsia="zh-CN"/>
              </w:rPr>
              <w:t>CGZX2023060269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Courier New" w:eastAsia="宋体" w:cs="Times New Roman"/>
                <w:color w:val="000000"/>
                <w:sz w:val="24"/>
                <w:szCs w:val="24"/>
                <w:highlight w:val="yellow"/>
                <w:lang w:val="en-US" w:eastAsia="zh-CN"/>
              </w:rPr>
              <w:t>模态试验室测试设备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刘剑</w:t>
            </w:r>
          </w:p>
          <w:p>
            <w:pPr>
              <w:pStyle w:val="2"/>
              <w:ind w:firstLine="482" w:firstLineChars="200"/>
              <w:rPr>
                <w:rFonts w:hint="default" w:eastAsia="宋体"/>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17860608023</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yellow"/>
                <w:lang w:val="en-US" w:eastAsia="zh-CN"/>
              </w:rPr>
              <w:t>liujian1@sinotruk.com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lang w:val="en-US" w:eastAsia="zh-CN"/>
              </w:rPr>
              <w:t>5</w:t>
            </w:r>
            <w:r>
              <w:rPr>
                <w:rFonts w:hint="eastAsia" w:hAnsi="宋体" w:eastAsia="宋体" w:cs="宋体"/>
                <w:b/>
                <w:bCs/>
                <w:color w:val="000000"/>
                <w:sz w:val="24"/>
                <w:szCs w:val="24"/>
                <w:highlight w:val="yellow"/>
                <w:u w:val="single"/>
                <w:lang w:val="en-US" w:eastAsia="zh-CN"/>
              </w:rPr>
              <w:t>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hAnsi="宋体" w:eastAsia="宋体" w:cs="宋体"/>
                <w:b/>
                <w:bCs/>
                <w:color w:val="000000"/>
                <w:sz w:val="24"/>
                <w:szCs w:val="24"/>
                <w:highlight w:val="yellow"/>
                <w:u w:val="single"/>
                <w:lang w:val="en-US" w:eastAsia="zh-CN"/>
              </w:rPr>
              <w:t>三</w:t>
            </w:r>
            <w:r>
              <w:rPr>
                <w:rFonts w:hint="eastAsia" w:ascii="宋体" w:hAnsi="宋体" w:eastAsia="宋体" w:cs="宋体"/>
                <w:b/>
                <w:bCs/>
                <w:color w:val="000000"/>
                <w:sz w:val="24"/>
                <w:szCs w:val="24"/>
                <w:highlight w:val="yellow"/>
                <w:u w:val="single"/>
              </w:rPr>
              <w:t>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lang w:val="en-US" w:eastAsia="zh-CN"/>
              </w:rPr>
              <w:t>2020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red"/>
              </w:rPr>
              <w:t>第三方</w:t>
            </w:r>
            <w:r>
              <w:rPr>
                <w:rFonts w:hint="eastAsia" w:ascii="宋体" w:hAnsi="宋体" w:eastAsia="宋体" w:cs="宋体"/>
                <w:color w:val="000000"/>
                <w:sz w:val="24"/>
                <w:szCs w:val="24"/>
                <w:highlight w:val="red"/>
              </w:rPr>
              <w:t>审计</w:t>
            </w:r>
            <w:r>
              <w:rPr>
                <w:rFonts w:hint="eastAsia" w:ascii="宋体" w:hAnsi="宋体" w:eastAsia="宋体" w:cs="宋体"/>
                <w:color w:val="000000"/>
                <w:sz w:val="24"/>
                <w:szCs w:val="24"/>
                <w:highlight w:val="none"/>
              </w:rPr>
              <w:t>的公司财务报表（资产负债表、损益表、现金流量表）未显示异常；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w:t>
            </w:r>
            <w:r>
              <w:rPr>
                <w:rFonts w:hint="eastAsia" w:hAnsi="宋体" w:eastAsia="宋体" w:cs="宋体"/>
                <w:color w:val="000000"/>
                <w:sz w:val="24"/>
                <w:szCs w:val="24"/>
                <w:highlight w:val="red"/>
                <w:lang w:val="en-US" w:eastAsia="zh-CN"/>
              </w:rPr>
              <w:t>2019年1月1日至今</w:t>
            </w:r>
            <w:r>
              <w:rPr>
                <w:rFonts w:hint="eastAsia" w:hAnsi="宋体" w:eastAsia="宋体" w:cs="宋体"/>
                <w:color w:val="000000"/>
                <w:sz w:val="24"/>
                <w:szCs w:val="24"/>
                <w:lang w:val="en-US" w:eastAsia="zh-CN"/>
              </w:rPr>
              <w:t>，</w:t>
            </w:r>
            <w:r>
              <w:rPr>
                <w:rFonts w:hint="eastAsia" w:hAnsi="宋体" w:eastAsia="宋体" w:cs="宋体"/>
                <w:color w:val="000000"/>
                <w:sz w:val="24"/>
                <w:szCs w:val="24"/>
              </w:rPr>
              <w:t>有与本次招标内容相同或类似项目业绩，且近3年内无因服务不当而造成重大事故；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red"/>
                <w:lang w:val="en-US" w:eastAsia="zh-CN"/>
              </w:rPr>
              <w:t>15.</w:t>
            </w:r>
            <w:r>
              <w:rPr>
                <w:rFonts w:ascii="宋体" w:hAnsi="宋体" w:eastAsia="宋体" w:cs="宋体"/>
                <w:sz w:val="24"/>
                <w:szCs w:val="24"/>
                <w:highlight w:val="red"/>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7</w:t>
            </w:r>
            <w:r>
              <w:rPr>
                <w:rFonts w:hint="eastAsia" w:eastAsia="宋体" w:cs="宋体"/>
                <w:highlight w:val="yellow"/>
              </w:rPr>
              <w:t>月</w:t>
            </w:r>
            <w:r>
              <w:rPr>
                <w:rFonts w:hint="eastAsia" w:eastAsia="宋体" w:cs="宋体"/>
                <w:highlight w:val="yellow"/>
                <w:lang w:val="en-US" w:eastAsia="zh-CN"/>
              </w:rPr>
              <w:t>15</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正本一份，副本两份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
                <w:snapToGrid w:val="0"/>
                <w:kern w:val="0"/>
                <w:sz w:val="24"/>
                <w:szCs w:val="24"/>
                <w:highlight w:val="none"/>
                <w:lang w:val="en-US" w:eastAsia="zh-CN"/>
              </w:rPr>
              <w:t>刘剑</w:t>
            </w:r>
            <w:r>
              <w:rPr>
                <w:rFonts w:hint="eastAsia" w:ascii="Times New Roman" w:hAnsi="Times New Roman" w:eastAsia="宋体" w:cs="Times New Roman"/>
                <w:color w:val="000000"/>
                <w:sz w:val="24"/>
                <w:szCs w:val="24"/>
                <w:highlight w:val="yellow"/>
                <w:lang w:val="en-US" w:eastAsia="zh-CN"/>
              </w:rPr>
              <w:t>/17860608023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18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w:t>
            </w:r>
            <w:r>
              <w:rPr>
                <w:rFonts w:hint="eastAsia" w:hAnsi="宋体" w:eastAsia="宋体" w:cs="宋体"/>
                <w:kern w:val="0"/>
                <w:sz w:val="24"/>
                <w:szCs w:val="24"/>
                <w:highlight w:val="yellow"/>
                <w:lang w:val="en-US" w:eastAsia="zh-CN"/>
              </w:rPr>
              <w:t>8</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投标保证金的金额：人民币20000元</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开户名称：中国重汽集团济南动力有限公司</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开户银行：</w:t>
            </w:r>
            <w:r>
              <w:rPr>
                <w:rFonts w:ascii="宋体" w:hAnsi="宋体" w:cs="宋体"/>
                <w:sz w:val="24"/>
                <w:szCs w:val="24"/>
              </w:rPr>
              <w:t>中国工商银行股份有限公司济南天桥支行</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银行帐号：</w:t>
            </w:r>
            <w:r>
              <w:rPr>
                <w:rFonts w:ascii="宋体" w:hAnsi="宋体" w:cs="宋体"/>
                <w:sz w:val="24"/>
                <w:szCs w:val="24"/>
              </w:rPr>
              <w:t>1602005019200116248</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开户行联号：</w:t>
            </w:r>
            <w:r>
              <w:rPr>
                <w:rFonts w:ascii="宋体" w:hAnsi="宋体" w:cs="宋体"/>
                <w:sz w:val="24"/>
                <w:szCs w:val="24"/>
              </w:rPr>
              <w:t>102451000504</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18</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val="en-US" w:eastAsia="zh-CN"/>
              </w:rPr>
              <w:t>:00</w:t>
            </w:r>
            <w:r>
              <w:rPr>
                <w:rFonts w:hint="eastAsia" w:ascii="宋体" w:hAnsi="宋体" w:eastAsia="宋体" w:cs="宋体"/>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资质标审核→公开</w:t>
            </w:r>
            <w:bookmarkStart w:id="153" w:name="_GoBack"/>
            <w:bookmarkEnd w:id="153"/>
            <w:r>
              <w:rPr>
                <w:rFonts w:hint="eastAsia" w:ascii="宋体" w:hAnsi="宋体" w:eastAsia="宋体" w:cs="宋体"/>
                <w:b/>
                <w:bCs/>
                <w:sz w:val="24"/>
                <w:szCs w:val="24"/>
                <w:lang w:val="en-US" w:eastAsia="zh-CN"/>
              </w:rPr>
              <w:t>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360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none"/>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济南市莱芜区口镇重汽新能源产品试验检测中心</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A.合同签订生效后，中标人提交金额为合同价款</w:t>
            </w:r>
            <w:r>
              <w:rPr>
                <w:rFonts w:hint="eastAsia" w:hAnsi="宋体" w:eastAsia="宋体" w:cs="宋体"/>
                <w:b/>
                <w:bCs/>
                <w:color w:val="000000"/>
                <w:sz w:val="24"/>
                <w:szCs w:val="24"/>
                <w:highlight w:val="red"/>
              </w:rPr>
              <w:t>15%</w:t>
            </w:r>
            <w:r>
              <w:rPr>
                <w:rFonts w:hint="eastAsia" w:hAnsi="宋体" w:eastAsia="宋体" w:cs="宋体"/>
                <w:color w:val="000000"/>
                <w:sz w:val="24"/>
                <w:szCs w:val="24"/>
                <w:highlight w:val="none"/>
              </w:rPr>
              <w:t>的收据并提供合同价款15%的增值税专用发票（含复印件二份），经招标人依照财务制度审核通过后30日支付；</w:t>
            </w:r>
          </w:p>
          <w:p>
            <w:pPr>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B.设备到货后，中标人提交金额为合同价款</w:t>
            </w:r>
            <w:r>
              <w:rPr>
                <w:rFonts w:hint="eastAsia" w:hAnsi="宋体" w:eastAsia="宋体" w:cs="宋体"/>
                <w:b/>
                <w:bCs/>
                <w:color w:val="000000"/>
                <w:sz w:val="24"/>
                <w:szCs w:val="24"/>
                <w:highlight w:val="red"/>
              </w:rPr>
              <w:t>45%</w:t>
            </w:r>
            <w:r>
              <w:rPr>
                <w:rFonts w:hint="eastAsia" w:hAnsi="宋体" w:eastAsia="宋体" w:cs="宋体"/>
                <w:color w:val="000000"/>
                <w:sz w:val="24"/>
                <w:szCs w:val="24"/>
                <w:highlight w:val="none"/>
              </w:rPr>
              <w:t>的收据并提供合同价款45%的增值税专用发票（含复印件二份），经招标人依照财务制度审核通过后30日支付；</w:t>
            </w:r>
          </w:p>
          <w:p>
            <w:pPr>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C.设备验收合格后，中标人提交金额为合同价款</w:t>
            </w:r>
            <w:r>
              <w:rPr>
                <w:rFonts w:hint="eastAsia" w:hAnsi="宋体" w:eastAsia="宋体" w:cs="宋体"/>
                <w:b/>
                <w:bCs/>
                <w:color w:val="000000"/>
                <w:sz w:val="24"/>
                <w:szCs w:val="24"/>
                <w:highlight w:val="red"/>
              </w:rPr>
              <w:t>30%</w:t>
            </w:r>
            <w:r>
              <w:rPr>
                <w:rFonts w:hint="eastAsia" w:hAnsi="宋体" w:eastAsia="宋体" w:cs="宋体"/>
                <w:color w:val="000000"/>
                <w:sz w:val="24"/>
                <w:szCs w:val="24"/>
                <w:highlight w:val="none"/>
              </w:rPr>
              <w:t>的收据并提供合同价款40%的增值税专用发票（含复印件二份），经招标人依照财务制度审核通过后30日支付；</w:t>
            </w:r>
          </w:p>
          <w:p>
            <w:pPr>
              <w:ind w:firstLine="480" w:firstLineChars="200"/>
              <w:rPr>
                <w:rFonts w:ascii="宋体" w:hAnsi="宋体" w:eastAsia="宋体" w:cs="宋体"/>
                <w:sz w:val="24"/>
                <w:szCs w:val="24"/>
              </w:rPr>
            </w:pPr>
            <w:r>
              <w:rPr>
                <w:rFonts w:hint="eastAsia" w:hAnsi="宋体" w:eastAsia="宋体" w:cs="宋体"/>
                <w:color w:val="000000"/>
                <w:sz w:val="24"/>
                <w:szCs w:val="24"/>
                <w:highlight w:val="none"/>
              </w:rPr>
              <w:t>合同总价款的</w:t>
            </w:r>
            <w:r>
              <w:rPr>
                <w:rFonts w:hint="eastAsia" w:hAnsi="宋体" w:eastAsia="宋体" w:cs="宋体"/>
                <w:b/>
                <w:bCs/>
                <w:color w:val="000000"/>
                <w:sz w:val="24"/>
                <w:szCs w:val="24"/>
                <w:highlight w:val="red"/>
              </w:rPr>
              <w:t>10%</w:t>
            </w:r>
            <w:r>
              <w:rPr>
                <w:rFonts w:hint="eastAsia" w:hAnsi="宋体" w:eastAsia="宋体" w:cs="宋体"/>
                <w:color w:val="000000"/>
                <w:sz w:val="24"/>
                <w:szCs w:val="24"/>
                <w:highlight w:val="none"/>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start="3"/>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6914"/>
      <w:bookmarkStart w:id="8" w:name="_Toc33267001"/>
      <w:bookmarkStart w:id="9" w:name="_Toc33266950"/>
      <w:bookmarkStart w:id="10" w:name="_Toc33285487"/>
      <w:bookmarkStart w:id="11" w:name="_Toc33265752"/>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85489"/>
      <w:bookmarkStart w:id="15" w:name="_Toc33266951"/>
      <w:bookmarkStart w:id="16" w:name="_Toc395116634"/>
      <w:bookmarkStart w:id="17" w:name="_Toc33267002"/>
      <w:bookmarkStart w:id="18" w:name="_Toc33265753"/>
      <w:bookmarkStart w:id="19" w:name="_Toc33265654"/>
      <w:bookmarkStart w:id="20" w:name="_Toc33266915"/>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w:t>
      </w:r>
      <w:r>
        <w:rPr>
          <w:rFonts w:hint="eastAsia" w:ascii="宋体" w:hAnsi="宋体" w:eastAsia="宋体" w:cs="宋体"/>
          <w:b/>
          <w:color w:val="auto"/>
          <w:sz w:val="24"/>
          <w:szCs w:val="24"/>
          <w:highlight w:val="yellow"/>
          <w:lang w:val="en-US" w:eastAsia="zh-CN"/>
        </w:rPr>
        <w:t>资质标审核通过</w:t>
      </w:r>
      <w:r>
        <w:rPr>
          <w:rFonts w:hint="eastAsia" w:ascii="宋体" w:hAnsi="宋体" w:eastAsia="宋体" w:cs="宋体"/>
          <w:b/>
          <w:color w:val="auto"/>
          <w:sz w:val="24"/>
          <w:szCs w:val="24"/>
          <w:highlight w:val="yellow"/>
        </w:rPr>
        <w:t>→公开唱标</w:t>
      </w:r>
      <w:r>
        <w:rPr>
          <w:rFonts w:hint="eastAsia" w:ascii="宋体" w:hAnsi="宋体" w:eastAsia="宋体" w:cs="宋体"/>
          <w:b/>
          <w:color w:val="auto"/>
          <w:sz w:val="24"/>
          <w:szCs w:val="24"/>
          <w:highlight w:val="yellow"/>
          <w:lang w:eastAsia="zh-CN"/>
        </w:rPr>
        <w:t>，</w:t>
      </w:r>
      <w:r>
        <w:rPr>
          <w:rFonts w:hint="eastAsia" w:ascii="宋体" w:hAnsi="宋体" w:eastAsia="宋体" w:cs="宋体"/>
          <w:b/>
          <w:color w:val="auto"/>
          <w:sz w:val="24"/>
          <w:szCs w:val="24"/>
          <w:highlight w:val="yellow"/>
          <w:lang w:val="en-US" w:eastAsia="zh-CN"/>
        </w:rPr>
        <w:t>进入技术标评审</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highlight w:val="yellow"/>
        </w:rPr>
        <w:t>商务条款相应确认→</w:t>
      </w:r>
      <w:r>
        <w:rPr>
          <w:rFonts w:hint="eastAsia" w:ascii="宋体" w:hAnsi="宋体" w:eastAsia="宋体" w:cs="宋体"/>
          <w:b/>
          <w:color w:val="auto"/>
          <w:sz w:val="24"/>
          <w:szCs w:val="24"/>
          <w:highlight w:val="yellow"/>
          <w:lang w:val="en-US" w:eastAsia="zh-CN"/>
        </w:rPr>
        <w:t>价格澄清</w:t>
      </w:r>
      <w:r>
        <w:rPr>
          <w:rFonts w:hint="eastAsia" w:ascii="宋体" w:hAnsi="宋体" w:eastAsia="宋体" w:cs="宋体"/>
          <w:b/>
          <w:color w:val="auto"/>
          <w:sz w:val="24"/>
          <w:szCs w:val="24"/>
          <w:highlight w:val="yellow"/>
        </w:rPr>
        <w:t>→商务</w:t>
      </w:r>
      <w:r>
        <w:rPr>
          <w:rFonts w:hint="eastAsia" w:ascii="宋体" w:hAnsi="宋体" w:eastAsia="宋体" w:cs="宋体"/>
          <w:b/>
          <w:color w:val="auto"/>
          <w:sz w:val="24"/>
          <w:szCs w:val="24"/>
          <w:highlight w:val="yellow"/>
          <w:lang w:val="en-US" w:eastAsia="zh-CN"/>
        </w:rPr>
        <w:t>标评审</w:t>
      </w:r>
      <w:r>
        <w:rPr>
          <w:rFonts w:hint="eastAsia" w:ascii="宋体" w:hAnsi="宋体" w:eastAsia="宋体" w:cs="宋体"/>
          <w:b/>
          <w:color w:val="auto"/>
          <w:sz w:val="24"/>
          <w:szCs w:val="24"/>
          <w:highlight w:val="yellow"/>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9"/>
      <w:bookmarkStart w:id="24" w:name="OLE_LINK27"/>
      <w:bookmarkStart w:id="25" w:name="OLE_LINK25"/>
      <w:bookmarkStart w:id="26" w:name="OLE_LINK26"/>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highlight w:val="red"/>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highlight w:val="red"/>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1.11 </w:t>
      </w:r>
      <w:r>
        <w:rPr>
          <w:rFonts w:hint="eastAsia" w:ascii="宋体" w:hAnsi="宋体" w:eastAsia="宋体" w:cs="宋体"/>
          <w:color w:val="000000"/>
          <w:sz w:val="24"/>
          <w:szCs w:val="24"/>
          <w:highlight w:val="red"/>
          <w:lang w:val="en-US" w:eastAsia="zh-CN"/>
        </w:rPr>
        <w:t>2019年1月1日至今，</w:t>
      </w:r>
      <w:r>
        <w:rPr>
          <w:rFonts w:hint="eastAsia" w:ascii="宋体" w:hAnsi="宋体" w:eastAsia="宋体" w:cs="宋体"/>
          <w:color w:val="000000"/>
          <w:sz w:val="24"/>
          <w:szCs w:val="24"/>
          <w:lang w:val="en-US" w:eastAsia="zh-CN"/>
        </w:rPr>
        <w:t>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pStyle w:val="2"/>
        <w:spacing w:line="360" w:lineRule="auto"/>
        <w:ind w:firstLine="480"/>
        <w:rPr>
          <w:rFonts w:hint="default" w:eastAsia="宋体"/>
          <w:highlight w:val="red"/>
          <w:lang w:val="en-US" w:eastAsia="zh-CN"/>
        </w:rPr>
      </w:pPr>
      <w:r>
        <w:rPr>
          <w:rFonts w:hint="eastAsia" w:ascii="宋体" w:hAnsi="宋体" w:eastAsia="宋体" w:cs="宋体"/>
          <w:color w:val="000000"/>
          <w:kern w:val="2"/>
          <w:sz w:val="24"/>
          <w:szCs w:val="24"/>
          <w:highlight w:val="red"/>
          <w:lang w:val="en-US" w:eastAsia="zh-CN" w:bidi="ar-SA"/>
        </w:rPr>
        <w:t>2.2</w:t>
      </w:r>
      <w:r>
        <w:rPr>
          <w:rFonts w:hint="eastAsia" w:hAnsi="宋体" w:eastAsia="宋体" w:cs="宋体"/>
          <w:color w:val="000000"/>
          <w:kern w:val="2"/>
          <w:sz w:val="24"/>
          <w:szCs w:val="24"/>
          <w:highlight w:val="red"/>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red"/>
          <w:lang w:val="en-US" w:eastAsia="zh-CN" w:bidi="ar-SA"/>
        </w:rPr>
        <w:t>注意：</w:t>
      </w:r>
      <w:r>
        <w:rPr>
          <w:rFonts w:hint="eastAsia" w:hAnsi="宋体" w:eastAsia="宋体" w:cs="宋体"/>
          <w:b/>
          <w:color w:val="000000"/>
          <w:kern w:val="2"/>
          <w:sz w:val="24"/>
          <w:szCs w:val="24"/>
          <w:highlight w:val="red"/>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red"/>
        </w:rPr>
        <w:t>2019年1月1日</w:t>
      </w:r>
      <w:r>
        <w:rPr>
          <w:rFonts w:hint="eastAsia" w:ascii="宋体" w:hAnsi="宋体" w:eastAsia="宋体" w:cs="宋体"/>
          <w:color w:val="000000"/>
          <w:sz w:val="24"/>
          <w:szCs w:val="24"/>
        </w:rPr>
        <w:t>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模态试验室测试设备</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red"/>
        </w:rPr>
        <w:t>2023</w:t>
      </w:r>
      <w:r>
        <w:rPr>
          <w:rFonts w:hint="eastAsia" w:ascii="宋体" w:hAnsi="宋体" w:eastAsia="宋体" w:cs="Times New Roman"/>
          <w:color w:val="000000"/>
          <w:sz w:val="28"/>
          <w:szCs w:val="28"/>
          <w:highlight w:val="red"/>
        </w:rPr>
        <w:t>年</w:t>
      </w:r>
      <w:r>
        <w:rPr>
          <w:rFonts w:ascii="Calibri" w:hAnsi="Calibri" w:eastAsia="宋体" w:cs="Times New Roman"/>
          <w:color w:val="000000"/>
          <w:sz w:val="28"/>
          <w:szCs w:val="28"/>
          <w:highlight w:val="red"/>
        </w:rPr>
        <w:t xml:space="preserve"> </w:t>
      </w:r>
      <w:r>
        <w:rPr>
          <w:rFonts w:hint="eastAsia" w:ascii="Calibri" w:hAnsi="Calibri" w:eastAsia="宋体" w:cs="Times New Roman"/>
          <w:color w:val="000000"/>
          <w:sz w:val="28"/>
          <w:szCs w:val="28"/>
          <w:highlight w:val="red"/>
          <w:lang w:val="en-US" w:eastAsia="zh-CN"/>
        </w:rPr>
        <w:t>7</w:t>
      </w:r>
      <w:r>
        <w:rPr>
          <w:rFonts w:hint="eastAsia" w:ascii="Calibri" w:hAnsi="Calibri" w:eastAsia="宋体" w:cs="Times New Roman"/>
          <w:color w:val="000000"/>
          <w:sz w:val="28"/>
          <w:szCs w:val="28"/>
          <w:highlight w:val="red"/>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NumType w:fmt="decimal"/>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模态试验室测试设备招标项目</w:t>
      </w:r>
    </w:p>
    <w:p>
      <w:pPr>
        <w:spacing w:line="360" w:lineRule="auto"/>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yellow"/>
          <w:u w:val="single"/>
        </w:rPr>
        <w:t>济南莱芜区口镇重汽工业园</w:t>
      </w:r>
    </w:p>
    <w:p>
      <w:pPr>
        <w:spacing w:line="360" w:lineRule="auto"/>
        <w:outlineLvl w:val="3"/>
        <w:rPr>
          <w:rFonts w:hint="eastAsia" w:hAnsi="宋体" w:eastAsia="宋体" w:cs="宋体"/>
          <w:color w:val="000000"/>
          <w:sz w:val="24"/>
          <w:szCs w:val="24"/>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yellow"/>
          <w:u w:val="single"/>
          <w:lang w:val="en-US" w:eastAsia="zh-CN"/>
        </w:rPr>
        <w:t>济南市莱芜区口镇重汽新能源产品试验检测中心</w:t>
      </w:r>
      <w:r>
        <w:rPr>
          <w:rFonts w:hint="eastAsia" w:hAnsi="宋体" w:eastAsia="宋体" w:cs="宋体"/>
          <w:color w:val="000000"/>
          <w:sz w:val="24"/>
          <w:szCs w:val="24"/>
        </w:rPr>
        <w:t>。</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300</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2400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1</w:t>
      </w:r>
      <w:r>
        <w:rPr>
          <w:rFonts w:hint="eastAsia" w:ascii="宋体" w:hAnsi="宋体" w:eastAsia="宋体" w:cs="宋体"/>
          <w:bCs/>
          <w:sz w:val="24"/>
          <w:szCs w:val="24"/>
        </w:rPr>
        <w:t>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1.电力：</w:t>
      </w:r>
      <w:r>
        <w:rPr>
          <w:rFonts w:ascii="宋体" w:hAnsi="宋体" w:eastAsia="宋体" w:cs="宋体"/>
          <w:bCs/>
          <w:sz w:val="24"/>
          <w:szCs w:val="24"/>
        </w:rPr>
        <w:t>AC220V@50Hz电源供电，同时提供DC11～30V车载供电</w:t>
      </w:r>
      <w:r>
        <w:rPr>
          <w:rFonts w:hint="eastAsia" w:hAnsi="宋体" w:eastAsia="宋体" w:cs="宋体"/>
          <w:bCs/>
          <w:sz w:val="24"/>
          <w:szCs w:val="24"/>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sz w:val="24"/>
          <w:szCs w:val="24"/>
          <w:highlight w:val="none"/>
          <w:lang w:val="en-US" w:eastAsia="zh-CN"/>
        </w:rPr>
        <w:t>模态试验室测试设备</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lang w:val="en-US" w:eastAsia="zh-CN"/>
        </w:rPr>
        <w:t>3</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5714" w:type="pct"/>
        <w:jc w:val="center"/>
        <w:tblLayout w:type="fixed"/>
        <w:tblCellMar>
          <w:top w:w="0" w:type="dxa"/>
          <w:left w:w="0" w:type="dxa"/>
          <w:bottom w:w="0" w:type="dxa"/>
          <w:right w:w="0" w:type="dxa"/>
        </w:tblCellMar>
      </w:tblPr>
      <w:tblGrid>
        <w:gridCol w:w="458"/>
        <w:gridCol w:w="2665"/>
        <w:gridCol w:w="2276"/>
        <w:gridCol w:w="713"/>
        <w:gridCol w:w="710"/>
        <w:gridCol w:w="3555"/>
      </w:tblGrid>
      <w:tr>
        <w:tblPrEx>
          <w:tblCellMar>
            <w:top w:w="0" w:type="dxa"/>
            <w:left w:w="0" w:type="dxa"/>
            <w:bottom w:w="0" w:type="dxa"/>
            <w:right w:w="0" w:type="dxa"/>
          </w:tblCellMar>
        </w:tblPrEx>
        <w:trPr>
          <w:trHeight w:val="397" w:hRule="atLeast"/>
          <w:jc w:val="center"/>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8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名称</w:t>
            </w:r>
          </w:p>
        </w:tc>
        <w:tc>
          <w:tcPr>
            <w:tcW w:w="109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型号规格</w:t>
            </w:r>
          </w:p>
        </w:tc>
        <w:tc>
          <w:tcPr>
            <w:tcW w:w="34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数量</w:t>
            </w:r>
          </w:p>
        </w:tc>
        <w:tc>
          <w:tcPr>
            <w:tcW w:w="34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71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实现功能</w:t>
            </w:r>
          </w:p>
        </w:tc>
      </w:tr>
      <w:tr>
        <w:tblPrEx>
          <w:tblCellMar>
            <w:top w:w="0" w:type="dxa"/>
            <w:left w:w="0" w:type="dxa"/>
            <w:bottom w:w="0" w:type="dxa"/>
            <w:right w:w="0" w:type="dxa"/>
          </w:tblCellMar>
        </w:tblPrEx>
        <w:trPr>
          <w:trHeight w:val="397" w:hRule="atLeast"/>
          <w:jc w:val="center"/>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28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数采主机</w:t>
            </w:r>
          </w:p>
        </w:tc>
        <w:tc>
          <w:tcPr>
            <w:tcW w:w="109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详见第二章具体要求</w:t>
            </w:r>
          </w:p>
        </w:tc>
        <w:tc>
          <w:tcPr>
            <w:tcW w:w="34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4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套</w:t>
            </w:r>
          </w:p>
        </w:tc>
        <w:tc>
          <w:tcPr>
            <w:tcW w:w="171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采集传感器等附件的信号</w:t>
            </w:r>
          </w:p>
        </w:tc>
      </w:tr>
      <w:tr>
        <w:tblPrEx>
          <w:tblCellMar>
            <w:top w:w="0" w:type="dxa"/>
            <w:left w:w="0" w:type="dxa"/>
            <w:bottom w:w="0" w:type="dxa"/>
            <w:right w:w="0" w:type="dxa"/>
          </w:tblCellMar>
        </w:tblPrEx>
        <w:trPr>
          <w:trHeight w:val="397" w:hRule="atLeast"/>
          <w:jc w:val="center"/>
        </w:trPr>
        <w:tc>
          <w:tcPr>
            <w:tcW w:w="22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128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软件系统（按软件功能分项）</w:t>
            </w:r>
          </w:p>
        </w:tc>
        <w:tc>
          <w:tcPr>
            <w:tcW w:w="109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详见第二章具体要求</w:t>
            </w:r>
          </w:p>
        </w:tc>
        <w:tc>
          <w:tcPr>
            <w:tcW w:w="34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4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套</w:t>
            </w:r>
          </w:p>
        </w:tc>
        <w:tc>
          <w:tcPr>
            <w:tcW w:w="171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进行数据的分析处理</w:t>
            </w:r>
          </w:p>
        </w:tc>
      </w:tr>
      <w:tr>
        <w:tblPrEx>
          <w:tblCellMar>
            <w:top w:w="0" w:type="dxa"/>
            <w:left w:w="0" w:type="dxa"/>
            <w:bottom w:w="0" w:type="dxa"/>
            <w:right w:w="0" w:type="dxa"/>
          </w:tblCellMar>
        </w:tblPrEx>
        <w:trPr>
          <w:trHeight w:val="397" w:hRule="atLeast"/>
          <w:jc w:val="center"/>
        </w:trPr>
        <w:tc>
          <w:tcPr>
            <w:tcW w:w="22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128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传感器等附件</w:t>
            </w:r>
          </w:p>
        </w:tc>
        <w:tc>
          <w:tcPr>
            <w:tcW w:w="109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详见第二章具体要求</w:t>
            </w:r>
          </w:p>
        </w:tc>
        <w:tc>
          <w:tcPr>
            <w:tcW w:w="34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4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套</w:t>
            </w:r>
          </w:p>
        </w:tc>
        <w:tc>
          <w:tcPr>
            <w:tcW w:w="171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将被测量转为电信号</w:t>
            </w:r>
          </w:p>
        </w:tc>
      </w:tr>
    </w:tbl>
    <w:p>
      <w:pPr>
        <w:spacing w:line="360" w:lineRule="auto"/>
        <w:rPr>
          <w:rFonts w:hint="eastAsia" w:ascii="宋体" w:hAnsi="宋体" w:eastAsia="宋体" w:cs="宋体"/>
          <w:bCs/>
          <w:sz w:val="24"/>
          <w:szCs w:val="24"/>
        </w:rPr>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highlight w:val="red"/>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br w:type="page"/>
      </w:r>
    </w:p>
    <w:p>
      <w:pPr>
        <w:keepNext/>
        <w:keepLines/>
        <w:spacing w:before="120" w:after="120" w:line="480" w:lineRule="exact"/>
        <w:jc w:val="center"/>
        <w:outlineLvl w:val="1"/>
        <w:rPr>
          <w:rFonts w:ascii="宋体" w:hAnsi="宋体" w:eastAsia="宋体" w:cs="Times New Roman"/>
          <w:b/>
          <w:bCs/>
          <w:kern w:val="44"/>
          <w:sz w:val="28"/>
          <w:szCs w:val="28"/>
        </w:rPr>
      </w:pPr>
      <w:bookmarkStart w:id="35" w:name="_Toc169605880"/>
      <w:bookmarkStart w:id="36" w:name="_Toc169605881"/>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（注：带★的项目为主要技术参数，投标方其中一项不能满足将导致其被淘汰）</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.投标人认为所供货物必需由招标人配备、解决或提供的其它要求，如各类设备固定支架、接口、线缆等，均应在投标文件“技术偏离”中予以充分说明。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w:t>
      </w:r>
      <w:r>
        <w:rPr>
          <w:rFonts w:hint="eastAsia" w:ascii="宋体" w:hAnsi="宋体" w:eastAsia="宋体" w:cs="Times New Roman"/>
          <w:sz w:val="24"/>
          <w:szCs w:val="24"/>
        </w:rPr>
        <w:t>该套设备能够完成以下试验内容：扭振测试与分析、传递路径分析、整车及部件模态试验等。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w:t>
      </w:r>
      <w:r>
        <w:rPr>
          <w:rFonts w:hint="eastAsia" w:ascii="宋体" w:hAnsi="宋体" w:eastAsia="宋体" w:cs="Times New Roman"/>
          <w:sz w:val="24"/>
          <w:szCs w:val="24"/>
        </w:rPr>
        <w:t>★投标方须在投标文件“技术偏离”中明确做出说明；为避免投标方在招标评审时漏项，技术参数等超出本招标文件要求的，需在投标文件“技术偏离”中特别注明；投标方在报价文件中所提供的设备清单必须包括所有设备和必要的零部件（若需额外设备配合，需在投标文件中提出额外的配合设备清单）；投标方须在合同中做出如下承诺：在该系统须包括的试验范围内，招标方不再需要额外购买设备清单以外的任何其它设备；如果进行试验时发现仍有缺项，中标方须立即配齐缺项，招标方将不再为此承担任何费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w:t>
      </w:r>
      <w:r>
        <w:rPr>
          <w:rFonts w:hint="eastAsia" w:ascii="宋体" w:hAnsi="宋体" w:eastAsia="宋体" w:cs="Times New Roman"/>
          <w:sz w:val="24"/>
          <w:szCs w:val="24"/>
        </w:rPr>
        <w:t>投标方需采用国际上成熟的技术型式给出适合招标方试验项目的基本方案、所能达到的技术指标及其基本措施。投标方对系统的任何变更必须通知招标方，并得到招标方同意，合同签订后的所有技术变更增加的费用由投标方自己承担，并且不能影响系统的技术性能。</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w:t>
      </w:r>
      <w:r>
        <w:rPr>
          <w:rFonts w:ascii="宋体" w:hAnsi="宋体" w:eastAsia="宋体" w:cs="Times New Roman"/>
          <w:sz w:val="24"/>
          <w:szCs w:val="24"/>
        </w:rPr>
        <w:t>.</w:t>
      </w:r>
      <w:r>
        <w:rPr>
          <w:rFonts w:hint="eastAsia" w:ascii="宋体" w:hAnsi="宋体" w:eastAsia="宋体" w:cs="Times New Roman"/>
          <w:sz w:val="24"/>
          <w:szCs w:val="24"/>
        </w:rPr>
        <w:t>所有设备显示数据及数据处理结果采用国际单位制（</w:t>
      </w:r>
      <w:r>
        <w:rPr>
          <w:rFonts w:ascii="宋体" w:hAnsi="宋体" w:eastAsia="宋体" w:cs="Times New Roman"/>
          <w:sz w:val="24"/>
          <w:szCs w:val="24"/>
        </w:rPr>
        <w:t>SI），设备的标定和校准满足国内和国际相关计量标准要求。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w:t>
      </w:r>
      <w:r>
        <w:rPr>
          <w:rFonts w:ascii="宋体" w:hAnsi="宋体" w:eastAsia="宋体" w:cs="Times New Roman"/>
          <w:sz w:val="24"/>
          <w:szCs w:val="24"/>
        </w:rPr>
        <w:t>.</w:t>
      </w:r>
      <w:r>
        <w:rPr>
          <w:rFonts w:hint="eastAsia" w:ascii="宋体" w:hAnsi="宋体" w:eastAsia="宋体" w:cs="Times New Roman"/>
          <w:sz w:val="24"/>
          <w:szCs w:val="24"/>
        </w:rPr>
        <w:t>该套设备所有材料、设备组件、设备配件及耗材必须符合国际环保要求。所有的材料均需使用环保材料，设备使用过程中，不得散发有害气体及可能导致使用人员感觉不适的异味。</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w:t>
      </w:r>
      <w:r>
        <w:rPr>
          <w:rFonts w:ascii="宋体" w:hAnsi="宋体" w:eastAsia="宋体" w:cs="Times New Roman"/>
          <w:sz w:val="24"/>
          <w:szCs w:val="24"/>
        </w:rPr>
        <w:t>.</w:t>
      </w:r>
      <w:r>
        <w:rPr>
          <w:rFonts w:hint="eastAsia" w:ascii="宋体" w:hAnsi="宋体" w:eastAsia="宋体" w:cs="Times New Roman"/>
          <w:sz w:val="24"/>
          <w:szCs w:val="24"/>
        </w:rPr>
        <w:t>★系统全部为欧美原装进口，但应严格执行联合国和其他多边条约机制等国际相关的出口管制和经济制裁法律法规。通过</w:t>
      </w:r>
      <w:r>
        <w:rPr>
          <w:rFonts w:ascii="宋体" w:hAnsi="宋体" w:eastAsia="宋体" w:cs="Times New Roman"/>
          <w:sz w:val="24"/>
          <w:szCs w:val="24"/>
        </w:rPr>
        <w:t>ISO9001认证，所有数据采集硬件及测试分析软件来自同一制造商，以保证整个系统的兼容性、可靠性、可升级/扩展性及各试验室测试系统间的兼容性。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w:t>
      </w:r>
      <w:r>
        <w:rPr>
          <w:rFonts w:ascii="宋体" w:hAnsi="宋体" w:eastAsia="宋体" w:cs="Times New Roman"/>
          <w:sz w:val="24"/>
          <w:szCs w:val="24"/>
        </w:rPr>
        <w:t>.</w:t>
      </w:r>
      <w:r>
        <w:rPr>
          <w:rFonts w:hint="eastAsia" w:ascii="宋体" w:hAnsi="宋体" w:eastAsia="宋体" w:cs="Times New Roman"/>
          <w:sz w:val="24"/>
          <w:szCs w:val="24"/>
        </w:rPr>
        <w:t>该套设备须具有自我保护系统，具备防止突发断电而损坏设备的能力；设备须有安全过载保护功能，如过电流、过电压、过热、冲击振动等。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w:t>
      </w:r>
      <w:r>
        <w:rPr>
          <w:rFonts w:ascii="宋体" w:hAnsi="宋体" w:eastAsia="宋体" w:cs="Times New Roman"/>
          <w:sz w:val="24"/>
          <w:szCs w:val="24"/>
        </w:rPr>
        <w:t>.</w:t>
      </w:r>
      <w:r>
        <w:rPr>
          <w:rFonts w:hint="eastAsia" w:ascii="宋体" w:hAnsi="宋体" w:eastAsia="宋体" w:cs="Times New Roman"/>
          <w:sz w:val="24"/>
          <w:szCs w:val="24"/>
        </w:rPr>
        <w:t>所有元件必须使用经过市场验证的成熟、稳定产品，但不能选用即将淘汰型号，至少保证</w:t>
      </w:r>
      <w:r>
        <w:rPr>
          <w:rFonts w:ascii="宋体" w:hAnsi="宋体" w:eastAsia="宋体" w:cs="Times New Roman"/>
          <w:sz w:val="24"/>
          <w:szCs w:val="24"/>
        </w:rPr>
        <w:t>10年内的备件可得性。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w:t>
      </w:r>
      <w:r>
        <w:rPr>
          <w:rFonts w:hint="eastAsia" w:ascii="宋体" w:hAnsi="宋体" w:eastAsia="宋体" w:cs="Times New Roman"/>
          <w:sz w:val="24"/>
          <w:szCs w:val="24"/>
        </w:rPr>
        <w:t>★投标方在投标时须提供与技术规格书条款对应的详细方案以及设备的供货范围清单（包括设备清单、附件及配套清单、易损件清单等）（包括但不限于生产商及设备型号），并提供分项报价。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0.</w:t>
      </w:r>
      <w:r>
        <w:rPr>
          <w:rFonts w:hint="eastAsia" w:ascii="宋体" w:hAnsi="宋体" w:eastAsia="宋体" w:cs="Times New Roman"/>
          <w:sz w:val="24"/>
          <w:szCs w:val="24"/>
        </w:rPr>
        <w:t>投标方须提供项目所需完整的备件清单（五年备件清单），包括名称、功能描述、数量、单价和总价等信息，及价格在五年内的变化幅度清单。</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1.</w:t>
      </w:r>
      <w:r>
        <w:rPr>
          <w:rFonts w:hint="eastAsia" w:ascii="宋体" w:hAnsi="宋体" w:eastAsia="宋体" w:cs="Times New Roman"/>
          <w:sz w:val="24"/>
          <w:szCs w:val="24"/>
        </w:rPr>
        <w:t>终验收前，本项目所涉及的数采主机及各种传感器都需要提供第三方机构检测报告，保证测量范围及精度指标满足招标技术要求。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w:t>
      </w:r>
      <w:r>
        <w:rPr>
          <w:rFonts w:hint="eastAsia" w:ascii="宋体" w:hAnsi="宋体" w:eastAsia="宋体" w:cs="Times New Roman"/>
          <w:sz w:val="24"/>
          <w:szCs w:val="24"/>
        </w:rPr>
        <w:t>如投标方投标产品为其他公司产品，应提供代理授权证明材料。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3.</w:t>
      </w:r>
      <w:r>
        <w:rPr>
          <w:rFonts w:hint="eastAsia" w:ascii="宋体" w:hAnsi="宋体" w:eastAsia="宋体" w:cs="Times New Roman"/>
          <w:sz w:val="24"/>
          <w:szCs w:val="24"/>
        </w:rPr>
        <w:t>★本次投标禁止联合投标。</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4.</w:t>
      </w:r>
      <w:r>
        <w:rPr>
          <w:rFonts w:hint="eastAsia" w:ascii="宋体" w:hAnsi="宋体" w:eastAsia="宋体" w:cs="Times New Roman"/>
          <w:sz w:val="24"/>
          <w:szCs w:val="24"/>
        </w:rPr>
        <w:t>投标文件须以中文为主，不能提供中英文以外其他语言资料。投标技术资料如果翻译出现差异，以中文为准。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5.</w:t>
      </w:r>
      <w:r>
        <w:rPr>
          <w:rFonts w:hint="eastAsia" w:ascii="宋体" w:hAnsi="宋体" w:eastAsia="宋体" w:cs="Times New Roman"/>
          <w:sz w:val="24"/>
          <w:szCs w:val="24"/>
        </w:rPr>
        <w:t>★对于各投标方的技术响应，如招标方对具体条款存疑，招标方有权要求进行实测验证。投标方在参与本项目时需提前做好测试准备，一旦收到招标方提出要求，需在</w:t>
      </w:r>
      <w:r>
        <w:rPr>
          <w:rFonts w:ascii="宋体" w:hAnsi="宋体" w:eastAsia="宋体" w:cs="Times New Roman"/>
          <w:sz w:val="24"/>
          <w:szCs w:val="24"/>
        </w:rPr>
        <w:t>3日内于招标方指定地点完成现场验证，无法完成验证则判定不具备响应能力甚至判定虚假应标。</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6.</w:t>
      </w:r>
      <w:r>
        <w:rPr>
          <w:rFonts w:hint="eastAsia" w:ascii="宋体" w:hAnsi="宋体" w:eastAsia="宋体" w:cs="Times New Roman"/>
          <w:sz w:val="24"/>
          <w:szCs w:val="24"/>
        </w:rPr>
        <w:t>招标方对该技术要求具有最终解释权。</w:t>
      </w:r>
    </w:p>
    <w:p>
      <w:pPr>
        <w:pStyle w:val="112"/>
        <w:spacing w:line="360" w:lineRule="auto"/>
        <w:ind w:firstLine="482" w:firstLineChars="200"/>
        <w:outlineLvl w:val="2"/>
        <w:rPr>
          <w:rFonts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rPr>
          <w:rFonts w:ascii="宋体" w:hAnsi="宋体" w:eastAsia="宋体"/>
          <w:b/>
          <w:bCs/>
          <w:sz w:val="24"/>
          <w:szCs w:val="24"/>
        </w:rPr>
      </w:pPr>
      <w:r>
        <w:rPr>
          <w:rFonts w:ascii="宋体" w:hAnsi="宋体" w:eastAsia="宋体"/>
          <w:b/>
          <w:bCs/>
          <w:sz w:val="24"/>
          <w:szCs w:val="24"/>
        </w:rPr>
        <w:t>1.</w:t>
      </w:r>
      <w:r>
        <w:rPr>
          <w:rFonts w:hint="eastAsia" w:ascii="宋体" w:hAnsi="宋体" w:eastAsia="宋体"/>
          <w:b/>
          <w:bCs/>
          <w:sz w:val="24"/>
          <w:szCs w:val="24"/>
        </w:rPr>
        <w:t>数采主机、</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1.1 </w:t>
      </w:r>
      <w:r>
        <w:rPr>
          <w:rFonts w:hint="eastAsia" w:hAnsi="宋体" w:eastAsia="宋体" w:cs="宋体"/>
          <w:b/>
          <w:bCs/>
          <w:sz w:val="24"/>
          <w:szCs w:val="24"/>
        </w:rPr>
        <w:t>总体配置</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ab/>
      </w:r>
      <w:r>
        <w:rPr>
          <w:rFonts w:hint="eastAsia" w:hAnsi="宋体" w:eastAsia="宋体" w:cs="宋体"/>
          <w:sz w:val="24"/>
          <w:szCs w:val="24"/>
        </w:rPr>
        <w:t>品牌应为S</w:t>
      </w:r>
      <w:r>
        <w:rPr>
          <w:rFonts w:hAnsi="宋体" w:eastAsia="宋体" w:cs="宋体"/>
          <w:sz w:val="24"/>
          <w:szCs w:val="24"/>
        </w:rPr>
        <w:t>IEMENS</w:t>
      </w:r>
      <w:r>
        <w:rPr>
          <w:rFonts w:hint="eastAsia" w:hAnsi="宋体" w:eastAsia="宋体" w:cs="宋体"/>
          <w:sz w:val="24"/>
          <w:szCs w:val="24"/>
        </w:rPr>
        <w:t>、H</w:t>
      </w:r>
      <w:r>
        <w:rPr>
          <w:rFonts w:hAnsi="宋体" w:eastAsia="宋体" w:cs="宋体"/>
          <w:sz w:val="24"/>
          <w:szCs w:val="24"/>
        </w:rPr>
        <w:t>BK</w:t>
      </w:r>
      <w:r>
        <w:rPr>
          <w:rFonts w:hint="eastAsia" w:hAnsi="宋体" w:eastAsia="宋体" w:cs="宋体"/>
          <w:sz w:val="24"/>
          <w:szCs w:val="24"/>
        </w:rPr>
        <w:t>、B</w:t>
      </w:r>
      <w:r>
        <w:rPr>
          <w:rFonts w:hAnsi="宋体" w:eastAsia="宋体" w:cs="宋体"/>
          <w:sz w:val="24"/>
          <w:szCs w:val="24"/>
        </w:rPr>
        <w:t>BM</w:t>
      </w:r>
      <w:r>
        <w:rPr>
          <w:rFonts w:hint="eastAsia" w:hAnsi="宋体" w:eastAsia="宋体" w:cs="宋体"/>
          <w:sz w:val="24"/>
          <w:szCs w:val="24"/>
        </w:rPr>
        <w:t>、H</w:t>
      </w:r>
      <w:r>
        <w:rPr>
          <w:rFonts w:hAnsi="宋体" w:eastAsia="宋体" w:cs="宋体"/>
          <w:sz w:val="24"/>
          <w:szCs w:val="24"/>
        </w:rPr>
        <w:t>EAD</w:t>
      </w:r>
      <w:r>
        <w:rPr>
          <w:rFonts w:hint="eastAsia" w:hAnsi="宋体" w:eastAsia="宋体" w:cs="宋体"/>
          <w:sz w:val="24"/>
          <w:szCs w:val="24"/>
        </w:rPr>
        <w:t>其中之一；</w:t>
      </w:r>
    </w:p>
    <w:p>
      <w:pPr>
        <w:pStyle w:val="2"/>
        <w:spacing w:line="360" w:lineRule="auto"/>
        <w:ind w:left="360" w:firstLine="480" w:firstLineChars="200"/>
        <w:rPr>
          <w:rFonts w:hAnsi="宋体" w:eastAsia="宋体" w:cs="宋体"/>
          <w:sz w:val="24"/>
          <w:szCs w:val="24"/>
        </w:rPr>
      </w:pPr>
      <w:r>
        <w:rPr>
          <w:rFonts w:hAnsi="宋体" w:eastAsia="宋体" w:cs="宋体"/>
          <w:sz w:val="24"/>
          <w:szCs w:val="24"/>
        </w:rPr>
        <w:t>ICP/模拟电压输入通道总数不少于96个；</w:t>
      </w:r>
    </w:p>
    <w:p>
      <w:pPr>
        <w:pStyle w:val="2"/>
        <w:spacing w:line="360" w:lineRule="auto"/>
        <w:ind w:firstLine="480" w:firstLineChars="200"/>
        <w:rPr>
          <w:rFonts w:hAnsi="宋体" w:eastAsia="宋体" w:cs="宋体"/>
          <w:sz w:val="24"/>
          <w:szCs w:val="24"/>
        </w:rPr>
      </w:pPr>
      <w:r>
        <w:rPr>
          <w:rFonts w:hAnsi="宋体" w:eastAsia="宋体" w:cs="宋体"/>
          <w:sz w:val="24"/>
          <w:szCs w:val="24"/>
        </w:rPr>
        <w:t></w:t>
      </w:r>
      <w:r>
        <w:rPr>
          <w:rFonts w:hAnsi="宋体" w:eastAsia="宋体" w:cs="宋体"/>
          <w:sz w:val="24"/>
          <w:szCs w:val="24"/>
        </w:rPr>
        <w:tab/>
      </w:r>
      <w:r>
        <w:rPr>
          <w:rFonts w:hAnsi="宋体" w:eastAsia="宋体" w:cs="宋体"/>
          <w:sz w:val="24"/>
          <w:szCs w:val="24"/>
        </w:rPr>
        <w:t>至少包含转速通道1个，该系统应具备4路信号同步输出能力</w:t>
      </w:r>
      <w:r>
        <w:rPr>
          <w:rFonts w:hint="eastAsia" w:hAnsi="宋体" w:eastAsia="宋体" w:cs="宋体"/>
          <w:sz w:val="24"/>
          <w:szCs w:val="24"/>
        </w:rPr>
        <w:t>；</w:t>
      </w:r>
    </w:p>
    <w:p>
      <w:pPr>
        <w:pStyle w:val="2"/>
        <w:spacing w:line="360" w:lineRule="auto"/>
        <w:ind w:left="360" w:firstLine="480" w:firstLineChars="200"/>
        <w:rPr>
          <w:rFonts w:hAnsi="宋体" w:eastAsia="宋体" w:cs="宋体"/>
          <w:sz w:val="24"/>
          <w:szCs w:val="24"/>
        </w:rPr>
      </w:pPr>
      <w:r>
        <w:rPr>
          <w:rFonts w:hint="eastAsia" w:hAnsi="宋体" w:eastAsia="宋体" w:cs="宋体"/>
          <w:sz w:val="24"/>
          <w:szCs w:val="24"/>
        </w:rPr>
        <w:t>配备相应尺寸的仪器防护箱。</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1.2 </w:t>
      </w:r>
      <w:r>
        <w:rPr>
          <w:rFonts w:hint="eastAsia" w:hAnsi="宋体" w:eastAsia="宋体" w:cs="宋体"/>
          <w:b/>
          <w:bCs/>
          <w:sz w:val="24"/>
          <w:szCs w:val="24"/>
        </w:rPr>
        <w:t>主机箱</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数据传送：以太网计算机接口，保证所用的通道以最大采样率工作；</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满足电磁兼容标准：EN61010 &amp; EN60950, EN50081-1, EN50082-1；</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支持多机箱同步并行采集；</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噪声：主机工作状态本底噪声小于20dB（A）。</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1.3 ICP/模拟电压输入通道</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★每通道并行</w:t>
      </w:r>
      <w:r>
        <w:rPr>
          <w:rFonts w:hint="eastAsia" w:hAnsi="宋体" w:eastAsia="宋体" w:cs="宋体"/>
          <w:sz w:val="24"/>
          <w:szCs w:val="24"/>
        </w:rPr>
        <w:t>，多通道同时工作时不同通道之间不能互相干扰</w:t>
      </w:r>
      <w:r>
        <w:rPr>
          <w:rFonts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w:t>
      </w:r>
      <w:r>
        <w:rPr>
          <w:rFonts w:hint="eastAsia" w:hAnsi="宋体" w:eastAsia="宋体" w:cs="宋体"/>
          <w:sz w:val="24"/>
          <w:szCs w:val="24"/>
        </w:rPr>
        <w:t>通道</w:t>
      </w:r>
      <w:r>
        <w:rPr>
          <w:rFonts w:hAnsi="宋体" w:eastAsia="宋体" w:cs="宋体"/>
          <w:sz w:val="24"/>
          <w:szCs w:val="24"/>
        </w:rPr>
        <w:t>最大采样率</w:t>
      </w:r>
      <w:r>
        <w:rPr>
          <w:rFonts w:hint="eastAsia" w:hAnsi="宋体" w:eastAsia="宋体" w:cs="宋体"/>
          <w:sz w:val="24"/>
          <w:szCs w:val="24"/>
        </w:rPr>
        <w:t>不低于5</w:t>
      </w:r>
      <w:r>
        <w:rPr>
          <w:rFonts w:hAnsi="宋体" w:eastAsia="宋体" w:cs="宋体"/>
          <w:sz w:val="24"/>
          <w:szCs w:val="24"/>
        </w:rPr>
        <w:t>0</w:t>
      </w:r>
      <w:r>
        <w:rPr>
          <w:rFonts w:hint="eastAsia" w:hAnsi="宋体" w:eastAsia="宋体" w:cs="宋体"/>
          <w:sz w:val="24"/>
          <w:szCs w:val="24"/>
        </w:rPr>
        <w:t>k</w:t>
      </w:r>
      <w:r>
        <w:rPr>
          <w:rFonts w:hAnsi="宋体" w:eastAsia="宋体" w:cs="宋体"/>
          <w:sz w:val="24"/>
          <w:szCs w:val="24"/>
        </w:rPr>
        <w:t>H</w:t>
      </w:r>
      <w:r>
        <w:rPr>
          <w:rFonts w:hint="eastAsia" w:hAnsi="宋体" w:eastAsia="宋体" w:cs="宋体"/>
          <w:sz w:val="24"/>
          <w:szCs w:val="24"/>
        </w:rPr>
        <w:t>z，保证满通道时各个通道能以最大采样率工作</w:t>
      </w:r>
      <w:r>
        <w:rPr>
          <w:rFonts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AD精度：不低于24位；</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耦合方式需包含AC、DC及ICP；</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电压输入范围：±316mV～±10V多挡位可调；</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支持TEDS功能；</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每通道均有模拟和数字抗混淆滤波器和信号增益放大；</w:t>
      </w:r>
    </w:p>
    <w:p>
      <w:pPr>
        <w:pStyle w:val="2"/>
        <w:spacing w:line="360" w:lineRule="auto"/>
        <w:ind w:firstLine="480" w:firstLineChars="200"/>
        <w:rPr>
          <w:rFonts w:hAnsi="宋体" w:eastAsia="宋体" w:cs="宋体"/>
          <w:sz w:val="24"/>
          <w:szCs w:val="24"/>
        </w:rPr>
      </w:pPr>
      <w:r>
        <w:rPr>
          <w:rFonts w:hAnsi="宋体" w:eastAsia="宋体" w:cs="宋体"/>
          <w:sz w:val="24"/>
          <w:szCs w:val="24"/>
        </w:rPr>
        <w:t>8)</w:t>
      </w:r>
      <w:r>
        <w:rPr>
          <w:rFonts w:hAnsi="宋体" w:eastAsia="宋体" w:cs="宋体"/>
          <w:sz w:val="24"/>
          <w:szCs w:val="24"/>
        </w:rPr>
        <w:tab/>
      </w:r>
      <w:r>
        <w:rPr>
          <w:rFonts w:hAnsi="宋体" w:eastAsia="宋体" w:cs="宋体"/>
          <w:sz w:val="24"/>
          <w:szCs w:val="24"/>
        </w:rPr>
        <w:t>能够以LED信号灯的形式或在软件界面里直观显示每通道ICP传感器和电缆连接是否正常或过载。</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1.</w:t>
      </w:r>
      <w:r>
        <w:rPr>
          <w:rFonts w:hint="eastAsia" w:hAnsi="宋体" w:eastAsia="宋体" w:cs="宋体"/>
          <w:b/>
          <w:bCs/>
          <w:sz w:val="24"/>
          <w:szCs w:val="24"/>
        </w:rPr>
        <w:t>4</w:t>
      </w:r>
      <w:r>
        <w:rPr>
          <w:rFonts w:hAnsi="宋体" w:eastAsia="宋体" w:cs="宋体"/>
          <w:b/>
          <w:bCs/>
          <w:sz w:val="24"/>
          <w:szCs w:val="24"/>
        </w:rPr>
        <w:t xml:space="preserve"> </w:t>
      </w:r>
      <w:r>
        <w:rPr>
          <w:rFonts w:hint="eastAsia" w:hAnsi="宋体" w:eastAsia="宋体" w:cs="宋体"/>
          <w:b/>
          <w:bCs/>
          <w:sz w:val="24"/>
          <w:szCs w:val="24"/>
        </w:rPr>
        <w:t>转速通道</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转速通道可以支持脉冲信号；</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可做为扭振测试、转速输入触发，阶次跟踪</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1.5 </w:t>
      </w:r>
      <w:r>
        <w:rPr>
          <w:rFonts w:hint="eastAsia" w:hAnsi="宋体" w:eastAsia="宋体" w:cs="宋体"/>
          <w:b/>
          <w:bCs/>
          <w:sz w:val="24"/>
          <w:szCs w:val="24"/>
        </w:rPr>
        <w:t>信号输出通道</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输出的信号可做为激振器、体积声源等设备的源信号；</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DA精度不低于24位；</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最大输出信号带宽不低于20kHz；</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电压输出范围：±10V；</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动态范围不小于：100dB</w:t>
      </w:r>
      <w:r>
        <w:rPr>
          <w:rFonts w:hint="eastAsia" w:hAnsi="宋体" w:eastAsia="宋体" w:cs="宋体"/>
          <w:sz w:val="24"/>
          <w:szCs w:val="24"/>
        </w:rPr>
        <w:t>。</w:t>
      </w:r>
    </w:p>
    <w:p>
      <w:pPr>
        <w:pStyle w:val="2"/>
        <w:spacing w:line="360" w:lineRule="auto"/>
        <w:rPr>
          <w:rFonts w:hAnsi="宋体" w:eastAsia="宋体" w:cs="宋体"/>
          <w:b/>
          <w:bCs/>
          <w:sz w:val="24"/>
          <w:szCs w:val="24"/>
        </w:rPr>
      </w:pPr>
      <w:r>
        <w:rPr>
          <w:rFonts w:hAnsi="宋体" w:eastAsia="宋体" w:cs="宋体"/>
          <w:b/>
          <w:bCs/>
          <w:sz w:val="24"/>
          <w:szCs w:val="24"/>
        </w:rPr>
        <w:t xml:space="preserve">2. </w:t>
      </w:r>
      <w:r>
        <w:rPr>
          <w:rFonts w:hint="eastAsia" w:hAnsi="宋体" w:eastAsia="宋体" w:cs="宋体"/>
          <w:b/>
          <w:bCs/>
          <w:sz w:val="24"/>
          <w:szCs w:val="24"/>
        </w:rPr>
        <w:t>采集分析软件</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2.1 </w:t>
      </w:r>
      <w:r>
        <w:rPr>
          <w:rFonts w:hint="eastAsia" w:hAnsi="宋体" w:eastAsia="宋体" w:cs="宋体"/>
          <w:b/>
          <w:bCs/>
          <w:sz w:val="24"/>
          <w:szCs w:val="24"/>
        </w:rPr>
        <w:t>总体功能</w:t>
      </w:r>
    </w:p>
    <w:p>
      <w:pPr>
        <w:pStyle w:val="2"/>
        <w:spacing w:line="360" w:lineRule="auto"/>
        <w:ind w:firstLine="480" w:firstLineChars="200"/>
        <w:rPr>
          <w:rFonts w:hAnsi="宋体" w:eastAsia="宋体" w:cs="宋体"/>
          <w:sz w:val="24"/>
          <w:szCs w:val="24"/>
        </w:rPr>
      </w:pPr>
      <w:r>
        <w:rPr>
          <w:rFonts w:hAnsi="宋体" w:eastAsia="宋体" w:cs="宋体"/>
          <w:sz w:val="24"/>
          <w:szCs w:val="24"/>
        </w:rPr>
        <w:t>★</w:t>
      </w:r>
      <w:r>
        <w:rPr>
          <w:rFonts w:hint="eastAsia" w:hAnsi="宋体" w:eastAsia="宋体" w:cs="宋体"/>
          <w:sz w:val="24"/>
          <w:szCs w:val="24"/>
        </w:rPr>
        <w:t>针对整车及主要零部件系统等结构实现高精度的模态测试与分析，试验内容包括信号采集、扭振测试与分析、传递路径分析等。要求提供的软件产品成熟，被行业内广泛接受，应用时间超过五年以上，并提供近五年同类产品业绩证明材料。</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2.2 </w:t>
      </w:r>
      <w:r>
        <w:rPr>
          <w:rFonts w:hint="eastAsia" w:hAnsi="宋体" w:eastAsia="宋体" w:cs="宋体"/>
          <w:b/>
          <w:bCs/>
          <w:sz w:val="24"/>
          <w:szCs w:val="24"/>
        </w:rPr>
        <w:t>基本采集功能</w:t>
      </w:r>
      <w:r>
        <w:rPr>
          <w:rFonts w:hAnsi="宋体" w:eastAsia="宋体" w:cs="宋体"/>
          <w:b/>
          <w:bCs/>
          <w:sz w:val="24"/>
          <w:szCs w:val="24"/>
        </w:rPr>
        <w:t>1</w:t>
      </w:r>
      <w:r>
        <w:rPr>
          <w:rFonts w:hint="eastAsia" w:hAnsi="宋体" w:eastAsia="宋体" w:cs="宋体"/>
          <w:b/>
          <w:bCs/>
          <w:sz w:val="24"/>
          <w:szCs w:val="24"/>
        </w:rPr>
        <w:t>套</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信号特征测试与分析</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采集的信号类型包括但不限于：噪声、振动、电压、转速、车速信号</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原始信号硬盘实时存储功能：能够将采集的原始时域信号直接记录到计算机硬盘上。作为数据文件，可以进行各种后处理，以及声音文件的重构和回放</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多种测试及分析跟踪方式：稳态平均（线性/指数/峰值保持）、时间跟踪、转速跟踪或其他静态通道、快变通道的量级触发，支持预触发</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支持自定义函数：信号调理函数（微分/积分，二次微分/积分、高通/低通/带通/带阻滤波）；数学运算（四则运算、绝对值、均方根、三角函数/反三角函数）；转速脉冲运算（脉冲/角度计算、脉冲/转速计算）。所有函数可以随意组合</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传感器数据库功能：可建立传感器数据库，在测试软件中可直接快速访问调用，减少人为误差。将测试设备的所有信息都保存在这个数据库中，这样就可以提供给用户一套完整的测试设备的信息。在每次测量时，用户可以直接访问这些信息，并从中选择合适的测试设备，并可免去每次校准的繁琐步骤</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在线及离线频谱分析功能：时间波形，FFT窄带谱，自功率谱，互功率谱，功率谱密度，相位参考谱，1/n倍频程(1/1, 1/3, 1/12) 谱，频响函数 (H1, H2)及相干性，总量级分析</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7)在线及离线频率成分切片分析功能：在线或离线得到阶次/频率/倍频程切片，以分析某成分随工况的变化</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8)在线及离线IEC声级计测试功能：支持指数平均和线型平均，指数平均包括：快/慢/脉冲/自定义时间常数，线性平均包括Leq的连续等效声压级，以及用户自定义平均。用户可自定义频率计权方式（Linear/A/B/C），具有最大值/最小值保持功能</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9)在线及离线数据统计分析：频谱和阶次谱的最大值保持和平均，以及每个分析块内原始时域数据统计分析（最大/最小、范围、极值、RMS均根值、平均值、中间值、积分、方差、标准偏差）</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10)频率计权包括但限于：A/B/C/ Linear</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11)FFT窗函数包括但不限于：UNIFORM，Hanning,Flattop,</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12)支持平顺性人体计权功能，符合ISO2631-1/2/3/4的人体计权及ISO5349的手臂计权标准</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13)支持在消声室内进行基于声压法的声功率测试，且同时可并行测试其他物理量</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14)可在线声功率计算：测量声压与背景噪声的差值；背景噪声修正结果；时域信号处理得到声功率总值（线性及A计权）结果</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15)支持心理声学指标计算功能，心理声学指标包括：响度，粗糙度，纯音突出比等。支持ISO 532-1时变响度计算</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2.3 </w:t>
      </w:r>
      <w:r>
        <w:rPr>
          <w:rFonts w:hint="eastAsia" w:hAnsi="宋体" w:eastAsia="宋体" w:cs="宋体"/>
          <w:b/>
          <w:bCs/>
          <w:sz w:val="24"/>
          <w:szCs w:val="24"/>
        </w:rPr>
        <w:t>数据分析及显示功能</w:t>
      </w:r>
      <w:r>
        <w:rPr>
          <w:rFonts w:hAnsi="宋体" w:eastAsia="宋体" w:cs="宋体"/>
          <w:b/>
          <w:bCs/>
          <w:sz w:val="24"/>
          <w:szCs w:val="24"/>
        </w:rPr>
        <w:t>1</w:t>
      </w:r>
      <w:r>
        <w:rPr>
          <w:rFonts w:hint="eastAsia" w:hAnsi="宋体" w:eastAsia="宋体" w:cs="宋体"/>
          <w:b/>
          <w:bCs/>
          <w:sz w:val="24"/>
          <w:szCs w:val="24"/>
        </w:rPr>
        <w:t>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需提供多种数据图形显示方式：二维图、二维多轴图、三维瀑布图、三维坎贝尔图、波特图、Nyquist图、倍频程图、XY散点图以及声强或模态所对应几何模型的显示等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需提供多种光标类型，包括但不限于：单光标，双光标，谐光标</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参考曲线自定义生成功能：可通过自定义表格生成谱（FFT谱、自谱、互谱）、时间波形以及频响函数等各种参考曲线</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报告模板功能：可以根据用户要求，定制试验报告模板，支持多页报告，批处理打印</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能够对在线及离线数据进行积分、微分、FFT谱、自功率谱、互功率谱、阶次谱、频响函数、1/n倍频程（1/1,1/3）、overall分析、指定频带分析、声学计权和数学运算等数据处理功能</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★需具有动态数据图片功能：可以脱离试验软件，在任意电脑上offices软件中对数据图片进行编辑，包括线型、坐标轴、光标、振型动画等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★需支持离线转速提取功能：能够从振动或噪声信号中离线提取转速，支持曲线拟合</w:t>
      </w:r>
      <w:r>
        <w:rPr>
          <w:rFonts w:hint="eastAsia" w:hAnsi="宋体" w:eastAsia="宋体" w:cs="宋体"/>
          <w:sz w:val="24"/>
          <w:szCs w:val="24"/>
        </w:rPr>
        <w:t>功能；</w:t>
      </w:r>
    </w:p>
    <w:p>
      <w:pPr>
        <w:pStyle w:val="2"/>
        <w:spacing w:line="360" w:lineRule="auto"/>
        <w:ind w:firstLine="480" w:firstLineChars="200"/>
        <w:rPr>
          <w:rFonts w:hAnsi="宋体" w:eastAsia="宋体" w:cs="宋体"/>
          <w:sz w:val="24"/>
          <w:szCs w:val="24"/>
        </w:rPr>
      </w:pPr>
      <w:r>
        <w:rPr>
          <w:rFonts w:hAnsi="宋体" w:eastAsia="宋体" w:cs="宋体"/>
          <w:sz w:val="24"/>
          <w:szCs w:val="24"/>
        </w:rPr>
        <w:t>8)</w:t>
      </w:r>
      <w:r>
        <w:rPr>
          <w:rFonts w:hAnsi="宋体" w:eastAsia="宋体" w:cs="宋体"/>
          <w:sz w:val="24"/>
          <w:szCs w:val="24"/>
        </w:rPr>
        <w:tab/>
      </w:r>
      <w:r>
        <w:rPr>
          <w:rFonts w:hAnsi="宋体" w:eastAsia="宋体" w:cs="宋体"/>
          <w:sz w:val="24"/>
          <w:szCs w:val="24"/>
        </w:rPr>
        <w:t>需支持多种格式文件数据的导入导出，支持的原始信号文件格式包括UFF 58、SDF、Matlab、WAV、Excel</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9)</w:t>
      </w:r>
      <w:r>
        <w:rPr>
          <w:rFonts w:hAnsi="宋体" w:eastAsia="宋体" w:cs="宋体"/>
          <w:sz w:val="24"/>
          <w:szCs w:val="24"/>
        </w:rPr>
        <w:tab/>
      </w:r>
      <w:r>
        <w:rPr>
          <w:rFonts w:hAnsi="宋体" w:eastAsia="宋体" w:cs="宋体"/>
          <w:sz w:val="24"/>
          <w:szCs w:val="24"/>
        </w:rPr>
        <w:t>电机偏移阶次的分析功能，电机旋变直接提取转速的功能，电机调制频率采集功能，混合动力车多轴耦合阶次分析等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10)基于分析结果的统计处理功能：对不同组试验结果或不同通道的频谱分析结果，可以就某频率/阶次成分随工况变化的分析结果、总量级分析结果进行求和、平均、最大值、最小值、平均、均方根等统计分析，以验证试验的可重复性及数据的可靠性。</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2.4 时域信号后处理及扭振分析功能1套</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时域信号后处理功能</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需要提供基于时域倍频程滤波的倍频程分析功能，得到时域倍频程切片，以精确分析某倍频成分随工况的变化</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★对时域信号进行离线的信号编辑，具有自定义范围截取等功能，并能生成并保存为新的测试文件</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对原始时域数据进行各种操作处理，包括：数学运算、积分/微分、希尔伯特包络分析、重采样、HP/LP/BP/BS/阶次滤波、最大/最小/平均/RMS统计运算、自定义范围信号截取、正弦/随机/扫频等类型信号发生器、应变花计算、转速脉冲修正等；</w:t>
      </w:r>
    </w:p>
    <w:p>
      <w:pPr>
        <w:pStyle w:val="2"/>
        <w:spacing w:line="360" w:lineRule="auto"/>
        <w:ind w:firstLine="480" w:firstLineChars="200"/>
        <w:rPr>
          <w:rFonts w:hAnsi="宋体" w:eastAsia="宋体" w:cs="宋体"/>
          <w:sz w:val="24"/>
          <w:szCs w:val="24"/>
        </w:rPr>
      </w:pPr>
      <w:r>
        <w:rPr>
          <w:rFonts w:hAnsi="宋体" w:eastAsia="宋体" w:cs="宋体"/>
          <w:sz w:val="24"/>
          <w:szCs w:val="24"/>
        </w:rPr>
        <w:t>4）数据处理过程中，支持逻辑自动判断处理（大于/小于/等于）</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支持瞬态信号分析功能，分析方法</w:t>
      </w:r>
      <w:r>
        <w:rPr>
          <w:rFonts w:hint="eastAsia" w:hAnsi="宋体" w:eastAsia="宋体" w:cs="宋体"/>
          <w:sz w:val="24"/>
          <w:szCs w:val="24"/>
        </w:rPr>
        <w:t>可为</w:t>
      </w:r>
      <w:r>
        <w:rPr>
          <w:rFonts w:hAnsi="宋体" w:eastAsia="宋体" w:cs="宋体"/>
          <w:sz w:val="24"/>
          <w:szCs w:val="24"/>
        </w:rPr>
        <w:t>：短时傅里叶变换</w:t>
      </w:r>
      <w:r>
        <w:rPr>
          <w:rFonts w:hint="eastAsia" w:hAnsi="宋体" w:eastAsia="宋体" w:cs="宋体"/>
          <w:sz w:val="24"/>
          <w:szCs w:val="24"/>
        </w:rPr>
        <w:t>、峭度分析等</w:t>
      </w:r>
      <w:r>
        <w:rPr>
          <w:rFonts w:hAnsi="宋体" w:eastAsia="宋体" w:cs="宋体"/>
          <w:sz w:val="24"/>
          <w:szCs w:val="24"/>
        </w:rPr>
        <w:t>方法</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扭振分析功能</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对转速信号进行高精度的扭振分析</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在发动机等旋转机械变转速工况下，支持对实时跟踪转速进行重采样，以实现等角度采样。</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2.5 传递路径分析功能1套</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传递路径分析功能</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可以对整个结构的噪声源和振动源进行分解，了解各个噪声或振动源到响应点的传递特性，并生成整个系统的传递函数矩阵</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结构传递函数的测量能通过以下方式确定：激振器法、力锤法。支持互易性传函的测试及直接调用</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★对于载荷的确定，软件需要提供多种经典识别方法：悬置刚度法，矩阵求逆等方法。</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可以消除整个系统的各个传递途径之间的干扰，从而精确地得到各个传递路径的传递函数</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5）能够直接通过工况下的测试数据，进一步直接识别得到工况载荷，结合传递函数进行各个传递路径的贡献量分析。</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具有主分量分解功能</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★传递路径分析结果可以得到不同工况下各个传递路径的载荷数据，包含结构受力载荷和体积加速度载荷、载荷点到目标点的传递函数以及该途径的贡献量数据</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8)</w:t>
      </w:r>
      <w:r>
        <w:rPr>
          <w:rFonts w:hAnsi="宋体" w:eastAsia="宋体" w:cs="宋体"/>
          <w:sz w:val="24"/>
          <w:szCs w:val="24"/>
        </w:rPr>
        <w:tab/>
      </w:r>
      <w:r>
        <w:rPr>
          <w:rFonts w:hAnsi="宋体" w:eastAsia="宋体" w:cs="宋体"/>
          <w:sz w:val="24"/>
          <w:szCs w:val="24"/>
        </w:rPr>
        <w:t>软件应具有数据完整性自动检查功能，逆矩阵条件数检查功能</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9)</w:t>
      </w:r>
      <w:r>
        <w:rPr>
          <w:rFonts w:hAnsi="宋体" w:eastAsia="宋体" w:cs="宋体"/>
          <w:sz w:val="24"/>
          <w:szCs w:val="24"/>
        </w:rPr>
        <w:tab/>
      </w:r>
      <w:r>
        <w:rPr>
          <w:rFonts w:hAnsi="宋体" w:eastAsia="宋体" w:cs="宋体"/>
          <w:sz w:val="24"/>
          <w:szCs w:val="24"/>
        </w:rPr>
        <w:t>支持时域TPA分析，直接得到各贡献量的时域原始信号，以便进行各种后处理频谱分析以及回放主观评价</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传递路径分析模型编辑功能</w:t>
      </w:r>
    </w:p>
    <w:p>
      <w:pPr>
        <w:pStyle w:val="2"/>
        <w:spacing w:line="360" w:lineRule="auto"/>
        <w:ind w:firstLine="480" w:firstLineChars="200"/>
        <w:rPr>
          <w:rFonts w:hAnsi="宋体" w:eastAsia="宋体" w:cs="宋体"/>
          <w:sz w:val="24"/>
          <w:szCs w:val="24"/>
        </w:rPr>
      </w:pPr>
      <w:r>
        <w:rPr>
          <w:rFonts w:hAnsi="宋体" w:eastAsia="宋体" w:cs="宋体"/>
          <w:sz w:val="24"/>
          <w:szCs w:val="24"/>
        </w:rPr>
        <w:t>10)可以对某个传递途径进行修改，也可以对某个实际的载荷源进行修改</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11)编辑修改包括偏置、缩放多种方式</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12)对于修改后的模型，可以在用户自定义的工况下进行贡献量的合成。在传递路径分析的模型中，可以将试验数据和分析计算得到的数据混合使用</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传递路径模型合成及回放功能</w:t>
      </w:r>
    </w:p>
    <w:p>
      <w:pPr>
        <w:pStyle w:val="2"/>
        <w:spacing w:line="360" w:lineRule="auto"/>
        <w:ind w:firstLine="480" w:firstLineChars="200"/>
        <w:rPr>
          <w:rFonts w:hAnsi="宋体" w:eastAsia="宋体" w:cs="宋体"/>
          <w:sz w:val="24"/>
          <w:szCs w:val="24"/>
        </w:rPr>
      </w:pPr>
      <w:r>
        <w:rPr>
          <w:rFonts w:hAnsi="宋体" w:eastAsia="宋体" w:cs="宋体"/>
          <w:sz w:val="24"/>
          <w:szCs w:val="24"/>
        </w:rPr>
        <w:t>13)将TPA模型结果转换成用人耳听的方式进行回放听审</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14)各路径贡献量可以激活或关闭、缩放</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15)在声音回放时可进行滤波，各滤波器可组合同步应用</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16)支持单耳和双耳模式的目标定义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17)能够对各贡献量在线滤波处理后的频谱进行可视化</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2.6 </w:t>
      </w:r>
      <w:r>
        <w:rPr>
          <w:rFonts w:hint="eastAsia" w:hAnsi="宋体" w:eastAsia="宋体" w:cs="宋体"/>
          <w:b/>
          <w:bCs/>
          <w:sz w:val="24"/>
          <w:szCs w:val="24"/>
        </w:rPr>
        <w:t>模态测试与分析功能</w:t>
      </w:r>
      <w:r>
        <w:rPr>
          <w:rFonts w:hAnsi="宋体" w:eastAsia="宋体" w:cs="宋体"/>
          <w:b/>
          <w:bCs/>
          <w:sz w:val="24"/>
          <w:szCs w:val="24"/>
        </w:rPr>
        <w:t>1套</w:t>
      </w:r>
    </w:p>
    <w:p>
      <w:pPr>
        <w:pStyle w:val="2"/>
        <w:spacing w:line="360" w:lineRule="auto"/>
        <w:ind w:firstLine="482" w:firstLineChars="200"/>
        <w:rPr>
          <w:rFonts w:hAnsi="宋体" w:eastAsia="宋体" w:cs="宋体"/>
          <w:sz w:val="24"/>
          <w:szCs w:val="24"/>
        </w:rPr>
      </w:pPr>
      <w:r>
        <w:rPr>
          <w:rFonts w:hint="eastAsia" w:hAnsi="宋体" w:eastAsia="宋体" w:cs="宋体"/>
          <w:b/>
          <w:bCs/>
          <w:sz w:val="24"/>
          <w:szCs w:val="24"/>
        </w:rPr>
        <w:t>几何建模</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可定义单个部件和多个部件的装配体几何模型，每个部件可以定义为不同的颜色，以三维方式显示，结果显示时可以只显示某个部件；</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至少支持3种不同的坐标系：笛卡尔直角坐标系、柱坐标系、极坐标系；同时支持多种格式导入NASTRAN格式等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★支持从节点功能，可以利用测量点数据自动插值计算出从节点的振型位移</w:t>
      </w:r>
      <w:r>
        <w:rPr>
          <w:rFonts w:hint="eastAsia" w:hAnsi="宋体" w:eastAsia="宋体" w:cs="宋体"/>
          <w:sz w:val="24"/>
          <w:szCs w:val="24"/>
        </w:rPr>
        <w:t>，</w:t>
      </w:r>
      <w:r>
        <w:rPr>
          <w:rFonts w:hAnsi="宋体" w:eastAsia="宋体" w:cs="宋体"/>
          <w:sz w:val="24"/>
          <w:szCs w:val="24"/>
        </w:rPr>
        <w:t>可将测点数据自动插值到其他节点，实现完整的振型显示；</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几何模型上的点标识应在测试中与测试通道的标识直接对应，无需人为后期手动匹配</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力锤法模态测试功能</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在线实时多功能测量分析，同步进行如下5种分析：时间波形、自功率谱/谱密度/线性谱、互功率谱/谱密度、频响函数 (H1, H2)及相干系数、动刚度等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★包括多点响应测量、移动激励点的试验方法，和激励点不动移动传感器的三种测试方法。移动测试过程中软件能自动增加测点编号；</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软件智能自动建议触发电平、预触发时间、窗函数等参数，无需人为设定；</w:t>
      </w:r>
    </w:p>
    <w:p>
      <w:pPr>
        <w:pStyle w:val="2"/>
        <w:spacing w:line="360" w:lineRule="auto"/>
        <w:ind w:firstLine="480" w:firstLineChars="200"/>
        <w:rPr>
          <w:rFonts w:hAnsi="宋体" w:eastAsia="宋体" w:cs="宋体"/>
          <w:sz w:val="24"/>
          <w:szCs w:val="24"/>
        </w:rPr>
      </w:pPr>
      <w:r>
        <w:rPr>
          <w:rFonts w:hAnsi="宋体" w:eastAsia="宋体" w:cs="宋体"/>
          <w:sz w:val="24"/>
          <w:szCs w:val="24"/>
        </w:rPr>
        <w:t>8)</w:t>
      </w:r>
      <w:r>
        <w:rPr>
          <w:rFonts w:hAnsi="宋体" w:eastAsia="宋体" w:cs="宋体"/>
          <w:sz w:val="24"/>
          <w:szCs w:val="24"/>
        </w:rPr>
        <w:tab/>
      </w:r>
      <w:r>
        <w:rPr>
          <w:rFonts w:hAnsi="宋体" w:eastAsia="宋体" w:cs="宋体"/>
          <w:sz w:val="24"/>
          <w:szCs w:val="24"/>
        </w:rPr>
        <w:t>★测试过程中对于过载、双击、测点自动更新有声音提示功能，以能够实现单人完成整个模态试验，并能自动拒绝过载和双击</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随机</w:t>
      </w:r>
      <w:r>
        <w:rPr>
          <w:rFonts w:hint="default" w:ascii="Times New Roman" w:hAnsi="Times New Roman" w:eastAsia="宋体" w:cs="Times New Roman"/>
          <w:b/>
          <w:bCs/>
          <w:sz w:val="24"/>
          <w:szCs w:val="24"/>
        </w:rPr>
        <w:t>MIMO</w:t>
      </w:r>
      <w:r>
        <w:rPr>
          <w:rFonts w:hAnsi="宋体" w:eastAsia="宋体" w:cs="宋体"/>
          <w:b/>
          <w:bCs/>
          <w:sz w:val="24"/>
          <w:szCs w:val="24"/>
        </w:rPr>
        <w:t>激振器法模态测试功能</w:t>
      </w:r>
    </w:p>
    <w:p>
      <w:pPr>
        <w:pStyle w:val="2"/>
        <w:spacing w:line="360" w:lineRule="auto"/>
        <w:ind w:firstLine="480" w:firstLineChars="200"/>
        <w:rPr>
          <w:rFonts w:hAnsi="宋体" w:eastAsia="宋体" w:cs="宋体"/>
          <w:sz w:val="24"/>
          <w:szCs w:val="24"/>
        </w:rPr>
      </w:pPr>
      <w:r>
        <w:rPr>
          <w:rFonts w:hAnsi="宋体" w:eastAsia="宋体" w:cs="宋体"/>
          <w:sz w:val="24"/>
          <w:szCs w:val="24"/>
        </w:rPr>
        <w:t>9)</w:t>
      </w:r>
      <w:r>
        <w:rPr>
          <w:rFonts w:hAnsi="宋体" w:eastAsia="宋体" w:cs="宋体"/>
          <w:sz w:val="24"/>
          <w:szCs w:val="24"/>
        </w:rPr>
        <w:tab/>
      </w:r>
      <w:r>
        <w:rPr>
          <w:rFonts w:hAnsi="宋体" w:eastAsia="宋体" w:cs="宋体"/>
          <w:sz w:val="24"/>
          <w:szCs w:val="24"/>
        </w:rPr>
        <w:t>★能够进行如下激励形式的</w:t>
      </w:r>
      <w:r>
        <w:rPr>
          <w:rFonts w:hint="default" w:ascii="Times New Roman" w:hAnsi="Times New Roman" w:eastAsia="宋体" w:cs="Times New Roman"/>
          <w:sz w:val="24"/>
          <w:szCs w:val="24"/>
        </w:rPr>
        <w:t>MIMO</w:t>
      </w:r>
      <w:r>
        <w:rPr>
          <w:rFonts w:hAnsi="宋体" w:eastAsia="宋体" w:cs="宋体"/>
          <w:sz w:val="24"/>
          <w:szCs w:val="24"/>
        </w:rPr>
        <w:t>模态试验：猝发随机、伪随机；</w:t>
      </w:r>
    </w:p>
    <w:p>
      <w:pPr>
        <w:pStyle w:val="2"/>
        <w:spacing w:line="360" w:lineRule="auto"/>
        <w:ind w:firstLine="480" w:firstLineChars="200"/>
        <w:rPr>
          <w:rFonts w:hAnsi="宋体" w:eastAsia="宋体" w:cs="宋体"/>
          <w:sz w:val="24"/>
          <w:szCs w:val="24"/>
        </w:rPr>
      </w:pPr>
      <w:r>
        <w:rPr>
          <w:rFonts w:hAnsi="宋体" w:eastAsia="宋体" w:cs="宋体"/>
          <w:sz w:val="24"/>
          <w:szCs w:val="24"/>
        </w:rPr>
        <w:t>10)在线实时多功能测量分析，同步进行如下几种分析：时间波形， FFT谱、自功率谱/谱密度/线性谱、互功率谱/谱密度、频响函数（H1, H2）/动刚度及相干/重相干系数；</w:t>
      </w:r>
    </w:p>
    <w:p>
      <w:pPr>
        <w:pStyle w:val="2"/>
        <w:spacing w:line="360" w:lineRule="auto"/>
        <w:ind w:firstLine="480" w:firstLineChars="200"/>
        <w:rPr>
          <w:rFonts w:hAnsi="宋体" w:eastAsia="宋体" w:cs="宋体"/>
          <w:sz w:val="24"/>
          <w:szCs w:val="24"/>
        </w:rPr>
      </w:pPr>
      <w:r>
        <w:rPr>
          <w:rFonts w:hAnsi="宋体" w:eastAsia="宋体" w:cs="宋体"/>
          <w:sz w:val="24"/>
          <w:szCs w:val="24"/>
        </w:rPr>
        <w:t>11)对信号可以设置不同的窗函数，至少包括如下窗函数：UNIFORM，Hanning，平顶窗等</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模态分析功能</w:t>
      </w:r>
    </w:p>
    <w:p>
      <w:pPr>
        <w:pStyle w:val="2"/>
        <w:spacing w:line="360" w:lineRule="auto"/>
        <w:ind w:firstLine="480" w:firstLineChars="200"/>
        <w:rPr>
          <w:rFonts w:hAnsi="宋体" w:eastAsia="宋体" w:cs="宋体"/>
          <w:sz w:val="24"/>
          <w:szCs w:val="24"/>
        </w:rPr>
      </w:pPr>
      <w:r>
        <w:rPr>
          <w:rFonts w:hAnsi="宋体" w:eastAsia="宋体" w:cs="宋体"/>
          <w:sz w:val="24"/>
          <w:szCs w:val="24"/>
        </w:rPr>
        <w:t>12)模态分析功能支持时域方法和频域LSCF方法，包含整体多自由度、多参考的模态参数识别算法，支持小阻尼/大阻尼、模态密度稀疏/密集等各种结构</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13)可对噪声污染严重、激励不充分的频响函数进行曲线拟合，对测得数据进行去噪处理，提升信噪比后使用LSCF方法进行精度更高的模态参数识别</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14)支持多种模态分析的验证方法：稳态图，MAC模态置信准则，多变量模态指示函数，FRF综合等方法</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15)支持自动地识别极点、模态频率、模态阻尼等模态参数，保证分析流程的一致性和高效性</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16)★支持在同一个几何模型中同时显示两阶振型，便于进行振型对比；</w:t>
      </w:r>
    </w:p>
    <w:p>
      <w:pPr>
        <w:pStyle w:val="2"/>
        <w:spacing w:line="360" w:lineRule="auto"/>
        <w:ind w:firstLine="480" w:firstLineChars="200"/>
        <w:rPr>
          <w:rFonts w:hAnsi="宋体" w:eastAsia="宋体" w:cs="宋体"/>
          <w:sz w:val="24"/>
          <w:szCs w:val="24"/>
        </w:rPr>
      </w:pPr>
      <w:r>
        <w:rPr>
          <w:rFonts w:hAnsi="宋体" w:eastAsia="宋体" w:cs="宋体"/>
          <w:sz w:val="24"/>
          <w:szCs w:val="24"/>
        </w:rPr>
        <w:t>17)支持多组模态分析结果合并功能</w:t>
      </w:r>
      <w:r>
        <w:rPr>
          <w:rFonts w:hint="eastAsia"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工作变形分析功能</w:t>
      </w:r>
    </w:p>
    <w:p>
      <w:pPr>
        <w:pStyle w:val="2"/>
        <w:spacing w:line="360" w:lineRule="auto"/>
        <w:ind w:firstLine="480" w:firstLineChars="200"/>
        <w:rPr>
          <w:rFonts w:hAnsi="宋体" w:eastAsia="宋体" w:cs="宋体"/>
          <w:sz w:val="24"/>
          <w:szCs w:val="24"/>
        </w:rPr>
      </w:pPr>
      <w:r>
        <w:rPr>
          <w:rFonts w:hAnsi="宋体" w:eastAsia="宋体" w:cs="宋体"/>
          <w:sz w:val="24"/>
          <w:szCs w:val="24"/>
        </w:rPr>
        <w:t>18)用于分析结构在工作状态（运行）时的实际变形情况，包括振动位移/速度/加速度等多种信号的工作变形分析。在做工作变形分析前，可对数据直接进行积分/微分，二次积分/二次微分；</w:t>
      </w:r>
    </w:p>
    <w:p>
      <w:pPr>
        <w:pStyle w:val="2"/>
        <w:spacing w:line="360" w:lineRule="auto"/>
        <w:ind w:firstLine="480" w:firstLineChars="200"/>
        <w:rPr>
          <w:rFonts w:hAnsi="宋体" w:eastAsia="宋体" w:cs="宋体"/>
          <w:sz w:val="24"/>
          <w:szCs w:val="24"/>
        </w:rPr>
      </w:pPr>
      <w:r>
        <w:rPr>
          <w:rFonts w:hAnsi="宋体" w:eastAsia="宋体" w:cs="宋体"/>
          <w:sz w:val="24"/>
          <w:szCs w:val="24"/>
        </w:rPr>
        <w:t>19)时域动画可以在指定的时刻或时间段内慢速进行，可以逐时间信号采样点回放，或预先设定跳跃采样点数进行回放；</w:t>
      </w:r>
    </w:p>
    <w:p>
      <w:pPr>
        <w:pStyle w:val="2"/>
        <w:spacing w:line="360" w:lineRule="auto"/>
        <w:ind w:firstLine="480" w:firstLineChars="200"/>
        <w:rPr>
          <w:rFonts w:hAnsi="宋体" w:eastAsia="宋体" w:cs="宋体"/>
          <w:sz w:val="24"/>
          <w:szCs w:val="24"/>
        </w:rPr>
      </w:pPr>
      <w:r>
        <w:rPr>
          <w:rFonts w:hAnsi="宋体" w:eastAsia="宋体" w:cs="宋体"/>
          <w:sz w:val="24"/>
          <w:szCs w:val="24"/>
        </w:rPr>
        <w:t>20)★频域可基于互谱，传递函数，频率及阶次切片数据，显示某个频率或转速下的结构变形；</w:t>
      </w:r>
    </w:p>
    <w:p>
      <w:pPr>
        <w:pStyle w:val="2"/>
        <w:spacing w:line="360" w:lineRule="auto"/>
        <w:ind w:firstLine="480" w:firstLineChars="200"/>
        <w:rPr>
          <w:rFonts w:hAnsi="宋体" w:eastAsia="宋体" w:cs="宋体"/>
          <w:sz w:val="24"/>
          <w:szCs w:val="24"/>
        </w:rPr>
      </w:pPr>
      <w:r>
        <w:rPr>
          <w:rFonts w:hAnsi="宋体" w:eastAsia="宋体" w:cs="宋体"/>
          <w:sz w:val="24"/>
          <w:szCs w:val="24"/>
        </w:rPr>
        <w:t>21)可以控制动画的变化速度以及变形幅度。动画显示的幅度可以设定某固定值，或相对整个函数最大变形处；</w:t>
      </w:r>
    </w:p>
    <w:p>
      <w:pPr>
        <w:pStyle w:val="2"/>
        <w:spacing w:line="360" w:lineRule="auto"/>
        <w:ind w:firstLine="480" w:firstLineChars="200"/>
        <w:rPr>
          <w:rFonts w:hAnsi="宋体" w:eastAsia="宋体" w:cs="宋体"/>
          <w:color w:val="0000FF"/>
          <w:sz w:val="24"/>
          <w:szCs w:val="24"/>
        </w:rPr>
      </w:pPr>
      <w:r>
        <w:rPr>
          <w:rFonts w:hAnsi="宋体" w:eastAsia="宋体" w:cs="宋体"/>
          <w:sz w:val="24"/>
          <w:szCs w:val="24"/>
        </w:rPr>
        <w:t>22)支持旋转机械阶次激励下进行工作模态分析</w:t>
      </w:r>
      <w:r>
        <w:rPr>
          <w:rFonts w:hint="eastAsia" w:hAnsi="宋体" w:eastAsia="宋体" w:cs="宋体"/>
          <w:sz w:val="24"/>
          <w:szCs w:val="24"/>
        </w:rPr>
        <w:t>；</w:t>
      </w:r>
      <w:r>
        <w:rPr>
          <w:rFonts w:hAnsi="宋体" w:eastAsia="宋体" w:cs="宋体"/>
          <w:color w:val="0000FF"/>
          <w:sz w:val="24"/>
          <w:szCs w:val="24"/>
        </w:rPr>
        <w:t xml:space="preserve"> </w:t>
      </w:r>
    </w:p>
    <w:p>
      <w:pPr>
        <w:pStyle w:val="2"/>
        <w:spacing w:line="360" w:lineRule="auto"/>
        <w:ind w:firstLine="482" w:firstLineChars="200"/>
        <w:rPr>
          <w:rFonts w:hAnsi="宋体" w:eastAsia="宋体" w:cs="宋体"/>
          <w:b/>
          <w:bCs/>
          <w:sz w:val="24"/>
          <w:szCs w:val="24"/>
        </w:rPr>
      </w:pPr>
      <w:r>
        <w:rPr>
          <w:rFonts w:hint="eastAsia" w:hAnsi="宋体" w:eastAsia="宋体" w:cs="宋体"/>
          <w:b/>
          <w:bCs/>
          <w:sz w:val="24"/>
          <w:szCs w:val="24"/>
        </w:rPr>
        <w:t>相关性分析功能</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2</w:t>
      </w:r>
      <w:r>
        <w:rPr>
          <w:rFonts w:hAnsi="宋体" w:eastAsia="宋体" w:cs="宋体"/>
          <w:sz w:val="24"/>
          <w:szCs w:val="24"/>
        </w:rPr>
        <w:t>3</w:t>
      </w:r>
      <w:r>
        <w:rPr>
          <w:rFonts w:hint="eastAsia" w:hAnsi="宋体" w:eastAsia="宋体" w:cs="宋体"/>
          <w:sz w:val="24"/>
          <w:szCs w:val="24"/>
        </w:rPr>
        <w:t>）</w:t>
      </w:r>
      <w:r>
        <w:rPr>
          <w:rFonts w:hAnsi="宋体" w:eastAsia="宋体" w:cs="宋体"/>
          <w:sz w:val="24"/>
          <w:szCs w:val="24"/>
        </w:rPr>
        <w:t>预试验分析：规划、模拟和优化模态试验方案，包括优化激励位置、激励方向、传感器位置和悬挂位置等</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24</w:t>
      </w:r>
      <w:r>
        <w:rPr>
          <w:rFonts w:hint="eastAsia" w:hAnsi="宋体" w:eastAsia="宋体" w:cs="宋体"/>
          <w:sz w:val="24"/>
          <w:szCs w:val="24"/>
        </w:rPr>
        <w:t>）</w:t>
      </w:r>
      <w:r>
        <w:rPr>
          <w:rFonts w:hAnsi="宋体" w:eastAsia="宋体" w:cs="宋体"/>
          <w:sz w:val="24"/>
          <w:szCs w:val="24"/>
        </w:rPr>
        <w:t>相关性分析：提供试验模态和有限元仿真结果之间的可视化形状对比和数值对比，基于模态置信准则MAC进行相关性分析，验证并提高有限元模型的精度。</w:t>
      </w:r>
    </w:p>
    <w:p>
      <w:pPr>
        <w:pStyle w:val="2"/>
        <w:spacing w:line="360" w:lineRule="auto"/>
        <w:rPr>
          <w:rFonts w:hAnsi="宋体" w:eastAsia="宋体" w:cs="宋体"/>
          <w:b/>
          <w:bCs/>
          <w:sz w:val="24"/>
          <w:szCs w:val="24"/>
        </w:rPr>
      </w:pPr>
      <w:r>
        <w:rPr>
          <w:rFonts w:hAnsi="宋体" w:eastAsia="宋体" w:cs="宋体"/>
          <w:b/>
          <w:bCs/>
          <w:sz w:val="24"/>
          <w:szCs w:val="24"/>
        </w:rPr>
        <w:t>3. 试验附件</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3.1 小量程加速度传感器  40套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加速度传感器型号应为PCB 356A15或同等级别加速度传感器；</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类型应为ICP型三轴加速度传感器；</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量程</w:t>
      </w:r>
      <w:r>
        <w:rPr>
          <w:rFonts w:hint="eastAsia" w:hAnsi="宋体" w:eastAsia="宋体" w:cs="宋体"/>
          <w:sz w:val="24"/>
          <w:szCs w:val="24"/>
        </w:rPr>
        <w:t>不低于</w:t>
      </w:r>
      <w:r>
        <w:rPr>
          <w:rFonts w:hAnsi="宋体" w:eastAsia="宋体" w:cs="宋体"/>
          <w:sz w:val="24"/>
          <w:szCs w:val="24"/>
        </w:rPr>
        <w:t>50g；</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频率范围不小于2-5000Hz；</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工作温度范围应至少满足-20℃至120℃</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6）配备相应品牌磁座40套；</w:t>
      </w:r>
    </w:p>
    <w:p>
      <w:pPr>
        <w:pStyle w:val="2"/>
        <w:spacing w:line="360" w:lineRule="auto"/>
        <w:ind w:firstLine="480" w:firstLineChars="200"/>
        <w:rPr>
          <w:rFonts w:hAnsi="宋体" w:eastAsia="宋体" w:cs="宋体"/>
          <w:sz w:val="24"/>
          <w:szCs w:val="24"/>
        </w:rPr>
      </w:pPr>
      <w:bookmarkStart w:id="37" w:name="_Hlk136268954"/>
      <w:r>
        <w:rPr>
          <w:rFonts w:hint="eastAsia" w:hAnsi="宋体" w:eastAsia="宋体" w:cs="宋体"/>
          <w:sz w:val="24"/>
          <w:szCs w:val="24"/>
        </w:rPr>
        <w:t>7）具备T</w:t>
      </w:r>
      <w:r>
        <w:rPr>
          <w:rFonts w:hAnsi="宋体" w:eastAsia="宋体" w:cs="宋体"/>
          <w:sz w:val="24"/>
          <w:szCs w:val="24"/>
        </w:rPr>
        <w:t>EDS</w:t>
      </w:r>
      <w:r>
        <w:rPr>
          <w:rFonts w:hint="eastAsia" w:hAnsi="宋体" w:eastAsia="宋体" w:cs="宋体"/>
          <w:sz w:val="24"/>
          <w:szCs w:val="24"/>
        </w:rPr>
        <w:t>自动识别功能。</w:t>
      </w:r>
    </w:p>
    <w:bookmarkEnd w:id="37"/>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3.2 </w:t>
      </w:r>
      <w:r>
        <w:rPr>
          <w:rFonts w:hint="eastAsia" w:hAnsi="宋体" w:eastAsia="宋体" w:cs="宋体"/>
          <w:b/>
          <w:bCs/>
          <w:sz w:val="24"/>
          <w:szCs w:val="24"/>
        </w:rPr>
        <w:t>大</w:t>
      </w:r>
      <w:r>
        <w:rPr>
          <w:rFonts w:hAnsi="宋体" w:eastAsia="宋体" w:cs="宋体"/>
          <w:b/>
          <w:bCs/>
          <w:sz w:val="24"/>
          <w:szCs w:val="24"/>
        </w:rPr>
        <w:t>量程加速度传感器  2套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加速度传感器型号应为PCB 356A19或同等级别加速度传感器；</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类型应为ICP型三轴加速度传感器；</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量程</w:t>
      </w:r>
      <w:r>
        <w:rPr>
          <w:rFonts w:hint="eastAsia" w:hAnsi="宋体" w:eastAsia="宋体" w:cs="宋体"/>
          <w:sz w:val="24"/>
          <w:szCs w:val="24"/>
        </w:rPr>
        <w:t>不低于</w:t>
      </w:r>
      <w:r>
        <w:rPr>
          <w:rFonts w:hAnsi="宋体" w:eastAsia="宋体" w:cs="宋体"/>
          <w:sz w:val="24"/>
          <w:szCs w:val="24"/>
        </w:rPr>
        <w:t>500g；</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频率范围不小于5-5000Hz；</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工作温度范围应至少满足-20℃至120℃</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6）配备相应品牌磁座</w:t>
      </w:r>
      <w:r>
        <w:rPr>
          <w:rFonts w:hAnsi="宋体" w:eastAsia="宋体" w:cs="宋体"/>
          <w:sz w:val="24"/>
          <w:szCs w:val="24"/>
        </w:rPr>
        <w:t>2</w:t>
      </w:r>
      <w:r>
        <w:rPr>
          <w:rFonts w:hint="eastAsia" w:hAnsi="宋体" w:eastAsia="宋体" w:cs="宋体"/>
          <w:sz w:val="24"/>
          <w:szCs w:val="24"/>
        </w:rPr>
        <w:t>套；</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7）具备T</w:t>
      </w:r>
      <w:r>
        <w:rPr>
          <w:rFonts w:hAnsi="宋体" w:eastAsia="宋体" w:cs="宋体"/>
          <w:sz w:val="24"/>
          <w:szCs w:val="24"/>
        </w:rPr>
        <w:t>EDS</w:t>
      </w:r>
      <w:r>
        <w:rPr>
          <w:rFonts w:hint="eastAsia" w:hAnsi="宋体" w:eastAsia="宋体" w:cs="宋体"/>
          <w:sz w:val="24"/>
          <w:szCs w:val="24"/>
        </w:rPr>
        <w:t>自动识别功能。</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3.3 加速度传感器线缆 60套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加速度传感器连接线型号应为</w:t>
      </w:r>
      <w:r>
        <w:rPr>
          <w:rFonts w:hint="eastAsia" w:hAnsi="宋体" w:eastAsia="宋体" w:cs="宋体"/>
          <w:sz w:val="24"/>
          <w:szCs w:val="24"/>
        </w:rPr>
        <w:t>与加速度传感器</w:t>
      </w:r>
      <w:r>
        <w:rPr>
          <w:rFonts w:hAnsi="宋体" w:eastAsia="宋体" w:cs="宋体"/>
          <w:sz w:val="24"/>
          <w:szCs w:val="24"/>
        </w:rPr>
        <w:t>配套</w:t>
      </w:r>
      <w:r>
        <w:rPr>
          <w:rFonts w:hint="eastAsia" w:hAnsi="宋体" w:eastAsia="宋体" w:cs="宋体"/>
          <w:sz w:val="24"/>
          <w:szCs w:val="24"/>
        </w:rPr>
        <w:t>的相应品牌</w:t>
      </w:r>
      <w:r>
        <w:rPr>
          <w:rFonts w:hAnsi="宋体" w:eastAsia="宋体" w:cs="宋体"/>
          <w:sz w:val="24"/>
          <w:szCs w:val="24"/>
        </w:rPr>
        <w:t>线缆</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长度不小于10m</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工作温度范围应至少满足-20℃至120℃。</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3.4 传声器  10套 </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传声器应为GRAS</w:t>
      </w:r>
      <w:r>
        <w:rPr>
          <w:rFonts w:hint="eastAsia" w:hAnsi="宋体" w:eastAsia="宋体" w:cs="宋体"/>
          <w:sz w:val="24"/>
          <w:szCs w:val="24"/>
        </w:rPr>
        <w:t>或HB</w:t>
      </w:r>
      <w:r>
        <w:rPr>
          <w:rFonts w:hAnsi="宋体" w:eastAsia="宋体" w:cs="宋体"/>
          <w:sz w:val="24"/>
          <w:szCs w:val="24"/>
        </w:rPr>
        <w:t>K</w:t>
      </w:r>
      <w:r>
        <w:rPr>
          <w:rFonts w:hint="eastAsia" w:hAnsi="宋体" w:eastAsia="宋体" w:cs="宋体"/>
          <w:sz w:val="24"/>
          <w:szCs w:val="24"/>
        </w:rPr>
        <w:t>品牌</w:t>
      </w:r>
      <w:r>
        <w:rPr>
          <w:rFonts w:hAnsi="宋体" w:eastAsia="宋体" w:cs="宋体"/>
          <w:sz w:val="24"/>
          <w:szCs w:val="24"/>
        </w:rPr>
        <w:t>的传声器</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应为1/2英寸自由场传声器，并配ICP型预极化前置放大器</w:t>
      </w:r>
      <w:r>
        <w:rPr>
          <w:rFonts w:hint="eastAsia" w:hAnsi="宋体" w:eastAsia="宋体" w:cs="宋体"/>
          <w:sz w:val="24"/>
          <w:szCs w:val="24"/>
        </w:rPr>
        <w:t>，带T</w:t>
      </w:r>
      <w:r>
        <w:rPr>
          <w:rFonts w:hAnsi="宋体" w:eastAsia="宋体" w:cs="宋体"/>
          <w:sz w:val="24"/>
          <w:szCs w:val="24"/>
        </w:rPr>
        <w:t>EDS</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传声器测量范围不小于17-134dB，频率范围不小于20-20000Hz</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工作温度范围应至少满足-20℃至80℃</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测量精度满足GB/T 3785.1中一级声级计的要求</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提供10套匹配的防风罩及</w:t>
      </w:r>
      <w:r>
        <w:rPr>
          <w:rFonts w:hint="eastAsia" w:hAnsi="宋体" w:eastAsia="宋体" w:cs="宋体"/>
          <w:sz w:val="24"/>
          <w:szCs w:val="24"/>
        </w:rPr>
        <w:t>传声器专用</w:t>
      </w:r>
      <w:r>
        <w:rPr>
          <w:rFonts w:hAnsi="宋体" w:eastAsia="宋体" w:cs="宋体"/>
          <w:sz w:val="24"/>
          <w:szCs w:val="24"/>
        </w:rPr>
        <w:t>三</w:t>
      </w:r>
      <w:r>
        <w:rPr>
          <w:rFonts w:hint="eastAsia" w:hAnsi="宋体" w:eastAsia="宋体" w:cs="宋体"/>
          <w:sz w:val="24"/>
          <w:szCs w:val="24"/>
        </w:rPr>
        <w:t>脚</w:t>
      </w:r>
      <w:r>
        <w:rPr>
          <w:rFonts w:hAnsi="宋体" w:eastAsia="宋体" w:cs="宋体"/>
          <w:sz w:val="24"/>
          <w:szCs w:val="24"/>
        </w:rPr>
        <w:t>架</w:t>
      </w:r>
      <w:r>
        <w:rPr>
          <w:rFonts w:hint="eastAsia" w:hAnsi="宋体" w:eastAsia="宋体" w:cs="宋体"/>
          <w:sz w:val="24"/>
          <w:szCs w:val="24"/>
        </w:rPr>
        <w:t>、固定夹等</w:t>
      </w:r>
      <w:r>
        <w:rPr>
          <w:rFonts w:hAnsi="宋体" w:eastAsia="宋体" w:cs="宋体"/>
          <w:sz w:val="24"/>
          <w:szCs w:val="24"/>
        </w:rPr>
        <w:t>。</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3.5 标定设备  1套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应为手持传声器标定器，应为PCB CAL200或同等级别标定器</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输出幅值具有94dB及114 dB两个档位，输出频率1 kHz</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满足GB/T 15173中1级精度要求</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符合ANSI: S1.40 / IEC: 60942 class 1标准。</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3.6 传声器BNC数据线  15套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传声器数据连接线两端应均为BNC接头</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数据连接线应为进口</w:t>
      </w:r>
      <w:r>
        <w:rPr>
          <w:rFonts w:hint="eastAsia" w:hAnsi="宋体" w:eastAsia="宋体" w:cs="宋体"/>
          <w:sz w:val="24"/>
          <w:szCs w:val="24"/>
        </w:rPr>
        <w:t>P</w:t>
      </w:r>
      <w:r>
        <w:rPr>
          <w:rFonts w:hAnsi="宋体" w:eastAsia="宋体" w:cs="宋体"/>
          <w:sz w:val="24"/>
          <w:szCs w:val="24"/>
        </w:rPr>
        <w:t>CB</w:t>
      </w:r>
      <w:r>
        <w:rPr>
          <w:rFonts w:hint="eastAsia" w:hAnsi="宋体" w:eastAsia="宋体" w:cs="宋体"/>
          <w:sz w:val="24"/>
          <w:szCs w:val="24"/>
        </w:rPr>
        <w:t>、</w:t>
      </w:r>
      <w:r>
        <w:rPr>
          <w:rFonts w:hAnsi="宋体" w:eastAsia="宋体" w:cs="宋体"/>
          <w:sz w:val="24"/>
          <w:szCs w:val="24"/>
        </w:rPr>
        <w:t>GRAS、</w:t>
      </w:r>
      <w:r>
        <w:rPr>
          <w:rFonts w:hint="eastAsia" w:hAnsi="宋体" w:eastAsia="宋体" w:cs="宋体"/>
          <w:sz w:val="24"/>
          <w:szCs w:val="24"/>
        </w:rPr>
        <w:t>H</w:t>
      </w:r>
      <w:r>
        <w:rPr>
          <w:rFonts w:hAnsi="宋体" w:eastAsia="宋体" w:cs="宋体"/>
          <w:sz w:val="24"/>
          <w:szCs w:val="24"/>
        </w:rPr>
        <w:t>BK品牌的低噪声连接线</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正常工作温度范围不小于：-20℃至80℃</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4）长度不小于1</w:t>
      </w:r>
      <w:r>
        <w:rPr>
          <w:rFonts w:hAnsi="宋体" w:eastAsia="宋体" w:cs="宋体"/>
          <w:sz w:val="24"/>
          <w:szCs w:val="24"/>
        </w:rPr>
        <w:t>0</w:t>
      </w:r>
      <w:r>
        <w:rPr>
          <w:rFonts w:hint="eastAsia" w:hAnsi="宋体" w:eastAsia="宋体" w:cs="宋体"/>
          <w:sz w:val="24"/>
          <w:szCs w:val="24"/>
        </w:rPr>
        <w:t>m。</w:t>
      </w:r>
    </w:p>
    <w:p>
      <w:pPr>
        <w:pStyle w:val="2"/>
        <w:spacing w:line="360" w:lineRule="auto"/>
        <w:ind w:firstLine="482" w:firstLineChars="200"/>
        <w:rPr>
          <w:rFonts w:hAnsi="宋体" w:eastAsia="宋体" w:cs="宋体"/>
          <w:b/>
          <w:bCs/>
          <w:color w:val="0000FF"/>
          <w:sz w:val="24"/>
          <w:szCs w:val="24"/>
        </w:rPr>
      </w:pPr>
      <w:r>
        <w:rPr>
          <w:rFonts w:hAnsi="宋体" w:eastAsia="宋体" w:cs="宋体"/>
          <w:b/>
          <w:bCs/>
          <w:sz w:val="24"/>
          <w:szCs w:val="24"/>
        </w:rPr>
        <w:t xml:space="preserve">3.7 </w:t>
      </w:r>
      <w:r>
        <w:rPr>
          <w:rFonts w:hint="eastAsia" w:hAnsi="宋体" w:eastAsia="宋体" w:cs="宋体"/>
          <w:b/>
          <w:bCs/>
          <w:sz w:val="24"/>
          <w:szCs w:val="24"/>
        </w:rPr>
        <w:t>小力锤</w:t>
      </w:r>
      <w:r>
        <w:rPr>
          <w:rFonts w:hAnsi="宋体" w:eastAsia="宋体" w:cs="宋体"/>
          <w:b/>
          <w:bCs/>
          <w:sz w:val="24"/>
          <w:szCs w:val="24"/>
        </w:rPr>
        <w:t xml:space="preserve">  3套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模态力锤</w:t>
      </w:r>
      <w:r>
        <w:rPr>
          <w:rFonts w:hint="eastAsia" w:hAnsi="宋体" w:eastAsia="宋体" w:cs="宋体"/>
          <w:sz w:val="24"/>
          <w:szCs w:val="24"/>
        </w:rPr>
        <w:t>，</w:t>
      </w:r>
      <w:r>
        <w:rPr>
          <w:rFonts w:hAnsi="宋体" w:eastAsia="宋体" w:cs="宋体"/>
          <w:sz w:val="24"/>
          <w:szCs w:val="24"/>
        </w:rPr>
        <w:t>型号应为PCB 086D05或同等级别力锤；</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至少包括3种不同刚度锤头，每种刚度锤头至少有</w:t>
      </w:r>
      <w:r>
        <w:rPr>
          <w:rFonts w:hint="eastAsia" w:hAnsi="宋体" w:eastAsia="宋体" w:cs="宋体"/>
          <w:sz w:val="24"/>
          <w:szCs w:val="24"/>
        </w:rPr>
        <w:t>3</w:t>
      </w:r>
      <w:r>
        <w:rPr>
          <w:rFonts w:hAnsi="宋体" w:eastAsia="宋体" w:cs="宋体"/>
          <w:sz w:val="24"/>
          <w:szCs w:val="24"/>
        </w:rPr>
        <w:t>个；</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输出接口应为BNC接口；</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正常工作温度范围不小于：-30℃至60℃；</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频率范围不低于6kHz；</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配套线缆长度不低于10m</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7）共需额外提供5套力锤锤头。</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3.8 </w:t>
      </w:r>
      <w:r>
        <w:rPr>
          <w:rFonts w:hint="eastAsia" w:hAnsi="宋体" w:eastAsia="宋体" w:cs="宋体"/>
          <w:b/>
          <w:bCs/>
          <w:sz w:val="24"/>
          <w:szCs w:val="24"/>
        </w:rPr>
        <w:t>大力锤</w:t>
      </w:r>
      <w:r>
        <w:rPr>
          <w:rFonts w:hAnsi="宋体" w:eastAsia="宋体" w:cs="宋体"/>
          <w:b/>
          <w:bCs/>
          <w:sz w:val="24"/>
          <w:szCs w:val="24"/>
        </w:rPr>
        <w:t xml:space="preserve">  3套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模态力锤</w:t>
      </w:r>
      <w:r>
        <w:rPr>
          <w:rFonts w:hint="eastAsia" w:hAnsi="宋体" w:eastAsia="宋体" w:cs="宋体"/>
          <w:sz w:val="24"/>
          <w:szCs w:val="24"/>
        </w:rPr>
        <w:t>，</w:t>
      </w:r>
      <w:r>
        <w:rPr>
          <w:rFonts w:hAnsi="宋体" w:eastAsia="宋体" w:cs="宋体"/>
          <w:sz w:val="24"/>
          <w:szCs w:val="24"/>
        </w:rPr>
        <w:t>型号应为PCB 086D20或同等级别力锤；</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至少包括4种不同刚度锤头，每种刚度锤头至少有</w:t>
      </w:r>
      <w:r>
        <w:rPr>
          <w:rFonts w:hint="eastAsia" w:hAnsi="宋体" w:eastAsia="宋体" w:cs="宋体"/>
          <w:sz w:val="24"/>
          <w:szCs w:val="24"/>
        </w:rPr>
        <w:t>3</w:t>
      </w:r>
      <w:r>
        <w:rPr>
          <w:rFonts w:hAnsi="宋体" w:eastAsia="宋体" w:cs="宋体"/>
          <w:sz w:val="24"/>
          <w:szCs w:val="24"/>
        </w:rPr>
        <w:t>个；</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输出接口应为BNC接口；</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正常工作温度范围不小于：-30℃至60℃；</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频率范围不低于1kHz；</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配套线缆长度不低于10m</w:t>
      </w:r>
      <w:r>
        <w:rPr>
          <w:rFonts w:hint="eastAsia" w:hAnsi="宋体" w:eastAsia="宋体" w:cs="宋体"/>
          <w:sz w:val="24"/>
          <w:szCs w:val="24"/>
        </w:rPr>
        <w:t>；</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7）共需额外提供2套软力锤锤头。</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3.9 </w:t>
      </w:r>
      <w:r>
        <w:rPr>
          <w:rFonts w:hint="eastAsia" w:hAnsi="宋体" w:eastAsia="宋体" w:cs="宋体"/>
          <w:b/>
          <w:bCs/>
          <w:sz w:val="24"/>
          <w:szCs w:val="24"/>
        </w:rPr>
        <w:t xml:space="preserve">阻抗头 </w:t>
      </w:r>
      <w:r>
        <w:rPr>
          <w:rFonts w:hAnsi="宋体" w:eastAsia="宋体" w:cs="宋体"/>
          <w:b/>
          <w:bCs/>
          <w:sz w:val="24"/>
          <w:szCs w:val="24"/>
        </w:rPr>
        <w:t>6</w:t>
      </w:r>
      <w:r>
        <w:rPr>
          <w:rFonts w:hint="eastAsia" w:hAnsi="宋体" w:eastAsia="宋体" w:cs="宋体"/>
          <w:b/>
          <w:bCs/>
          <w:sz w:val="24"/>
          <w:szCs w:val="24"/>
        </w:rPr>
        <w:t>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阻抗头传感器型号应为PCB 288D01或同等级别阻抗头传感器；</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力传感器量程不小于300N，加速度传感器量程为50</w:t>
      </w:r>
      <w:r>
        <w:rPr>
          <w:rFonts w:hint="eastAsia" w:hAnsi="宋体" w:eastAsia="宋体" w:cs="宋体"/>
          <w:sz w:val="24"/>
          <w:szCs w:val="24"/>
        </w:rPr>
        <w:t>g</w:t>
      </w:r>
      <w:r>
        <w:rPr>
          <w:rFonts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力传感器频率范围优于1-5kHz，加速度传感器频率范围优于1-5kHz；</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正常工作温度范围不小于：-20℃至80℃；</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重量不高于20g；</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提供配套线缆长度不低于10m。</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3.10 </w:t>
      </w:r>
      <w:r>
        <w:rPr>
          <w:rFonts w:hint="eastAsia" w:hAnsi="宋体" w:eastAsia="宋体" w:cs="宋体"/>
          <w:b/>
          <w:bCs/>
          <w:sz w:val="24"/>
          <w:szCs w:val="24"/>
        </w:rPr>
        <w:t xml:space="preserve">激振器系统 </w:t>
      </w:r>
      <w:r>
        <w:rPr>
          <w:rFonts w:hAnsi="宋体" w:eastAsia="宋体" w:cs="宋体"/>
          <w:b/>
          <w:bCs/>
          <w:sz w:val="24"/>
          <w:szCs w:val="24"/>
        </w:rPr>
        <w:t>4</w:t>
      </w:r>
      <w:r>
        <w:rPr>
          <w:rFonts w:hint="eastAsia" w:hAnsi="宋体" w:eastAsia="宋体" w:cs="宋体"/>
          <w:b/>
          <w:bCs/>
          <w:sz w:val="24"/>
          <w:szCs w:val="24"/>
        </w:rPr>
        <w:t>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激振器系统应为MB 110或同等级别激振器系统；</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最大激振力不低于400N；</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激励频率范围不低于4000Hz；</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最大振幅不低于±15mm；</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重量不低于20kg；</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功放型号应为MB500VI或同等级别配套功率放大器；</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应配备相关辅助工具用于激振器系统的安装；</w:t>
      </w:r>
    </w:p>
    <w:p>
      <w:pPr>
        <w:pStyle w:val="2"/>
        <w:spacing w:line="360" w:lineRule="auto"/>
        <w:ind w:firstLine="480" w:firstLineChars="200"/>
        <w:rPr>
          <w:rFonts w:hAnsi="宋体" w:eastAsia="宋体" w:cs="宋体"/>
          <w:sz w:val="24"/>
          <w:szCs w:val="24"/>
        </w:rPr>
      </w:pPr>
      <w:r>
        <w:rPr>
          <w:rFonts w:hAnsi="宋体" w:eastAsia="宋体" w:cs="宋体"/>
          <w:sz w:val="24"/>
          <w:szCs w:val="24"/>
        </w:rPr>
        <w:t>8)</w:t>
      </w:r>
      <w:r>
        <w:rPr>
          <w:rFonts w:hAnsi="宋体" w:eastAsia="宋体" w:cs="宋体"/>
          <w:sz w:val="24"/>
          <w:szCs w:val="24"/>
        </w:rPr>
        <w:tab/>
      </w:r>
      <w:r>
        <w:rPr>
          <w:rFonts w:hAnsi="宋体" w:eastAsia="宋体" w:cs="宋体"/>
          <w:sz w:val="24"/>
          <w:szCs w:val="24"/>
        </w:rPr>
        <w:t>配套线缆长度不低于10m。</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3.11 移动式数据存储处理设备1台</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Ansi="宋体" w:eastAsia="宋体" w:cs="宋体"/>
          <w:sz w:val="24"/>
          <w:szCs w:val="24"/>
        </w:rPr>
        <w:t>工作站品牌为DELL、HP或联想；</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Ansi="宋体" w:eastAsia="宋体" w:cs="宋体"/>
          <w:sz w:val="24"/>
          <w:szCs w:val="24"/>
        </w:rPr>
        <w:t>处理器为</w:t>
      </w:r>
      <w:r>
        <w:rPr>
          <w:rFonts w:hint="eastAsia" w:hAnsi="宋体" w:eastAsia="宋体" w:cs="宋体"/>
          <w:sz w:val="24"/>
          <w:szCs w:val="24"/>
        </w:rPr>
        <w:t>第1</w:t>
      </w:r>
      <w:r>
        <w:rPr>
          <w:rFonts w:hAnsi="宋体" w:eastAsia="宋体" w:cs="宋体"/>
          <w:sz w:val="24"/>
          <w:szCs w:val="24"/>
        </w:rPr>
        <w:t>2</w:t>
      </w:r>
      <w:r>
        <w:rPr>
          <w:rFonts w:hint="eastAsia" w:hAnsi="宋体" w:eastAsia="宋体" w:cs="宋体"/>
          <w:sz w:val="24"/>
          <w:szCs w:val="24"/>
        </w:rPr>
        <w:t>代</w:t>
      </w:r>
      <w:r>
        <w:rPr>
          <w:rFonts w:hAnsi="宋体" w:eastAsia="宋体" w:cs="宋体"/>
          <w:sz w:val="24"/>
          <w:szCs w:val="24"/>
        </w:rPr>
        <w:t>i7处理器或以上水平；</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Ansi="宋体" w:eastAsia="宋体" w:cs="宋体"/>
          <w:sz w:val="24"/>
          <w:szCs w:val="24"/>
        </w:rPr>
        <w:tab/>
      </w:r>
      <w:r>
        <w:rPr>
          <w:rFonts w:hAnsi="宋体" w:eastAsia="宋体" w:cs="宋体"/>
          <w:sz w:val="24"/>
          <w:szCs w:val="24"/>
        </w:rPr>
        <w:t>具备不小于2T的固态硬盘；</w:t>
      </w:r>
    </w:p>
    <w:p>
      <w:pPr>
        <w:pStyle w:val="2"/>
        <w:spacing w:line="360" w:lineRule="auto"/>
        <w:ind w:firstLine="480" w:firstLineChars="200"/>
        <w:rPr>
          <w:rFonts w:hAnsi="宋体" w:eastAsia="宋体" w:cs="宋体"/>
          <w:sz w:val="24"/>
          <w:szCs w:val="24"/>
        </w:rPr>
      </w:pPr>
      <w:r>
        <w:rPr>
          <w:rFonts w:hAnsi="宋体" w:eastAsia="宋体" w:cs="宋体"/>
          <w:sz w:val="24"/>
          <w:szCs w:val="24"/>
        </w:rPr>
        <w:t>4)</w:t>
      </w:r>
      <w:r>
        <w:rPr>
          <w:rFonts w:hAnsi="宋体" w:eastAsia="宋体" w:cs="宋体"/>
          <w:sz w:val="24"/>
          <w:szCs w:val="24"/>
        </w:rPr>
        <w:tab/>
      </w:r>
      <w:r>
        <w:rPr>
          <w:rFonts w:hAnsi="宋体" w:eastAsia="宋体" w:cs="宋体"/>
          <w:sz w:val="24"/>
          <w:szCs w:val="24"/>
        </w:rPr>
        <w:t>运行内存不小于16GB；</w:t>
      </w:r>
    </w:p>
    <w:p>
      <w:pPr>
        <w:pStyle w:val="2"/>
        <w:spacing w:line="360" w:lineRule="auto"/>
        <w:ind w:firstLine="480" w:firstLineChars="200"/>
        <w:rPr>
          <w:rFonts w:hAnsi="宋体" w:eastAsia="宋体" w:cs="宋体"/>
          <w:sz w:val="24"/>
          <w:szCs w:val="24"/>
        </w:rPr>
      </w:pPr>
      <w:r>
        <w:rPr>
          <w:rFonts w:hAnsi="宋体" w:eastAsia="宋体" w:cs="宋体"/>
          <w:sz w:val="24"/>
          <w:szCs w:val="24"/>
        </w:rPr>
        <w:t>5)</w:t>
      </w:r>
      <w:r>
        <w:rPr>
          <w:rFonts w:hAnsi="宋体" w:eastAsia="宋体" w:cs="宋体"/>
          <w:sz w:val="24"/>
          <w:szCs w:val="24"/>
        </w:rPr>
        <w:tab/>
      </w:r>
      <w:r>
        <w:rPr>
          <w:rFonts w:hAnsi="宋体" w:eastAsia="宋体" w:cs="宋体"/>
          <w:sz w:val="24"/>
          <w:szCs w:val="24"/>
        </w:rPr>
        <w:t>独立显卡，</w:t>
      </w:r>
      <w:r>
        <w:rPr>
          <w:rFonts w:hint="eastAsia" w:hAnsi="宋体" w:eastAsia="宋体" w:cs="宋体"/>
          <w:sz w:val="24"/>
          <w:szCs w:val="24"/>
        </w:rPr>
        <w:t>至少</w:t>
      </w:r>
      <w:r>
        <w:rPr>
          <w:rFonts w:hAnsi="宋体" w:eastAsia="宋体" w:cs="宋体"/>
          <w:sz w:val="24"/>
          <w:szCs w:val="24"/>
        </w:rPr>
        <w:t>2G显存；</w:t>
      </w:r>
    </w:p>
    <w:p>
      <w:pPr>
        <w:pStyle w:val="2"/>
        <w:spacing w:line="360" w:lineRule="auto"/>
        <w:ind w:firstLine="480" w:firstLineChars="200"/>
        <w:rPr>
          <w:rFonts w:hAnsi="宋体" w:eastAsia="宋体" w:cs="宋体"/>
          <w:sz w:val="24"/>
          <w:szCs w:val="24"/>
        </w:rPr>
      </w:pPr>
      <w:r>
        <w:rPr>
          <w:rFonts w:hAnsi="宋体" w:eastAsia="宋体" w:cs="宋体"/>
          <w:sz w:val="24"/>
          <w:szCs w:val="24"/>
        </w:rPr>
        <w:t>6)</w:t>
      </w:r>
      <w:r>
        <w:rPr>
          <w:rFonts w:hAnsi="宋体" w:eastAsia="宋体" w:cs="宋体"/>
          <w:sz w:val="24"/>
          <w:szCs w:val="24"/>
        </w:rPr>
        <w:tab/>
      </w:r>
      <w:r>
        <w:rPr>
          <w:rFonts w:hAnsi="宋体" w:eastAsia="宋体" w:cs="宋体"/>
          <w:sz w:val="24"/>
          <w:szCs w:val="24"/>
        </w:rPr>
        <w:t>屏幕分辨率至少1920x1080；</w:t>
      </w:r>
    </w:p>
    <w:p>
      <w:pPr>
        <w:pStyle w:val="2"/>
        <w:spacing w:line="360" w:lineRule="auto"/>
        <w:ind w:firstLine="480" w:firstLineChars="200"/>
        <w:rPr>
          <w:rFonts w:hAnsi="宋体" w:eastAsia="宋体" w:cs="宋体"/>
          <w:sz w:val="24"/>
          <w:szCs w:val="24"/>
        </w:rPr>
      </w:pPr>
      <w:r>
        <w:rPr>
          <w:rFonts w:hAnsi="宋体" w:eastAsia="宋体" w:cs="宋体"/>
          <w:sz w:val="24"/>
          <w:szCs w:val="24"/>
        </w:rPr>
        <w:t>7)</w:t>
      </w:r>
      <w:r>
        <w:rPr>
          <w:rFonts w:hAnsi="宋体" w:eastAsia="宋体" w:cs="宋体"/>
          <w:sz w:val="24"/>
          <w:szCs w:val="24"/>
        </w:rPr>
        <w:tab/>
      </w:r>
      <w:r>
        <w:rPr>
          <w:rFonts w:hAnsi="宋体" w:eastAsia="宋体" w:cs="宋体"/>
          <w:sz w:val="24"/>
          <w:szCs w:val="24"/>
        </w:rPr>
        <w:t>内置电池，不小于6芯95Wh；</w:t>
      </w:r>
    </w:p>
    <w:p>
      <w:pPr>
        <w:pStyle w:val="2"/>
        <w:spacing w:line="360" w:lineRule="auto"/>
        <w:ind w:firstLine="480" w:firstLineChars="200"/>
        <w:rPr>
          <w:rFonts w:hAnsi="宋体" w:eastAsia="宋体" w:cs="宋体"/>
          <w:sz w:val="24"/>
          <w:szCs w:val="24"/>
        </w:rPr>
      </w:pPr>
      <w:r>
        <w:rPr>
          <w:rFonts w:hAnsi="宋体" w:eastAsia="宋体" w:cs="宋体"/>
          <w:sz w:val="24"/>
          <w:szCs w:val="24"/>
        </w:rPr>
        <w:t>8)</w:t>
      </w:r>
      <w:r>
        <w:rPr>
          <w:rFonts w:hAnsi="宋体" w:eastAsia="宋体" w:cs="宋体"/>
          <w:sz w:val="24"/>
          <w:szCs w:val="24"/>
        </w:rPr>
        <w:tab/>
      </w:r>
      <w:r>
        <w:rPr>
          <w:rFonts w:hAnsi="宋体" w:eastAsia="宋体" w:cs="宋体"/>
          <w:sz w:val="24"/>
          <w:szCs w:val="24"/>
        </w:rPr>
        <w:t>包含网卡（TCP/IP）、USB等常用接口；</w:t>
      </w:r>
    </w:p>
    <w:p>
      <w:pPr>
        <w:pStyle w:val="2"/>
        <w:spacing w:line="360" w:lineRule="auto"/>
        <w:ind w:firstLine="480" w:firstLineChars="200"/>
        <w:rPr>
          <w:rFonts w:hAnsi="宋体" w:eastAsia="宋体" w:cs="宋体"/>
          <w:sz w:val="24"/>
          <w:szCs w:val="24"/>
        </w:rPr>
      </w:pPr>
      <w:r>
        <w:rPr>
          <w:rFonts w:hAnsi="宋体" w:eastAsia="宋体" w:cs="宋体"/>
          <w:sz w:val="24"/>
          <w:szCs w:val="24"/>
        </w:rPr>
        <w:t>9)</w:t>
      </w:r>
      <w:r>
        <w:rPr>
          <w:rFonts w:hAnsi="宋体" w:eastAsia="宋体" w:cs="宋体"/>
          <w:sz w:val="24"/>
          <w:szCs w:val="24"/>
        </w:rPr>
        <w:tab/>
      </w:r>
      <w:r>
        <w:rPr>
          <w:rFonts w:hAnsi="宋体" w:eastAsia="宋体" w:cs="宋体"/>
          <w:sz w:val="24"/>
          <w:szCs w:val="24"/>
        </w:rPr>
        <w:t>显示器尺寸为15英寸或以上；</w:t>
      </w:r>
    </w:p>
    <w:p>
      <w:pPr>
        <w:pStyle w:val="2"/>
        <w:spacing w:line="360" w:lineRule="auto"/>
        <w:ind w:firstLine="480" w:firstLineChars="200"/>
        <w:rPr>
          <w:rFonts w:hAnsi="宋体" w:eastAsia="宋体" w:cs="宋体"/>
          <w:sz w:val="24"/>
          <w:szCs w:val="24"/>
        </w:rPr>
      </w:pPr>
      <w:r>
        <w:rPr>
          <w:rFonts w:hAnsi="宋体" w:eastAsia="宋体" w:cs="宋体"/>
          <w:sz w:val="24"/>
          <w:szCs w:val="24"/>
        </w:rPr>
        <w:t>10)Windows10专业版中文操作系统。</w:t>
      </w:r>
    </w:p>
    <w:p>
      <w:pPr>
        <w:pStyle w:val="2"/>
        <w:spacing w:line="360" w:lineRule="auto"/>
        <w:ind w:firstLine="482" w:firstLineChars="200"/>
        <w:rPr>
          <w:rFonts w:hAnsi="宋体" w:eastAsia="宋体" w:cs="宋体"/>
          <w:b/>
          <w:bCs/>
          <w:sz w:val="24"/>
          <w:szCs w:val="24"/>
        </w:rPr>
      </w:pPr>
      <w:r>
        <w:rPr>
          <w:rFonts w:hAnsi="宋体" w:eastAsia="宋体" w:cs="宋体"/>
          <w:b/>
          <w:bCs/>
          <w:sz w:val="24"/>
          <w:szCs w:val="24"/>
        </w:rPr>
        <w:t xml:space="preserve">3.12 </w:t>
      </w:r>
      <w:r>
        <w:rPr>
          <w:rFonts w:hint="eastAsia" w:hAnsi="宋体" w:eastAsia="宋体" w:cs="宋体"/>
          <w:b/>
          <w:bCs/>
          <w:sz w:val="24"/>
          <w:szCs w:val="24"/>
        </w:rPr>
        <w:t>便携设备防护箱</w:t>
      </w:r>
      <w:r>
        <w:rPr>
          <w:rFonts w:hAnsi="宋体" w:eastAsia="宋体" w:cs="宋体"/>
          <w:b/>
          <w:bCs/>
          <w:sz w:val="24"/>
          <w:szCs w:val="24"/>
        </w:rPr>
        <w:t xml:space="preserve">  2</w:t>
      </w:r>
      <w:r>
        <w:rPr>
          <w:rFonts w:hint="eastAsia" w:hAnsi="宋体" w:eastAsia="宋体" w:cs="宋体"/>
          <w:b/>
          <w:bCs/>
          <w:sz w:val="24"/>
          <w:szCs w:val="24"/>
        </w:rPr>
        <w:t>套</w:t>
      </w:r>
    </w:p>
    <w:p>
      <w:pPr>
        <w:pStyle w:val="2"/>
        <w:spacing w:line="360" w:lineRule="auto"/>
        <w:ind w:firstLine="480" w:firstLineChars="200"/>
        <w:rPr>
          <w:rFonts w:hAnsi="宋体" w:eastAsia="宋体" w:cs="宋体"/>
          <w:sz w:val="24"/>
          <w:szCs w:val="24"/>
        </w:rPr>
      </w:pPr>
      <w:r>
        <w:rPr>
          <w:rFonts w:hAnsi="宋体" w:eastAsia="宋体" w:cs="宋体"/>
          <w:sz w:val="24"/>
          <w:szCs w:val="24"/>
        </w:rPr>
        <w:t>1)</w:t>
      </w:r>
      <w:r>
        <w:rPr>
          <w:rFonts w:hAnsi="宋体" w:eastAsia="宋体" w:cs="宋体"/>
          <w:sz w:val="24"/>
          <w:szCs w:val="24"/>
        </w:rPr>
        <w:tab/>
      </w:r>
      <w:r>
        <w:rPr>
          <w:rFonts w:hint="eastAsia" w:hAnsi="宋体" w:eastAsia="宋体" w:cs="宋体"/>
          <w:sz w:val="24"/>
          <w:szCs w:val="24"/>
        </w:rPr>
        <w:t>箱体材料应为加厚A</w:t>
      </w:r>
      <w:r>
        <w:rPr>
          <w:rFonts w:hAnsi="宋体" w:eastAsia="宋体" w:cs="宋体"/>
          <w:sz w:val="24"/>
          <w:szCs w:val="24"/>
        </w:rPr>
        <w:t>BS</w:t>
      </w:r>
      <w:r>
        <w:rPr>
          <w:rFonts w:hint="eastAsia" w:hAnsi="宋体" w:eastAsia="宋体" w:cs="宋体"/>
          <w:sz w:val="24"/>
          <w:szCs w:val="24"/>
        </w:rPr>
        <w:t>或加厚P</w:t>
      </w:r>
      <w:r>
        <w:rPr>
          <w:rFonts w:hAnsi="宋体" w:eastAsia="宋体" w:cs="宋体"/>
          <w:sz w:val="24"/>
          <w:szCs w:val="24"/>
        </w:rPr>
        <w:t>VC；</w:t>
      </w:r>
    </w:p>
    <w:p>
      <w:pPr>
        <w:pStyle w:val="2"/>
        <w:spacing w:line="360" w:lineRule="auto"/>
        <w:ind w:firstLine="480" w:firstLineChars="200"/>
        <w:rPr>
          <w:rFonts w:hAnsi="宋体" w:eastAsia="宋体" w:cs="宋体"/>
          <w:sz w:val="24"/>
          <w:szCs w:val="24"/>
        </w:rPr>
      </w:pPr>
      <w:r>
        <w:rPr>
          <w:rFonts w:hAnsi="宋体" w:eastAsia="宋体" w:cs="宋体"/>
          <w:sz w:val="24"/>
          <w:szCs w:val="24"/>
        </w:rPr>
        <w:t>2)</w:t>
      </w:r>
      <w:r>
        <w:rPr>
          <w:rFonts w:hAnsi="宋体" w:eastAsia="宋体" w:cs="宋体"/>
          <w:sz w:val="24"/>
          <w:szCs w:val="24"/>
        </w:rPr>
        <w:tab/>
      </w:r>
      <w:r>
        <w:rPr>
          <w:rFonts w:hint="eastAsia" w:hAnsi="宋体" w:eastAsia="宋体" w:cs="宋体"/>
          <w:sz w:val="24"/>
          <w:szCs w:val="24"/>
        </w:rPr>
        <w:t>满足-</w:t>
      </w:r>
      <w:r>
        <w:rPr>
          <w:rFonts w:hAnsi="宋体" w:eastAsia="宋体" w:cs="宋体"/>
          <w:sz w:val="24"/>
          <w:szCs w:val="24"/>
        </w:rPr>
        <w:t>30</w:t>
      </w:r>
      <w:r>
        <w:rPr>
          <w:rFonts w:hint="eastAsia" w:hAnsi="宋体" w:eastAsia="宋体" w:cs="宋体"/>
          <w:sz w:val="24"/>
          <w:szCs w:val="24"/>
        </w:rPr>
        <w:t>℃至8</w:t>
      </w:r>
      <w:r>
        <w:rPr>
          <w:rFonts w:hAnsi="宋体" w:eastAsia="宋体" w:cs="宋体"/>
          <w:sz w:val="24"/>
          <w:szCs w:val="24"/>
        </w:rPr>
        <w:t>0</w:t>
      </w:r>
      <w:r>
        <w:rPr>
          <w:rFonts w:hint="eastAsia" w:hAnsi="宋体" w:eastAsia="宋体" w:cs="宋体"/>
          <w:sz w:val="24"/>
          <w:szCs w:val="24"/>
        </w:rPr>
        <w:t>℃下的设备防护需求</w:t>
      </w:r>
      <w:r>
        <w:rPr>
          <w:rFonts w:hAnsi="宋体" w:eastAsia="宋体" w:cs="宋体"/>
          <w:sz w:val="24"/>
          <w:szCs w:val="24"/>
        </w:rPr>
        <w:t>；</w:t>
      </w:r>
    </w:p>
    <w:p>
      <w:pPr>
        <w:pStyle w:val="2"/>
        <w:spacing w:line="360" w:lineRule="auto"/>
        <w:ind w:firstLine="480" w:firstLineChars="200"/>
        <w:rPr>
          <w:rFonts w:hAnsi="宋体" w:eastAsia="宋体" w:cs="宋体"/>
          <w:sz w:val="24"/>
          <w:szCs w:val="24"/>
        </w:rPr>
      </w:pPr>
      <w:r>
        <w:rPr>
          <w:rFonts w:hAnsi="宋体" w:eastAsia="宋体" w:cs="宋体"/>
          <w:sz w:val="24"/>
          <w:szCs w:val="24"/>
        </w:rPr>
        <w:t>3</w:t>
      </w:r>
      <w:r>
        <w:rPr>
          <w:rFonts w:hint="eastAsia" w:hAnsi="宋体" w:eastAsia="宋体" w:cs="宋体"/>
          <w:sz w:val="24"/>
          <w:szCs w:val="24"/>
        </w:rPr>
        <w:t>）防尘、防水、抗压、防冲击；</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4）箱内配备上盖波浪海绵、下部切块海绵内衬，提供缓冲；</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5）箱体尺寸应满足：</w:t>
      </w:r>
      <w:r>
        <w:rPr>
          <w:rFonts w:hAnsi="宋体" w:eastAsia="宋体" w:cs="宋体"/>
          <w:sz w:val="24"/>
          <w:szCs w:val="24"/>
        </w:rPr>
        <w:t>2</w:t>
      </w:r>
      <w:r>
        <w:rPr>
          <w:rFonts w:hint="eastAsia" w:hAnsi="宋体" w:eastAsia="宋体" w:cs="宋体"/>
          <w:sz w:val="24"/>
          <w:szCs w:val="24"/>
        </w:rPr>
        <w:t>套防护箱收纳上述全部设备（不包含麦克风三脚架）。</w:t>
      </w:r>
    </w:p>
    <w:p>
      <w:pPr>
        <w:pStyle w:val="117"/>
        <w:rPr>
          <w:rFonts w:ascii="宋体" w:hAnsi="宋体" w:cs="宋体"/>
          <w:color w:val="auto"/>
        </w:rPr>
      </w:pP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pPr>
              <w:jc w:val="center"/>
              <w:rPr>
                <w:rFonts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声学名词术语</w:t>
            </w:r>
          </w:p>
        </w:tc>
        <w:tc>
          <w:tcPr>
            <w:tcW w:w="283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GB/T 3947-1996</w:t>
            </w: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声学的量和单位</w:t>
            </w:r>
          </w:p>
        </w:tc>
        <w:tc>
          <w:tcPr>
            <w:tcW w:w="283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GB 3102.7-1993</w:t>
            </w: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声级计的电、声性能及测试方法</w:t>
            </w:r>
          </w:p>
        </w:tc>
        <w:tc>
          <w:tcPr>
            <w:tcW w:w="283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GB 3785.1-2010</w:t>
            </w: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倍频程和分数倍频程滤波器</w:t>
            </w:r>
            <w:r>
              <w:rPr>
                <w:rFonts w:ascii="宋体" w:hAnsi="宋体" w:eastAsia="宋体" w:cs="宋体"/>
                <w:color w:val="000000"/>
                <w:sz w:val="24"/>
                <w:szCs w:val="24"/>
              </w:rPr>
              <w:t>,IEC61260:1995 MOD</w:t>
            </w:r>
          </w:p>
        </w:tc>
        <w:tc>
          <w:tcPr>
            <w:tcW w:w="283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GB 3241-2010</w:t>
            </w: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声学：车辆内部噪声测量方法</w:t>
            </w:r>
          </w:p>
        </w:tc>
        <w:tc>
          <w:tcPr>
            <w:tcW w:w="2835"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ISO 5128</w:t>
            </w: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s="宋体"/>
                <w:color w:val="000000"/>
                <w:sz w:val="24"/>
                <w:szCs w:val="24"/>
              </w:rPr>
            </w:pPr>
            <w:r>
              <w:rPr>
                <w:rFonts w:ascii="宋体" w:hAnsi="宋体" w:eastAsia="宋体" w:cs="宋体"/>
                <w:color w:val="000000"/>
                <w:sz w:val="24"/>
                <w:szCs w:val="24"/>
              </w:rPr>
              <w:t>6</w:t>
            </w:r>
          </w:p>
        </w:tc>
        <w:tc>
          <w:tcPr>
            <w:tcW w:w="367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关于四轮及四轮以上机动车在噪声排放方面的统一规定</w:t>
            </w:r>
          </w:p>
        </w:tc>
        <w:tc>
          <w:tcPr>
            <w:tcW w:w="283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ECE R51-02/03</w:t>
            </w:r>
          </w:p>
        </w:tc>
        <w:tc>
          <w:tcPr>
            <w:tcW w:w="1665" w:type="dxa"/>
            <w:vAlign w:val="center"/>
          </w:tcPr>
          <w:p>
            <w:pPr>
              <w:jc w:val="center"/>
              <w:rPr>
                <w:rFonts w:ascii="宋体" w:hAnsi="宋体" w:eastAsia="宋体" w:cs="宋体"/>
                <w:color w:val="000000"/>
                <w:sz w:val="24"/>
                <w:szCs w:val="24"/>
              </w:rPr>
            </w:pPr>
            <w:r>
              <w:rPr>
                <w:rFonts w:hint="eastAsia" w:ascii="宋体" w:hAnsi="宋体" w:eastAsia="宋体" w:cs="宋体"/>
                <w:color w:val="000000"/>
                <w:sz w:val="24"/>
                <w:szCs w:val="24"/>
              </w:rPr>
              <w:t>招标人确认</w:t>
            </w:r>
          </w:p>
        </w:tc>
      </w:tr>
    </w:tbl>
    <w:p>
      <w:pPr>
        <w:spacing w:line="360" w:lineRule="auto"/>
        <w:ind w:firstLine="480" w:firstLineChars="200"/>
        <w:rPr>
          <w:rFonts w:ascii="宋体" w:hAnsi="宋体" w:eastAsia="宋体" w:cs="宋体"/>
          <w:sz w:val="24"/>
          <w:szCs w:val="24"/>
        </w:rPr>
      </w:pP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p>
      <w:pPr>
        <w:keepNext/>
        <w:keepLines/>
        <w:spacing w:line="360" w:lineRule="auto"/>
        <w:jc w:val="center"/>
        <w:outlineLvl w:val="2"/>
        <w:rPr>
          <w:rFonts w:ascii="宋体" w:hAnsi="宋体" w:eastAsia="宋体" w:cs="宋体"/>
          <w:b/>
          <w:bCs/>
          <w:sz w:val="24"/>
          <w:szCs w:val="32"/>
        </w:rPr>
      </w:pPr>
      <w:bookmarkStart w:id="38" w:name="_Toc169605882"/>
      <w:r>
        <w:rPr>
          <w:rFonts w:hint="eastAsia" w:ascii="宋体" w:hAnsi="宋体" w:eastAsia="宋体" w:cs="宋体"/>
          <w:b/>
          <w:bCs/>
          <w:sz w:val="24"/>
          <w:szCs w:val="32"/>
        </w:rPr>
        <w:t>第一节  供货范围</w:t>
      </w:r>
      <w:bookmarkEnd w:id="38"/>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5"/>
        <w:tblW w:w="4933" w:type="pct"/>
        <w:jc w:val="center"/>
        <w:tblLayout w:type="fixed"/>
        <w:tblCellMar>
          <w:top w:w="0" w:type="dxa"/>
          <w:left w:w="0" w:type="dxa"/>
          <w:bottom w:w="0" w:type="dxa"/>
          <w:right w:w="0" w:type="dxa"/>
        </w:tblCellMar>
      </w:tblPr>
      <w:tblGrid>
        <w:gridCol w:w="736"/>
        <w:gridCol w:w="4419"/>
        <w:gridCol w:w="999"/>
        <w:gridCol w:w="1265"/>
        <w:gridCol w:w="1539"/>
      </w:tblGrid>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rPr>
            </w:pPr>
            <w:r>
              <w:rPr>
                <w:rFonts w:hint="eastAsia" w:ascii="宋体" w:hAnsi="宋体" w:cs="宋体"/>
                <w:szCs w:val="21"/>
              </w:rPr>
              <w:t>序号</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rPr>
            </w:pPr>
            <w:r>
              <w:rPr>
                <w:rFonts w:hint="eastAsia" w:ascii="宋体" w:hAnsi="宋体" w:cs="宋体"/>
                <w:szCs w:val="21"/>
              </w:rPr>
              <w:t>名称</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vertAlign w:val="superscript"/>
              </w:rPr>
            </w:pPr>
            <w:r>
              <w:rPr>
                <w:rFonts w:hint="eastAsia" w:ascii="宋体" w:hAnsi="宋体" w:cs="宋体"/>
                <w:szCs w:val="21"/>
              </w:rPr>
              <w:t>单位</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rPr>
            </w:pPr>
            <w:r>
              <w:rPr>
                <w:rFonts w:hint="eastAsia" w:ascii="宋体" w:hAnsi="宋体" w:cs="宋体"/>
                <w:szCs w:val="21"/>
              </w:rPr>
              <w:t>数量</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rPr>
            </w:pPr>
            <w:r>
              <w:rPr>
                <w:rFonts w:hint="eastAsia" w:ascii="宋体" w:hAnsi="宋体" w:cs="宋体"/>
                <w:szCs w:val="21"/>
              </w:rPr>
              <w:t>备注</w:t>
            </w: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before="120" w:beforeLines="50" w:after="120" w:afterLines="50"/>
              <w:jc w:val="center"/>
              <w:rPr>
                <w:rFonts w:ascii="宋体" w:hAnsi="宋体" w:cs="宋体"/>
                <w:b/>
                <w:szCs w:val="21"/>
              </w:rPr>
            </w:pPr>
            <w:r>
              <w:rPr>
                <w:rFonts w:hint="eastAsia" w:ascii="宋体" w:hAnsi="宋体" w:cs="宋体"/>
                <w:b/>
                <w:szCs w:val="21"/>
              </w:rPr>
              <w:t>1</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rPr>
                <w:rFonts w:ascii="宋体" w:hAnsi="宋体" w:cs="宋体"/>
                <w:szCs w:val="21"/>
              </w:rPr>
            </w:pPr>
            <w:r>
              <w:rPr>
                <w:rFonts w:hint="eastAsia" w:ascii="宋体" w:hAnsi="宋体" w:cs="宋体"/>
                <w:b/>
                <w:szCs w:val="21"/>
              </w:rPr>
              <w:t>数采主机</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before="120" w:beforeLines="50" w:after="120" w:afterLines="50"/>
              <w:jc w:val="center"/>
              <w:rPr>
                <w:rFonts w:ascii="宋体" w:hAnsi="宋体" w:cs="宋体"/>
                <w:szCs w:val="21"/>
              </w:rPr>
            </w:pPr>
          </w:p>
        </w:tc>
      </w:tr>
      <w:tr>
        <w:tblPrEx>
          <w:tblCellMar>
            <w:top w:w="0" w:type="dxa"/>
            <w:left w:w="0" w:type="dxa"/>
            <w:bottom w:w="0" w:type="dxa"/>
            <w:right w:w="0" w:type="dxa"/>
          </w:tblCellMar>
        </w:tblPrEx>
        <w:trPr>
          <w:trHeight w:val="90"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1.1</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bCs/>
                <w:szCs w:val="21"/>
              </w:rPr>
            </w:pPr>
            <w:r>
              <w:rPr>
                <w:rFonts w:hint="eastAsia" w:ascii="宋体" w:hAnsi="宋体" w:cs="宋体"/>
                <w:bCs/>
                <w:szCs w:val="21"/>
              </w:rPr>
              <w:t>机箱</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台</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Cs w:val="21"/>
              </w:rPr>
            </w:pPr>
            <w:r>
              <w:rPr>
                <w:rFonts w:hint="eastAsia" w:ascii="宋体" w:hAnsi="宋体" w:cs="宋体"/>
                <w:bCs/>
                <w:sz w:val="18"/>
                <w:szCs w:val="18"/>
              </w:rPr>
              <w:t>若为模块式布置，可不需要机箱</w:t>
            </w: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1.2</w:t>
            </w:r>
          </w:p>
        </w:tc>
        <w:tc>
          <w:tcPr>
            <w:tcW w:w="246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before="120" w:beforeLines="50" w:after="120" w:afterLines="50"/>
              <w:rPr>
                <w:rFonts w:ascii="宋体" w:hAnsi="宋体" w:cs="宋体"/>
                <w:szCs w:val="21"/>
              </w:rPr>
            </w:pPr>
            <w:r>
              <w:rPr>
                <w:rFonts w:ascii="宋体" w:hAnsi="宋体" w:cs="宋体"/>
                <w:szCs w:val="21"/>
              </w:rPr>
              <w:t>50</w:t>
            </w:r>
            <w:r>
              <w:rPr>
                <w:rFonts w:hint="eastAsia" w:ascii="宋体" w:hAnsi="宋体" w:cs="宋体"/>
                <w:szCs w:val="21"/>
              </w:rPr>
              <w:t>k</w:t>
            </w:r>
            <w:r>
              <w:rPr>
                <w:rFonts w:ascii="宋体" w:hAnsi="宋体" w:cs="宋体"/>
                <w:szCs w:val="21"/>
              </w:rPr>
              <w:t>H</w:t>
            </w:r>
            <w:r>
              <w:rPr>
                <w:rFonts w:hint="eastAsia" w:ascii="宋体" w:hAnsi="宋体" w:cs="宋体"/>
                <w:szCs w:val="21"/>
              </w:rPr>
              <w:t>z采样率ICP/模拟电压输入通道</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szCs w:val="21"/>
              </w:rPr>
            </w:pPr>
            <w:r>
              <w:rPr>
                <w:rFonts w:hint="eastAsia" w:ascii="宋体" w:hAnsi="宋体" w:cs="宋体"/>
                <w:szCs w:val="21"/>
              </w:rPr>
              <w:t>个</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r>
              <w:rPr>
                <w:rFonts w:hint="eastAsia" w:ascii="宋体" w:hAnsi="宋体" w:cs="宋体"/>
                <w:szCs w:val="21"/>
              </w:rPr>
              <w:t>9</w:t>
            </w:r>
            <w:r>
              <w:rPr>
                <w:rFonts w:ascii="宋体" w:hAnsi="宋体" w:cs="宋体"/>
                <w:szCs w:val="21"/>
              </w:rPr>
              <w:t>6</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宋体" w:hAnsi="宋体" w:cs="宋体"/>
                <w:bCs/>
                <w:szCs w:val="21"/>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1.</w:t>
            </w:r>
            <w:r>
              <w:rPr>
                <w:rFonts w:ascii="宋体" w:hAnsi="宋体" w:cs="宋体"/>
                <w:szCs w:val="21"/>
              </w:rPr>
              <w:t>3</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信号输出通道</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个</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ascii="宋体" w:hAnsi="宋体" w:cs="宋体"/>
                <w:szCs w:val="21"/>
              </w:rPr>
              <w:t>4</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1.</w:t>
            </w:r>
            <w:r>
              <w:rPr>
                <w:rFonts w:ascii="宋体" w:hAnsi="宋体" w:cs="宋体"/>
                <w:szCs w:val="21"/>
              </w:rPr>
              <w:t>4</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转速通道</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个</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b/>
                <w:szCs w:val="21"/>
              </w:rPr>
            </w:pPr>
            <w:r>
              <w:rPr>
                <w:rFonts w:hint="eastAsia" w:ascii="宋体" w:hAnsi="宋体" w:cs="宋体"/>
                <w:b/>
                <w:szCs w:val="21"/>
              </w:rPr>
              <w:t>2</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b/>
                <w:szCs w:val="21"/>
              </w:rPr>
            </w:pPr>
            <w:r>
              <w:rPr>
                <w:rFonts w:hint="eastAsia" w:ascii="宋体" w:hAnsi="宋体" w:cs="宋体"/>
                <w:b/>
                <w:szCs w:val="21"/>
              </w:rPr>
              <w:t>软件系统（按软件功能分项报价）</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2</w:t>
            </w:r>
            <w:r>
              <w:rPr>
                <w:rFonts w:ascii="宋体" w:hAnsi="宋体" w:cs="宋体"/>
                <w:szCs w:val="21"/>
              </w:rPr>
              <w:t>.1</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基本采集功能</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2</w:t>
            </w:r>
            <w:r>
              <w:rPr>
                <w:rFonts w:ascii="宋体" w:hAnsi="宋体" w:cs="宋体"/>
                <w:szCs w:val="21"/>
              </w:rPr>
              <w:t>.2</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数据分析及显示功能</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2</w:t>
            </w:r>
            <w:r>
              <w:rPr>
                <w:rFonts w:ascii="宋体" w:hAnsi="宋体" w:cs="宋体"/>
                <w:szCs w:val="21"/>
              </w:rPr>
              <w:t>.3</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时域信号后处理及扭振分析功能</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2</w:t>
            </w:r>
            <w:r>
              <w:rPr>
                <w:rFonts w:ascii="宋体" w:hAnsi="宋体" w:cs="宋体"/>
                <w:szCs w:val="21"/>
              </w:rPr>
              <w:t>.4</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传递路径分析功能</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模态测试与分析功能</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b/>
                <w:szCs w:val="21"/>
              </w:rPr>
            </w:pPr>
            <w:r>
              <w:rPr>
                <w:rFonts w:hint="eastAsia" w:ascii="宋体" w:hAnsi="宋体" w:cs="宋体"/>
                <w:b/>
                <w:szCs w:val="21"/>
              </w:rPr>
              <w:t>3</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b/>
                <w:bCs/>
                <w:szCs w:val="21"/>
              </w:rPr>
            </w:pPr>
            <w:r>
              <w:rPr>
                <w:rFonts w:hint="eastAsia" w:ascii="宋体" w:hAnsi="宋体" w:cs="宋体"/>
                <w:b/>
                <w:bCs/>
                <w:szCs w:val="21"/>
              </w:rPr>
              <w:t>传感器等附件</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3.1</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小量程加速度传感器（5</w:t>
            </w:r>
            <w:r>
              <w:rPr>
                <w:rFonts w:ascii="宋体" w:hAnsi="宋体" w:cs="宋体"/>
                <w:szCs w:val="21"/>
              </w:rPr>
              <w:t>0</w:t>
            </w:r>
            <w:r>
              <w:rPr>
                <w:rFonts w:hint="eastAsia" w:ascii="宋体" w:hAnsi="宋体" w:cs="宋体"/>
                <w:szCs w:val="21"/>
              </w:rPr>
              <w:t>g）</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4</w:t>
            </w:r>
            <w:r>
              <w:rPr>
                <w:rFonts w:ascii="宋体" w:hAnsi="宋体" w:cs="宋体"/>
                <w:szCs w:val="21"/>
              </w:rPr>
              <w:t>0</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.2</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大量程加速度传感器（5</w:t>
            </w:r>
            <w:r>
              <w:rPr>
                <w:rFonts w:ascii="宋体" w:hAnsi="宋体" w:cs="宋体"/>
                <w:szCs w:val="21"/>
              </w:rPr>
              <w:t>00</w:t>
            </w:r>
            <w:r>
              <w:rPr>
                <w:rFonts w:hint="eastAsia" w:ascii="宋体" w:hAnsi="宋体" w:cs="宋体"/>
                <w:szCs w:val="21"/>
              </w:rPr>
              <w:t>g）</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
                <w:bCs/>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ascii="宋体" w:hAnsi="宋体" w:cs="宋体"/>
                <w:szCs w:val="21"/>
              </w:rPr>
              <w:t>2</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3</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加速度传感器线缆（1</w:t>
            </w:r>
            <w:r>
              <w:rPr>
                <w:rFonts w:ascii="宋体" w:hAnsi="宋体" w:cs="宋体"/>
                <w:szCs w:val="21"/>
              </w:rPr>
              <w:t>0</w:t>
            </w:r>
            <w:r>
              <w:rPr>
                <w:rFonts w:hint="eastAsia" w:ascii="宋体" w:hAnsi="宋体" w:cs="宋体"/>
                <w:szCs w:val="21"/>
              </w:rPr>
              <w:t>m）</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6</w:t>
            </w:r>
            <w:r>
              <w:rPr>
                <w:rFonts w:ascii="宋体" w:hAnsi="宋体" w:cs="宋体"/>
                <w:szCs w:val="21"/>
              </w:rPr>
              <w:t>0</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4</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小力锤（含线缆）</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ascii="宋体" w:hAnsi="宋体" w:cs="宋体"/>
                <w:szCs w:val="21"/>
              </w:rPr>
              <w:t>3</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.5</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小力锤备用锤头（3种硬度均配备）</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5</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6</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大力锤（含线缆）</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ascii="宋体" w:hAnsi="宋体" w:cs="宋体"/>
                <w:szCs w:val="21"/>
              </w:rPr>
              <w:t>3</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.7</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大力锤备用锤头（软锤头）</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8</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激振器系统（含功放及线缆）</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4</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9</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阻抗头（含线缆）</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6</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.10</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传声器（含防风罩、三脚架、固定夹）</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r>
              <w:rPr>
                <w:rFonts w:ascii="宋体" w:hAnsi="宋体" w:cs="宋体"/>
                <w:szCs w:val="21"/>
              </w:rPr>
              <w:t>0</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.11</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传声器校准器</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个</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传声器B</w:t>
            </w:r>
            <w:r>
              <w:rPr>
                <w:rFonts w:ascii="宋体" w:hAnsi="宋体" w:cs="宋体"/>
                <w:szCs w:val="21"/>
              </w:rPr>
              <w:t>NC</w:t>
            </w:r>
            <w:r>
              <w:rPr>
                <w:rFonts w:hint="eastAsia" w:ascii="宋体" w:hAnsi="宋体" w:cs="宋体"/>
                <w:szCs w:val="21"/>
              </w:rPr>
              <w:t>线缆（不小于1</w:t>
            </w:r>
            <w:r>
              <w:rPr>
                <w:rFonts w:ascii="宋体" w:hAnsi="宋体" w:cs="宋体"/>
                <w:szCs w:val="21"/>
              </w:rPr>
              <w:t>0</w:t>
            </w:r>
            <w:r>
              <w:rPr>
                <w:rFonts w:hint="eastAsia" w:ascii="宋体" w:hAnsi="宋体" w:cs="宋体"/>
                <w:szCs w:val="21"/>
              </w:rPr>
              <w:t>m）</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根</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1</w:t>
            </w:r>
            <w:r>
              <w:rPr>
                <w:rFonts w:ascii="宋体" w:hAnsi="宋体" w:cs="宋体"/>
                <w:szCs w:val="21"/>
              </w:rPr>
              <w:t>5</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Cs/>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13</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移动式数据存储处理设备</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b/>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szCs w:val="21"/>
              </w:rPr>
            </w:pPr>
            <w:r>
              <w:rPr>
                <w:rFonts w:hint="eastAsia" w:ascii="宋体" w:hAnsi="宋体" w:cs="宋体"/>
                <w:szCs w:val="21"/>
              </w:rPr>
              <w:t>3</w:t>
            </w:r>
            <w:r>
              <w:rPr>
                <w:rFonts w:ascii="宋体" w:hAnsi="宋体" w:cs="宋体"/>
                <w:szCs w:val="21"/>
              </w:rPr>
              <w:t>.14</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szCs w:val="21"/>
              </w:rPr>
            </w:pPr>
            <w:r>
              <w:rPr>
                <w:rFonts w:hint="eastAsia" w:ascii="宋体" w:hAnsi="宋体" w:cs="宋体"/>
                <w:szCs w:val="21"/>
              </w:rPr>
              <w:t>便携设备防护箱（含内衬）</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hint="eastAsia" w:ascii="宋体" w:hAnsi="宋体" w:cs="宋体"/>
                <w:szCs w:val="21"/>
              </w:rPr>
              <w:t>2</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 w:val="18"/>
                <w:szCs w:val="18"/>
              </w:rPr>
            </w:pPr>
          </w:p>
        </w:tc>
      </w:tr>
      <w:tr>
        <w:tblPrEx>
          <w:tblCellMar>
            <w:top w:w="0" w:type="dxa"/>
            <w:left w:w="0" w:type="dxa"/>
            <w:bottom w:w="0" w:type="dxa"/>
            <w:right w:w="0" w:type="dxa"/>
          </w:tblCellMar>
        </w:tblPrEx>
        <w:trPr>
          <w:trHeight w:val="397" w:hRule="atLeast"/>
          <w:jc w:val="center"/>
        </w:trPr>
        <w:tc>
          <w:tcPr>
            <w:tcW w:w="41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jc w:val="center"/>
              <w:rPr>
                <w:rFonts w:ascii="宋体" w:hAnsi="宋体" w:cs="宋体"/>
                <w:bCs/>
                <w:szCs w:val="21"/>
              </w:rPr>
            </w:pPr>
            <w:r>
              <w:rPr>
                <w:rFonts w:hint="eastAsia" w:ascii="宋体" w:hAnsi="宋体" w:cs="宋体"/>
                <w:bCs/>
                <w:szCs w:val="21"/>
              </w:rPr>
              <w:t>4</w:t>
            </w:r>
          </w:p>
        </w:tc>
        <w:tc>
          <w:tcPr>
            <w:tcW w:w="246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beforeLines="50" w:after="120" w:afterLines="50"/>
              <w:rPr>
                <w:rFonts w:ascii="宋体" w:hAnsi="宋体" w:cs="宋体"/>
                <w:bCs/>
                <w:szCs w:val="21"/>
              </w:rPr>
            </w:pPr>
            <w:r>
              <w:rPr>
                <w:rFonts w:hint="eastAsia" w:ascii="宋体" w:hAnsi="宋体" w:cs="宋体"/>
                <w:bCs/>
                <w:szCs w:val="21"/>
              </w:rPr>
              <w:t>出厂校准报告及第三方校准报告等电子和纸质资料</w:t>
            </w:r>
          </w:p>
        </w:tc>
        <w:tc>
          <w:tcPr>
            <w:tcW w:w="55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宋体" w:hAnsi="宋体" w:cs="宋体"/>
                <w:szCs w:val="21"/>
              </w:rPr>
            </w:pPr>
            <w:r>
              <w:rPr>
                <w:rFonts w:hint="eastAsia" w:ascii="宋体" w:hAnsi="宋体" w:cs="宋体"/>
                <w:szCs w:val="21"/>
              </w:rPr>
              <w:t>套</w:t>
            </w:r>
          </w:p>
        </w:tc>
        <w:tc>
          <w:tcPr>
            <w:tcW w:w="706"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r>
              <w:rPr>
                <w:rFonts w:ascii="宋体" w:hAnsi="宋体" w:cs="宋体"/>
                <w:szCs w:val="21"/>
              </w:rPr>
              <w:t>1</w:t>
            </w:r>
          </w:p>
        </w:tc>
        <w:tc>
          <w:tcPr>
            <w:tcW w:w="85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120" w:after="120"/>
              <w:jc w:val="center"/>
              <w:rPr>
                <w:rFonts w:ascii="宋体" w:hAnsi="宋体" w:cs="宋体"/>
                <w:bCs/>
                <w:sz w:val="18"/>
                <w:szCs w:val="18"/>
              </w:rPr>
            </w:pPr>
          </w:p>
        </w:tc>
      </w:tr>
    </w:tbl>
    <w:p>
      <w:pPr>
        <w:spacing w:line="360" w:lineRule="auto"/>
        <w:rPr>
          <w:rFonts w:hint="eastAsia"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9" w:name="_Toc169605883"/>
    </w:p>
    <w:p>
      <w:pPr>
        <w:pStyle w:val="2"/>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9"/>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yellow"/>
          <w:u w:val="single"/>
          <w:lang w:val="en-US" w:eastAsia="zh-CN"/>
        </w:rPr>
        <w:t>济南市莱芜区口镇重汽新能源产品试验检测中心</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360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30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接续30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0"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0"/>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sz w:val="24"/>
          <w:szCs w:val="24"/>
          <w:highlight w:val="yellow"/>
        </w:rPr>
        <w:t>提供相应的完善培训计划，现场指导安装、调试、培训工作日不少于7个日历日。提供现场解决问题的技术支持次数</w:t>
      </w:r>
      <w:r>
        <w:rPr>
          <w:rFonts w:hint="eastAsia" w:ascii="宋体" w:hAnsi="宋体" w:eastAsia="宋体" w:cs="宋体"/>
          <w:b/>
          <w:bCs/>
          <w:color w:val="000000"/>
          <w:sz w:val="24"/>
          <w:szCs w:val="24"/>
          <w:highlight w:val="yellow"/>
        </w:rPr>
        <w:t>至少2次</w:t>
      </w:r>
      <w:r>
        <w:rPr>
          <w:rFonts w:hint="eastAsia" w:ascii="宋体" w:hAnsi="宋体" w:eastAsia="宋体" w:cs="宋体"/>
          <w:color w:val="000000"/>
          <w:sz w:val="24"/>
          <w:szCs w:val="24"/>
          <w:highlight w:val="yellow"/>
        </w:rPr>
        <w:t>，技术支持天数</w:t>
      </w:r>
      <w:r>
        <w:rPr>
          <w:rFonts w:hint="eastAsia" w:ascii="宋体" w:hAnsi="宋体" w:eastAsia="宋体" w:cs="宋体"/>
          <w:b/>
          <w:bCs/>
          <w:color w:val="000000"/>
          <w:sz w:val="24"/>
          <w:szCs w:val="24"/>
          <w:highlight w:val="yellow"/>
        </w:rPr>
        <w:t>总计7个日历日</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2"/>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1" w:name="_Toc465187646"/>
      <w:r>
        <w:rPr>
          <w:rFonts w:hint="eastAsia" w:ascii="Calibri" w:hAnsi="Calibri" w:eastAsia="宋体" w:cs="Times New Roman"/>
          <w:b/>
          <w:bCs/>
          <w:kern w:val="44"/>
          <w:sz w:val="28"/>
          <w:szCs w:val="28"/>
        </w:rPr>
        <w:t>第五章  预验收和终验收</w:t>
      </w:r>
      <w:bookmarkEnd w:id="41"/>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hint="eastAsia" w:ascii="宋体" w:hAnsi="宋体" w:eastAsia="宋体" w:cs="宋体"/>
          <w:color w:val="000000"/>
          <w:sz w:val="24"/>
          <w:szCs w:val="24"/>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终验收在安装调试完成及试运行后的买方现场进行。所有的项目，最终只以终验收为准。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.终验收一般条件</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1</w:t>
      </w:r>
      <w:r>
        <w:rPr>
          <w:rFonts w:hint="eastAsia" w:ascii="宋体" w:hAnsi="宋体" w:eastAsia="宋体" w:cs="宋体"/>
          <w:color w:val="000000"/>
          <w:sz w:val="24"/>
          <w:szCs w:val="24"/>
          <w:highlight w:val="yellow"/>
        </w:rPr>
        <w:t>.</w:t>
      </w:r>
      <w:r>
        <w:rPr>
          <w:rFonts w:ascii="宋体" w:hAnsi="宋体" w:eastAsia="宋体" w:cs="宋体"/>
          <w:color w:val="000000"/>
          <w:sz w:val="24"/>
          <w:szCs w:val="24"/>
          <w:highlight w:val="yellow"/>
        </w:rPr>
        <w:t>1</w:t>
      </w:r>
      <w:r>
        <w:rPr>
          <w:rFonts w:hint="eastAsia" w:ascii="宋体" w:hAnsi="宋体" w:eastAsia="宋体" w:cs="宋体"/>
          <w:color w:val="000000"/>
          <w:sz w:val="24"/>
          <w:szCs w:val="24"/>
          <w:highlight w:val="yellow"/>
        </w:rPr>
        <w:t xml:space="preserve">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1</w:t>
      </w:r>
      <w:r>
        <w:rPr>
          <w:rFonts w:hint="eastAsia" w:ascii="宋体" w:hAnsi="宋体" w:eastAsia="宋体" w:cs="宋体"/>
          <w:color w:val="000000"/>
          <w:sz w:val="24"/>
          <w:szCs w:val="24"/>
          <w:highlight w:val="yellow"/>
        </w:rPr>
        <w:t>.</w:t>
      </w:r>
      <w:r>
        <w:rPr>
          <w:rFonts w:ascii="宋体" w:hAnsi="宋体" w:eastAsia="宋体" w:cs="宋体"/>
          <w:color w:val="000000"/>
          <w:sz w:val="24"/>
          <w:szCs w:val="24"/>
          <w:highlight w:val="yellow"/>
        </w:rPr>
        <w:t>2</w:t>
      </w:r>
      <w:r>
        <w:rPr>
          <w:rFonts w:hint="eastAsia" w:ascii="宋体" w:hAnsi="宋体" w:eastAsia="宋体" w:cs="宋体"/>
          <w:color w:val="000000"/>
          <w:sz w:val="24"/>
          <w:szCs w:val="24"/>
          <w:highlight w:val="yellow"/>
        </w:rPr>
        <w:t xml:space="preserve">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1</w:t>
      </w:r>
      <w:r>
        <w:rPr>
          <w:rFonts w:hint="eastAsia" w:ascii="宋体" w:hAnsi="宋体" w:eastAsia="宋体" w:cs="宋体"/>
          <w:color w:val="000000"/>
          <w:sz w:val="24"/>
          <w:szCs w:val="24"/>
          <w:highlight w:val="yellow"/>
        </w:rPr>
        <w:t>.</w:t>
      </w:r>
      <w:r>
        <w:rPr>
          <w:rFonts w:ascii="宋体" w:hAnsi="宋体" w:eastAsia="宋体" w:cs="宋体"/>
          <w:color w:val="000000"/>
          <w:sz w:val="24"/>
          <w:szCs w:val="24"/>
          <w:highlight w:val="yellow"/>
        </w:rPr>
        <w:t>3</w:t>
      </w:r>
      <w:r>
        <w:rPr>
          <w:rFonts w:hint="eastAsia" w:ascii="宋体" w:hAnsi="宋体" w:eastAsia="宋体" w:cs="宋体"/>
          <w:color w:val="000000"/>
          <w:sz w:val="24"/>
          <w:szCs w:val="24"/>
          <w:highlight w:val="yellow"/>
        </w:rPr>
        <w:t xml:space="preserve">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1</w:t>
      </w:r>
      <w:r>
        <w:rPr>
          <w:rFonts w:hint="eastAsia" w:ascii="宋体" w:hAnsi="宋体" w:eastAsia="宋体" w:cs="宋体"/>
          <w:color w:val="000000"/>
          <w:sz w:val="24"/>
          <w:szCs w:val="24"/>
          <w:highlight w:val="yellow"/>
        </w:rPr>
        <w:t>.</w:t>
      </w:r>
      <w:r>
        <w:rPr>
          <w:rFonts w:ascii="宋体" w:hAnsi="宋体" w:eastAsia="宋体" w:cs="宋体"/>
          <w:color w:val="000000"/>
          <w:sz w:val="24"/>
          <w:szCs w:val="24"/>
          <w:highlight w:val="yellow"/>
        </w:rPr>
        <w:t>4</w:t>
      </w:r>
      <w:r>
        <w:rPr>
          <w:rFonts w:hint="eastAsia" w:ascii="宋体" w:hAnsi="宋体" w:eastAsia="宋体" w:cs="宋体"/>
          <w:color w:val="000000"/>
          <w:sz w:val="24"/>
          <w:szCs w:val="24"/>
          <w:highlight w:val="yellow"/>
        </w:rPr>
        <w:t xml:space="preserve">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1</w:t>
      </w:r>
      <w:r>
        <w:rPr>
          <w:rFonts w:hint="eastAsia" w:ascii="宋体" w:hAnsi="宋体" w:eastAsia="宋体" w:cs="宋体"/>
          <w:color w:val="000000"/>
          <w:sz w:val="24"/>
          <w:szCs w:val="24"/>
          <w:highlight w:val="yellow"/>
        </w:rPr>
        <w:t>.</w:t>
      </w:r>
      <w:r>
        <w:rPr>
          <w:rFonts w:ascii="宋体" w:hAnsi="宋体" w:eastAsia="宋体" w:cs="宋体"/>
          <w:color w:val="000000"/>
          <w:sz w:val="24"/>
          <w:szCs w:val="24"/>
          <w:highlight w:val="yellow"/>
        </w:rPr>
        <w:t>5</w:t>
      </w:r>
      <w:r>
        <w:rPr>
          <w:rFonts w:hint="eastAsia" w:ascii="宋体" w:hAnsi="宋体" w:eastAsia="宋体" w:cs="宋体"/>
          <w:color w:val="000000"/>
          <w:sz w:val="24"/>
          <w:szCs w:val="24"/>
          <w:highlight w:val="yellow"/>
        </w:rPr>
        <w:t xml:space="preserve">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.终验收基本要求</w:t>
      </w:r>
    </w:p>
    <w:p>
      <w:pPr>
        <w:adjustRightInd w:val="0"/>
        <w:snapToGrid w:val="0"/>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 xml:space="preserve">.1 </w:t>
      </w:r>
      <w:r>
        <w:rPr>
          <w:rFonts w:hint="eastAsia" w:ascii="宋体" w:hAnsi="宋体" w:eastAsia="宋体" w:cs="宋体"/>
          <w:color w:val="000000"/>
          <w:sz w:val="24"/>
          <w:szCs w:val="24"/>
          <w:highlight w:val="yellow"/>
        </w:rPr>
        <w:t>设备实际测量参数应满足招标书第二章中的技术要求，并提供具有C</w:t>
      </w:r>
      <w:r>
        <w:rPr>
          <w:rFonts w:ascii="宋体" w:hAnsi="宋体" w:eastAsia="宋体" w:cs="宋体"/>
          <w:color w:val="000000"/>
          <w:sz w:val="24"/>
          <w:szCs w:val="24"/>
          <w:highlight w:val="yellow"/>
        </w:rPr>
        <w:t>NAS</w:t>
      </w:r>
      <w:r>
        <w:rPr>
          <w:rFonts w:hint="eastAsia" w:ascii="宋体" w:hAnsi="宋体" w:eastAsia="宋体" w:cs="宋体"/>
          <w:color w:val="000000"/>
          <w:sz w:val="24"/>
          <w:szCs w:val="24"/>
          <w:highlight w:val="yellow"/>
        </w:rPr>
        <w:t>认证的第三方检测机构出具的计量证书。</w:t>
      </w:r>
    </w:p>
    <w:p>
      <w:pPr>
        <w:adjustRightInd w:val="0"/>
        <w:snapToGrid w:val="0"/>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2</w:t>
      </w:r>
      <w:r>
        <w:rPr>
          <w:rFonts w:hint="eastAsia" w:ascii="宋体" w:hAnsi="宋体" w:eastAsia="宋体" w:cs="宋体"/>
          <w:color w:val="000000"/>
          <w:sz w:val="24"/>
          <w:szCs w:val="24"/>
          <w:highlight w:val="yellow"/>
        </w:rPr>
        <w:t>.2.1设备验收时，其参数无法满足招标书中的技术要求。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2</w:t>
      </w:r>
      <w:r>
        <w:rPr>
          <w:rFonts w:hint="eastAsia" w:ascii="宋体" w:hAnsi="宋体" w:eastAsia="宋体" w:cs="宋体"/>
          <w:color w:val="000000"/>
          <w:sz w:val="24"/>
          <w:szCs w:val="24"/>
          <w:highlight w:val="yellow"/>
        </w:rPr>
        <w:t>.2.2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2</w:t>
      </w:r>
      <w:r>
        <w:rPr>
          <w:rFonts w:hint="eastAsia" w:ascii="宋体" w:hAnsi="宋体" w:eastAsia="宋体" w:cs="宋体"/>
          <w:color w:val="000000"/>
          <w:sz w:val="24"/>
          <w:szCs w:val="24"/>
          <w:highlight w:val="yellow"/>
        </w:rPr>
        <w:t>.2.3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2</w:t>
      </w:r>
      <w:r>
        <w:rPr>
          <w:rFonts w:hint="eastAsia" w:ascii="宋体" w:hAnsi="宋体" w:eastAsia="宋体" w:cs="宋体"/>
          <w:color w:val="000000"/>
          <w:sz w:val="24"/>
          <w:szCs w:val="24"/>
          <w:highlight w:val="yellow"/>
        </w:rPr>
        <w:t>.2.4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highlight w:val="yellow"/>
        </w:rPr>
      </w:pPr>
      <w:r>
        <w:rPr>
          <w:rFonts w:ascii="宋体" w:hAnsi="宋体" w:eastAsia="宋体" w:cs="宋体"/>
          <w:color w:val="000000"/>
          <w:sz w:val="24"/>
          <w:szCs w:val="24"/>
        </w:rPr>
        <w:t>2</w:t>
      </w:r>
      <w:r>
        <w:rPr>
          <w:rFonts w:hint="eastAsia" w:ascii="宋体" w:hAnsi="宋体" w:eastAsia="宋体" w:cs="宋体"/>
          <w:color w:val="000000"/>
          <w:sz w:val="24"/>
          <w:szCs w:val="24"/>
        </w:rPr>
        <w:t>.5 终验收通过后买卖双方共同签署终验收报告，并移交、核对全部供货范围内物品。</w:t>
      </w: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spacing w:line="360" w:lineRule="auto"/>
      </w:pPr>
    </w:p>
    <w:p>
      <w:pPr>
        <w:pStyle w:val="130"/>
        <w:spacing w:line="360" w:lineRule="auto"/>
        <w:outlineLvl w:val="1"/>
        <w:rPr>
          <w:rFonts w:eastAsia="宋体"/>
          <w:b/>
          <w:bCs w:val="0"/>
          <w:i w:val="0"/>
          <w:iCs/>
          <w:color w:val="auto"/>
          <w:sz w:val="28"/>
        </w:rPr>
      </w:pPr>
      <w:bookmarkStart w:id="42" w:name="_Toc465187647"/>
      <w:r>
        <w:rPr>
          <w:rFonts w:eastAsia="宋体"/>
          <w:b/>
          <w:bCs w:val="0"/>
          <w:i w:val="0"/>
          <w:iCs/>
          <w:color w:val="auto"/>
          <w:sz w:val="28"/>
        </w:rPr>
        <w:t>第六章  投标技术文件一般要求</w:t>
      </w:r>
      <w:bookmarkEnd w:id="42"/>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decimal"/>
          <w:cols w:space="720" w:num="1"/>
          <w:titlePg/>
          <w:docGrid w:linePitch="312" w:charSpace="0"/>
        </w:sectPr>
      </w:pPr>
      <w:bookmarkStart w:id="43"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3"/>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hAnsi="宋体" w:eastAsia="宋体" w:cs="宋体"/>
          <w:sz w:val="24"/>
          <w:szCs w:val="24"/>
        </w:rPr>
        <w:sectPr>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rPr>
          <w:rFonts w:hint="eastAsia"/>
        </w:rPr>
      </w:pPr>
      <w:bookmarkStart w:id="44" w:name="_Toc28859"/>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both"/>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rPr>
          <w:highlight w:val="yellow"/>
        </w:rP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pgSz w:w="11907" w:h="16840"/>
          <w:pgMar w:top="1304" w:right="1418" w:bottom="1304" w:left="1418" w:header="724" w:footer="851" w:gutter="0"/>
          <w:pgNumType w:fmt="decimal"/>
          <w:cols w:space="720" w:num="1"/>
          <w:docGrid w:linePitch="290" w:charSpace="-3931"/>
        </w:sectPr>
      </w:pPr>
      <w:r>
        <w:rPr>
          <w:rFonts w:hint="eastAsia" w:ascii="宋体" w:hAnsi="宋体" w:cs="宋体"/>
          <w:bCs/>
          <w:sz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5" w:name="_Toc17619"/>
      <w:bookmarkStart w:id="46" w:name="_Toc9465"/>
      <w:bookmarkStart w:id="47" w:name="_Toc11930"/>
      <w:bookmarkStart w:id="48" w:name="_Toc16330018"/>
      <w:bookmarkStart w:id="49" w:name="_Toc11823"/>
      <w:r>
        <w:rPr>
          <w:rFonts w:hint="eastAsia" w:ascii="黑体" w:hAnsi="黑体" w:eastAsia="黑体" w:cstheme="minorEastAsia"/>
          <w:b w:val="0"/>
          <w:sz w:val="28"/>
          <w:szCs w:val="28"/>
        </w:rPr>
        <w:t>1 合同设备</w:t>
      </w:r>
      <w:bookmarkEnd w:id="45"/>
      <w:bookmarkEnd w:id="46"/>
      <w:bookmarkEnd w:id="47"/>
      <w:bookmarkEnd w:id="48"/>
      <w:bookmarkEnd w:id="4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0" w:name="_Toc29026"/>
      <w:bookmarkStart w:id="51" w:name="_Toc32510"/>
      <w:bookmarkStart w:id="52"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3" w:name="_Toc16330019"/>
      <w:bookmarkStart w:id="54" w:name="_Toc7716"/>
      <w:r>
        <w:rPr>
          <w:rFonts w:hint="eastAsia" w:ascii="黑体" w:hAnsi="黑体" w:eastAsia="黑体" w:cstheme="minorEastAsia"/>
          <w:b w:val="0"/>
          <w:sz w:val="28"/>
          <w:szCs w:val="28"/>
        </w:rPr>
        <w:t>2 包装</w:t>
      </w:r>
      <w:bookmarkEnd w:id="50"/>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5" w:name="_Toc2833"/>
      <w:bookmarkStart w:id="56" w:name="_Toc16330020"/>
      <w:bookmarkStart w:id="57" w:name="_Toc27453"/>
      <w:bookmarkStart w:id="58" w:name="_Toc30507"/>
      <w:bookmarkStart w:id="59" w:name="_Toc27144"/>
      <w:r>
        <w:rPr>
          <w:rFonts w:hint="eastAsia" w:ascii="黑体" w:hAnsi="黑体" w:eastAsia="黑体" w:cstheme="minorEastAsia"/>
          <w:b w:val="0"/>
          <w:sz w:val="28"/>
          <w:szCs w:val="28"/>
        </w:rPr>
        <w:t>3 运输标记</w:t>
      </w:r>
      <w:bookmarkEnd w:id="55"/>
      <w:bookmarkEnd w:id="56"/>
      <w:bookmarkEnd w:id="57"/>
      <w:bookmarkEnd w:id="58"/>
      <w:bookmarkEnd w:id="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0" w:name="_Toc16330021"/>
      <w:bookmarkStart w:id="61" w:name="_Toc10630"/>
      <w:bookmarkStart w:id="62" w:name="_Toc16133"/>
      <w:bookmarkStart w:id="63" w:name="_Toc8624"/>
      <w:bookmarkStart w:id="64" w:name="_Toc7431"/>
      <w:r>
        <w:rPr>
          <w:rFonts w:hint="eastAsia" w:ascii="黑体" w:hAnsi="黑体" w:eastAsia="黑体" w:cstheme="minorEastAsia"/>
          <w:b w:val="0"/>
          <w:sz w:val="28"/>
          <w:szCs w:val="28"/>
        </w:rPr>
        <w:t>4 检验</w:t>
      </w:r>
      <w:bookmarkEnd w:id="60"/>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5" w:name="_Toc19850"/>
      <w:bookmarkStart w:id="66" w:name="_Toc11217"/>
      <w:bookmarkStart w:id="67" w:name="_Toc14275"/>
      <w:bookmarkStart w:id="68" w:name="_Toc16330022"/>
      <w:bookmarkStart w:id="69" w:name="_Toc24467"/>
      <w:r>
        <w:rPr>
          <w:rFonts w:hint="eastAsia" w:ascii="黑体" w:hAnsi="黑体" w:eastAsia="黑体" w:cstheme="minorEastAsia"/>
          <w:b w:val="0"/>
          <w:sz w:val="28"/>
          <w:szCs w:val="28"/>
        </w:rPr>
        <w:t>5 权利担保</w:t>
      </w:r>
      <w:bookmarkEnd w:id="65"/>
      <w:bookmarkEnd w:id="66"/>
      <w:bookmarkEnd w:id="67"/>
      <w:bookmarkEnd w:id="68"/>
      <w:bookmarkEnd w:id="6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0" w:name="_Toc14809"/>
      <w:bookmarkStart w:id="71" w:name="_Toc11759"/>
      <w:bookmarkStart w:id="72" w:name="_Toc27500"/>
      <w:bookmarkStart w:id="73" w:name="_Toc16330023"/>
      <w:bookmarkStart w:id="74" w:name="_Toc20827"/>
      <w:r>
        <w:rPr>
          <w:rFonts w:hint="eastAsia" w:ascii="黑体" w:hAnsi="黑体" w:eastAsia="黑体" w:cstheme="minorEastAsia"/>
          <w:b w:val="0"/>
          <w:sz w:val="28"/>
          <w:szCs w:val="28"/>
        </w:rPr>
        <w:t>6 交货</w:t>
      </w:r>
      <w:bookmarkEnd w:id="70"/>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5" w:name="_Toc25510"/>
      <w:bookmarkStart w:id="76" w:name="_Toc16330024"/>
      <w:bookmarkStart w:id="77" w:name="_Toc2984"/>
      <w:bookmarkStart w:id="78" w:name="_Toc8024"/>
      <w:bookmarkStart w:id="79" w:name="_Toc23308"/>
      <w:r>
        <w:rPr>
          <w:rFonts w:hint="eastAsia" w:ascii="黑体" w:hAnsi="黑体" w:eastAsia="黑体" w:cstheme="minorEastAsia"/>
          <w:b w:val="0"/>
          <w:sz w:val="28"/>
          <w:szCs w:val="28"/>
        </w:rPr>
        <w:t>7 安装、调试</w:t>
      </w:r>
      <w:bookmarkEnd w:id="75"/>
      <w:bookmarkEnd w:id="76"/>
      <w:bookmarkEnd w:id="77"/>
      <w:bookmarkEnd w:id="78"/>
      <w:bookmarkEnd w:id="79"/>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0" w:name="_Toc14098"/>
      <w:bookmarkStart w:id="81" w:name="_Toc14260"/>
      <w:bookmarkStart w:id="82" w:name="_Toc15547"/>
      <w:bookmarkStart w:id="83" w:name="_Toc16330025"/>
      <w:bookmarkStart w:id="84" w:name="_Toc6350"/>
      <w:r>
        <w:rPr>
          <w:rFonts w:hint="eastAsia" w:ascii="黑体" w:hAnsi="黑体" w:eastAsia="黑体" w:cstheme="minorEastAsia"/>
          <w:b w:val="0"/>
          <w:sz w:val="28"/>
          <w:szCs w:val="28"/>
        </w:rPr>
        <w:t>8 价款与支付</w:t>
      </w:r>
      <w:bookmarkEnd w:id="80"/>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5" w:name="_Toc14676804"/>
      <w:bookmarkStart w:id="86"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5"/>
      <w:bookmarkEnd w:id="86"/>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7" w:name="_Toc24085"/>
      <w:bookmarkStart w:id="88" w:name="_Toc6726"/>
      <w:bookmarkStart w:id="89" w:name="_Toc25708"/>
      <w:bookmarkStart w:id="90" w:name="_Toc21726"/>
      <w:bookmarkStart w:id="91" w:name="_Toc16330026"/>
      <w:r>
        <w:rPr>
          <w:rFonts w:hint="eastAsia" w:ascii="黑体" w:hAnsi="黑体" w:eastAsia="黑体" w:cstheme="minorEastAsia"/>
          <w:b w:val="0"/>
          <w:sz w:val="28"/>
          <w:szCs w:val="28"/>
        </w:rPr>
        <w:t>9 质量保证及售后服务</w:t>
      </w:r>
      <w:bookmarkEnd w:id="87"/>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2" w:name="_Toc15570"/>
      <w:bookmarkStart w:id="93" w:name="_Toc16330027"/>
      <w:bookmarkStart w:id="94" w:name="_Toc10359"/>
      <w:bookmarkStart w:id="95" w:name="_Toc12927"/>
      <w:bookmarkStart w:id="96" w:name="_Toc26769"/>
      <w:r>
        <w:rPr>
          <w:rFonts w:hint="eastAsia" w:ascii="黑体" w:hAnsi="黑体" w:eastAsia="黑体" w:cstheme="minorEastAsia"/>
          <w:b w:val="0"/>
          <w:sz w:val="28"/>
          <w:szCs w:val="28"/>
        </w:rPr>
        <w:t>10法定责任</w:t>
      </w:r>
      <w:bookmarkEnd w:id="92"/>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7" w:name="_Toc30381"/>
      <w:bookmarkStart w:id="98" w:name="_Toc7698"/>
      <w:bookmarkStart w:id="99" w:name="_Toc9708"/>
      <w:bookmarkStart w:id="100" w:name="_Toc27314"/>
      <w:bookmarkStart w:id="101" w:name="_Toc16330028"/>
      <w:r>
        <w:rPr>
          <w:rFonts w:hint="eastAsia" w:ascii="黑体" w:hAnsi="黑体" w:eastAsia="黑体" w:cstheme="minorEastAsia"/>
          <w:b w:val="0"/>
          <w:sz w:val="28"/>
          <w:szCs w:val="28"/>
        </w:rPr>
        <w:t>11 违约责任</w:t>
      </w:r>
      <w:bookmarkEnd w:id="97"/>
      <w:bookmarkEnd w:id="98"/>
      <w:bookmarkEnd w:id="99"/>
      <w:bookmarkEnd w:id="100"/>
      <w:bookmarkEnd w:id="10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2" w:name="_Toc31554"/>
      <w:bookmarkStart w:id="103" w:name="_Toc1827"/>
      <w:bookmarkStart w:id="104" w:name="_Toc16330029"/>
      <w:bookmarkStart w:id="105" w:name="_Toc9172"/>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2"/>
    <w:bookmarkEnd w:id="103"/>
    <w:bookmarkEnd w:id="104"/>
    <w:bookmarkEnd w:id="105"/>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6" w:name="_Toc23793"/>
      <w:r>
        <w:rPr>
          <w:rFonts w:hint="eastAsia" w:ascii="黑体" w:hAnsi="黑体" w:eastAsia="黑体" w:cstheme="minorEastAsia"/>
          <w:b w:val="0"/>
          <w:sz w:val="28"/>
          <w:szCs w:val="28"/>
        </w:rPr>
        <w:t>12 合同的终止与解除</w:t>
      </w:r>
      <w:bookmarkEnd w:id="10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7" w:name="_Toc8620"/>
      <w:bookmarkStart w:id="108" w:name="_Toc16330030"/>
      <w:bookmarkStart w:id="109" w:name="_Toc11937"/>
      <w:bookmarkStart w:id="110" w:name="_Toc31945"/>
      <w:bookmarkStart w:id="111" w:name="_Toc13671"/>
      <w:r>
        <w:rPr>
          <w:rFonts w:hint="eastAsia" w:ascii="黑体" w:hAnsi="黑体" w:eastAsia="黑体" w:cstheme="minorEastAsia"/>
          <w:b w:val="0"/>
          <w:sz w:val="28"/>
          <w:szCs w:val="28"/>
        </w:rPr>
        <w:t>13 不可抗力</w:t>
      </w:r>
      <w:bookmarkEnd w:id="107"/>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2" w:name="_Toc30389"/>
      <w:bookmarkStart w:id="113" w:name="_Toc16330031"/>
      <w:bookmarkStart w:id="114" w:name="_Toc637"/>
      <w:bookmarkStart w:id="115" w:name="_Toc18772"/>
      <w:bookmarkStart w:id="116" w:name="_Toc31243"/>
      <w:r>
        <w:rPr>
          <w:rFonts w:hint="eastAsia" w:ascii="黑体" w:hAnsi="黑体" w:eastAsia="黑体" w:cstheme="minorEastAsia"/>
          <w:b w:val="0"/>
          <w:sz w:val="28"/>
          <w:szCs w:val="28"/>
        </w:rPr>
        <w:t>14 通讯</w:t>
      </w:r>
      <w:bookmarkEnd w:id="112"/>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17" w:name="_Toc16330032"/>
      <w:bookmarkStart w:id="118" w:name="_Toc9915"/>
      <w:bookmarkStart w:id="119" w:name="_Toc12984"/>
      <w:bookmarkStart w:id="120" w:name="_Toc23011"/>
      <w:bookmarkStart w:id="121" w:name="_Toc11290"/>
      <w:r>
        <w:rPr>
          <w:rFonts w:hint="eastAsia" w:ascii="黑体" w:hAnsi="黑体" w:eastAsia="黑体" w:cstheme="minorEastAsia"/>
          <w:b w:val="0"/>
          <w:sz w:val="28"/>
          <w:szCs w:val="28"/>
        </w:rPr>
        <w:t>15 适用法律及争议解决</w:t>
      </w:r>
      <w:bookmarkEnd w:id="117"/>
      <w:bookmarkEnd w:id="118"/>
      <w:bookmarkEnd w:id="119"/>
      <w:bookmarkEnd w:id="120"/>
      <w:bookmarkEnd w:id="1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2" w:name="_Toc18207"/>
      <w:bookmarkStart w:id="123" w:name="_Toc16330033"/>
      <w:bookmarkStart w:id="124" w:name="_Toc5747"/>
      <w:bookmarkStart w:id="125" w:name="_Toc23906"/>
      <w:bookmarkStart w:id="126" w:name="_Toc23765"/>
      <w:r>
        <w:rPr>
          <w:rFonts w:hint="eastAsia" w:ascii="黑体" w:hAnsi="黑体" w:eastAsia="黑体" w:cstheme="minorEastAsia"/>
          <w:b w:val="0"/>
          <w:sz w:val="28"/>
          <w:szCs w:val="28"/>
        </w:rPr>
        <w:t>16 附件</w:t>
      </w:r>
      <w:bookmarkEnd w:id="122"/>
      <w:bookmarkEnd w:id="123"/>
      <w:bookmarkEnd w:id="124"/>
      <w:bookmarkEnd w:id="125"/>
      <w:bookmarkEnd w:id="1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7" w:name="_Toc27202"/>
      <w:bookmarkStart w:id="128" w:name="_Toc17656"/>
      <w:bookmarkStart w:id="129" w:name="_Toc16330034"/>
      <w:bookmarkStart w:id="130" w:name="_Toc9594"/>
      <w:bookmarkStart w:id="131" w:name="_Toc31331"/>
      <w:r>
        <w:rPr>
          <w:rFonts w:hint="eastAsia" w:ascii="黑体" w:hAnsi="黑体" w:eastAsia="黑体" w:cstheme="minorEastAsia"/>
          <w:b w:val="0"/>
          <w:sz w:val="28"/>
          <w:szCs w:val="28"/>
        </w:rPr>
        <w:t>17 其他规定</w:t>
      </w:r>
      <w:bookmarkEnd w:id="127"/>
      <w:bookmarkEnd w:id="128"/>
      <w:bookmarkEnd w:id="129"/>
      <w:bookmarkEnd w:id="130"/>
      <w:bookmarkEnd w:id="13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2" w:name="_Toc29136"/>
      <w:bookmarkStart w:id="133" w:name="_Toc16330035"/>
      <w:bookmarkStart w:id="134" w:name="_Toc17952"/>
      <w:bookmarkStart w:id="135"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6" w:name="_Toc15340"/>
      <w:r>
        <w:rPr>
          <w:rFonts w:hint="eastAsia" w:ascii="黑体" w:hAnsi="黑体" w:eastAsia="黑体" w:cstheme="minorEastAsia"/>
          <w:b w:val="0"/>
          <w:sz w:val="28"/>
          <w:szCs w:val="28"/>
        </w:rPr>
        <w:t>18 签署事项</w:t>
      </w:r>
      <w:bookmarkEnd w:id="132"/>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7" w:name="_Toc16330036"/>
      <w:bookmarkStart w:id="138" w:name="_Toc15689"/>
      <w:bookmarkStart w:id="139" w:name="_Toc10272"/>
      <w:bookmarkStart w:id="140"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7"/>
    <w:bookmarkEnd w:id="138"/>
    <w:bookmarkEnd w:id="139"/>
    <w:bookmarkEnd w:id="140"/>
    <w:p>
      <w:pPr>
        <w:rPr>
          <w:sz w:val="24"/>
          <w:szCs w:val="24"/>
        </w:rPr>
      </w:pPr>
    </w:p>
    <w:p>
      <w:pPr>
        <w:pStyle w:val="4"/>
        <w:tabs>
          <w:tab w:val="right" w:leader="dot" w:pos="9061"/>
        </w:tabs>
        <w:rPr>
          <w:rFonts w:ascii="黑体" w:hAnsi="黑体" w:eastAsia="黑体" w:cstheme="minorEastAsia"/>
          <w:b w:val="0"/>
          <w:sz w:val="28"/>
          <w:szCs w:val="28"/>
        </w:rPr>
      </w:pPr>
      <w:bookmarkStart w:id="141" w:name="_Toc14581"/>
      <w:r>
        <w:rPr>
          <w:rFonts w:hint="eastAsia" w:ascii="黑体" w:hAnsi="黑体" w:eastAsia="黑体" w:cstheme="minorEastAsia"/>
          <w:b w:val="0"/>
          <w:sz w:val="28"/>
          <w:szCs w:val="28"/>
        </w:rPr>
        <w:t>附件一：设备清单明细表</w:t>
      </w:r>
      <w:bookmarkEnd w:id="141"/>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2" w:name="_Toc25120"/>
      <w:bookmarkStart w:id="143" w:name="_Toc5379"/>
      <w:bookmarkStart w:id="144" w:name="_Toc24623"/>
      <w:bookmarkStart w:id="145" w:name="_Toc16330037"/>
      <w:bookmarkStart w:id="146" w:name="_Toc3778"/>
    </w:p>
    <w:p>
      <w:pPr>
        <w:rPr>
          <w:rFonts w:hint="eastAsia" w:ascii="黑体" w:hAnsi="黑体" w:eastAsia="黑体" w:cstheme="minorEastAsia"/>
          <w:b w:val="0"/>
          <w:sz w:val="28"/>
          <w:szCs w:val="28"/>
        </w:rPr>
      </w:pPr>
      <w:bookmarkStart w:id="147" w:name="_Toc8175"/>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ascii="黑体" w:hAnsi="黑体" w:eastAsia="黑体" w:cstheme="minorEastAsia"/>
          <w:b w:val="0"/>
          <w:sz w:val="28"/>
          <w:szCs w:val="28"/>
        </w:rPr>
      </w:pPr>
      <w:r>
        <w:rPr>
          <w:rFonts w:hint="eastAsia" w:ascii="黑体" w:hAnsi="黑体" w:eastAsia="黑体" w:cstheme="minorEastAsia"/>
          <w:b w:val="0"/>
          <w:sz w:val="28"/>
          <w:szCs w:val="28"/>
        </w:rPr>
        <w:t xml:space="preserve">附件二 </w:t>
      </w:r>
      <w:bookmarkEnd w:id="142"/>
      <w:bookmarkEnd w:id="143"/>
      <w:bookmarkEnd w:id="144"/>
      <w:bookmarkEnd w:id="145"/>
      <w:bookmarkEnd w:id="146"/>
      <w:r>
        <w:rPr>
          <w:rFonts w:hint="eastAsia" w:ascii="黑体" w:hAnsi="黑体" w:eastAsia="黑体" w:cstheme="minorEastAsia"/>
          <w:b w:val="0"/>
          <w:sz w:val="28"/>
          <w:szCs w:val="28"/>
        </w:rPr>
        <w:t>技术协议书</w:t>
      </w:r>
      <w:bookmarkEnd w:id="147"/>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8"/>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9" w:name="_Toc639004"/>
      <w:bookmarkStart w:id="150" w:name="_Toc25811"/>
      <w:bookmarkStart w:id="151" w:name="_Toc353881012"/>
      <w:bookmarkStart w:id="15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9"/>
      <w:bookmarkEnd w:id="150"/>
      <w:bookmarkEnd w:id="151"/>
      <w:bookmarkEnd w:id="15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模态试验室测试设备</w:t>
      </w:r>
      <w:r>
        <w:rPr>
          <w:rFonts w:hint="eastAsia" w:ascii="宋体" w:hAnsi="宋体" w:eastAsia="宋体" w:cs="Times New Roman"/>
          <w:b/>
          <w:bCs/>
          <w:color w:val="000000"/>
          <w:sz w:val="24"/>
          <w:szCs w:val="24"/>
          <w:u w:val="single"/>
        </w:rPr>
        <w:t>招标项目</w:t>
      </w:r>
      <w:r>
        <w:rPr>
          <w:rFonts w:ascii="宋体" w:hAnsi="宋体" w:eastAsia="宋体" w:cs="Times New Roman"/>
          <w:b/>
          <w:bCs/>
          <w:color w:val="000000"/>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模态试验室测试设备</w:t>
      </w:r>
      <w:r>
        <w:rPr>
          <w:rFonts w:hint="eastAsia" w:ascii="宋体" w:hAnsi="宋体" w:eastAsia="宋体" w:cs="Times New Roman"/>
          <w:b/>
          <w:bCs/>
          <w:color w:val="000000"/>
          <w:sz w:val="24"/>
          <w:szCs w:val="24"/>
          <w:u w:val="single"/>
        </w:rPr>
        <w:t>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sz w:val="24"/>
          <w:szCs w:val="24"/>
          <w:highlight w:val="none"/>
          <w:u w:val="single"/>
          <w:lang w:val="en-US" w:eastAsia="zh-CN"/>
        </w:rPr>
        <w:t>CGZX2023060269</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1616"/>
        <w:gridCol w:w="1650"/>
        <w:gridCol w:w="146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5801"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5801"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616" w:type="dxa"/>
            <w:vAlign w:val="center"/>
          </w:tcPr>
          <w:p>
            <w:pPr>
              <w:spacing w:line="440" w:lineRule="exact"/>
              <w:jc w:val="center"/>
              <w:rPr>
                <w:rFonts w:hint="default" w:ascii="宋体" w:hAnsi="宋体" w:eastAsiaTheme="minorEastAsia"/>
                <w:color w:val="000000"/>
                <w:sz w:val="24"/>
                <w:szCs w:val="24"/>
                <w:lang w:val="en-US" w:eastAsia="zh-CN"/>
              </w:rPr>
            </w:pPr>
            <w:r>
              <w:rPr>
                <w:rFonts w:hint="eastAsia" w:ascii="宋体" w:hAnsi="宋体"/>
                <w:color w:val="000000"/>
                <w:sz w:val="24"/>
                <w:szCs w:val="24"/>
                <w:lang w:val="en-US" w:eastAsia="zh-CN"/>
              </w:rPr>
              <w:t>2019年</w:t>
            </w:r>
          </w:p>
        </w:tc>
        <w:tc>
          <w:tcPr>
            <w:tcW w:w="1650" w:type="dxa"/>
            <w:vAlign w:val="center"/>
          </w:tcPr>
          <w:p>
            <w:pPr>
              <w:spacing w:line="440" w:lineRule="exact"/>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2020</w:t>
            </w:r>
            <w:r>
              <w:rPr>
                <w:rFonts w:hint="eastAsia" w:ascii="宋体" w:hAnsi="宋体" w:eastAsia="宋体"/>
                <w:color w:val="000000"/>
                <w:sz w:val="24"/>
                <w:szCs w:val="24"/>
              </w:rPr>
              <w:t>年</w:t>
            </w:r>
          </w:p>
        </w:tc>
        <w:tc>
          <w:tcPr>
            <w:tcW w:w="146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0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616"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467" w:type="dxa"/>
          </w:tcPr>
          <w:p>
            <w:pPr>
              <w:spacing w:line="440" w:lineRule="exact"/>
              <w:jc w:val="center"/>
              <w:rPr>
                <w:rFonts w:ascii="宋体" w:hAnsi="宋体"/>
                <w:color w:val="000000"/>
                <w:sz w:val="24"/>
                <w:szCs w:val="24"/>
                <w:highlight w:val="yellow"/>
              </w:rPr>
            </w:pPr>
          </w:p>
        </w:tc>
        <w:tc>
          <w:tcPr>
            <w:tcW w:w="106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616"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467" w:type="dxa"/>
          </w:tcPr>
          <w:p>
            <w:pPr>
              <w:spacing w:line="440" w:lineRule="exact"/>
              <w:jc w:val="center"/>
              <w:rPr>
                <w:rFonts w:ascii="宋体" w:hAnsi="宋体"/>
                <w:color w:val="000000"/>
                <w:sz w:val="24"/>
                <w:szCs w:val="24"/>
                <w:highlight w:val="yellow"/>
              </w:rPr>
            </w:pPr>
          </w:p>
        </w:tc>
        <w:tc>
          <w:tcPr>
            <w:tcW w:w="106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616"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467" w:type="dxa"/>
          </w:tcPr>
          <w:p>
            <w:pPr>
              <w:spacing w:line="440" w:lineRule="exact"/>
              <w:jc w:val="center"/>
              <w:rPr>
                <w:rFonts w:ascii="宋体" w:hAnsi="宋体"/>
                <w:color w:val="000000"/>
                <w:sz w:val="24"/>
                <w:szCs w:val="24"/>
                <w:highlight w:val="yellow"/>
              </w:rPr>
            </w:pPr>
          </w:p>
        </w:tc>
        <w:tc>
          <w:tcPr>
            <w:tcW w:w="106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模态试验室测试设备</w:t>
      </w:r>
      <w:r>
        <w:rPr>
          <w:rFonts w:hint="eastAsia" w:ascii="宋体" w:hAnsi="宋体" w:eastAsia="宋体" w:cs="Times New Roman"/>
          <w:sz w:val="24"/>
          <w:szCs w:val="20"/>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eastAsia="zh-CN"/>
        </w:rPr>
        <w:t>模态试验室测试设备</w:t>
      </w:r>
      <w:r>
        <w:rPr>
          <w:rFonts w:hint="eastAsia" w:ascii="宋体" w:hAnsi="宋体" w:eastAsia="宋体" w:cs="Times New Roman"/>
          <w:color w:val="000000"/>
          <w:sz w:val="24"/>
          <w:szCs w:val="24"/>
        </w:rPr>
        <w:t>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sectPr>
          <w:footerReference r:id="rId20" w:type="default"/>
          <w:pgSz w:w="11907" w:h="16841"/>
          <w:pgMar w:top="1440" w:right="1800" w:bottom="1440" w:left="1800" w:header="0" w:footer="990" w:gutter="0"/>
          <w:pgNumType w:fmt="decimal"/>
          <w:cols w:equalWidth="0" w:num="1">
            <w:col w:w="13980"/>
          </w:cols>
        </w:sectPr>
      </w:pPr>
    </w:p>
    <w:p>
      <w:pPr>
        <w:pStyle w:val="2"/>
      </w:pPr>
    </w:p>
    <w:p>
      <w:pPr>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p>
    <w:p>
      <w:pPr>
        <w:spacing w:before="52" w:line="221" w:lineRule="auto"/>
        <w:ind w:left="9"/>
        <w:jc w:val="center"/>
        <w:rPr>
          <w:rFonts w:ascii="宋体" w:hAnsi="宋体" w:eastAsia="宋体" w:cs="Times New Roman"/>
          <w:b/>
          <w:bCs/>
          <w:sz w:val="24"/>
          <w:szCs w:val="24"/>
        </w:rPr>
      </w:pP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1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475"/>
        <w:gridCol w:w="1530"/>
        <w:gridCol w:w="1215"/>
        <w:gridCol w:w="2190"/>
        <w:gridCol w:w="2760"/>
        <w:gridCol w:w="13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475"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530"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21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190"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76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320" w:type="dxa"/>
          </w:tcPr>
          <w:p>
            <w:pPr>
              <w:spacing w:before="99" w:line="183" w:lineRule="auto"/>
              <w:ind w:firstLine="630" w:firstLineChars="3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47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53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21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90"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760"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20"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adjustRightInd w:val="0"/>
              <w:snapToGrid w:val="0"/>
              <w:spacing w:before="120" w:beforeLines="50" w:after="120" w:afterLines="50"/>
              <w:jc w:val="center"/>
              <w:rPr>
                <w:rFonts w:hint="eastAsia" w:ascii="宋体" w:hAnsi="宋体" w:cs="宋体" w:eastAsiaTheme="minorEastAsia"/>
                <w:b/>
                <w:kern w:val="2"/>
                <w:sz w:val="21"/>
                <w:szCs w:val="21"/>
                <w:lang w:val="en-US" w:eastAsia="zh-CN" w:bidi="ar-SA"/>
              </w:rPr>
            </w:pPr>
            <w:r>
              <w:rPr>
                <w:rFonts w:hint="eastAsia" w:ascii="宋体" w:hAnsi="宋体" w:cs="宋体"/>
                <w:b/>
                <w:szCs w:val="21"/>
              </w:rPr>
              <w:t>1</w:t>
            </w:r>
          </w:p>
        </w:tc>
        <w:tc>
          <w:tcPr>
            <w:tcW w:w="3475" w:type="dxa"/>
            <w:vAlign w:val="center"/>
          </w:tcPr>
          <w:p>
            <w:pPr>
              <w:adjustRightInd w:val="0"/>
              <w:snapToGrid w:val="0"/>
              <w:rPr>
                <w:rFonts w:hint="eastAsia" w:ascii="宋体" w:hAnsi="宋体" w:cs="宋体" w:eastAsiaTheme="minorEastAsia"/>
                <w:kern w:val="2"/>
                <w:sz w:val="21"/>
                <w:szCs w:val="21"/>
                <w:lang w:val="en-US" w:eastAsia="zh-CN" w:bidi="ar-SA"/>
              </w:rPr>
            </w:pPr>
            <w:r>
              <w:rPr>
                <w:rFonts w:hint="eastAsia" w:ascii="宋体" w:hAnsi="宋体" w:cs="宋体"/>
                <w:b/>
                <w:szCs w:val="21"/>
              </w:rPr>
              <w:t>数采主机</w:t>
            </w:r>
          </w:p>
        </w:tc>
        <w:tc>
          <w:tcPr>
            <w:tcW w:w="1530" w:type="dxa"/>
            <w:vAlign w:val="top"/>
          </w:tcPr>
          <w:p>
            <w:pPr>
              <w:spacing w:line="240" w:lineRule="auto"/>
              <w:jc w:val="center"/>
              <w:rPr>
                <w:rFonts w:ascii="Arial"/>
              </w:rPr>
            </w:pPr>
          </w:p>
        </w:tc>
        <w:tc>
          <w:tcPr>
            <w:tcW w:w="1215" w:type="dxa"/>
            <w:vAlign w:val="center"/>
          </w:tcPr>
          <w:p>
            <w:pPr>
              <w:adjustRightInd w:val="0"/>
              <w:snapToGrid w:val="0"/>
              <w:spacing w:before="120" w:beforeLines="50" w:after="120" w:afterLines="50"/>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hint="eastAsia" w:ascii="Arial" w:eastAsiaTheme="minorEastAsia"/>
                <w:lang w:val="en-US" w:eastAsia="zh-CN"/>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1.1</w:t>
            </w:r>
          </w:p>
        </w:tc>
        <w:tc>
          <w:tcPr>
            <w:tcW w:w="3475" w:type="dxa"/>
            <w:vAlign w:val="center"/>
          </w:tcPr>
          <w:p>
            <w:pPr>
              <w:adjustRightInd w:val="0"/>
              <w:snapToGrid w:val="0"/>
              <w:spacing w:before="120" w:beforeLines="50" w:after="120" w:afterLines="50"/>
              <w:rPr>
                <w:rFonts w:hint="eastAsia" w:ascii="宋体" w:hAnsi="宋体" w:cs="宋体" w:eastAsiaTheme="minorEastAsia"/>
                <w:bCs/>
                <w:kern w:val="2"/>
                <w:sz w:val="21"/>
                <w:szCs w:val="21"/>
                <w:lang w:val="en-US" w:eastAsia="zh-CN" w:bidi="ar-SA"/>
              </w:rPr>
            </w:pPr>
            <w:r>
              <w:rPr>
                <w:rFonts w:hint="eastAsia" w:ascii="宋体" w:hAnsi="宋体" w:cs="宋体"/>
                <w:bCs/>
                <w:szCs w:val="21"/>
              </w:rPr>
              <w:t>机箱</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台</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1.2</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ascii="宋体" w:hAnsi="宋体" w:cs="宋体"/>
                <w:szCs w:val="21"/>
              </w:rPr>
              <w:t>50</w:t>
            </w:r>
            <w:r>
              <w:rPr>
                <w:rFonts w:hint="eastAsia" w:ascii="宋体" w:hAnsi="宋体" w:cs="宋体"/>
                <w:szCs w:val="21"/>
              </w:rPr>
              <w:t>k</w:t>
            </w:r>
            <w:r>
              <w:rPr>
                <w:rFonts w:ascii="宋体" w:hAnsi="宋体" w:cs="宋体"/>
                <w:szCs w:val="21"/>
              </w:rPr>
              <w:t>H</w:t>
            </w:r>
            <w:r>
              <w:rPr>
                <w:rFonts w:hint="eastAsia" w:ascii="宋体" w:hAnsi="宋体" w:cs="宋体"/>
                <w:szCs w:val="21"/>
              </w:rPr>
              <w:t>z采样率ICP/模拟电压输入通道</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9</w:t>
            </w:r>
            <w:r>
              <w:rPr>
                <w:rFonts w:ascii="宋体" w:hAnsi="宋体" w:cs="宋体"/>
                <w:szCs w:val="21"/>
              </w:rPr>
              <w:t>6</w:t>
            </w:r>
          </w:p>
        </w:tc>
        <w:tc>
          <w:tcPr>
            <w:tcW w:w="2190" w:type="dxa"/>
            <w:vAlign w:val="center"/>
          </w:tcPr>
          <w:p>
            <w:pPr>
              <w:adjustRightInd w:val="0"/>
              <w:snapToGrid w:val="0"/>
              <w:jc w:val="center"/>
              <w:rPr>
                <w:rFonts w:ascii="Arial"/>
              </w:rPr>
            </w:pPr>
            <w:r>
              <w:rPr>
                <w:rFonts w:hint="eastAsia" w:ascii="宋体" w:hAnsi="宋体" w:cs="宋体"/>
                <w:szCs w:val="21"/>
              </w:rPr>
              <w:t>个</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w:t>
            </w:r>
            <w:r>
              <w:rPr>
                <w:rFonts w:ascii="宋体" w:hAnsi="宋体" w:cs="宋体"/>
                <w:szCs w:val="21"/>
              </w:rPr>
              <w:t>3</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信号输出通道</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ascii="宋体" w:hAnsi="宋体" w:cs="宋体"/>
                <w:szCs w:val="21"/>
              </w:rPr>
              <w:t>4</w:t>
            </w:r>
          </w:p>
        </w:tc>
        <w:tc>
          <w:tcPr>
            <w:tcW w:w="2190" w:type="dxa"/>
            <w:vAlign w:val="center"/>
          </w:tcPr>
          <w:p>
            <w:pPr>
              <w:adjustRightInd w:val="0"/>
              <w:snapToGrid w:val="0"/>
              <w:jc w:val="center"/>
              <w:rPr>
                <w:rFonts w:ascii="Arial"/>
              </w:rPr>
            </w:pPr>
            <w:r>
              <w:rPr>
                <w:rFonts w:hint="eastAsia" w:ascii="宋体" w:hAnsi="宋体" w:cs="宋体"/>
                <w:szCs w:val="21"/>
              </w:rPr>
              <w:t>个</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w:t>
            </w:r>
            <w:r>
              <w:rPr>
                <w:rFonts w:ascii="宋体" w:hAnsi="宋体" w:cs="宋体"/>
                <w:szCs w:val="21"/>
              </w:rPr>
              <w:t>4</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转速通道</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个</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b/>
                <w:kern w:val="2"/>
                <w:sz w:val="21"/>
                <w:szCs w:val="21"/>
                <w:lang w:val="en-US" w:eastAsia="zh-CN" w:bidi="ar-SA"/>
              </w:rPr>
            </w:pPr>
            <w:r>
              <w:rPr>
                <w:rFonts w:hint="eastAsia" w:ascii="宋体" w:hAnsi="宋体" w:cs="宋体"/>
                <w:b/>
                <w:szCs w:val="21"/>
              </w:rPr>
              <w:t>2</w:t>
            </w:r>
          </w:p>
        </w:tc>
        <w:tc>
          <w:tcPr>
            <w:tcW w:w="3475" w:type="dxa"/>
            <w:vAlign w:val="center"/>
          </w:tcPr>
          <w:p>
            <w:pPr>
              <w:adjustRightInd w:val="0"/>
              <w:snapToGrid w:val="0"/>
              <w:spacing w:before="120" w:beforeLines="50" w:after="120" w:afterLines="50"/>
              <w:rPr>
                <w:rFonts w:hint="eastAsia" w:ascii="宋体" w:hAnsi="宋体" w:cs="宋体" w:eastAsiaTheme="minorEastAsia"/>
                <w:b/>
                <w:kern w:val="2"/>
                <w:sz w:val="21"/>
                <w:szCs w:val="21"/>
                <w:lang w:val="en-US" w:eastAsia="zh-CN" w:bidi="ar-SA"/>
              </w:rPr>
            </w:pPr>
            <w:r>
              <w:rPr>
                <w:rFonts w:hint="eastAsia" w:ascii="宋体" w:hAnsi="宋体" w:cs="宋体"/>
                <w:b/>
                <w:szCs w:val="21"/>
              </w:rPr>
              <w:t>软件系统（按软件功能分项报价）</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.1</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基本采集功能</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.2</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数据分析及显示功能</w:t>
            </w:r>
          </w:p>
        </w:tc>
        <w:tc>
          <w:tcPr>
            <w:tcW w:w="1530" w:type="dxa"/>
            <w:vAlign w:val="top"/>
          </w:tcPr>
          <w:p>
            <w:pPr>
              <w:spacing w:line="240" w:lineRule="auto"/>
              <w:jc w:val="center"/>
              <w:rPr>
                <w:rFonts w:ascii="Arial"/>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.3</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时域信号后处理及扭振分析功能</w:t>
            </w:r>
          </w:p>
        </w:tc>
        <w:tc>
          <w:tcPr>
            <w:tcW w:w="1530"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.4</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传递路径分析功能</w:t>
            </w:r>
          </w:p>
        </w:tc>
        <w:tc>
          <w:tcPr>
            <w:tcW w:w="1530"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.5</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模态测试与分析功能</w:t>
            </w:r>
          </w:p>
        </w:tc>
        <w:tc>
          <w:tcPr>
            <w:tcW w:w="1530"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b/>
                <w:kern w:val="2"/>
                <w:sz w:val="21"/>
                <w:szCs w:val="21"/>
                <w:lang w:val="en-US" w:eastAsia="zh-CN" w:bidi="ar-SA"/>
              </w:rPr>
            </w:pPr>
            <w:r>
              <w:rPr>
                <w:rFonts w:hint="eastAsia" w:ascii="宋体" w:hAnsi="宋体" w:cs="宋体"/>
                <w:b/>
                <w:szCs w:val="21"/>
              </w:rPr>
              <w:t>3</w:t>
            </w:r>
          </w:p>
        </w:tc>
        <w:tc>
          <w:tcPr>
            <w:tcW w:w="3475" w:type="dxa"/>
            <w:vAlign w:val="center"/>
          </w:tcPr>
          <w:p>
            <w:pPr>
              <w:adjustRightInd w:val="0"/>
              <w:snapToGrid w:val="0"/>
              <w:spacing w:before="120" w:beforeLines="50" w:after="120" w:afterLines="50"/>
              <w:rPr>
                <w:rFonts w:hint="eastAsia" w:ascii="宋体" w:hAnsi="宋体" w:cs="宋体" w:eastAsiaTheme="minorEastAsia"/>
                <w:b/>
                <w:bCs/>
                <w:kern w:val="2"/>
                <w:sz w:val="21"/>
                <w:szCs w:val="21"/>
                <w:lang w:val="en-US" w:eastAsia="zh-CN" w:bidi="ar-SA"/>
              </w:rPr>
            </w:pPr>
            <w:r>
              <w:rPr>
                <w:rFonts w:hint="eastAsia" w:ascii="宋体" w:hAnsi="宋体" w:cs="宋体"/>
                <w:b/>
                <w:bCs/>
                <w:szCs w:val="21"/>
              </w:rPr>
              <w:t>传感器等附件</w:t>
            </w:r>
          </w:p>
        </w:tc>
        <w:tc>
          <w:tcPr>
            <w:tcW w:w="1530"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215" w:type="dxa"/>
            <w:vAlign w:val="center"/>
          </w:tcPr>
          <w:p>
            <w:pPr>
              <w:adjustRightInd w:val="0"/>
              <w:snapToGrid w:val="0"/>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3.1</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小量程加速度传感器（5</w:t>
            </w:r>
            <w:r>
              <w:rPr>
                <w:rFonts w:ascii="宋体" w:hAnsi="宋体" w:cs="宋体"/>
                <w:szCs w:val="21"/>
              </w:rPr>
              <w:t>0</w:t>
            </w:r>
            <w:r>
              <w:rPr>
                <w:rFonts w:hint="eastAsia" w:ascii="宋体" w:hAnsi="宋体" w:cs="宋体"/>
                <w:szCs w:val="21"/>
              </w:rPr>
              <w:t>g）</w:t>
            </w:r>
          </w:p>
        </w:tc>
        <w:tc>
          <w:tcPr>
            <w:tcW w:w="1530"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215"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4</w:t>
            </w:r>
            <w:r>
              <w:rPr>
                <w:rFonts w:ascii="宋体" w:hAnsi="宋体" w:cs="宋体"/>
                <w:szCs w:val="21"/>
              </w:rPr>
              <w:t>0</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.2</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大量程加速度传感器（5</w:t>
            </w:r>
            <w:r>
              <w:rPr>
                <w:rFonts w:ascii="宋体" w:hAnsi="宋体" w:cs="宋体"/>
                <w:szCs w:val="21"/>
              </w:rPr>
              <w:t>00</w:t>
            </w:r>
            <w:r>
              <w:rPr>
                <w:rFonts w:hint="eastAsia" w:ascii="宋体" w:hAnsi="宋体" w:cs="宋体"/>
                <w:szCs w:val="21"/>
              </w:rPr>
              <w:t>g）</w:t>
            </w:r>
          </w:p>
        </w:tc>
        <w:tc>
          <w:tcPr>
            <w:tcW w:w="1530"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215" w:type="dxa"/>
            <w:vAlign w:val="center"/>
          </w:tcPr>
          <w:p>
            <w:pPr>
              <w:jc w:val="center"/>
              <w:rPr>
                <w:rFonts w:ascii="宋体" w:hAnsi="宋体" w:eastAsia="宋体" w:cs="宋体"/>
                <w:kern w:val="2"/>
                <w:sz w:val="21"/>
                <w:szCs w:val="21"/>
                <w:highlight w:val="yellow"/>
                <w:lang w:val="en-US" w:eastAsia="zh-CN" w:bidi="ar-SA"/>
              </w:rPr>
            </w:pPr>
            <w:r>
              <w:rPr>
                <w:rFonts w:ascii="宋体" w:hAnsi="宋体" w:cs="宋体"/>
                <w:szCs w:val="21"/>
              </w:rPr>
              <w:t>2</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3</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加速度传感器线缆（1</w:t>
            </w:r>
            <w:r>
              <w:rPr>
                <w:rFonts w:ascii="宋体" w:hAnsi="宋体" w:cs="宋体"/>
                <w:szCs w:val="21"/>
              </w:rPr>
              <w:t>0</w:t>
            </w:r>
            <w:r>
              <w:rPr>
                <w:rFonts w:hint="eastAsia" w:ascii="宋体" w:hAnsi="宋体" w:cs="宋体"/>
                <w:szCs w:val="21"/>
              </w:rPr>
              <w:t>m）</w:t>
            </w:r>
          </w:p>
        </w:tc>
        <w:tc>
          <w:tcPr>
            <w:tcW w:w="1530"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eastAsia="宋体" w:cs="宋体"/>
                <w:kern w:val="2"/>
                <w:sz w:val="21"/>
                <w:szCs w:val="21"/>
                <w:highlight w:val="yellow"/>
                <w:lang w:val="en-US" w:eastAsia="zh-CN" w:bidi="ar-SA"/>
              </w:rPr>
            </w:pPr>
            <w:r>
              <w:rPr>
                <w:rFonts w:hint="eastAsia" w:ascii="宋体" w:hAnsi="宋体" w:cs="宋体"/>
                <w:szCs w:val="21"/>
              </w:rPr>
              <w:t>6</w:t>
            </w:r>
            <w:r>
              <w:rPr>
                <w:rFonts w:ascii="宋体" w:hAnsi="宋体" w:cs="宋体"/>
                <w:szCs w:val="21"/>
              </w:rPr>
              <w:t>0</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4</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小力锤（含线缆）</w:t>
            </w:r>
          </w:p>
        </w:tc>
        <w:tc>
          <w:tcPr>
            <w:tcW w:w="1530"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215" w:type="dxa"/>
            <w:vAlign w:val="center"/>
          </w:tcPr>
          <w:p>
            <w:pPr>
              <w:jc w:val="center"/>
              <w:rPr>
                <w:rFonts w:hint="eastAsia" w:ascii="宋体" w:hAnsi="宋体" w:eastAsia="宋体" w:cs="宋体"/>
                <w:kern w:val="2"/>
                <w:sz w:val="21"/>
                <w:szCs w:val="21"/>
                <w:highlight w:val="yellow"/>
                <w:lang w:val="en-US" w:eastAsia="zh-CN" w:bidi="ar-SA"/>
              </w:rPr>
            </w:pPr>
            <w:r>
              <w:rPr>
                <w:rFonts w:ascii="宋体" w:hAnsi="宋体" w:cs="宋体"/>
                <w:szCs w:val="21"/>
              </w:rPr>
              <w:t>3</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.5</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小力锤备用锤头（3种硬度均配备）</w:t>
            </w:r>
          </w:p>
        </w:tc>
        <w:tc>
          <w:tcPr>
            <w:tcW w:w="1530"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215" w:type="dxa"/>
            <w:vAlign w:val="center"/>
          </w:tcPr>
          <w:p>
            <w:pPr>
              <w:jc w:val="center"/>
              <w:rPr>
                <w:rFonts w:hint="eastAsia" w:ascii="宋体" w:hAnsi="宋体" w:eastAsia="宋体" w:cs="宋体"/>
                <w:kern w:val="2"/>
                <w:sz w:val="21"/>
                <w:szCs w:val="21"/>
                <w:highlight w:val="yellow"/>
                <w:lang w:val="en-US" w:eastAsia="zh-CN" w:bidi="ar-SA"/>
              </w:rPr>
            </w:pPr>
            <w:r>
              <w:rPr>
                <w:rFonts w:hint="eastAsia" w:ascii="宋体" w:hAnsi="宋体" w:cs="宋体"/>
                <w:szCs w:val="21"/>
              </w:rPr>
              <w:t>5</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6</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大力锤（含线缆）</w:t>
            </w:r>
          </w:p>
        </w:tc>
        <w:tc>
          <w:tcPr>
            <w:tcW w:w="1530"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ascii="宋体" w:hAnsi="宋体" w:cs="宋体"/>
                <w:szCs w:val="21"/>
              </w:rPr>
              <w:t>3</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.7</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大力锤备用锤头（软锤头）</w:t>
            </w:r>
          </w:p>
        </w:tc>
        <w:tc>
          <w:tcPr>
            <w:tcW w:w="1530"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2</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8</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激振器系统（含功放及线缆）</w:t>
            </w:r>
          </w:p>
        </w:tc>
        <w:tc>
          <w:tcPr>
            <w:tcW w:w="1530"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4</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9</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阻抗头（含线缆）</w:t>
            </w:r>
          </w:p>
        </w:tc>
        <w:tc>
          <w:tcPr>
            <w:tcW w:w="1530"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6</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.10</w:t>
            </w:r>
          </w:p>
        </w:tc>
        <w:tc>
          <w:tcPr>
            <w:tcW w:w="3475" w:type="dxa"/>
            <w:vAlign w:val="center"/>
          </w:tcPr>
          <w:p>
            <w:pPr>
              <w:adjustRightInd w:val="0"/>
              <w:snapToGrid w:val="0"/>
              <w:spacing w:before="120" w:beforeLines="50" w:after="120" w:afterLines="50"/>
              <w:rPr>
                <w:rFonts w:hint="default" w:ascii="宋体" w:hAnsi="宋体" w:cs="宋体" w:eastAsiaTheme="minorEastAsia"/>
                <w:kern w:val="2"/>
                <w:sz w:val="21"/>
                <w:szCs w:val="21"/>
                <w:lang w:val="en-US" w:eastAsia="zh-CN" w:bidi="ar-SA"/>
              </w:rPr>
            </w:pPr>
            <w:r>
              <w:rPr>
                <w:rFonts w:hint="eastAsia" w:ascii="宋体" w:hAnsi="宋体" w:cs="宋体"/>
                <w:szCs w:val="21"/>
              </w:rPr>
              <w:t>传声器（含防风罩、三脚架、固定夹）</w:t>
            </w:r>
          </w:p>
        </w:tc>
        <w:tc>
          <w:tcPr>
            <w:tcW w:w="1530"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215" w:type="dxa"/>
            <w:vAlign w:val="center"/>
          </w:tcPr>
          <w:p>
            <w:pPr>
              <w:jc w:val="center"/>
              <w:rPr>
                <w:rFonts w:hint="default" w:ascii="宋体" w:hAnsi="宋体" w:eastAsia="宋体"/>
                <w:sz w:val="21"/>
                <w:szCs w:val="21"/>
                <w:lang w:val="en-US" w:eastAsia="zh-CN"/>
              </w:rPr>
            </w:pPr>
            <w:r>
              <w:rPr>
                <w:rFonts w:hint="eastAsia" w:ascii="宋体" w:hAnsi="宋体" w:cs="宋体"/>
                <w:szCs w:val="21"/>
              </w:rPr>
              <w:t>1</w:t>
            </w:r>
            <w:r>
              <w:rPr>
                <w:rFonts w:ascii="宋体" w:hAnsi="宋体" w:cs="宋体"/>
                <w:szCs w:val="21"/>
              </w:rPr>
              <w:t>0</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.11</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传声器校准器</w:t>
            </w:r>
          </w:p>
        </w:tc>
        <w:tc>
          <w:tcPr>
            <w:tcW w:w="1530"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个</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.12</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传声器B</w:t>
            </w:r>
            <w:r>
              <w:rPr>
                <w:rFonts w:ascii="宋体" w:hAnsi="宋体" w:cs="宋体"/>
                <w:szCs w:val="21"/>
              </w:rPr>
              <w:t>NC</w:t>
            </w:r>
            <w:r>
              <w:rPr>
                <w:rFonts w:hint="eastAsia" w:ascii="宋体" w:hAnsi="宋体" w:cs="宋体"/>
                <w:szCs w:val="21"/>
              </w:rPr>
              <w:t>线缆（不小于1</w:t>
            </w:r>
            <w:r>
              <w:rPr>
                <w:rFonts w:ascii="宋体" w:hAnsi="宋体" w:cs="宋体"/>
                <w:szCs w:val="21"/>
              </w:rPr>
              <w:t>0</w:t>
            </w:r>
            <w:r>
              <w:rPr>
                <w:rFonts w:hint="eastAsia" w:ascii="宋体" w:hAnsi="宋体" w:cs="宋体"/>
                <w:szCs w:val="21"/>
              </w:rPr>
              <w:t>m）</w:t>
            </w:r>
          </w:p>
        </w:tc>
        <w:tc>
          <w:tcPr>
            <w:tcW w:w="1530" w:type="dxa"/>
            <w:vAlign w:val="center"/>
          </w:tcPr>
          <w:p>
            <w:pPr>
              <w:spacing w:line="240" w:lineRule="auto"/>
              <w:jc w:val="center"/>
              <w:rPr>
                <w:rFonts w:hint="eastAsia" w:ascii="宋体" w:hAnsi="宋体" w:eastAsia="宋体" w:cs="宋体"/>
                <w:kern w:val="2"/>
                <w:sz w:val="24"/>
                <w:szCs w:val="24"/>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1</w:t>
            </w:r>
            <w:r>
              <w:rPr>
                <w:rFonts w:ascii="宋体" w:hAnsi="宋体" w:cs="宋体"/>
                <w:szCs w:val="21"/>
              </w:rPr>
              <w:t>5</w:t>
            </w:r>
          </w:p>
        </w:tc>
        <w:tc>
          <w:tcPr>
            <w:tcW w:w="2190" w:type="dxa"/>
            <w:vAlign w:val="center"/>
          </w:tcPr>
          <w:p>
            <w:pPr>
              <w:adjustRightInd w:val="0"/>
              <w:snapToGrid w:val="0"/>
              <w:jc w:val="center"/>
              <w:rPr>
                <w:rFonts w:ascii="Arial"/>
              </w:rPr>
            </w:pPr>
            <w:r>
              <w:rPr>
                <w:rFonts w:hint="eastAsia" w:ascii="宋体" w:hAnsi="宋体" w:cs="宋体"/>
                <w:szCs w:val="21"/>
              </w:rPr>
              <w:t>根</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13</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移动式数据存储处理设备</w:t>
            </w:r>
          </w:p>
        </w:tc>
        <w:tc>
          <w:tcPr>
            <w:tcW w:w="1530" w:type="dxa"/>
            <w:vAlign w:val="center"/>
          </w:tcPr>
          <w:p>
            <w:pPr>
              <w:spacing w:line="240" w:lineRule="auto"/>
              <w:jc w:val="center"/>
              <w:rPr>
                <w:rFonts w:hint="eastAsia" w:ascii="宋体" w:hAnsi="宋体" w:eastAsia="宋体" w:cs="宋体"/>
                <w:kern w:val="2"/>
                <w:sz w:val="24"/>
                <w:szCs w:val="24"/>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ascii="宋体" w:hAnsi="宋体" w:cs="宋体"/>
                <w:szCs w:val="21"/>
              </w:rPr>
              <w:t>1</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.14</w:t>
            </w:r>
          </w:p>
        </w:tc>
        <w:tc>
          <w:tcPr>
            <w:tcW w:w="3475"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便携设备防护箱（含内衬）</w:t>
            </w:r>
          </w:p>
        </w:tc>
        <w:tc>
          <w:tcPr>
            <w:tcW w:w="1530" w:type="dxa"/>
            <w:vAlign w:val="top"/>
          </w:tcPr>
          <w:p>
            <w:pPr>
              <w:spacing w:line="240" w:lineRule="auto"/>
              <w:jc w:val="center"/>
              <w:rPr>
                <w:rFonts w:hint="eastAsia" w:ascii="Arial" w:hAnsiTheme="minorHAnsi" w:eastAsiaTheme="minorEastAsia" w:cstheme="minorBidi"/>
                <w:kern w:val="2"/>
                <w:sz w:val="21"/>
                <w:szCs w:val="22"/>
                <w:lang w:val="en-US" w:eastAsia="zh-CN" w:bidi="ar-SA"/>
              </w:rPr>
            </w:pPr>
          </w:p>
        </w:tc>
        <w:tc>
          <w:tcPr>
            <w:tcW w:w="1215"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2</w:t>
            </w:r>
          </w:p>
        </w:tc>
        <w:tc>
          <w:tcPr>
            <w:tcW w:w="2190" w:type="dxa"/>
            <w:vAlign w:val="center"/>
          </w:tcPr>
          <w:p>
            <w:pPr>
              <w:adjustRightInd w:val="0"/>
              <w:snapToGrid w:val="0"/>
              <w:jc w:val="center"/>
              <w:rPr>
                <w:rFonts w:ascii="Arial"/>
              </w:rPr>
            </w:pPr>
            <w:r>
              <w:rPr>
                <w:rFonts w:hint="eastAsia" w:ascii="宋体" w:hAnsi="宋体" w:cs="宋体"/>
                <w:szCs w:val="21"/>
              </w:rPr>
              <w:t>套</w:t>
            </w:r>
          </w:p>
        </w:tc>
        <w:tc>
          <w:tcPr>
            <w:tcW w:w="2760" w:type="dxa"/>
            <w:tcBorders>
              <w:right w:val="single" w:color="000000" w:sz="4" w:space="0"/>
            </w:tcBorders>
          </w:tcPr>
          <w:p>
            <w:pPr>
              <w:rPr>
                <w:rFonts w:ascii="Arial"/>
              </w:rPr>
            </w:pPr>
          </w:p>
        </w:tc>
        <w:tc>
          <w:tcPr>
            <w:tcW w:w="1320"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3475" w:type="dxa"/>
          </w:tcPr>
          <w:p>
            <w:pPr>
              <w:rPr>
                <w:rFonts w:ascii="Arial"/>
              </w:rPr>
            </w:pPr>
            <w:r>
              <w:rPr>
                <w:rFonts w:hint="eastAsia" w:ascii="宋体" w:hAnsi="宋体" w:eastAsia="宋体" w:cs="宋体"/>
              </w:rPr>
              <w:t>以上投标设备不足之处请往下添加序号自行补充</w:t>
            </w:r>
          </w:p>
        </w:tc>
        <w:tc>
          <w:tcPr>
            <w:tcW w:w="1530" w:type="dxa"/>
          </w:tcPr>
          <w:p>
            <w:pPr>
              <w:rPr>
                <w:rFonts w:ascii="Arial"/>
              </w:rPr>
            </w:pPr>
          </w:p>
        </w:tc>
        <w:tc>
          <w:tcPr>
            <w:tcW w:w="1215" w:type="dxa"/>
          </w:tcPr>
          <w:p>
            <w:pPr>
              <w:rPr>
                <w:rFonts w:ascii="Arial"/>
              </w:rPr>
            </w:pPr>
          </w:p>
        </w:tc>
        <w:tc>
          <w:tcPr>
            <w:tcW w:w="2190" w:type="dxa"/>
          </w:tcPr>
          <w:p>
            <w:pPr>
              <w:rPr>
                <w:rFonts w:ascii="Arial"/>
              </w:rPr>
            </w:pPr>
          </w:p>
        </w:tc>
        <w:tc>
          <w:tcPr>
            <w:tcW w:w="2760" w:type="dxa"/>
            <w:tcBorders>
              <w:right w:val="single" w:color="000000" w:sz="4" w:space="0"/>
            </w:tcBorders>
          </w:tcPr>
          <w:p>
            <w:pPr>
              <w:rPr>
                <w:rFonts w:ascii="Arial"/>
              </w:rPr>
            </w:pPr>
          </w:p>
        </w:tc>
        <w:tc>
          <w:tcPr>
            <w:tcW w:w="1320"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line="105" w:lineRule="exact"/>
      </w:pPr>
    </w:p>
    <w:p>
      <w:pPr>
        <w:sectPr>
          <w:pgSz w:w="16841" w:h="11907" w:orient="landscape"/>
          <w:pgMar w:top="403" w:right="1389" w:bottom="1168" w:left="1474" w:header="0" w:footer="992" w:gutter="0"/>
          <w:pgNumType w:fmt="decimal"/>
          <w:cols w:equalWidth="0" w:num="1">
            <w:col w:w="13980"/>
          </w:cols>
          <w:rtlGutter w:val="0"/>
          <w:docGrid w:linePitch="0" w:charSpace="0"/>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lang w:val="en-US" w:eastAsia="zh-CN"/>
        </w:rPr>
        <w:t>019</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eastAsia="zh-CN"/>
        </w:rPr>
        <w:t>模态试验室测试设备</w:t>
      </w:r>
      <w:r>
        <w:rPr>
          <w:rFonts w:hint="eastAsia" w:ascii="宋体" w:hAnsi="宋体" w:eastAsia="宋体" w:cs="Times New Roman"/>
          <w:color w:val="000000"/>
          <w:sz w:val="24"/>
          <w:szCs w:val="24"/>
        </w:rPr>
        <w:t>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lang w:val="en-US" w:eastAsia="zh-CN"/>
              </w:rPr>
              <w:t>2019</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val="en-US" w:eastAsia="zh-CN"/>
        </w:rPr>
        <w:t>2019</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r>
        <w:br w:type="page"/>
      </w:r>
    </w:p>
    <w:p>
      <w:pPr>
        <w:pStyle w:val="2"/>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pPr>
        <w:spacing w:line="240" w:lineRule="atLeast"/>
        <w:rPr>
          <w:rFonts w:hint="eastAsia" w:ascii="宋体" w:hAnsi="宋体" w:eastAsia="宋体" w:cs="Times New Roman"/>
          <w:sz w:val="24"/>
          <w:szCs w:val="20"/>
        </w:rPr>
      </w:pPr>
    </w:p>
    <w:p>
      <w:pPr>
        <w:spacing w:line="240" w:lineRule="atLeast"/>
        <w:rPr>
          <w:rFonts w:hint="eastAsia" w:ascii="宋体" w:hAnsi="宋体" w:eastAsia="宋体" w:cs="Times New Roman"/>
          <w:sz w:val="24"/>
          <w:szCs w:val="20"/>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模态试验室测试设备</w:t>
      </w:r>
      <w:r>
        <w:rPr>
          <w:rFonts w:hint="eastAsia" w:ascii="宋体" w:hAnsi="宋体" w:eastAsia="宋体" w:cs="Times New Roman"/>
          <w:sz w:val="24"/>
          <w:szCs w:val="20"/>
          <w:u w:val="single"/>
        </w:rPr>
        <w:t>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eastAsia="zh-CN"/>
        </w:rPr>
        <w:t>模态试验室测试设备</w:t>
      </w:r>
      <w:r>
        <w:rPr>
          <w:rFonts w:hint="eastAsia" w:ascii="宋体" w:hAnsi="宋体" w:eastAsia="宋体" w:cs="Times New Roman"/>
          <w:color w:val="000000"/>
          <w:sz w:val="24"/>
          <w:szCs w:val="24"/>
        </w:rPr>
        <w:t>招标项目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模态试验室测试设备招标项目</w:t>
            </w:r>
          </w:p>
        </w:tc>
        <w:tc>
          <w:tcPr>
            <w:tcW w:w="780"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color w:val="auto"/>
                <w:szCs w:val="20"/>
                <w:highlight w:val="none"/>
                <w:lang w:val="en-US" w:eastAsia="zh-CN"/>
              </w:rPr>
              <w:t>1套</w:t>
            </w:r>
          </w:p>
        </w:tc>
        <w:tc>
          <w:tcPr>
            <w:tcW w:w="158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082"/>
        <w:gridCol w:w="2395"/>
        <w:gridCol w:w="1120"/>
        <w:gridCol w:w="2219"/>
        <w:gridCol w:w="1982"/>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8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39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19"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982"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08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39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19"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82"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adjustRightInd w:val="0"/>
              <w:snapToGrid w:val="0"/>
              <w:spacing w:before="120" w:beforeLines="50" w:after="120" w:afterLines="50"/>
              <w:jc w:val="center"/>
              <w:rPr>
                <w:rFonts w:hint="eastAsia" w:ascii="宋体" w:hAnsi="宋体" w:cs="宋体" w:eastAsiaTheme="minorEastAsia"/>
                <w:b/>
                <w:kern w:val="2"/>
                <w:sz w:val="21"/>
                <w:szCs w:val="21"/>
                <w:lang w:val="en-US" w:eastAsia="zh-CN" w:bidi="ar-SA"/>
              </w:rPr>
            </w:pPr>
            <w:r>
              <w:rPr>
                <w:rFonts w:hint="eastAsia" w:ascii="宋体" w:hAnsi="宋体" w:cs="宋体"/>
                <w:b/>
                <w:szCs w:val="21"/>
              </w:rPr>
              <w:t>1</w:t>
            </w:r>
          </w:p>
        </w:tc>
        <w:tc>
          <w:tcPr>
            <w:tcW w:w="2082" w:type="dxa"/>
            <w:vAlign w:val="center"/>
          </w:tcPr>
          <w:p>
            <w:pPr>
              <w:adjustRightInd w:val="0"/>
              <w:snapToGrid w:val="0"/>
              <w:rPr>
                <w:rFonts w:hint="eastAsia" w:ascii="宋体" w:hAnsi="宋体" w:cs="宋体" w:eastAsiaTheme="minorEastAsia"/>
                <w:kern w:val="2"/>
                <w:sz w:val="21"/>
                <w:szCs w:val="21"/>
                <w:lang w:val="en-US" w:eastAsia="zh-CN" w:bidi="ar-SA"/>
              </w:rPr>
            </w:pPr>
            <w:r>
              <w:rPr>
                <w:rFonts w:hint="eastAsia" w:ascii="宋体" w:hAnsi="宋体" w:cs="宋体"/>
                <w:b/>
                <w:szCs w:val="21"/>
              </w:rPr>
              <w:t>数采主机</w:t>
            </w:r>
          </w:p>
        </w:tc>
        <w:tc>
          <w:tcPr>
            <w:tcW w:w="2395" w:type="dxa"/>
            <w:vAlign w:val="top"/>
          </w:tcPr>
          <w:p>
            <w:pPr>
              <w:spacing w:line="240" w:lineRule="auto"/>
              <w:jc w:val="center"/>
              <w:rPr>
                <w:rFonts w:ascii="Arial"/>
              </w:rPr>
            </w:pPr>
          </w:p>
        </w:tc>
        <w:tc>
          <w:tcPr>
            <w:tcW w:w="1120" w:type="dxa"/>
            <w:vAlign w:val="center"/>
          </w:tcPr>
          <w:p>
            <w:pPr>
              <w:adjustRightInd w:val="0"/>
              <w:snapToGrid w:val="0"/>
              <w:spacing w:before="120" w:beforeLines="50" w:after="120" w:afterLines="50"/>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1.1</w:t>
            </w:r>
          </w:p>
        </w:tc>
        <w:tc>
          <w:tcPr>
            <w:tcW w:w="2082" w:type="dxa"/>
            <w:vAlign w:val="center"/>
          </w:tcPr>
          <w:p>
            <w:pPr>
              <w:adjustRightInd w:val="0"/>
              <w:snapToGrid w:val="0"/>
              <w:spacing w:before="120" w:beforeLines="50" w:after="120" w:afterLines="50"/>
              <w:rPr>
                <w:rFonts w:hint="eastAsia" w:ascii="宋体" w:hAnsi="宋体" w:cs="宋体" w:eastAsiaTheme="minorEastAsia"/>
                <w:bCs/>
                <w:kern w:val="2"/>
                <w:sz w:val="21"/>
                <w:szCs w:val="21"/>
                <w:lang w:val="en-US" w:eastAsia="zh-CN" w:bidi="ar-SA"/>
              </w:rPr>
            </w:pPr>
            <w:r>
              <w:rPr>
                <w:rFonts w:hint="eastAsia" w:ascii="宋体" w:hAnsi="宋体" w:cs="宋体"/>
                <w:bCs/>
                <w:szCs w:val="21"/>
              </w:rPr>
              <w:t>机箱</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1.2</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ascii="宋体" w:hAnsi="宋体" w:cs="宋体"/>
                <w:szCs w:val="21"/>
              </w:rPr>
              <w:t>50</w:t>
            </w:r>
            <w:r>
              <w:rPr>
                <w:rFonts w:hint="eastAsia" w:ascii="宋体" w:hAnsi="宋体" w:cs="宋体"/>
                <w:szCs w:val="21"/>
              </w:rPr>
              <w:t>k</w:t>
            </w:r>
            <w:r>
              <w:rPr>
                <w:rFonts w:ascii="宋体" w:hAnsi="宋体" w:cs="宋体"/>
                <w:szCs w:val="21"/>
              </w:rPr>
              <w:t>H</w:t>
            </w:r>
            <w:r>
              <w:rPr>
                <w:rFonts w:hint="eastAsia" w:ascii="宋体" w:hAnsi="宋体" w:cs="宋体"/>
                <w:szCs w:val="21"/>
              </w:rPr>
              <w:t>z采样率ICP/模拟电压输入通道</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9</w:t>
            </w:r>
            <w:r>
              <w:rPr>
                <w:rFonts w:ascii="宋体" w:hAnsi="宋体" w:cs="宋体"/>
                <w:szCs w:val="21"/>
              </w:rPr>
              <w:t>6</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w:t>
            </w:r>
            <w:r>
              <w:rPr>
                <w:rFonts w:ascii="宋体" w:hAnsi="宋体" w:cs="宋体"/>
                <w:szCs w:val="21"/>
              </w:rPr>
              <w:t>3</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信号输出通道</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ascii="宋体" w:hAnsi="宋体" w:cs="宋体"/>
                <w:szCs w:val="21"/>
              </w:rPr>
              <w:t>4</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1.</w:t>
            </w:r>
            <w:r>
              <w:rPr>
                <w:rFonts w:ascii="宋体" w:hAnsi="宋体" w:cs="宋体"/>
                <w:szCs w:val="21"/>
              </w:rPr>
              <w:t>4</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转速通道</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b/>
                <w:kern w:val="2"/>
                <w:sz w:val="21"/>
                <w:szCs w:val="21"/>
                <w:lang w:val="en-US" w:eastAsia="zh-CN" w:bidi="ar-SA"/>
              </w:rPr>
            </w:pPr>
            <w:r>
              <w:rPr>
                <w:rFonts w:hint="eastAsia" w:ascii="宋体" w:hAnsi="宋体" w:cs="宋体"/>
                <w:b/>
                <w:szCs w:val="21"/>
              </w:rPr>
              <w:t>2</w:t>
            </w:r>
          </w:p>
        </w:tc>
        <w:tc>
          <w:tcPr>
            <w:tcW w:w="2082" w:type="dxa"/>
            <w:vAlign w:val="center"/>
          </w:tcPr>
          <w:p>
            <w:pPr>
              <w:adjustRightInd w:val="0"/>
              <w:snapToGrid w:val="0"/>
              <w:spacing w:before="120" w:beforeLines="50" w:after="120" w:afterLines="50"/>
              <w:rPr>
                <w:rFonts w:hint="eastAsia" w:ascii="宋体" w:hAnsi="宋体" w:cs="宋体" w:eastAsiaTheme="minorEastAsia"/>
                <w:b/>
                <w:kern w:val="2"/>
                <w:sz w:val="21"/>
                <w:szCs w:val="21"/>
                <w:lang w:val="en-US" w:eastAsia="zh-CN" w:bidi="ar-SA"/>
              </w:rPr>
            </w:pPr>
            <w:r>
              <w:rPr>
                <w:rFonts w:hint="eastAsia" w:ascii="宋体" w:hAnsi="宋体" w:cs="宋体"/>
                <w:b/>
                <w:szCs w:val="21"/>
              </w:rPr>
              <w:t>软件系统（按软件功能分项报价）</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.1</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基本采集功能</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.2</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数据分析及显示功能</w:t>
            </w:r>
          </w:p>
        </w:tc>
        <w:tc>
          <w:tcPr>
            <w:tcW w:w="2395" w:type="dxa"/>
            <w:vAlign w:val="top"/>
          </w:tcPr>
          <w:p>
            <w:pPr>
              <w:spacing w:line="240" w:lineRule="auto"/>
              <w:jc w:val="center"/>
              <w:rPr>
                <w:rFonts w:ascii="Arial"/>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.3</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时域信号后处理及扭振分析功能</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.4</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传递路径分析功能</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2</w:t>
            </w:r>
            <w:r>
              <w:rPr>
                <w:rFonts w:ascii="宋体" w:hAnsi="宋体" w:cs="宋体"/>
                <w:szCs w:val="21"/>
              </w:rPr>
              <w:t>.5</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模态测试与分析功能</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b/>
                <w:kern w:val="2"/>
                <w:sz w:val="21"/>
                <w:szCs w:val="21"/>
                <w:lang w:val="en-US" w:eastAsia="zh-CN" w:bidi="ar-SA"/>
              </w:rPr>
            </w:pPr>
            <w:r>
              <w:rPr>
                <w:rFonts w:hint="eastAsia" w:ascii="宋体" w:hAnsi="宋体" w:cs="宋体"/>
                <w:b/>
                <w:szCs w:val="21"/>
              </w:rPr>
              <w:t>3</w:t>
            </w:r>
          </w:p>
        </w:tc>
        <w:tc>
          <w:tcPr>
            <w:tcW w:w="2082" w:type="dxa"/>
            <w:vAlign w:val="center"/>
          </w:tcPr>
          <w:p>
            <w:pPr>
              <w:adjustRightInd w:val="0"/>
              <w:snapToGrid w:val="0"/>
              <w:spacing w:before="120" w:beforeLines="50" w:after="120" w:afterLines="50"/>
              <w:rPr>
                <w:rFonts w:hint="eastAsia" w:ascii="宋体" w:hAnsi="宋体" w:cs="宋体" w:eastAsiaTheme="minorEastAsia"/>
                <w:b/>
                <w:bCs/>
                <w:kern w:val="2"/>
                <w:sz w:val="21"/>
                <w:szCs w:val="21"/>
                <w:lang w:val="en-US" w:eastAsia="zh-CN" w:bidi="ar-SA"/>
              </w:rPr>
            </w:pPr>
            <w:r>
              <w:rPr>
                <w:rFonts w:hint="eastAsia" w:ascii="宋体" w:hAnsi="宋体" w:cs="宋体"/>
                <w:b/>
                <w:bCs/>
                <w:szCs w:val="21"/>
              </w:rPr>
              <w:t>传感器等附件</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adjustRightInd w:val="0"/>
              <w:snapToGrid w:val="0"/>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3.1</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小量程加速度传感器（5</w:t>
            </w:r>
            <w:r>
              <w:rPr>
                <w:rFonts w:ascii="宋体" w:hAnsi="宋体" w:cs="宋体"/>
                <w:szCs w:val="21"/>
              </w:rPr>
              <w:t>0</w:t>
            </w:r>
            <w:r>
              <w:rPr>
                <w:rFonts w:hint="eastAsia" w:ascii="宋体" w:hAnsi="宋体" w:cs="宋体"/>
                <w:szCs w:val="21"/>
              </w:rPr>
              <w:t>g）</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4</w:t>
            </w:r>
            <w:r>
              <w:rPr>
                <w:rFonts w:ascii="宋体" w:hAnsi="宋体" w:cs="宋体"/>
                <w:szCs w:val="21"/>
              </w:rPr>
              <w:t>0</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.2</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大量程加速度传感器（5</w:t>
            </w:r>
            <w:r>
              <w:rPr>
                <w:rFonts w:ascii="宋体" w:hAnsi="宋体" w:cs="宋体"/>
                <w:szCs w:val="21"/>
              </w:rPr>
              <w:t>00</w:t>
            </w:r>
            <w:r>
              <w:rPr>
                <w:rFonts w:hint="eastAsia" w:ascii="宋体" w:hAnsi="宋体" w:cs="宋体"/>
                <w:szCs w:val="21"/>
              </w:rPr>
              <w:t>g）</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jc w:val="center"/>
              <w:rPr>
                <w:rFonts w:ascii="宋体" w:hAnsi="宋体" w:eastAsia="宋体" w:cs="宋体"/>
                <w:kern w:val="2"/>
                <w:sz w:val="21"/>
                <w:szCs w:val="21"/>
                <w:highlight w:val="yellow"/>
                <w:lang w:val="en-US" w:eastAsia="zh-CN" w:bidi="ar-SA"/>
              </w:rPr>
            </w:pPr>
            <w:r>
              <w:rPr>
                <w:rFonts w:ascii="宋体" w:hAnsi="宋体" w:cs="宋体"/>
                <w:szCs w:val="21"/>
              </w:rPr>
              <w:t>2</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3</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加速度传感器线缆（1</w:t>
            </w:r>
            <w:r>
              <w:rPr>
                <w:rFonts w:ascii="宋体" w:hAnsi="宋体" w:cs="宋体"/>
                <w:szCs w:val="21"/>
              </w:rPr>
              <w:t>0</w:t>
            </w:r>
            <w:r>
              <w:rPr>
                <w:rFonts w:hint="eastAsia" w:ascii="宋体" w:hAnsi="宋体" w:cs="宋体"/>
                <w:szCs w:val="21"/>
              </w:rPr>
              <w:t>m）</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eastAsia="宋体" w:cs="宋体"/>
                <w:kern w:val="2"/>
                <w:sz w:val="21"/>
                <w:szCs w:val="21"/>
                <w:highlight w:val="yellow"/>
                <w:lang w:val="en-US" w:eastAsia="zh-CN" w:bidi="ar-SA"/>
              </w:rPr>
            </w:pPr>
            <w:r>
              <w:rPr>
                <w:rFonts w:hint="eastAsia" w:ascii="宋体" w:hAnsi="宋体" w:cs="宋体"/>
                <w:szCs w:val="21"/>
              </w:rPr>
              <w:t>6</w:t>
            </w:r>
            <w:r>
              <w:rPr>
                <w:rFonts w:ascii="宋体" w:hAnsi="宋体" w:cs="宋体"/>
                <w:szCs w:val="21"/>
              </w:rPr>
              <w:t>0</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4</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小力锤（含线缆）</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jc w:val="center"/>
              <w:rPr>
                <w:rFonts w:hint="eastAsia" w:ascii="宋体" w:hAnsi="宋体" w:eastAsia="宋体" w:cs="宋体"/>
                <w:kern w:val="2"/>
                <w:sz w:val="21"/>
                <w:szCs w:val="21"/>
                <w:highlight w:val="yellow"/>
                <w:lang w:val="en-US" w:eastAsia="zh-CN" w:bidi="ar-SA"/>
              </w:rPr>
            </w:pPr>
            <w:r>
              <w:rPr>
                <w:rFonts w:ascii="宋体" w:hAnsi="宋体" w:cs="宋体"/>
                <w:szCs w:val="21"/>
              </w:rPr>
              <w:t>3</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.5</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小力锤备用锤头（3种硬度均配备）</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jc w:val="center"/>
              <w:rPr>
                <w:rFonts w:hint="eastAsia" w:ascii="宋体" w:hAnsi="宋体" w:eastAsia="宋体" w:cs="宋体"/>
                <w:kern w:val="2"/>
                <w:sz w:val="21"/>
                <w:szCs w:val="21"/>
                <w:highlight w:val="yellow"/>
                <w:lang w:val="en-US" w:eastAsia="zh-CN" w:bidi="ar-SA"/>
              </w:rPr>
            </w:pPr>
            <w:r>
              <w:rPr>
                <w:rFonts w:hint="eastAsia" w:ascii="宋体" w:hAnsi="宋体" w:cs="宋体"/>
                <w:szCs w:val="21"/>
              </w:rPr>
              <w:t>5</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6</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大力锤（含线缆）</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ascii="宋体" w:hAnsi="宋体" w:cs="宋体"/>
                <w:szCs w:val="21"/>
              </w:rPr>
              <w:t>3</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.7</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大力锤备用锤头（软锤头）</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2</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8</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激振器系统（含功放及线缆）</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4</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9</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阻抗头（含线缆）</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6</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.10</w:t>
            </w:r>
          </w:p>
        </w:tc>
        <w:tc>
          <w:tcPr>
            <w:tcW w:w="2082" w:type="dxa"/>
            <w:vAlign w:val="center"/>
          </w:tcPr>
          <w:p>
            <w:pPr>
              <w:adjustRightInd w:val="0"/>
              <w:snapToGrid w:val="0"/>
              <w:spacing w:before="120" w:beforeLines="50" w:after="120" w:afterLines="50"/>
              <w:rPr>
                <w:rFonts w:hint="default" w:ascii="宋体" w:hAnsi="宋体" w:cs="宋体" w:eastAsiaTheme="minorEastAsia"/>
                <w:kern w:val="2"/>
                <w:sz w:val="21"/>
                <w:szCs w:val="21"/>
                <w:lang w:val="en-US" w:eastAsia="zh-CN" w:bidi="ar-SA"/>
              </w:rPr>
            </w:pPr>
            <w:r>
              <w:rPr>
                <w:rFonts w:hint="eastAsia" w:ascii="宋体" w:hAnsi="宋体" w:cs="宋体"/>
                <w:szCs w:val="21"/>
              </w:rPr>
              <w:t>传声器（含防风罩、三脚架、固定夹）</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jc w:val="center"/>
              <w:rPr>
                <w:rFonts w:hint="default" w:ascii="宋体" w:hAnsi="宋体" w:eastAsia="宋体"/>
                <w:sz w:val="21"/>
                <w:szCs w:val="21"/>
                <w:lang w:val="en-US" w:eastAsia="zh-CN"/>
              </w:rPr>
            </w:pPr>
            <w:r>
              <w:rPr>
                <w:rFonts w:hint="eastAsia" w:ascii="宋体" w:hAnsi="宋体" w:cs="宋体"/>
                <w:szCs w:val="21"/>
              </w:rPr>
              <w:t>1</w:t>
            </w:r>
            <w:r>
              <w:rPr>
                <w:rFonts w:ascii="宋体" w:hAnsi="宋体" w:cs="宋体"/>
                <w:szCs w:val="21"/>
              </w:rPr>
              <w:t>0</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.11</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传声器校准器</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.12</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传声器B</w:t>
            </w:r>
            <w:r>
              <w:rPr>
                <w:rFonts w:ascii="宋体" w:hAnsi="宋体" w:cs="宋体"/>
                <w:szCs w:val="21"/>
              </w:rPr>
              <w:t>NC</w:t>
            </w:r>
            <w:r>
              <w:rPr>
                <w:rFonts w:hint="eastAsia" w:ascii="宋体" w:hAnsi="宋体" w:cs="宋体"/>
                <w:szCs w:val="21"/>
              </w:rPr>
              <w:t>线缆（不小于1</w:t>
            </w:r>
            <w:r>
              <w:rPr>
                <w:rFonts w:ascii="宋体" w:hAnsi="宋体" w:cs="宋体"/>
                <w:szCs w:val="21"/>
              </w:rPr>
              <w:t>0</w:t>
            </w:r>
            <w:r>
              <w:rPr>
                <w:rFonts w:hint="eastAsia" w:ascii="宋体" w:hAnsi="宋体" w:cs="宋体"/>
                <w:szCs w:val="21"/>
              </w:rPr>
              <w:t>m）</w:t>
            </w:r>
          </w:p>
        </w:tc>
        <w:tc>
          <w:tcPr>
            <w:tcW w:w="2395" w:type="dxa"/>
            <w:vAlign w:val="center"/>
          </w:tcPr>
          <w:p>
            <w:pPr>
              <w:spacing w:line="240" w:lineRule="auto"/>
              <w:jc w:val="center"/>
              <w:rPr>
                <w:rFonts w:hint="eastAsia" w:ascii="宋体" w:hAnsi="宋体" w:eastAsia="宋体" w:cs="宋体"/>
                <w:kern w:val="2"/>
                <w:sz w:val="24"/>
                <w:szCs w:val="24"/>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1</w:t>
            </w:r>
            <w:r>
              <w:rPr>
                <w:rFonts w:ascii="宋体" w:hAnsi="宋体" w:cs="宋体"/>
                <w:szCs w:val="21"/>
              </w:rPr>
              <w:t>5</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13</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移动式数据存储处理设备</w:t>
            </w:r>
          </w:p>
        </w:tc>
        <w:tc>
          <w:tcPr>
            <w:tcW w:w="2395" w:type="dxa"/>
            <w:vAlign w:val="center"/>
          </w:tcPr>
          <w:p>
            <w:pPr>
              <w:spacing w:line="240" w:lineRule="auto"/>
              <w:jc w:val="center"/>
              <w:rPr>
                <w:rFonts w:hint="eastAsia" w:ascii="宋体" w:hAnsi="宋体" w:eastAsia="宋体" w:cs="宋体"/>
                <w:kern w:val="2"/>
                <w:sz w:val="24"/>
                <w:szCs w:val="24"/>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ascii="宋体" w:hAnsi="宋体" w:cs="宋体"/>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adjustRightInd w:val="0"/>
              <w:snapToGrid w:val="0"/>
              <w:spacing w:before="120" w:beforeLines="50" w:after="120" w:afterLines="50"/>
              <w:jc w:val="center"/>
              <w:rPr>
                <w:rFonts w:hint="default" w:ascii="宋体" w:hAnsi="宋体" w:cs="宋体" w:eastAsiaTheme="minorEastAsia"/>
                <w:kern w:val="2"/>
                <w:sz w:val="21"/>
                <w:szCs w:val="21"/>
                <w:lang w:val="en-US" w:eastAsia="zh-CN" w:bidi="ar-SA"/>
              </w:rPr>
            </w:pPr>
            <w:r>
              <w:rPr>
                <w:rFonts w:hint="eastAsia" w:ascii="宋体" w:hAnsi="宋体" w:cs="宋体"/>
                <w:szCs w:val="21"/>
              </w:rPr>
              <w:t>3</w:t>
            </w:r>
            <w:r>
              <w:rPr>
                <w:rFonts w:ascii="宋体" w:hAnsi="宋体" w:cs="宋体"/>
                <w:szCs w:val="21"/>
              </w:rPr>
              <w:t>.14</w:t>
            </w:r>
          </w:p>
        </w:tc>
        <w:tc>
          <w:tcPr>
            <w:tcW w:w="2082" w:type="dxa"/>
            <w:vAlign w:val="center"/>
          </w:tcPr>
          <w:p>
            <w:pPr>
              <w:adjustRightInd w:val="0"/>
              <w:snapToGrid w:val="0"/>
              <w:spacing w:before="120" w:beforeLines="50" w:after="120" w:afterLines="50"/>
              <w:rPr>
                <w:rFonts w:hint="eastAsia" w:ascii="宋体" w:hAnsi="宋体" w:cs="宋体" w:eastAsiaTheme="minorEastAsia"/>
                <w:kern w:val="2"/>
                <w:sz w:val="21"/>
                <w:szCs w:val="21"/>
                <w:lang w:val="en-US" w:eastAsia="zh-CN" w:bidi="ar-SA"/>
              </w:rPr>
            </w:pPr>
            <w:r>
              <w:rPr>
                <w:rFonts w:hint="eastAsia" w:ascii="宋体" w:hAnsi="宋体" w:cs="宋体"/>
                <w:szCs w:val="21"/>
              </w:rPr>
              <w:t>便携设备防护箱（含内衬）</w:t>
            </w:r>
          </w:p>
        </w:tc>
        <w:tc>
          <w:tcPr>
            <w:tcW w:w="2395" w:type="dxa"/>
            <w:vAlign w:val="top"/>
          </w:tcPr>
          <w:p>
            <w:pPr>
              <w:spacing w:line="240" w:lineRule="auto"/>
              <w:jc w:val="center"/>
              <w:rPr>
                <w:rFonts w:hint="eastAsia" w:ascii="Arial" w:hAnsiTheme="minorHAnsi" w:eastAsiaTheme="minorEastAsia" w:cstheme="minorBidi"/>
                <w:kern w:val="2"/>
                <w:sz w:val="21"/>
                <w:szCs w:val="22"/>
                <w:lang w:val="en-US" w:eastAsia="zh-CN" w:bidi="ar-SA"/>
              </w:rPr>
            </w:pPr>
          </w:p>
        </w:tc>
        <w:tc>
          <w:tcPr>
            <w:tcW w:w="1120"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cs="宋体"/>
                <w:szCs w:val="21"/>
              </w:rPr>
              <w:t>2</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082" w:type="dxa"/>
          </w:tcPr>
          <w:p>
            <w:pPr>
              <w:rPr>
                <w:rFonts w:ascii="Arial"/>
              </w:rPr>
            </w:pPr>
            <w:r>
              <w:rPr>
                <w:rFonts w:hint="eastAsia" w:ascii="宋体" w:hAnsi="宋体" w:eastAsia="宋体" w:cs="宋体"/>
              </w:rPr>
              <w:t>以上投标设备不足之处请往下添加序号自行补充</w:t>
            </w:r>
          </w:p>
        </w:tc>
        <w:tc>
          <w:tcPr>
            <w:tcW w:w="2395" w:type="dxa"/>
          </w:tcPr>
          <w:p>
            <w:pPr>
              <w:rPr>
                <w:rFonts w:ascii="Arial"/>
              </w:rPr>
            </w:pPr>
          </w:p>
        </w:tc>
        <w:tc>
          <w:tcPr>
            <w:tcW w:w="1120" w:type="dxa"/>
          </w:tcPr>
          <w:p>
            <w:pPr>
              <w:rPr>
                <w:rFonts w:ascii="Arial"/>
              </w:rPr>
            </w:pP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line="105" w:lineRule="exact"/>
      </w:pPr>
    </w:p>
    <w:p>
      <w:pPr>
        <w:sectPr>
          <w:footerReference r:id="rId25"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6" w:type="default"/>
          <w:pgSz w:w="16841" w:h="11907"/>
          <w:pgMar w:top="400" w:right="1699" w:bottom="1184" w:left="1481" w:header="0" w:footer="1022" w:gutter="0"/>
          <w:pgNumType w:fmt="decimal"/>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1" w:line="185" w:lineRule="auto"/>
              <w:jc w:val="center"/>
              <w:rPr>
                <w:rFonts w:ascii="宋体" w:hAnsi="宋体" w:eastAsia="宋体" w:cs="宋体"/>
                <w:szCs w:val="21"/>
              </w:rPr>
            </w:pPr>
            <w:r>
              <w:rPr>
                <w:rFonts w:ascii="宋体" w:hAnsi="宋体" w:eastAsia="宋体" w:cs="宋体"/>
                <w:szCs w:val="21"/>
              </w:rPr>
              <w:t>4</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ascii="宋体" w:hAnsi="宋体" w:eastAsia="宋体" w:cs="宋体"/>
                <w:szCs w:val="21"/>
              </w:rPr>
              <w:t>5</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pgNumType w:fmt="decimal"/>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pgNumType w:fmt="decimal"/>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lang w:eastAsia="zh-CN"/>
        </w:rPr>
        <w:t>模态试验室测试设备</w:t>
      </w:r>
      <w:r>
        <w:rPr>
          <w:rFonts w:hint="eastAsia" w:ascii="宋体" w:hAnsi="宋体" w:eastAsia="宋体" w:cs="宋体"/>
          <w:spacing w:val="-5"/>
          <w:sz w:val="24"/>
          <w:szCs w:val="24"/>
          <w:u w:val="single"/>
        </w:rPr>
        <w:t>招标项目</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0"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模态试验室测试设备</w:t>
      </w:r>
      <w:r>
        <w:rPr>
          <w:rFonts w:hint="eastAsia" w:ascii="宋体" w:hAnsi="宋体" w:eastAsia="宋体" w:cs="Times New Roman"/>
          <w:sz w:val="24"/>
          <w:szCs w:val="20"/>
          <w:u w:val="single"/>
        </w:rPr>
        <w:t>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szCs w:val="20"/>
                <w:lang w:eastAsia="zh-CN"/>
              </w:rPr>
              <w:t>模态试验室测试设备</w:t>
            </w:r>
            <w:r>
              <w:rPr>
                <w:rFonts w:hint="eastAsia" w:ascii="宋体" w:hAnsi="宋体" w:eastAsia="宋体" w:cs="宋体"/>
                <w:b/>
                <w:szCs w:val="20"/>
              </w:rPr>
              <w:t>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2" w:type="first"/>
          <w:footerReference r:id="rId34" w:type="first"/>
          <w:headerReference r:id="rId31" w:type="default"/>
          <w:footerReference r:id="rId33" w:type="default"/>
          <w:pgSz w:w="11906" w:h="16838"/>
          <w:pgMar w:top="1588" w:right="1418" w:bottom="1134" w:left="1418" w:header="851" w:footer="992" w:gutter="0"/>
          <w:pgNumType w:fmt="decimal"/>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ind w:firstLine="6023" w:firstLineChars="2500"/>
        <w:jc w:val="both"/>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red"/>
        </w:rPr>
        <w:t>技术</w:t>
      </w:r>
      <w:r>
        <w:rPr>
          <w:rFonts w:hint="eastAsia" w:ascii="宋体" w:hAnsi="宋体" w:eastAsia="宋体" w:cs="Times New Roman"/>
          <w:b/>
          <w:bCs/>
          <w:sz w:val="24"/>
          <w:szCs w:val="24"/>
          <w:highlight w:val="red"/>
          <w:lang w:val="en-US" w:eastAsia="zh-CN"/>
        </w:rPr>
        <w:t>标评审</w:t>
      </w:r>
      <w:r>
        <w:rPr>
          <w:rFonts w:hint="eastAsia" w:ascii="宋体" w:hAnsi="宋体" w:eastAsia="宋体" w:cs="Times New Roman"/>
          <w:b/>
          <w:bCs/>
          <w:sz w:val="24"/>
          <w:szCs w:val="24"/>
          <w:highlight w:val="red"/>
        </w:rPr>
        <w:t>表（</w:t>
      </w:r>
      <w:r>
        <w:rPr>
          <w:rFonts w:hint="eastAsia" w:ascii="宋体" w:hAnsi="宋体" w:eastAsia="宋体" w:cs="Times New Roman"/>
          <w:b/>
          <w:bCs/>
          <w:sz w:val="24"/>
          <w:szCs w:val="24"/>
          <w:highlight w:val="red"/>
          <w:lang w:val="en-US" w:eastAsia="zh-CN"/>
        </w:rPr>
        <w:t>100</w:t>
      </w:r>
      <w:r>
        <w:rPr>
          <w:rFonts w:hint="eastAsia" w:ascii="宋体" w:hAnsi="宋体" w:eastAsia="宋体" w:cs="Times New Roman"/>
          <w:b/>
          <w:bCs/>
          <w:sz w:val="24"/>
          <w:szCs w:val="24"/>
          <w:highlight w:val="red"/>
        </w:rPr>
        <w:t>分）</w:t>
      </w:r>
    </w:p>
    <w:p>
      <w:pPr>
        <w:rPr>
          <w:rFonts w:hint="eastAsia" w:ascii="宋体" w:hAnsi="宋体" w:eastAsia="宋体" w:cs="Times New Roman"/>
          <w:b/>
          <w:bCs/>
          <w:sz w:val="24"/>
          <w:szCs w:val="24"/>
          <w:highlight w:val="none"/>
        </w:rPr>
      </w:pPr>
    </w:p>
    <w:tbl>
      <w:tblPr>
        <w:tblStyle w:val="35"/>
        <w:tblW w:w="14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865"/>
        <w:gridCol w:w="2575"/>
        <w:gridCol w:w="834"/>
        <w:gridCol w:w="8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44" w:type="dxa"/>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评价类型</w:t>
            </w:r>
          </w:p>
        </w:tc>
        <w:tc>
          <w:tcPr>
            <w:tcW w:w="865" w:type="dxa"/>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序号</w:t>
            </w:r>
          </w:p>
        </w:tc>
        <w:tc>
          <w:tcPr>
            <w:tcW w:w="2575" w:type="dxa"/>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内   容</w:t>
            </w:r>
          </w:p>
        </w:tc>
        <w:tc>
          <w:tcPr>
            <w:tcW w:w="834" w:type="dxa"/>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标准分</w:t>
            </w:r>
          </w:p>
        </w:tc>
        <w:tc>
          <w:tcPr>
            <w:tcW w:w="8604" w:type="dxa"/>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1244" w:type="dxa"/>
            <w:vMerge w:val="restart"/>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技术</w:t>
            </w:r>
          </w:p>
          <w:p>
            <w:pPr>
              <w:tabs>
                <w:tab w:val="left" w:pos="13965"/>
              </w:tabs>
              <w:spacing w:line="360" w:lineRule="auto"/>
              <w:ind w:right="-6"/>
              <w:jc w:val="center"/>
              <w:rPr>
                <w:rFonts w:ascii="宋体" w:hAnsi="宋体" w:eastAsia="宋体" w:cs="宋体"/>
                <w:sz w:val="21"/>
                <w:szCs w:val="21"/>
              </w:rPr>
            </w:pPr>
            <w:r>
              <w:rPr>
                <w:rFonts w:ascii="宋体" w:hAnsi="宋体" w:eastAsia="宋体" w:cs="宋体"/>
                <w:sz w:val="21"/>
                <w:szCs w:val="21"/>
              </w:rPr>
              <w:t>100</w:t>
            </w:r>
            <w:r>
              <w:rPr>
                <w:rFonts w:hint="eastAsia" w:ascii="宋体" w:hAnsi="宋体" w:eastAsia="宋体" w:cs="宋体"/>
                <w:sz w:val="21"/>
                <w:szCs w:val="21"/>
              </w:rPr>
              <w:t>分</w:t>
            </w:r>
          </w:p>
        </w:tc>
        <w:tc>
          <w:tcPr>
            <w:tcW w:w="865" w:type="dxa"/>
            <w:vAlign w:val="center"/>
          </w:tcPr>
          <w:p>
            <w:pPr>
              <w:tabs>
                <w:tab w:val="left" w:pos="13965"/>
              </w:tabs>
              <w:spacing w:line="360" w:lineRule="auto"/>
              <w:ind w:right="-6"/>
              <w:jc w:val="center"/>
              <w:rPr>
                <w:rFonts w:ascii="宋体" w:hAnsi="宋体" w:eastAsia="宋体" w:cs="宋体"/>
                <w:sz w:val="21"/>
                <w:szCs w:val="21"/>
              </w:rPr>
            </w:pPr>
            <w:r>
              <w:rPr>
                <w:rFonts w:hint="eastAsia" w:ascii="宋体" w:hAnsi="宋体" w:eastAsia="宋体" w:cs="宋体"/>
                <w:sz w:val="21"/>
                <w:szCs w:val="21"/>
              </w:rPr>
              <w:t>1</w:t>
            </w:r>
          </w:p>
        </w:tc>
        <w:tc>
          <w:tcPr>
            <w:tcW w:w="2575" w:type="dxa"/>
            <w:vAlign w:val="center"/>
          </w:tcPr>
          <w:p>
            <w:pPr>
              <w:spacing w:line="360" w:lineRule="auto"/>
              <w:rPr>
                <w:rFonts w:ascii="宋体" w:hAnsi="宋体" w:eastAsia="宋体" w:cs="宋体"/>
                <w:sz w:val="21"/>
                <w:szCs w:val="21"/>
              </w:rPr>
            </w:pPr>
            <w:r>
              <w:rPr>
                <w:rFonts w:hint="eastAsia" w:ascii="宋体" w:hAnsi="宋体" w:eastAsia="宋体" w:cs="宋体"/>
                <w:color w:val="000000"/>
                <w:sz w:val="21"/>
                <w:szCs w:val="21"/>
              </w:rPr>
              <w:t>产品核心技术能力及竞争力</w:t>
            </w:r>
          </w:p>
        </w:tc>
        <w:tc>
          <w:tcPr>
            <w:tcW w:w="834" w:type="dxa"/>
            <w:vAlign w:val="center"/>
          </w:tcPr>
          <w:p>
            <w:pPr>
              <w:tabs>
                <w:tab w:val="left" w:pos="13965"/>
              </w:tabs>
              <w:spacing w:line="360" w:lineRule="auto"/>
              <w:ind w:right="-6"/>
              <w:jc w:val="center"/>
              <w:rPr>
                <w:rFonts w:ascii="宋体" w:hAnsi="宋体" w:eastAsia="宋体" w:cs="宋体"/>
                <w:sz w:val="21"/>
                <w:szCs w:val="21"/>
              </w:rPr>
            </w:pPr>
            <w:r>
              <w:rPr>
                <w:rFonts w:ascii="宋体" w:hAnsi="宋体" w:eastAsia="宋体" w:cs="宋体"/>
                <w:sz w:val="21"/>
                <w:szCs w:val="21"/>
              </w:rPr>
              <w:t>15</w:t>
            </w:r>
          </w:p>
        </w:tc>
        <w:tc>
          <w:tcPr>
            <w:tcW w:w="8604" w:type="dxa"/>
            <w:vAlign w:val="center"/>
          </w:tcPr>
          <w:p>
            <w:pPr>
              <w:spacing w:line="360" w:lineRule="auto"/>
              <w:rPr>
                <w:rFonts w:ascii="宋体" w:hAnsi="宋体" w:eastAsia="宋体" w:cs="宋体"/>
                <w:sz w:val="21"/>
                <w:szCs w:val="21"/>
              </w:rPr>
            </w:pPr>
            <w:r>
              <w:rPr>
                <w:rFonts w:hint="eastAsia" w:ascii="宋体" w:hAnsi="宋体" w:eastAsia="宋体" w:cs="宋体"/>
                <w:sz w:val="21"/>
                <w:szCs w:val="21"/>
              </w:rPr>
              <w:t xml:space="preserve">以下各项由评标委员会成员独立进行客观、公正的评价打分。 </w:t>
            </w:r>
          </w:p>
          <w:p>
            <w:pPr>
              <w:spacing w:line="360" w:lineRule="auto"/>
              <w:rPr>
                <w:rFonts w:ascii="宋体" w:hAnsi="宋体" w:eastAsia="宋体" w:cs="宋体"/>
                <w:sz w:val="21"/>
                <w:szCs w:val="21"/>
              </w:rPr>
            </w:pPr>
            <w:r>
              <w:rPr>
                <w:rFonts w:hint="eastAsia" w:ascii="宋体" w:hAnsi="宋体" w:eastAsia="宋体" w:cs="宋体"/>
                <w:bCs/>
                <w:sz w:val="21"/>
                <w:szCs w:val="21"/>
              </w:rPr>
              <w:t>（1）研发实力强（从软硬件开发、专利数量、研发人员数量等角度评估），打分0-</w:t>
            </w:r>
            <w:r>
              <w:rPr>
                <w:rFonts w:ascii="宋体" w:hAnsi="宋体" w:eastAsia="宋体" w:cs="宋体"/>
                <w:bCs/>
                <w:sz w:val="21"/>
                <w:szCs w:val="21"/>
              </w:rPr>
              <w:t>5</w:t>
            </w:r>
            <w:r>
              <w:rPr>
                <w:rFonts w:hint="eastAsia" w:ascii="宋体" w:hAnsi="宋体" w:eastAsia="宋体" w:cs="宋体"/>
                <w:bCs/>
                <w:sz w:val="21"/>
                <w:szCs w:val="21"/>
              </w:rPr>
              <w:t>分；</w:t>
            </w:r>
          </w:p>
          <w:p>
            <w:pPr>
              <w:spacing w:line="360" w:lineRule="auto"/>
              <w:rPr>
                <w:rFonts w:ascii="宋体" w:hAnsi="宋体" w:eastAsia="宋体" w:cs="宋体"/>
                <w:sz w:val="21"/>
                <w:szCs w:val="21"/>
              </w:rPr>
            </w:pPr>
            <w:r>
              <w:rPr>
                <w:rFonts w:hint="eastAsia" w:ascii="宋体" w:hAnsi="宋体" w:eastAsia="宋体" w:cs="宋体"/>
                <w:bCs/>
                <w:sz w:val="21"/>
                <w:szCs w:val="21"/>
              </w:rPr>
              <w:t>（2）设备支持传递路径分析、模态试验分析、工作变形分析、扭振测试、刚体特性参数求解等测试功能，打分0-</w:t>
            </w:r>
            <w:r>
              <w:rPr>
                <w:rFonts w:ascii="宋体" w:hAnsi="宋体" w:eastAsia="宋体" w:cs="宋体"/>
                <w:bCs/>
                <w:sz w:val="21"/>
                <w:szCs w:val="21"/>
              </w:rPr>
              <w:t>10</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2</w:t>
            </w:r>
          </w:p>
        </w:tc>
        <w:tc>
          <w:tcPr>
            <w:tcW w:w="2575" w:type="dxa"/>
            <w:vAlign w:val="center"/>
          </w:tcPr>
          <w:p>
            <w:pPr>
              <w:spacing w:line="360" w:lineRule="auto"/>
              <w:rPr>
                <w:rFonts w:ascii="宋体" w:hAnsi="宋体" w:eastAsia="宋体" w:cs="宋体"/>
                <w:sz w:val="21"/>
                <w:szCs w:val="21"/>
              </w:rPr>
            </w:pPr>
            <w:r>
              <w:rPr>
                <w:rFonts w:hint="eastAsia" w:ascii="宋体" w:hAnsi="宋体" w:eastAsia="宋体" w:cs="宋体"/>
                <w:sz w:val="21"/>
                <w:szCs w:val="21"/>
              </w:rPr>
              <w:t>技术方案的先进性</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10</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bCs/>
                <w:sz w:val="21"/>
                <w:szCs w:val="21"/>
              </w:rPr>
              <w:t>由评标委员会成员独立进行客观、公正的评价，按照优、良、一般进行赋分，优得</w:t>
            </w:r>
            <w:r>
              <w:rPr>
                <w:rFonts w:ascii="宋体" w:hAnsi="宋体" w:eastAsia="宋体" w:cs="宋体"/>
                <w:bCs/>
                <w:sz w:val="21"/>
                <w:szCs w:val="21"/>
              </w:rPr>
              <w:t>10</w:t>
            </w:r>
            <w:r>
              <w:rPr>
                <w:rFonts w:hint="eastAsia" w:ascii="宋体" w:hAnsi="宋体" w:eastAsia="宋体" w:cs="宋体"/>
                <w:bCs/>
                <w:sz w:val="21"/>
                <w:szCs w:val="21"/>
              </w:rPr>
              <w:t>分，良得</w:t>
            </w:r>
            <w:r>
              <w:rPr>
                <w:rFonts w:ascii="宋体" w:hAnsi="宋体" w:eastAsia="宋体" w:cs="宋体"/>
                <w:bCs/>
                <w:sz w:val="21"/>
                <w:szCs w:val="21"/>
              </w:rPr>
              <w:t>5</w:t>
            </w:r>
            <w:r>
              <w:rPr>
                <w:rFonts w:hint="eastAsia" w:ascii="宋体" w:hAnsi="宋体" w:eastAsia="宋体" w:cs="宋体"/>
                <w:bCs/>
                <w:sz w:val="21"/>
                <w:szCs w:val="21"/>
              </w:rPr>
              <w:t>分，一般得</w:t>
            </w:r>
            <w:r>
              <w:rPr>
                <w:rFonts w:ascii="宋体" w:hAnsi="宋体" w:eastAsia="宋体" w:cs="宋体"/>
                <w:bCs/>
                <w:sz w:val="21"/>
                <w:szCs w:val="21"/>
              </w:rPr>
              <w:t>3</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3</w:t>
            </w:r>
          </w:p>
        </w:tc>
        <w:tc>
          <w:tcPr>
            <w:tcW w:w="2575" w:type="dxa"/>
            <w:vAlign w:val="center"/>
          </w:tcPr>
          <w:p>
            <w:pPr>
              <w:tabs>
                <w:tab w:val="left" w:pos="7854"/>
              </w:tabs>
              <w:spacing w:line="300" w:lineRule="exact"/>
              <w:rPr>
                <w:rFonts w:ascii="宋体" w:hAnsi="宋体" w:eastAsia="宋体" w:cs="宋体"/>
                <w:sz w:val="21"/>
                <w:szCs w:val="21"/>
              </w:rPr>
            </w:pPr>
            <w:r>
              <w:rPr>
                <w:rFonts w:hint="eastAsia" w:ascii="宋体" w:hAnsi="宋体" w:eastAsia="宋体" w:cs="宋体"/>
                <w:sz w:val="21"/>
                <w:szCs w:val="21"/>
              </w:rPr>
              <w:t>设备技术参数要求</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15</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bCs/>
                <w:sz w:val="21"/>
                <w:szCs w:val="21"/>
              </w:rPr>
              <w:t>数采主机通道数、最大采样率、传感器测量范围、频率范围等基本参数全部已满足招标要求，其精度、技术参数、可靠性等具有独有性优势，打分0-</w:t>
            </w:r>
            <w:r>
              <w:rPr>
                <w:rFonts w:ascii="宋体" w:hAnsi="宋体" w:eastAsia="宋体" w:cs="宋体"/>
                <w:bCs/>
                <w:sz w:val="21"/>
                <w:szCs w:val="21"/>
              </w:rPr>
              <w:t>15</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4</w:t>
            </w:r>
          </w:p>
        </w:tc>
        <w:tc>
          <w:tcPr>
            <w:tcW w:w="2575" w:type="dxa"/>
            <w:vAlign w:val="center"/>
          </w:tcPr>
          <w:p>
            <w:pPr>
              <w:tabs>
                <w:tab w:val="left" w:pos="7854"/>
              </w:tabs>
              <w:spacing w:line="300" w:lineRule="exact"/>
              <w:rPr>
                <w:rFonts w:ascii="宋体" w:hAnsi="宋体" w:eastAsia="宋体" w:cs="宋体"/>
                <w:color w:val="000000"/>
                <w:sz w:val="21"/>
                <w:szCs w:val="21"/>
              </w:rPr>
            </w:pPr>
            <w:r>
              <w:rPr>
                <w:rFonts w:hint="eastAsia" w:ascii="宋体" w:hAnsi="宋体" w:eastAsia="宋体" w:cs="宋体"/>
                <w:color w:val="000000"/>
                <w:sz w:val="21"/>
                <w:szCs w:val="21"/>
              </w:rPr>
              <w:t>设备用途及兼容性</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10</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bCs/>
                <w:sz w:val="21"/>
                <w:szCs w:val="21"/>
              </w:rPr>
              <w:t>（1）概述设备在其他项目中使用遇到的问题点及设备易损件提供方案，打分0-</w:t>
            </w:r>
            <w:r>
              <w:rPr>
                <w:rFonts w:ascii="宋体" w:hAnsi="宋体" w:eastAsia="宋体" w:cs="宋体"/>
                <w:bCs/>
                <w:sz w:val="21"/>
                <w:szCs w:val="21"/>
              </w:rPr>
              <w:t>2</w:t>
            </w:r>
            <w:r>
              <w:rPr>
                <w:rFonts w:hint="eastAsia" w:ascii="宋体" w:hAnsi="宋体" w:eastAsia="宋体" w:cs="宋体"/>
                <w:bCs/>
                <w:sz w:val="21"/>
                <w:szCs w:val="21"/>
              </w:rPr>
              <w:t>分；</w:t>
            </w:r>
          </w:p>
          <w:p>
            <w:pPr>
              <w:spacing w:line="360" w:lineRule="auto"/>
              <w:rPr>
                <w:rFonts w:ascii="宋体" w:hAnsi="宋体" w:eastAsia="宋体" w:cs="宋体"/>
                <w:bCs/>
                <w:sz w:val="21"/>
                <w:szCs w:val="21"/>
              </w:rPr>
            </w:pPr>
            <w:r>
              <w:rPr>
                <w:rFonts w:hint="eastAsia" w:ascii="宋体" w:hAnsi="宋体" w:eastAsia="宋体" w:cs="宋体"/>
                <w:bCs/>
                <w:sz w:val="21"/>
                <w:szCs w:val="21"/>
              </w:rPr>
              <w:t>（2）产品是否具有开放性，能兼容其他供方所提供的传感器等设备，打分0-</w:t>
            </w:r>
            <w:r>
              <w:rPr>
                <w:rFonts w:ascii="宋体" w:hAnsi="宋体" w:eastAsia="宋体" w:cs="宋体"/>
                <w:bCs/>
                <w:sz w:val="21"/>
                <w:szCs w:val="21"/>
              </w:rPr>
              <w:t>5</w:t>
            </w:r>
            <w:r>
              <w:rPr>
                <w:rFonts w:hint="eastAsia" w:ascii="宋体" w:hAnsi="宋体" w:eastAsia="宋体" w:cs="宋体"/>
                <w:bCs/>
                <w:sz w:val="21"/>
                <w:szCs w:val="21"/>
              </w:rPr>
              <w:t>分；</w:t>
            </w:r>
          </w:p>
          <w:p>
            <w:pPr>
              <w:spacing w:line="360" w:lineRule="auto"/>
              <w:rPr>
                <w:rFonts w:ascii="宋体" w:hAnsi="宋体" w:eastAsia="宋体" w:cs="宋体"/>
                <w:bCs/>
                <w:sz w:val="21"/>
                <w:szCs w:val="21"/>
              </w:rPr>
            </w:pPr>
            <w:r>
              <w:rPr>
                <w:rFonts w:hint="eastAsia" w:ascii="宋体" w:hAnsi="宋体" w:eastAsia="宋体" w:cs="宋体"/>
                <w:bCs/>
                <w:sz w:val="21"/>
                <w:szCs w:val="21"/>
              </w:rPr>
              <w:t>（3）是否支持安装在客户的不少于三台的笔记本上，打分0-</w:t>
            </w:r>
            <w:r>
              <w:rPr>
                <w:rFonts w:ascii="宋体" w:hAnsi="宋体" w:eastAsia="宋体" w:cs="宋体"/>
                <w:bCs/>
                <w:sz w:val="21"/>
                <w:szCs w:val="21"/>
              </w:rPr>
              <w:t>3</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5</w:t>
            </w:r>
          </w:p>
        </w:tc>
        <w:tc>
          <w:tcPr>
            <w:tcW w:w="2575" w:type="dxa"/>
            <w:vAlign w:val="center"/>
          </w:tcPr>
          <w:p>
            <w:pPr>
              <w:spacing w:line="360" w:lineRule="auto"/>
              <w:rPr>
                <w:rFonts w:ascii="宋体" w:hAnsi="宋体" w:eastAsia="宋体" w:cs="宋体"/>
                <w:sz w:val="21"/>
                <w:szCs w:val="21"/>
              </w:rPr>
            </w:pPr>
            <w:r>
              <w:rPr>
                <w:rFonts w:hint="eastAsia" w:ascii="宋体" w:hAnsi="宋体" w:eastAsia="宋体" w:cs="宋体"/>
                <w:sz w:val="21"/>
                <w:szCs w:val="21"/>
              </w:rPr>
              <w:t>售后服务及时周到，有相应的服务承诺和具体的保证措施。对采购方人员的技术培训方案安排科学、合理、可行</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10</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bCs/>
                <w:sz w:val="21"/>
                <w:szCs w:val="21"/>
              </w:rPr>
              <w:t>（1）由评标委员会成员独立进行客观、公正的评价，按照优、良、一般进行赋分，优得</w:t>
            </w:r>
            <w:r>
              <w:rPr>
                <w:rFonts w:ascii="宋体" w:hAnsi="宋体" w:eastAsia="宋体" w:cs="宋体"/>
                <w:bCs/>
                <w:sz w:val="21"/>
                <w:szCs w:val="21"/>
              </w:rPr>
              <w:t>4</w:t>
            </w:r>
            <w:r>
              <w:rPr>
                <w:rFonts w:hint="eastAsia" w:ascii="宋体" w:hAnsi="宋体" w:eastAsia="宋体" w:cs="宋体"/>
                <w:bCs/>
                <w:sz w:val="21"/>
                <w:szCs w:val="21"/>
              </w:rPr>
              <w:t>分，良得</w:t>
            </w:r>
            <w:r>
              <w:rPr>
                <w:rFonts w:ascii="宋体" w:hAnsi="宋体" w:eastAsia="宋体" w:cs="宋体"/>
                <w:bCs/>
                <w:sz w:val="21"/>
                <w:szCs w:val="21"/>
              </w:rPr>
              <w:t>2</w:t>
            </w:r>
            <w:r>
              <w:rPr>
                <w:rFonts w:hint="eastAsia" w:ascii="宋体" w:hAnsi="宋体" w:eastAsia="宋体" w:cs="宋体"/>
                <w:bCs/>
                <w:sz w:val="21"/>
                <w:szCs w:val="21"/>
              </w:rPr>
              <w:t>分，一般得</w:t>
            </w:r>
            <w:r>
              <w:rPr>
                <w:rFonts w:ascii="宋体" w:hAnsi="宋体" w:eastAsia="宋体" w:cs="宋体"/>
                <w:bCs/>
                <w:sz w:val="21"/>
                <w:szCs w:val="21"/>
              </w:rPr>
              <w:t>1</w:t>
            </w:r>
            <w:r>
              <w:rPr>
                <w:rFonts w:hint="eastAsia" w:ascii="宋体" w:hAnsi="宋体" w:eastAsia="宋体" w:cs="宋体"/>
                <w:bCs/>
                <w:sz w:val="21"/>
                <w:szCs w:val="21"/>
              </w:rPr>
              <w:t>分；</w:t>
            </w:r>
          </w:p>
          <w:p>
            <w:pPr>
              <w:spacing w:line="360" w:lineRule="auto"/>
              <w:rPr>
                <w:rFonts w:ascii="宋体" w:hAnsi="宋体" w:eastAsia="宋体" w:cs="宋体"/>
                <w:bCs/>
                <w:sz w:val="21"/>
                <w:szCs w:val="21"/>
              </w:rPr>
            </w:pPr>
            <w:r>
              <w:rPr>
                <w:rFonts w:hint="eastAsia" w:ascii="宋体" w:hAnsi="宋体" w:eastAsia="宋体" w:cs="宋体"/>
                <w:bCs/>
                <w:sz w:val="21"/>
                <w:szCs w:val="21"/>
              </w:rPr>
              <w:t>（2）投标人提供相应完善的培训计划，合理的供货方式，有完整的售后现场和远程服务体系，打分0-</w:t>
            </w:r>
            <w:r>
              <w:rPr>
                <w:rFonts w:ascii="宋体" w:hAnsi="宋体" w:eastAsia="宋体" w:cs="宋体"/>
                <w:bCs/>
                <w:sz w:val="21"/>
                <w:szCs w:val="21"/>
              </w:rPr>
              <w:t>3</w:t>
            </w:r>
            <w:r>
              <w:rPr>
                <w:rFonts w:hint="eastAsia" w:ascii="宋体" w:hAnsi="宋体" w:eastAsia="宋体" w:cs="宋体"/>
                <w:bCs/>
                <w:sz w:val="21"/>
                <w:szCs w:val="21"/>
              </w:rPr>
              <w:t>分；</w:t>
            </w:r>
          </w:p>
          <w:p>
            <w:pPr>
              <w:spacing w:line="360" w:lineRule="auto"/>
              <w:rPr>
                <w:rFonts w:ascii="宋体" w:hAnsi="宋体" w:eastAsia="宋体" w:cs="宋体"/>
                <w:bCs/>
                <w:sz w:val="21"/>
                <w:szCs w:val="21"/>
              </w:rPr>
            </w:pPr>
            <w:r>
              <w:rPr>
                <w:rFonts w:hint="eastAsia" w:ascii="宋体" w:hAnsi="宋体" w:eastAsia="宋体" w:cs="宋体"/>
                <w:bCs/>
                <w:sz w:val="21"/>
                <w:szCs w:val="21"/>
              </w:rPr>
              <w:t>（3）提供完备的本地化售后服务支持承诺，承诺到现场响应时间，打分0-</w:t>
            </w:r>
            <w:r>
              <w:rPr>
                <w:rFonts w:ascii="宋体" w:hAnsi="宋体" w:eastAsia="宋体" w:cs="宋体"/>
                <w:bCs/>
                <w:sz w:val="21"/>
                <w:szCs w:val="21"/>
              </w:rPr>
              <w:t>3</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6</w:t>
            </w:r>
          </w:p>
        </w:tc>
        <w:tc>
          <w:tcPr>
            <w:tcW w:w="2575" w:type="dxa"/>
            <w:vAlign w:val="center"/>
          </w:tcPr>
          <w:p>
            <w:pPr>
              <w:spacing w:line="360" w:lineRule="auto"/>
              <w:rPr>
                <w:rFonts w:ascii="宋体" w:hAnsi="宋体" w:eastAsia="宋体" w:cs="宋体"/>
                <w:sz w:val="21"/>
                <w:szCs w:val="21"/>
              </w:rPr>
            </w:pPr>
            <w:r>
              <w:rPr>
                <w:rFonts w:hint="eastAsia" w:ascii="宋体" w:hAnsi="宋体" w:eastAsia="宋体" w:cs="宋体"/>
                <w:sz w:val="21"/>
                <w:szCs w:val="21"/>
              </w:rPr>
              <w:t>设备制造商同类型项目业绩、行业内技术水平</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20</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bCs/>
                <w:sz w:val="21"/>
                <w:szCs w:val="21"/>
              </w:rPr>
              <w:t>设备项目业绩及行业内研究水平介绍 ：</w:t>
            </w:r>
          </w:p>
          <w:p>
            <w:pPr>
              <w:numPr>
                <w:ilvl w:val="0"/>
                <w:numId w:val="10"/>
              </w:numPr>
              <w:spacing w:line="360" w:lineRule="auto"/>
              <w:rPr>
                <w:rFonts w:ascii="宋体" w:hAnsi="宋体" w:eastAsia="宋体" w:cs="宋体"/>
                <w:bCs/>
                <w:sz w:val="21"/>
                <w:szCs w:val="21"/>
              </w:rPr>
            </w:pPr>
            <w:r>
              <w:rPr>
                <w:rFonts w:hint="eastAsia" w:ascii="宋体" w:hAnsi="宋体" w:eastAsia="宋体" w:cs="宋体"/>
                <w:bCs/>
                <w:sz w:val="21"/>
                <w:szCs w:val="21"/>
              </w:rPr>
              <w:t>概述</w:t>
            </w:r>
            <w:r>
              <w:rPr>
                <w:rFonts w:ascii="宋体" w:hAnsi="宋体" w:eastAsia="宋体" w:cs="宋体"/>
                <w:sz w:val="21"/>
                <w:szCs w:val="21"/>
              </w:rPr>
              <w:t>2019年1月1日</w:t>
            </w:r>
            <w:r>
              <w:rPr>
                <w:rFonts w:hint="eastAsia" w:ascii="宋体" w:hAnsi="宋体" w:eastAsia="宋体" w:cs="宋体"/>
                <w:bCs/>
                <w:sz w:val="21"/>
                <w:szCs w:val="21"/>
              </w:rPr>
              <w:t>以来在国内外乘用车、商用车企业、检测机构同类设备的合同复印件数量及</w:t>
            </w:r>
            <w:r>
              <w:rPr>
                <w:rFonts w:hint="eastAsia" w:ascii="宋体" w:hAnsi="宋体" w:eastAsia="宋体" w:cs="Times New Roman"/>
                <w:color w:val="000000"/>
                <w:sz w:val="21"/>
                <w:szCs w:val="21"/>
              </w:rPr>
              <w:t>合同总额汇总</w:t>
            </w:r>
            <w:r>
              <w:rPr>
                <w:rFonts w:hint="eastAsia" w:ascii="宋体" w:hAnsi="宋体" w:eastAsia="宋体" w:cs="宋体"/>
                <w:bCs/>
                <w:sz w:val="21"/>
                <w:szCs w:val="21"/>
              </w:rPr>
              <w:t>，打分0-</w:t>
            </w:r>
            <w:r>
              <w:rPr>
                <w:rFonts w:ascii="宋体" w:hAnsi="宋体" w:eastAsia="宋体" w:cs="宋体"/>
                <w:bCs/>
                <w:sz w:val="21"/>
                <w:szCs w:val="21"/>
              </w:rPr>
              <w:t>10</w:t>
            </w:r>
            <w:r>
              <w:rPr>
                <w:rFonts w:hint="eastAsia" w:ascii="宋体" w:hAnsi="宋体" w:eastAsia="宋体" w:cs="宋体"/>
                <w:bCs/>
                <w:sz w:val="21"/>
                <w:szCs w:val="21"/>
              </w:rPr>
              <w:t>分；</w:t>
            </w:r>
          </w:p>
          <w:p>
            <w:pPr>
              <w:numPr>
                <w:ilvl w:val="0"/>
                <w:numId w:val="10"/>
              </w:numPr>
              <w:spacing w:line="360" w:lineRule="auto"/>
              <w:rPr>
                <w:rFonts w:ascii="宋体" w:hAnsi="宋体" w:eastAsia="宋体" w:cs="宋体"/>
                <w:bCs/>
                <w:sz w:val="21"/>
                <w:szCs w:val="21"/>
              </w:rPr>
            </w:pPr>
            <w:r>
              <w:rPr>
                <w:rFonts w:hint="eastAsia" w:ascii="宋体" w:hAnsi="宋体" w:eastAsia="宋体" w:cs="宋体"/>
                <w:bCs/>
                <w:sz w:val="21"/>
                <w:szCs w:val="21"/>
              </w:rPr>
              <w:t>详细介绍设备软、硬件的迭代更新日志，打分0-</w:t>
            </w:r>
            <w:r>
              <w:rPr>
                <w:rFonts w:ascii="宋体" w:hAnsi="宋体" w:eastAsia="宋体" w:cs="宋体"/>
                <w:bCs/>
                <w:sz w:val="21"/>
                <w:szCs w:val="21"/>
              </w:rPr>
              <w:t>5</w:t>
            </w:r>
            <w:r>
              <w:rPr>
                <w:rFonts w:hint="eastAsia" w:ascii="宋体" w:hAnsi="宋体" w:eastAsia="宋体" w:cs="宋体"/>
                <w:bCs/>
                <w:sz w:val="21"/>
                <w:szCs w:val="21"/>
              </w:rPr>
              <w:t>分；</w:t>
            </w:r>
          </w:p>
          <w:p>
            <w:pPr>
              <w:numPr>
                <w:ilvl w:val="0"/>
                <w:numId w:val="10"/>
              </w:numPr>
              <w:spacing w:line="360" w:lineRule="auto"/>
              <w:rPr>
                <w:rFonts w:ascii="宋体" w:hAnsi="宋体" w:eastAsia="宋体" w:cs="宋体"/>
                <w:bCs/>
                <w:sz w:val="21"/>
                <w:szCs w:val="21"/>
              </w:rPr>
            </w:pPr>
            <w:r>
              <w:rPr>
                <w:rFonts w:hint="eastAsia" w:ascii="宋体" w:hAnsi="宋体" w:eastAsia="宋体" w:cs="宋体"/>
                <w:bCs/>
                <w:sz w:val="21"/>
                <w:szCs w:val="21"/>
              </w:rPr>
              <w:t>详细介绍企业设备在行业内研究水平，打分0-</w:t>
            </w:r>
            <w:r>
              <w:rPr>
                <w:rFonts w:ascii="宋体" w:hAnsi="宋体" w:eastAsia="宋体" w:cs="宋体"/>
                <w:bCs/>
                <w:sz w:val="21"/>
                <w:szCs w:val="21"/>
              </w:rPr>
              <w:t>5</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7</w:t>
            </w:r>
          </w:p>
        </w:tc>
        <w:tc>
          <w:tcPr>
            <w:tcW w:w="2575" w:type="dxa"/>
            <w:vAlign w:val="center"/>
          </w:tcPr>
          <w:p>
            <w:pPr>
              <w:spacing w:line="360" w:lineRule="auto"/>
              <w:rPr>
                <w:rFonts w:ascii="宋体" w:hAnsi="宋体" w:eastAsia="宋体" w:cs="宋体"/>
                <w:sz w:val="21"/>
                <w:szCs w:val="21"/>
              </w:rPr>
            </w:pPr>
            <w:r>
              <w:rPr>
                <w:rFonts w:hint="eastAsia" w:ascii="宋体" w:hAnsi="宋体" w:eastAsia="宋体" w:cs="宋体"/>
                <w:bCs/>
                <w:sz w:val="21"/>
                <w:szCs w:val="21"/>
              </w:rPr>
              <w:t>品牌知名度，设备制造商研发能力等</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10</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bCs/>
                <w:sz w:val="21"/>
                <w:szCs w:val="21"/>
              </w:rPr>
              <w:t>整套系统各部件的品牌均为国际一流供应商，测试分析软件的研发能力强，并定期对软件更新迭代，由评标委员会成员独立进行客观、公正的评价，按照优、良、一般进行赋分，优得</w:t>
            </w:r>
            <w:r>
              <w:rPr>
                <w:rFonts w:ascii="宋体" w:hAnsi="宋体" w:eastAsia="宋体" w:cs="宋体"/>
                <w:bCs/>
                <w:sz w:val="21"/>
                <w:szCs w:val="21"/>
              </w:rPr>
              <w:t>10</w:t>
            </w:r>
            <w:r>
              <w:rPr>
                <w:rFonts w:hint="eastAsia" w:ascii="宋体" w:hAnsi="宋体" w:eastAsia="宋体" w:cs="宋体"/>
                <w:bCs/>
                <w:sz w:val="21"/>
                <w:szCs w:val="21"/>
              </w:rPr>
              <w:t>分，良得</w:t>
            </w:r>
            <w:r>
              <w:rPr>
                <w:rFonts w:ascii="宋体" w:hAnsi="宋体" w:eastAsia="宋体" w:cs="宋体"/>
                <w:bCs/>
                <w:sz w:val="21"/>
                <w:szCs w:val="21"/>
              </w:rPr>
              <w:t>5</w:t>
            </w:r>
            <w:r>
              <w:rPr>
                <w:rFonts w:hint="eastAsia" w:ascii="宋体" w:hAnsi="宋体" w:eastAsia="宋体" w:cs="宋体"/>
                <w:bCs/>
                <w:sz w:val="21"/>
                <w:szCs w:val="21"/>
              </w:rPr>
              <w:t>分，一般得</w:t>
            </w:r>
            <w:r>
              <w:rPr>
                <w:rFonts w:ascii="宋体" w:hAnsi="宋体" w:eastAsia="宋体" w:cs="宋体"/>
                <w:bCs/>
                <w:sz w:val="21"/>
                <w:szCs w:val="21"/>
              </w:rPr>
              <w:t>2</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1244" w:type="dxa"/>
            <w:vMerge w:val="continue"/>
            <w:vAlign w:val="center"/>
          </w:tcPr>
          <w:p>
            <w:pPr>
              <w:spacing w:line="360" w:lineRule="auto"/>
              <w:jc w:val="center"/>
              <w:rPr>
                <w:rFonts w:ascii="宋体" w:hAnsi="宋体" w:eastAsia="宋体" w:cs="宋体"/>
                <w:sz w:val="21"/>
                <w:szCs w:val="21"/>
              </w:rPr>
            </w:pPr>
          </w:p>
        </w:tc>
        <w:tc>
          <w:tcPr>
            <w:tcW w:w="865" w:type="dxa"/>
            <w:vAlign w:val="center"/>
          </w:tcPr>
          <w:p>
            <w:pPr>
              <w:spacing w:line="360" w:lineRule="auto"/>
              <w:jc w:val="center"/>
              <w:rPr>
                <w:rFonts w:ascii="宋体" w:hAnsi="宋体" w:eastAsia="宋体" w:cs="宋体"/>
                <w:sz w:val="21"/>
                <w:szCs w:val="21"/>
              </w:rPr>
            </w:pPr>
            <w:r>
              <w:rPr>
                <w:rFonts w:hint="eastAsia" w:ascii="宋体" w:hAnsi="宋体" w:eastAsia="宋体" w:cs="宋体"/>
                <w:sz w:val="21"/>
                <w:szCs w:val="21"/>
              </w:rPr>
              <w:t>8</w:t>
            </w:r>
          </w:p>
        </w:tc>
        <w:tc>
          <w:tcPr>
            <w:tcW w:w="2575" w:type="dxa"/>
            <w:vAlign w:val="center"/>
          </w:tcPr>
          <w:p>
            <w:pPr>
              <w:spacing w:line="360" w:lineRule="auto"/>
              <w:rPr>
                <w:rFonts w:ascii="宋体" w:hAnsi="宋体" w:eastAsia="宋体" w:cs="宋体"/>
                <w:sz w:val="21"/>
                <w:szCs w:val="21"/>
              </w:rPr>
            </w:pPr>
            <w:r>
              <w:rPr>
                <w:rFonts w:hint="eastAsia" w:ascii="宋体" w:hAnsi="宋体" w:eastAsia="宋体" w:cs="宋体"/>
                <w:bCs/>
                <w:sz w:val="21"/>
                <w:szCs w:val="21"/>
              </w:rPr>
              <w:t>现场安装、调试、验收阶段的组织管理措施，备品备件清单的完整性、合理性、符合性</w:t>
            </w:r>
          </w:p>
        </w:tc>
        <w:tc>
          <w:tcPr>
            <w:tcW w:w="834" w:type="dxa"/>
            <w:vAlign w:val="center"/>
          </w:tcPr>
          <w:p>
            <w:pPr>
              <w:spacing w:line="360" w:lineRule="auto"/>
              <w:jc w:val="center"/>
              <w:rPr>
                <w:rFonts w:ascii="宋体" w:hAnsi="宋体" w:eastAsia="宋体" w:cs="宋体"/>
                <w:sz w:val="21"/>
                <w:szCs w:val="21"/>
              </w:rPr>
            </w:pPr>
            <w:r>
              <w:rPr>
                <w:rFonts w:ascii="宋体" w:hAnsi="宋体" w:eastAsia="宋体" w:cs="宋体"/>
                <w:sz w:val="21"/>
                <w:szCs w:val="21"/>
              </w:rPr>
              <w:t>10</w:t>
            </w:r>
          </w:p>
        </w:tc>
        <w:tc>
          <w:tcPr>
            <w:tcW w:w="8604" w:type="dxa"/>
            <w:vAlign w:val="center"/>
          </w:tcPr>
          <w:p>
            <w:pPr>
              <w:spacing w:line="360" w:lineRule="auto"/>
              <w:rPr>
                <w:rFonts w:ascii="宋体" w:hAnsi="宋体" w:eastAsia="宋体" w:cs="宋体"/>
                <w:bCs/>
                <w:sz w:val="21"/>
                <w:szCs w:val="21"/>
              </w:rPr>
            </w:pPr>
            <w:r>
              <w:rPr>
                <w:rFonts w:hint="eastAsia" w:ascii="宋体" w:hAnsi="宋体" w:eastAsia="宋体" w:cs="宋体"/>
                <w:color w:val="000000"/>
                <w:sz w:val="21"/>
                <w:szCs w:val="21"/>
              </w:rPr>
              <w:t>由评标委员会成员独立进行客观、公正的评价，按照优、良、一般进行赋分，优得</w:t>
            </w:r>
            <w:r>
              <w:rPr>
                <w:rFonts w:ascii="宋体" w:hAnsi="宋体" w:eastAsia="宋体" w:cs="宋体"/>
                <w:color w:val="000000"/>
                <w:sz w:val="21"/>
                <w:szCs w:val="21"/>
              </w:rPr>
              <w:t>10</w:t>
            </w:r>
            <w:r>
              <w:rPr>
                <w:rFonts w:hint="eastAsia" w:ascii="宋体" w:hAnsi="宋体" w:eastAsia="宋体" w:cs="宋体"/>
                <w:color w:val="000000"/>
                <w:sz w:val="21"/>
                <w:szCs w:val="21"/>
              </w:rPr>
              <w:t>分，良得</w:t>
            </w:r>
            <w:r>
              <w:rPr>
                <w:rFonts w:ascii="宋体" w:hAnsi="宋体" w:eastAsia="宋体" w:cs="宋体"/>
                <w:color w:val="000000"/>
                <w:sz w:val="21"/>
                <w:szCs w:val="21"/>
              </w:rPr>
              <w:t>5</w:t>
            </w:r>
            <w:r>
              <w:rPr>
                <w:rFonts w:hint="eastAsia" w:ascii="宋体" w:hAnsi="宋体" w:eastAsia="宋体" w:cs="宋体"/>
                <w:color w:val="000000"/>
                <w:sz w:val="21"/>
                <w:szCs w:val="21"/>
              </w:rPr>
              <w:t>分，一般得</w:t>
            </w:r>
            <w:r>
              <w:rPr>
                <w:rFonts w:ascii="宋体" w:hAnsi="宋体" w:eastAsia="宋体" w:cs="宋体"/>
                <w:color w:val="000000"/>
                <w:sz w:val="21"/>
                <w:szCs w:val="21"/>
              </w:rPr>
              <w:t>2</w:t>
            </w:r>
            <w:r>
              <w:rPr>
                <w:rFonts w:hint="eastAsia" w:ascii="宋体" w:hAnsi="宋体" w:eastAsia="宋体" w:cs="宋体"/>
                <w:color w:val="000000"/>
                <w:sz w:val="21"/>
                <w:szCs w:val="21"/>
              </w:rPr>
              <w:t>分。</w:t>
            </w:r>
          </w:p>
        </w:tc>
      </w:tr>
    </w:tbl>
    <w:p>
      <w:pPr>
        <w:rPr>
          <w:rFonts w:hint="eastAsia" w:ascii="宋体" w:hAnsi="宋体" w:cs="宋体"/>
          <w:b w:val="0"/>
          <w:bCs w:val="0"/>
          <w:color w:val="000000"/>
          <w:sz w:val="24"/>
          <w:szCs w:val="24"/>
          <w:lang w:eastAsia="zh-CN"/>
        </w:rPr>
      </w:pPr>
      <w:r>
        <w:rPr>
          <w:rFonts w:hint="eastAsia" w:ascii="宋体" w:hAnsi="宋体" w:cs="宋体"/>
          <w:b w:val="0"/>
          <w:bCs w:val="0"/>
          <w:color w:val="000000"/>
          <w:sz w:val="24"/>
          <w:szCs w:val="24"/>
          <w:lang w:eastAsia="zh-CN"/>
        </w:rPr>
        <w:br w:type="page"/>
      </w:r>
    </w:p>
    <w:p>
      <w:pPr>
        <w:pStyle w:val="2"/>
        <w:rPr>
          <w:rFonts w:hint="eastAsia" w:ascii="宋体" w:hAnsi="宋体" w:cs="宋体"/>
          <w:b w:val="0"/>
          <w:bCs w:val="0"/>
          <w:color w:val="000000"/>
          <w:sz w:val="24"/>
          <w:szCs w:val="24"/>
          <w:lang w:eastAsia="zh-CN"/>
        </w:rPr>
        <w:sectPr>
          <w:pgSz w:w="16838" w:h="11906" w:orient="landscape"/>
          <w:pgMar w:top="567" w:right="567" w:bottom="567" w:left="567" w:header="851" w:footer="992" w:gutter="0"/>
          <w:pgNumType w:fmt="decimal"/>
          <w:cols w:space="720" w:num="1"/>
          <w:titlePg/>
          <w:docGrid w:type="lines" w:linePitch="312" w:charSpace="0"/>
        </w:sectPr>
      </w:pP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6"/>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7"/>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8"/>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9"/>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360" w:lineRule="auto"/>
        <w:ind w:left="0" w:right="0" w:firstLine="0"/>
        <w:jc w:val="both"/>
        <w:rPr>
          <w:rFonts w:hint="default" w:ascii="宋体" w:hAnsi="宋体" w:eastAsia="宋体" w:cs="宋体"/>
          <w:i w:val="0"/>
          <w:strike w:val="0"/>
          <w:color w:val="000000"/>
          <w:sz w:val="24"/>
          <w:szCs w:val="28"/>
          <w:u w:val="none"/>
          <w:lang w:val="en-US" w:eastAsia="zh-CN"/>
        </w:rPr>
      </w:pPr>
      <w:r>
        <w:rPr>
          <w:rFonts w:hint="eastAsia" w:ascii="宋体" w:hAnsi="宋体" w:eastAsia="宋体" w:cs="宋体"/>
          <w:i w:val="0"/>
          <w:strike w:val="0"/>
          <w:color w:val="000000"/>
          <w:sz w:val="24"/>
          <w:szCs w:val="28"/>
          <w:u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0"/>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1"/>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业务主管部门选择“技术改造部”</w:t>
      </w:r>
      <w:r>
        <w:rPr>
          <w:rFonts w:hint="eastAsia" w:hAnsi="宋体" w:eastAsia="宋体" w:cs="宋体"/>
          <w:b/>
          <w:bCs/>
          <w:i w:val="0"/>
          <w:strike w:val="0"/>
          <w:color w:val="000000"/>
          <w:sz w:val="24"/>
          <w:szCs w:val="28"/>
          <w:highlight w:val="yellow"/>
          <w:u w:val="none"/>
          <w:lang w:val="en-US" w:eastAsia="zh-CN"/>
        </w:rPr>
        <w:t>。</w:t>
      </w:r>
    </w:p>
    <w:p>
      <w:pPr>
        <w:pStyle w:val="2"/>
        <w:sectPr>
          <w:pgSz w:w="11906" w:h="16838"/>
          <w:pgMar w:top="1588" w:right="1418" w:bottom="1134" w:left="1418" w:header="851" w:footer="992" w:gutter="0"/>
          <w:pgNumType w:fmt="decimal"/>
          <w:cols w:space="720" w:num="1"/>
          <w:titlePg/>
          <w:docGrid w:type="lines" w:linePitch="312" w:charSpace="0"/>
        </w:sectPr>
      </w:pP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3"/>
          <w:rFonts w:hint="eastAsia" w:ascii="宋体" w:hAnsi="宋体" w:eastAsia="宋体" w:cs="宋体"/>
          <w:color w:val="FF0000"/>
          <w:sz w:val="24"/>
          <w:szCs w:val="24"/>
          <w:lang w:eastAsia="zh-CN"/>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r>
        <w:rPr>
          <w:rStyle w:val="43"/>
          <w:rFonts w:hint="eastAsia" w:ascii="宋体" w:hAnsi="宋体" w:eastAsia="宋体" w:cs="宋体"/>
          <w:color w:val="FF0000"/>
          <w:sz w:val="24"/>
          <w:szCs w:val="24"/>
          <w:lang w:eastAsia="zh-CN"/>
        </w:rPr>
        <w:t>（</w:t>
      </w:r>
      <w:r>
        <w:rPr>
          <w:rStyle w:val="43"/>
          <w:rFonts w:hint="eastAsia" w:ascii="宋体" w:hAnsi="宋体" w:eastAsia="宋体" w:cs="宋体"/>
          <w:color w:val="FF0000"/>
          <w:sz w:val="24"/>
          <w:szCs w:val="24"/>
          <w:lang w:val="en-US" w:eastAsia="zh-CN"/>
        </w:rPr>
        <w:t>以下内容可能非最新版本，仅供参考，请登录系统网址后，点检查看最新版供应商手册</w:t>
      </w:r>
      <w:r>
        <w:rPr>
          <w:rStyle w:val="43"/>
          <w:rFonts w:hint="eastAsia" w:ascii="宋体" w:hAnsi="宋体" w:eastAsia="宋体" w:cs="宋体"/>
          <w:color w:val="FF0000"/>
          <w:sz w:val="24"/>
          <w:szCs w:val="24"/>
          <w:lang w:eastAsia="zh-CN"/>
        </w:rPr>
        <w:t>）</w:t>
      </w:r>
    </w:p>
    <w:p>
      <w:pPr>
        <w:pStyle w:val="2"/>
        <w:rPr>
          <w:rStyle w:val="43"/>
          <w:rFonts w:hint="eastAsia" w:ascii="宋体" w:hAnsi="宋体" w:eastAsia="宋体" w:cs="宋体"/>
          <w:color w:val="FF0000"/>
          <w:sz w:val="24"/>
          <w:szCs w:val="24"/>
          <w:lang w:eastAsia="zh-CN"/>
        </w:rPr>
      </w:pPr>
      <w:r>
        <w:drawing>
          <wp:inline distT="0" distB="0" distL="114300" distR="114300">
            <wp:extent cx="4067175" cy="4876800"/>
            <wp:effectExtent l="0" t="0" r="952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2"/>
                    <a:stretch>
                      <a:fillRect/>
                    </a:stretch>
                  </pic:blipFill>
                  <pic:spPr>
                    <a:xfrm>
                      <a:off x="0" y="0"/>
                      <a:ext cx="4067175" cy="4876800"/>
                    </a:xfrm>
                    <a:prstGeom prst="rect">
                      <a:avLst/>
                    </a:prstGeom>
                    <a:noFill/>
                    <a:ln>
                      <a:noFill/>
                    </a:ln>
                  </pic:spPr>
                </pic:pic>
              </a:graphicData>
            </a:graphic>
          </wp:inline>
        </w:drawing>
      </w:r>
    </w:p>
    <w:p>
      <w:pPr>
        <w:pStyle w:val="2"/>
        <w:rPr>
          <w:rStyle w:val="43"/>
          <w:rFonts w:hint="eastAsia" w:ascii="宋体" w:hAnsi="宋体" w:eastAsia="宋体" w:cs="宋体"/>
          <w:color w:val="FF0000"/>
          <w:sz w:val="24"/>
          <w:szCs w:val="24"/>
          <w:lang w:eastAsia="zh-CN"/>
        </w:rPr>
      </w:pP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FF0000"/>
          <w:sz w:val="24"/>
          <w:szCs w:val="24"/>
          <w:u w:val="none"/>
          <w:lang w:val="en-US" w:eastAsia="zh-CN"/>
        </w:rPr>
        <w:t>编辑</w:t>
      </w:r>
      <w:r>
        <w:rPr>
          <w:rFonts w:ascii="宋体" w:hAnsi="宋体" w:eastAsia="宋体" w:cs="宋体"/>
          <w:i w:val="0"/>
          <w:strike w:val="0"/>
          <w:color w:val="FF0000"/>
          <w:sz w:val="24"/>
          <w:szCs w:val="24"/>
          <w:u w:val="none"/>
        </w:rPr>
        <w:t>技术标澄清函</w:t>
      </w:r>
      <w:r>
        <w:rPr>
          <w:rFonts w:hint="eastAsia" w:ascii="宋体" w:hAnsi="宋体" w:eastAsia="宋体" w:cs="宋体"/>
          <w:i w:val="0"/>
          <w:strike w:val="0"/>
          <w:color w:val="FF0000"/>
          <w:sz w:val="24"/>
          <w:szCs w:val="24"/>
          <w:u w:val="none"/>
          <w:lang w:val="en-US" w:eastAsia="zh-CN"/>
        </w:rPr>
        <w:t>最后填写授权代表姓名及电话</w:t>
      </w:r>
      <w:r>
        <w:rPr>
          <w:rFonts w:ascii="宋体" w:hAnsi="宋体" w:eastAsia="宋体" w:cs="宋体"/>
          <w:i w:val="0"/>
          <w:strike w:val="0"/>
          <w:color w:val="FF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FF0000"/>
          <w:sz w:val="24"/>
          <w:szCs w:val="24"/>
          <w:u w:val="none"/>
          <w:lang w:val="en-US" w:eastAsia="zh-CN"/>
        </w:rPr>
        <w:t>填写商务澄清内容（最后填写授权代表姓名、电话）</w:t>
      </w:r>
      <w:r>
        <w:rPr>
          <w:rFonts w:ascii="宋体" w:hAnsi="宋体" w:eastAsia="宋体" w:cs="宋体"/>
          <w:i w:val="0"/>
          <w:strike w:val="0"/>
          <w:color w:val="000000"/>
          <w:sz w:val="24"/>
          <w:szCs w:val="24"/>
          <w:u w:val="none"/>
        </w:rPr>
        <w:t>，之后点击提交。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65</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66</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67</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68</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032C7"/>
    <w:multiLevelType w:val="singleLevel"/>
    <w:tmpl w:val="865032C7"/>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1"/>
  </w:num>
  <w:num w:numId="3">
    <w:abstractNumId w:val="9"/>
  </w:num>
  <w:num w:numId="4">
    <w:abstractNumId w:val="5"/>
  </w:num>
  <w:num w:numId="5">
    <w:abstractNumId w:val="3"/>
  </w:num>
  <w:num w:numId="6">
    <w:abstractNumId w:val="7"/>
  </w:num>
  <w:num w:numId="7">
    <w:abstractNumId w:val="2"/>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jYmNjYjVhOTYzYjdmNWY1M2UzMjFlMzUzY2EyODA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25887"/>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45FBA"/>
    <w:rsid w:val="02BA7274"/>
    <w:rsid w:val="02EA06AE"/>
    <w:rsid w:val="03251978"/>
    <w:rsid w:val="0325718A"/>
    <w:rsid w:val="041902EB"/>
    <w:rsid w:val="042921B6"/>
    <w:rsid w:val="043B72BB"/>
    <w:rsid w:val="04461EC1"/>
    <w:rsid w:val="04504B3F"/>
    <w:rsid w:val="04AD02B8"/>
    <w:rsid w:val="04DE51C8"/>
    <w:rsid w:val="04DF17D4"/>
    <w:rsid w:val="04F75026"/>
    <w:rsid w:val="05412745"/>
    <w:rsid w:val="05491761"/>
    <w:rsid w:val="05A351AD"/>
    <w:rsid w:val="05F9748A"/>
    <w:rsid w:val="062260D2"/>
    <w:rsid w:val="06266F78"/>
    <w:rsid w:val="063E7B7A"/>
    <w:rsid w:val="06582413"/>
    <w:rsid w:val="067E33B8"/>
    <w:rsid w:val="06E82FCB"/>
    <w:rsid w:val="06F34B95"/>
    <w:rsid w:val="07571DAC"/>
    <w:rsid w:val="07EA7178"/>
    <w:rsid w:val="084A7B62"/>
    <w:rsid w:val="08C856A3"/>
    <w:rsid w:val="08DD171B"/>
    <w:rsid w:val="08E64121"/>
    <w:rsid w:val="0942017F"/>
    <w:rsid w:val="09BA1FBB"/>
    <w:rsid w:val="09CB139F"/>
    <w:rsid w:val="0A0106F5"/>
    <w:rsid w:val="0A112AB7"/>
    <w:rsid w:val="0AAA504A"/>
    <w:rsid w:val="0AD71BC7"/>
    <w:rsid w:val="0AE61EF7"/>
    <w:rsid w:val="0AF420EB"/>
    <w:rsid w:val="0B2B2BF5"/>
    <w:rsid w:val="0B2F3908"/>
    <w:rsid w:val="0B3F6206"/>
    <w:rsid w:val="0BE12DB6"/>
    <w:rsid w:val="0BFC6504"/>
    <w:rsid w:val="0C345AD1"/>
    <w:rsid w:val="0C626CE4"/>
    <w:rsid w:val="0D0C2B7B"/>
    <w:rsid w:val="0D363E6C"/>
    <w:rsid w:val="0D9308F8"/>
    <w:rsid w:val="0DE76C3D"/>
    <w:rsid w:val="0E1A1D85"/>
    <w:rsid w:val="0E231DF6"/>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0FE7A42"/>
    <w:rsid w:val="111B0FE9"/>
    <w:rsid w:val="112C77F4"/>
    <w:rsid w:val="115F67A8"/>
    <w:rsid w:val="119A7465"/>
    <w:rsid w:val="11C07DA5"/>
    <w:rsid w:val="11C2491E"/>
    <w:rsid w:val="11F36B75"/>
    <w:rsid w:val="12491386"/>
    <w:rsid w:val="12E60579"/>
    <w:rsid w:val="12EB0F02"/>
    <w:rsid w:val="12EC6B21"/>
    <w:rsid w:val="13695B36"/>
    <w:rsid w:val="1372609F"/>
    <w:rsid w:val="13B54A2A"/>
    <w:rsid w:val="13D73572"/>
    <w:rsid w:val="14504752"/>
    <w:rsid w:val="145A6A37"/>
    <w:rsid w:val="1467440F"/>
    <w:rsid w:val="15400323"/>
    <w:rsid w:val="15433A9B"/>
    <w:rsid w:val="15FC2F04"/>
    <w:rsid w:val="16181FAC"/>
    <w:rsid w:val="168756A0"/>
    <w:rsid w:val="16F94849"/>
    <w:rsid w:val="17045E51"/>
    <w:rsid w:val="172011D4"/>
    <w:rsid w:val="17252C3B"/>
    <w:rsid w:val="173F0A2E"/>
    <w:rsid w:val="17770BC2"/>
    <w:rsid w:val="17860E2F"/>
    <w:rsid w:val="17A119AA"/>
    <w:rsid w:val="18586F2B"/>
    <w:rsid w:val="19A766B9"/>
    <w:rsid w:val="19CE76BA"/>
    <w:rsid w:val="19F26070"/>
    <w:rsid w:val="19F97C8B"/>
    <w:rsid w:val="1A1523CE"/>
    <w:rsid w:val="1AA730BD"/>
    <w:rsid w:val="1B333D5D"/>
    <w:rsid w:val="1B587618"/>
    <w:rsid w:val="1B5F19C7"/>
    <w:rsid w:val="1C1C709B"/>
    <w:rsid w:val="1C4F6795"/>
    <w:rsid w:val="1C9F6814"/>
    <w:rsid w:val="1D5C514E"/>
    <w:rsid w:val="1D865D14"/>
    <w:rsid w:val="1D8705EC"/>
    <w:rsid w:val="1E43150B"/>
    <w:rsid w:val="1EA93E80"/>
    <w:rsid w:val="1ED33FB6"/>
    <w:rsid w:val="1EE81332"/>
    <w:rsid w:val="1F32415A"/>
    <w:rsid w:val="1F542F9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0247A9"/>
    <w:rsid w:val="247E4FED"/>
    <w:rsid w:val="24AD78E0"/>
    <w:rsid w:val="24B30BE8"/>
    <w:rsid w:val="24E34060"/>
    <w:rsid w:val="253A0491"/>
    <w:rsid w:val="254E0478"/>
    <w:rsid w:val="258C5D89"/>
    <w:rsid w:val="25E036B2"/>
    <w:rsid w:val="25E9082A"/>
    <w:rsid w:val="25F42473"/>
    <w:rsid w:val="269C17B8"/>
    <w:rsid w:val="26AF2D79"/>
    <w:rsid w:val="26B34B91"/>
    <w:rsid w:val="270D66E8"/>
    <w:rsid w:val="27127553"/>
    <w:rsid w:val="27514612"/>
    <w:rsid w:val="278B0DAB"/>
    <w:rsid w:val="279C6B0E"/>
    <w:rsid w:val="27A64735"/>
    <w:rsid w:val="27CC4DF2"/>
    <w:rsid w:val="281864F2"/>
    <w:rsid w:val="286903EF"/>
    <w:rsid w:val="287F5DD3"/>
    <w:rsid w:val="288047CB"/>
    <w:rsid w:val="289E62FA"/>
    <w:rsid w:val="28FD6E90"/>
    <w:rsid w:val="291E2CA6"/>
    <w:rsid w:val="29331862"/>
    <w:rsid w:val="29876C10"/>
    <w:rsid w:val="299741EC"/>
    <w:rsid w:val="299E147F"/>
    <w:rsid w:val="29C32A87"/>
    <w:rsid w:val="29CF26DC"/>
    <w:rsid w:val="2A1C5DA0"/>
    <w:rsid w:val="2A200D39"/>
    <w:rsid w:val="2A507EFF"/>
    <w:rsid w:val="2ADC05A4"/>
    <w:rsid w:val="2AEF2177"/>
    <w:rsid w:val="2B6F0D7F"/>
    <w:rsid w:val="2B8716BD"/>
    <w:rsid w:val="2B8B76FF"/>
    <w:rsid w:val="2BA50A88"/>
    <w:rsid w:val="2BD5034F"/>
    <w:rsid w:val="2C275941"/>
    <w:rsid w:val="2D025012"/>
    <w:rsid w:val="2D332A60"/>
    <w:rsid w:val="2D4178F0"/>
    <w:rsid w:val="2DAE631A"/>
    <w:rsid w:val="2DD877E0"/>
    <w:rsid w:val="2DE616C9"/>
    <w:rsid w:val="2DFC2451"/>
    <w:rsid w:val="2E3422F8"/>
    <w:rsid w:val="2E6E566D"/>
    <w:rsid w:val="2E7F188E"/>
    <w:rsid w:val="2EBC0905"/>
    <w:rsid w:val="2EC73739"/>
    <w:rsid w:val="2EFB1B0E"/>
    <w:rsid w:val="2F5C684F"/>
    <w:rsid w:val="307776D1"/>
    <w:rsid w:val="30862574"/>
    <w:rsid w:val="30B631E1"/>
    <w:rsid w:val="311933AA"/>
    <w:rsid w:val="317D15BB"/>
    <w:rsid w:val="31D07E6C"/>
    <w:rsid w:val="323F65DA"/>
    <w:rsid w:val="32412074"/>
    <w:rsid w:val="32DE0199"/>
    <w:rsid w:val="333C2963"/>
    <w:rsid w:val="334749B2"/>
    <w:rsid w:val="335B2774"/>
    <w:rsid w:val="33A4642E"/>
    <w:rsid w:val="33D4039C"/>
    <w:rsid w:val="33D47E05"/>
    <w:rsid w:val="3413677D"/>
    <w:rsid w:val="342B544B"/>
    <w:rsid w:val="345E036E"/>
    <w:rsid w:val="34C47852"/>
    <w:rsid w:val="34DE1E4F"/>
    <w:rsid w:val="34F07DB1"/>
    <w:rsid w:val="35843E04"/>
    <w:rsid w:val="359009FB"/>
    <w:rsid w:val="35D354B8"/>
    <w:rsid w:val="35D4025C"/>
    <w:rsid w:val="362666BC"/>
    <w:rsid w:val="368A6B11"/>
    <w:rsid w:val="37085B1F"/>
    <w:rsid w:val="372E04CB"/>
    <w:rsid w:val="38015A37"/>
    <w:rsid w:val="38E070F2"/>
    <w:rsid w:val="390D33AB"/>
    <w:rsid w:val="391E6D06"/>
    <w:rsid w:val="39761CB6"/>
    <w:rsid w:val="3A074847"/>
    <w:rsid w:val="3A0E0BD3"/>
    <w:rsid w:val="3A50591E"/>
    <w:rsid w:val="3A830B2E"/>
    <w:rsid w:val="3AA90FE6"/>
    <w:rsid w:val="3AA9318F"/>
    <w:rsid w:val="3AB62DA0"/>
    <w:rsid w:val="3B7D3FD5"/>
    <w:rsid w:val="3B823DDF"/>
    <w:rsid w:val="3B830F21"/>
    <w:rsid w:val="3BD827B4"/>
    <w:rsid w:val="3C237ED3"/>
    <w:rsid w:val="3CAA596A"/>
    <w:rsid w:val="3CAF1D22"/>
    <w:rsid w:val="3CB1587B"/>
    <w:rsid w:val="3CB735F2"/>
    <w:rsid w:val="3D186684"/>
    <w:rsid w:val="3D363C36"/>
    <w:rsid w:val="3D8B2178"/>
    <w:rsid w:val="3DB34909"/>
    <w:rsid w:val="3DD115F5"/>
    <w:rsid w:val="3DE435F0"/>
    <w:rsid w:val="3DE5122C"/>
    <w:rsid w:val="3DF37E53"/>
    <w:rsid w:val="3E3D7054"/>
    <w:rsid w:val="3ED26DE9"/>
    <w:rsid w:val="3EED17D0"/>
    <w:rsid w:val="3F0C0304"/>
    <w:rsid w:val="3F774839"/>
    <w:rsid w:val="3FDE03E3"/>
    <w:rsid w:val="3FEC147E"/>
    <w:rsid w:val="400D4FEF"/>
    <w:rsid w:val="40376375"/>
    <w:rsid w:val="412732B7"/>
    <w:rsid w:val="4127791F"/>
    <w:rsid w:val="41281794"/>
    <w:rsid w:val="413C1FDF"/>
    <w:rsid w:val="41806A69"/>
    <w:rsid w:val="41B0259C"/>
    <w:rsid w:val="41BC6F1C"/>
    <w:rsid w:val="41EF2363"/>
    <w:rsid w:val="41F77860"/>
    <w:rsid w:val="424A4B98"/>
    <w:rsid w:val="424E338B"/>
    <w:rsid w:val="42581D3A"/>
    <w:rsid w:val="42ED2EA4"/>
    <w:rsid w:val="42F6649D"/>
    <w:rsid w:val="42FE0080"/>
    <w:rsid w:val="43315D2E"/>
    <w:rsid w:val="43670C99"/>
    <w:rsid w:val="43824A1C"/>
    <w:rsid w:val="43D110E1"/>
    <w:rsid w:val="43E873C9"/>
    <w:rsid w:val="44905B1F"/>
    <w:rsid w:val="44D85C6D"/>
    <w:rsid w:val="45316885"/>
    <w:rsid w:val="45933F14"/>
    <w:rsid w:val="45A95EE9"/>
    <w:rsid w:val="45FB0F21"/>
    <w:rsid w:val="46167166"/>
    <w:rsid w:val="4636719A"/>
    <w:rsid w:val="47200EE3"/>
    <w:rsid w:val="47435AC2"/>
    <w:rsid w:val="474A3941"/>
    <w:rsid w:val="47544B78"/>
    <w:rsid w:val="47587AF7"/>
    <w:rsid w:val="475F2549"/>
    <w:rsid w:val="47745A86"/>
    <w:rsid w:val="47E239AC"/>
    <w:rsid w:val="47E67019"/>
    <w:rsid w:val="480F4B73"/>
    <w:rsid w:val="487974BD"/>
    <w:rsid w:val="48DB38E3"/>
    <w:rsid w:val="49001B5E"/>
    <w:rsid w:val="49376DB0"/>
    <w:rsid w:val="49804BB7"/>
    <w:rsid w:val="49826DCB"/>
    <w:rsid w:val="499013E7"/>
    <w:rsid w:val="49C8088A"/>
    <w:rsid w:val="4A301C93"/>
    <w:rsid w:val="4A3302AB"/>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542A93"/>
    <w:rsid w:val="4D7322D5"/>
    <w:rsid w:val="4DD7034C"/>
    <w:rsid w:val="4DE312CB"/>
    <w:rsid w:val="4DF5318E"/>
    <w:rsid w:val="4E1F4862"/>
    <w:rsid w:val="4E2E4393"/>
    <w:rsid w:val="4E535EF2"/>
    <w:rsid w:val="4F08773C"/>
    <w:rsid w:val="4F31409F"/>
    <w:rsid w:val="4F5E670E"/>
    <w:rsid w:val="4F846A83"/>
    <w:rsid w:val="4FCE3EFD"/>
    <w:rsid w:val="4FF9569C"/>
    <w:rsid w:val="50070E2C"/>
    <w:rsid w:val="501112F3"/>
    <w:rsid w:val="504B57F2"/>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14025D"/>
    <w:rsid w:val="542631B6"/>
    <w:rsid w:val="5447483C"/>
    <w:rsid w:val="54942CAE"/>
    <w:rsid w:val="54A61722"/>
    <w:rsid w:val="54B31F33"/>
    <w:rsid w:val="54B31FAF"/>
    <w:rsid w:val="55326D63"/>
    <w:rsid w:val="555D1A10"/>
    <w:rsid w:val="55BC3AC7"/>
    <w:rsid w:val="55C50568"/>
    <w:rsid w:val="56AC4A78"/>
    <w:rsid w:val="56DB16B9"/>
    <w:rsid w:val="577A3463"/>
    <w:rsid w:val="57F967AD"/>
    <w:rsid w:val="58052975"/>
    <w:rsid w:val="584D1A65"/>
    <w:rsid w:val="584F5C44"/>
    <w:rsid w:val="58A50CE3"/>
    <w:rsid w:val="58E525CA"/>
    <w:rsid w:val="58EE7372"/>
    <w:rsid w:val="593D045A"/>
    <w:rsid w:val="5960739E"/>
    <w:rsid w:val="596932B0"/>
    <w:rsid w:val="59896D0A"/>
    <w:rsid w:val="599D245E"/>
    <w:rsid w:val="59B72684"/>
    <w:rsid w:val="5A9579AE"/>
    <w:rsid w:val="5AC468CD"/>
    <w:rsid w:val="5B342B9A"/>
    <w:rsid w:val="5B5953B0"/>
    <w:rsid w:val="5B630802"/>
    <w:rsid w:val="5B676976"/>
    <w:rsid w:val="5B807F68"/>
    <w:rsid w:val="5BA72CE5"/>
    <w:rsid w:val="5C034D53"/>
    <w:rsid w:val="5D722852"/>
    <w:rsid w:val="5E1D6F56"/>
    <w:rsid w:val="5E52187F"/>
    <w:rsid w:val="5E6A13CD"/>
    <w:rsid w:val="5E705D15"/>
    <w:rsid w:val="5E93326C"/>
    <w:rsid w:val="5E9F1A7A"/>
    <w:rsid w:val="5EFB4BA4"/>
    <w:rsid w:val="5F025452"/>
    <w:rsid w:val="5F5F46B5"/>
    <w:rsid w:val="5FB25360"/>
    <w:rsid w:val="5FBA3CC0"/>
    <w:rsid w:val="5FD90D61"/>
    <w:rsid w:val="60177697"/>
    <w:rsid w:val="602329DB"/>
    <w:rsid w:val="607777D6"/>
    <w:rsid w:val="60BC76A1"/>
    <w:rsid w:val="610B7637"/>
    <w:rsid w:val="612279BA"/>
    <w:rsid w:val="615F5624"/>
    <w:rsid w:val="61D215CF"/>
    <w:rsid w:val="623A2656"/>
    <w:rsid w:val="625C563D"/>
    <w:rsid w:val="626A1704"/>
    <w:rsid w:val="627921C2"/>
    <w:rsid w:val="62A54EBD"/>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EE72DF"/>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BB4660"/>
    <w:rsid w:val="6CD62D03"/>
    <w:rsid w:val="6CD97FB6"/>
    <w:rsid w:val="6D0E5050"/>
    <w:rsid w:val="6D4B22B8"/>
    <w:rsid w:val="6D836174"/>
    <w:rsid w:val="6D930013"/>
    <w:rsid w:val="6E0031D2"/>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50781"/>
    <w:rsid w:val="72CB03A1"/>
    <w:rsid w:val="73184022"/>
    <w:rsid w:val="732D4B5D"/>
    <w:rsid w:val="73393C88"/>
    <w:rsid w:val="7362513F"/>
    <w:rsid w:val="73771D49"/>
    <w:rsid w:val="73A1354E"/>
    <w:rsid w:val="74A11E7D"/>
    <w:rsid w:val="75590B0A"/>
    <w:rsid w:val="7582279F"/>
    <w:rsid w:val="75843EB5"/>
    <w:rsid w:val="75BB71AF"/>
    <w:rsid w:val="75F01962"/>
    <w:rsid w:val="760E19DF"/>
    <w:rsid w:val="76557F3E"/>
    <w:rsid w:val="76676A53"/>
    <w:rsid w:val="76A3294D"/>
    <w:rsid w:val="76B455F0"/>
    <w:rsid w:val="76B620A1"/>
    <w:rsid w:val="76F20814"/>
    <w:rsid w:val="77281F64"/>
    <w:rsid w:val="77462524"/>
    <w:rsid w:val="779A6594"/>
    <w:rsid w:val="77A21064"/>
    <w:rsid w:val="77E34EB2"/>
    <w:rsid w:val="781564B8"/>
    <w:rsid w:val="78224ACF"/>
    <w:rsid w:val="78CD6DCC"/>
    <w:rsid w:val="78D07CAF"/>
    <w:rsid w:val="78DE12D7"/>
    <w:rsid w:val="791C0369"/>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25523C"/>
    <w:rsid w:val="7DB23041"/>
    <w:rsid w:val="7E5F7809"/>
    <w:rsid w:val="7ED56C53"/>
    <w:rsid w:val="7EEA1BAF"/>
    <w:rsid w:val="7F5460D4"/>
    <w:rsid w:val="7F552892"/>
    <w:rsid w:val="7F841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header" Target="header5.xml"/><Relationship Id="rId31" Type="http://schemas.openxmlformats.org/officeDocument/2006/relationships/header" Target="header4.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39261</Words>
  <Characters>41863</Characters>
  <Lines>305</Lines>
  <Paragraphs>86</Paragraphs>
  <TotalTime>3</TotalTime>
  <ScaleCrop>false</ScaleCrop>
  <LinksUpToDate>false</LinksUpToDate>
  <CharactersWithSpaces>48428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哎</cp:lastModifiedBy>
  <cp:lastPrinted>2022-07-01T03:19:00Z</cp:lastPrinted>
  <dcterms:modified xsi:type="dcterms:W3CDTF">2023-07-01T03:47:18Z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DDF9147730514E82BB4CAEED150373F8_13</vt:lpwstr>
  </property>
</Properties>
</file>