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eastAsia="宋体" w:cs="黑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drawing>
          <wp:inline distT="0" distB="0" distL="114300" distR="114300">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r>
        <w:rPr>
          <w:rFonts w:hint="eastAsia" w:ascii="宋体" w:hAnsi="宋体" w:eastAsia="宋体" w:cs="黑体"/>
          <w:color w:val="000000" w:themeColor="text1"/>
          <w:sz w:val="28"/>
          <w:szCs w:val="28"/>
          <w:lang w:bidi="ar"/>
          <w14:textFill>
            <w14:solidFill>
              <w14:schemeClr w14:val="tx1"/>
            </w14:solidFill>
          </w14:textFill>
        </w:rPr>
        <w:t xml:space="preserve">             </w:t>
      </w:r>
    </w:p>
    <w:p>
      <w:pPr>
        <w:pStyle w:val="33"/>
        <w:widowControl/>
        <w:ind w:firstLine="0" w:firstLineChars="0"/>
        <w:jc w:val="center"/>
        <w:rPr>
          <w:rFonts w:ascii="宋体" w:hAnsi="宋体"/>
          <w:color w:val="000000" w:themeColor="text1"/>
          <w14:textFill>
            <w14:solidFill>
              <w14:schemeClr w14:val="tx1"/>
            </w14:solidFill>
          </w14:textFill>
        </w:rPr>
      </w:pP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spacing w:before="156" w:beforeLines="50" w:after="156" w:afterLines="50"/>
        <w:jc w:val="center"/>
        <w:rPr>
          <w:rFonts w:ascii="宋体" w:hAnsi="宋体" w:eastAsia="宋体" w:cs="宋体"/>
          <w:b/>
          <w:color w:val="000000" w:themeColor="text1"/>
          <w:sz w:val="48"/>
          <w:szCs w:val="48"/>
          <w14:textFill>
            <w14:solidFill>
              <w14:schemeClr w14:val="tx1"/>
            </w14:solidFill>
          </w14:textFill>
        </w:rPr>
      </w:pPr>
      <w:bookmarkStart w:id="0" w:name="_Toc262474472"/>
      <w:bookmarkStart w:id="1" w:name="_Toc262475853"/>
      <w:bookmarkStart w:id="2" w:name="_Toc262477091"/>
    </w:p>
    <w:bookmarkEnd w:id="0"/>
    <w:bookmarkEnd w:id="1"/>
    <w:bookmarkEnd w:id="2"/>
    <w:p>
      <w:pPr>
        <w:spacing w:before="156" w:beforeLines="50" w:after="156" w:afterLines="50"/>
        <w:jc w:val="center"/>
        <w:rPr>
          <w:rFonts w:ascii="宋体" w:hAnsi="宋体" w:eastAsia="宋体" w:cs="宋体"/>
          <w:b/>
          <w:color w:val="000000" w:themeColor="text1"/>
          <w:sz w:val="48"/>
          <w:szCs w:val="48"/>
          <w:lang w:bidi="ar"/>
          <w14:textFill>
            <w14:solidFill>
              <w14:schemeClr w14:val="tx1"/>
            </w14:solidFill>
          </w14:textFill>
        </w:rPr>
      </w:pPr>
      <w:r>
        <w:rPr>
          <w:rFonts w:hint="eastAsia" w:ascii="宋体" w:hAnsi="宋体" w:eastAsia="宋体" w:cs="宋体"/>
          <w:b/>
          <w:color w:val="000000" w:themeColor="text1"/>
          <w:sz w:val="48"/>
          <w:szCs w:val="48"/>
          <w:lang w:bidi="ar"/>
          <w14:textFill>
            <w14:solidFill>
              <w14:schemeClr w14:val="tx1"/>
            </w14:solidFill>
          </w14:textFill>
        </w:rPr>
        <w:t>中国重汽集团济南商用车关重件件号随车展示项目</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招</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件</w:t>
      </w: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中国重汽集团济南商用车制造公司</w:t>
      </w:r>
    </w:p>
    <w:p>
      <w:pPr>
        <w:spacing w:line="380" w:lineRule="exact"/>
        <w:jc w:val="center"/>
        <w:rPr>
          <w:rFonts w:ascii="宋体" w:hAnsi="宋体" w:eastAsia="宋体" w:cs="黑体"/>
          <w:color w:val="000000" w:themeColor="text1"/>
          <w:sz w:val="44"/>
          <w:szCs w:val="44"/>
          <w14:textFill>
            <w14:solidFill>
              <w14:schemeClr w14:val="tx1"/>
            </w14:solidFill>
          </w14:textFill>
        </w:rPr>
      </w:pPr>
    </w:p>
    <w:p>
      <w:pPr>
        <w:spacing w:before="156" w:beforeLines="50" w:line="380" w:lineRule="exact"/>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二〇二三年六月</w:t>
      </w:r>
    </w:p>
    <w:p>
      <w:pPr>
        <w:pStyle w:val="19"/>
        <w:widowControl/>
        <w:tabs>
          <w:tab w:val="right" w:leader="dot" w:pos="8705"/>
        </w:tabs>
        <w:jc w:val="center"/>
        <w:rPr>
          <w:rFonts w:ascii="宋体" w:hAnsi="宋体"/>
          <w:b w:val="0"/>
          <w:bCs/>
          <w:color w:val="000000" w:themeColor="text1"/>
          <w:sz w:val="36"/>
          <w:szCs w:val="36"/>
          <w14:textFill>
            <w14:solidFill>
              <w14:schemeClr w14:val="tx1"/>
            </w14:solidFill>
          </w14:textFill>
        </w:rPr>
      </w:pPr>
      <w:r>
        <w:rPr>
          <w:rFonts w:ascii="宋体" w:hAnsi="宋体"/>
          <w:color w:val="000000" w:themeColor="text1"/>
          <w:lang w:bidi="ar"/>
          <w14:textFill>
            <w14:solidFill>
              <w14:schemeClr w14:val="tx1"/>
            </w14:solidFill>
          </w14:textFill>
        </w:rPr>
        <w:br w:type="page"/>
      </w:r>
      <w:r>
        <w:rPr>
          <w:rFonts w:hint="eastAsia" w:ascii="宋体" w:hAnsi="宋体" w:cs="宋体"/>
          <w:b w:val="0"/>
          <w:bCs/>
          <w:color w:val="000000" w:themeColor="text1"/>
          <w:sz w:val="36"/>
          <w:szCs w:val="36"/>
          <w14:textFill>
            <w14:solidFill>
              <w14:schemeClr w14:val="tx1"/>
            </w14:solidFill>
          </w14:textFill>
        </w:rPr>
        <w:t>目</w:t>
      </w:r>
      <w:r>
        <w:rPr>
          <w:rFonts w:ascii="宋体" w:hAnsi="宋体"/>
          <w:b w:val="0"/>
          <w:bCs/>
          <w:color w:val="000000" w:themeColor="text1"/>
          <w:sz w:val="36"/>
          <w:szCs w:val="36"/>
          <w14:textFill>
            <w14:solidFill>
              <w14:schemeClr w14:val="tx1"/>
            </w14:solidFill>
          </w14:textFill>
        </w:rPr>
        <w:t xml:space="preserve">  </w:t>
      </w:r>
      <w:r>
        <w:rPr>
          <w:rFonts w:hint="eastAsia" w:ascii="宋体" w:hAnsi="宋体" w:cs="宋体"/>
          <w:b w:val="0"/>
          <w:bCs/>
          <w:color w:val="000000" w:themeColor="text1"/>
          <w:sz w:val="36"/>
          <w:szCs w:val="36"/>
          <w14:textFill>
            <w14:solidFill>
              <w14:schemeClr w14:val="tx1"/>
            </w14:solidFill>
          </w14:textFill>
        </w:rPr>
        <w:t>录</w:t>
      </w:r>
    </w:p>
    <w:p>
      <w:pPr>
        <w:pStyle w:val="19"/>
        <w:tabs>
          <w:tab w:val="right" w:leader="dot" w:pos="8715"/>
        </w:tabs>
      </w:pPr>
      <w:r>
        <w:rPr>
          <w:rFonts w:ascii="宋体" w:hAnsi="宋体"/>
          <w:b w:val="0"/>
          <w:bCs/>
          <w:color w:val="000000" w:themeColor="text1"/>
          <w:sz w:val="36"/>
          <w:szCs w:val="36"/>
          <w14:textFill>
            <w14:solidFill>
              <w14:schemeClr w14:val="tx1"/>
            </w14:solidFill>
          </w14:textFill>
        </w:rPr>
        <w:fldChar w:fldCharType="begin"/>
      </w:r>
      <w:r>
        <w:rPr>
          <w:rFonts w:ascii="宋体" w:hAnsi="宋体"/>
          <w:b w:val="0"/>
          <w:bCs/>
          <w:color w:val="000000" w:themeColor="text1"/>
          <w:sz w:val="36"/>
          <w:szCs w:val="36"/>
          <w14:textFill>
            <w14:solidFill>
              <w14:schemeClr w14:val="tx1"/>
            </w14:solidFill>
          </w14:textFill>
        </w:rPr>
        <w:instrText xml:space="preserve"> TOC \o "1-3" \h \z \u </w:instrText>
      </w:r>
      <w:r>
        <w:rPr>
          <w:rFonts w:ascii="宋体" w:hAnsi="宋体"/>
          <w:b w:val="0"/>
          <w:bCs/>
          <w:color w:val="000000" w:themeColor="text1"/>
          <w:sz w:val="36"/>
          <w:szCs w:val="36"/>
          <w14:textFill>
            <w14:solidFill>
              <w14:schemeClr w14:val="tx1"/>
            </w14:solidFill>
          </w14:textFill>
        </w:rPr>
        <w:fldChar w:fldCharType="separate"/>
      </w:r>
      <w:r>
        <w:fldChar w:fldCharType="begin"/>
      </w:r>
      <w:r>
        <w:instrText xml:space="preserve"> HYPERLINK \l "_Toc2295" </w:instrText>
      </w:r>
      <w:r>
        <w:fldChar w:fldCharType="separate"/>
      </w:r>
      <w:r>
        <w:rPr>
          <w:rFonts w:ascii="宋体" w:hAnsi="宋体"/>
        </w:rPr>
        <w:t xml:space="preserve">1 </w:t>
      </w:r>
      <w:r>
        <w:rPr>
          <w:rFonts w:hint="eastAsia" w:ascii="宋体" w:hAnsi="宋体" w:cs="宋体"/>
        </w:rPr>
        <w:t>项目名称</w:t>
      </w:r>
      <w:r>
        <w:tab/>
      </w:r>
      <w:r>
        <w:fldChar w:fldCharType="begin"/>
      </w:r>
      <w:r>
        <w:instrText xml:space="preserve"> PAGEREF _Toc2295 \h </w:instrText>
      </w:r>
      <w:r>
        <w:fldChar w:fldCharType="separate"/>
      </w:r>
      <w:r>
        <w:t>1</w:t>
      </w:r>
      <w:r>
        <w:fldChar w:fldCharType="end"/>
      </w:r>
      <w:r>
        <w:fldChar w:fldCharType="end"/>
      </w:r>
    </w:p>
    <w:p>
      <w:pPr>
        <w:pStyle w:val="21"/>
        <w:tabs>
          <w:tab w:val="right" w:leader="dot" w:pos="8715"/>
        </w:tabs>
      </w:pPr>
      <w:r>
        <w:fldChar w:fldCharType="begin"/>
      </w:r>
      <w:r>
        <w:instrText xml:space="preserve"> HYPERLINK \l "_Toc27241" </w:instrText>
      </w:r>
      <w:r>
        <w:fldChar w:fldCharType="separate"/>
      </w:r>
      <w:r>
        <w:rPr>
          <w:rFonts w:ascii="宋体" w:hAnsi="宋体"/>
        </w:rPr>
        <w:t xml:space="preserve">1.1 </w:t>
      </w:r>
      <w:r>
        <w:rPr>
          <w:rFonts w:hint="eastAsia" w:ascii="宋体" w:hAnsi="宋体" w:cs="宋体"/>
        </w:rPr>
        <w:t>总则</w:t>
      </w:r>
      <w:r>
        <w:tab/>
      </w:r>
      <w:r>
        <w:fldChar w:fldCharType="begin"/>
      </w:r>
      <w:r>
        <w:instrText xml:space="preserve"> PAGEREF _Toc27241 \h </w:instrText>
      </w:r>
      <w:r>
        <w:fldChar w:fldCharType="separate"/>
      </w:r>
      <w:r>
        <w:t>1</w:t>
      </w:r>
      <w:r>
        <w:fldChar w:fldCharType="end"/>
      </w:r>
      <w:r>
        <w:fldChar w:fldCharType="end"/>
      </w:r>
    </w:p>
    <w:p>
      <w:pPr>
        <w:pStyle w:val="19"/>
        <w:tabs>
          <w:tab w:val="right" w:leader="dot" w:pos="8715"/>
        </w:tabs>
      </w:pPr>
      <w:r>
        <w:fldChar w:fldCharType="begin"/>
      </w:r>
      <w:r>
        <w:instrText xml:space="preserve"> HYPERLINK \l "_Toc8623" </w:instrText>
      </w:r>
      <w:r>
        <w:fldChar w:fldCharType="separate"/>
      </w:r>
      <w:r>
        <w:rPr>
          <w:rFonts w:ascii="宋体" w:hAnsi="宋体" w:cs="宋体"/>
        </w:rPr>
        <w:t xml:space="preserve">2 </w:t>
      </w:r>
      <w:r>
        <w:rPr>
          <w:rFonts w:hint="eastAsia" w:ascii="宋体" w:hAnsi="宋体" w:cs="宋体"/>
        </w:rPr>
        <w:t>招标内容及形式</w:t>
      </w:r>
      <w:r>
        <w:tab/>
      </w:r>
      <w:r>
        <w:fldChar w:fldCharType="begin"/>
      </w:r>
      <w:r>
        <w:instrText xml:space="preserve"> PAGEREF _Toc8623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"_Toc19448" </w:instrText>
      </w:r>
      <w:r>
        <w:fldChar w:fldCharType="separate"/>
      </w:r>
      <w:r>
        <w:rPr>
          <w:rFonts w:ascii="宋体" w:hAnsi="宋体"/>
          <w:bCs/>
          <w:lang w:bidi="ar"/>
        </w:rPr>
        <w:t>2.1</w:t>
      </w:r>
      <w:r>
        <w:rPr>
          <w:rFonts w:hint="eastAsia" w:ascii="宋体" w:hAnsi="宋体" w:cs="宋体"/>
          <w:bCs/>
          <w:lang w:bidi="ar"/>
        </w:rPr>
        <w:t>招标内容</w:t>
      </w:r>
      <w:r>
        <w:rPr>
          <w:bCs/>
        </w:rPr>
        <w:t>-</w:t>
      </w:r>
      <w:r>
        <w:tab/>
      </w:r>
      <w:r>
        <w:fldChar w:fldCharType="begin"/>
      </w:r>
      <w:r>
        <w:instrText xml:space="preserve"> PAGEREF _Toc19448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"_Toc29689" </w:instrText>
      </w:r>
      <w:r>
        <w:fldChar w:fldCharType="separate"/>
      </w:r>
      <w:r>
        <w:rPr>
          <w:rFonts w:hint="eastAsia" w:ascii="宋体" w:hAnsi="宋体"/>
          <w:bCs/>
          <w:lang w:bidi="ar"/>
        </w:rPr>
        <w:t>2.2</w:t>
      </w:r>
      <w:r>
        <w:rPr>
          <w:rFonts w:hint="eastAsia" w:ascii="宋体" w:hAnsi="宋体" w:cs="宋体"/>
          <w:bCs/>
          <w:lang w:bidi="ar"/>
        </w:rPr>
        <w:t>招标形式</w:t>
      </w:r>
      <w:r>
        <w:rPr>
          <w:bCs/>
        </w:rPr>
        <w:t>-</w:t>
      </w:r>
      <w:r>
        <w:tab/>
      </w:r>
      <w:r>
        <w:fldChar w:fldCharType="begin"/>
      </w:r>
      <w:r>
        <w:instrText xml:space="preserve"> PAGEREF _Toc29689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"_Toc467" </w:instrText>
      </w:r>
      <w:r>
        <w:fldChar w:fldCharType="separate"/>
      </w:r>
      <w:r>
        <w:rPr>
          <w:rFonts w:hint="eastAsia" w:ascii="宋体" w:hAnsi="宋体"/>
        </w:rPr>
        <w:t>2.3</w:t>
      </w:r>
      <w:r>
        <w:rPr>
          <w:rFonts w:hint="eastAsia" w:ascii="宋体" w:hAnsi="宋体" w:cs="宋体"/>
        </w:rPr>
        <w:t>议程安排</w:t>
      </w:r>
      <w:r>
        <w:tab/>
      </w:r>
      <w:r>
        <w:fldChar w:fldCharType="begin"/>
      </w:r>
      <w:r>
        <w:instrText xml:space="preserve"> PAGEREF _Toc467 \h </w:instrText>
      </w:r>
      <w:r>
        <w:fldChar w:fldCharType="separate"/>
      </w:r>
      <w:r>
        <w:t>2</w:t>
      </w:r>
      <w:r>
        <w:fldChar w:fldCharType="end"/>
      </w:r>
      <w:r>
        <w:fldChar w:fldCharType="end"/>
      </w:r>
    </w:p>
    <w:p>
      <w:pPr>
        <w:pStyle w:val="19"/>
        <w:tabs>
          <w:tab w:val="right" w:leader="dot" w:pos="8715"/>
        </w:tabs>
      </w:pPr>
      <w:r>
        <w:fldChar w:fldCharType="begin"/>
      </w:r>
      <w:r>
        <w:instrText xml:space="preserve"> HYPERLINK \l "_Toc5986" </w:instrText>
      </w:r>
      <w:r>
        <w:fldChar w:fldCharType="separate"/>
      </w:r>
      <w:r>
        <w:rPr>
          <w:rFonts w:ascii="宋体" w:hAnsi="宋体"/>
        </w:rPr>
        <w:t xml:space="preserve">3 </w:t>
      </w:r>
      <w:r>
        <w:rPr>
          <w:rFonts w:hint="eastAsia" w:ascii="宋体" w:hAnsi="宋体" w:cs="宋体"/>
        </w:rPr>
        <w:t>有关说明</w:t>
      </w:r>
      <w:r>
        <w:tab/>
      </w:r>
      <w:r>
        <w:fldChar w:fldCharType="begin"/>
      </w:r>
      <w:r>
        <w:instrText xml:space="preserve"> PAGEREF _Toc5986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"_Toc26452" </w:instrText>
      </w:r>
      <w:r>
        <w:fldChar w:fldCharType="separate"/>
      </w:r>
      <w:r>
        <w:rPr>
          <w:rFonts w:hint="eastAsia" w:ascii="宋体" w:hAnsi="宋体" w:cs="宋体"/>
        </w:rPr>
        <w:t>3</w:t>
      </w:r>
      <w:r>
        <w:rPr>
          <w:rFonts w:ascii="宋体" w:hAnsi="宋体" w:cs="宋体"/>
        </w:rPr>
        <w:t>.1</w:t>
      </w:r>
      <w:r>
        <w:rPr>
          <w:rFonts w:hint="eastAsia" w:ascii="宋体" w:hAnsi="宋体" w:cs="宋体"/>
        </w:rPr>
        <w:t>定义</w:t>
      </w:r>
      <w:r>
        <w:tab/>
      </w:r>
      <w:r>
        <w:fldChar w:fldCharType="begin"/>
      </w:r>
      <w:r>
        <w:instrText xml:space="preserve"> PAGEREF _Toc26452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"_Toc7118" </w:instrText>
      </w:r>
      <w:r>
        <w:fldChar w:fldCharType="separate"/>
      </w:r>
      <w:r>
        <w:rPr>
          <w:rFonts w:hint="eastAsia" w:ascii="宋体" w:hAnsi="宋体" w:cs="宋体"/>
          <w:szCs w:val="24"/>
        </w:rPr>
        <w:t>3</w:t>
      </w:r>
      <w:r>
        <w:rPr>
          <w:rFonts w:ascii="宋体" w:hAnsi="宋体" w:cs="宋体"/>
          <w:szCs w:val="24"/>
        </w:rPr>
        <w:t>.2</w:t>
      </w:r>
      <w:r>
        <w:rPr>
          <w:rFonts w:hint="eastAsia" w:ascii="宋体" w:hAnsi="宋体" w:cs="宋体"/>
          <w:szCs w:val="24"/>
        </w:rPr>
        <w:t>项目实施方</w:t>
      </w:r>
      <w:r>
        <w:rPr>
          <w:rFonts w:hint="eastAsia" w:ascii="宋体" w:hAnsi="宋体" w:cs="宋体"/>
        </w:rPr>
        <w:t>式</w:t>
      </w:r>
      <w:r>
        <w:tab/>
      </w:r>
      <w:r>
        <w:fldChar w:fldCharType="begin"/>
      </w:r>
      <w:r>
        <w:instrText xml:space="preserve"> PAGEREF _Toc7118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"_Toc20191" </w:instrText>
      </w:r>
      <w:r>
        <w:fldChar w:fldCharType="separate"/>
      </w:r>
      <w:r>
        <w:rPr>
          <w:rFonts w:hint="eastAsia" w:ascii="宋体" w:hAnsi="宋体" w:cs="宋体"/>
        </w:rPr>
        <w:t>3</w:t>
      </w:r>
      <w:r>
        <w:rPr>
          <w:rFonts w:ascii="宋体" w:hAnsi="宋体" w:cs="宋体"/>
        </w:rPr>
        <w:t>.3</w:t>
      </w:r>
      <w:r>
        <w:rPr>
          <w:rFonts w:hint="eastAsia" w:ascii="宋体" w:hAnsi="宋体" w:cs="宋体"/>
        </w:rPr>
        <w:t>投标人须知</w:t>
      </w:r>
      <w:r>
        <w:tab/>
      </w:r>
      <w:r>
        <w:fldChar w:fldCharType="begin"/>
      </w:r>
      <w:r>
        <w:instrText xml:space="preserve"> PAGEREF _Toc20191 \h </w:instrText>
      </w:r>
      <w:r>
        <w:fldChar w:fldCharType="separate"/>
      </w:r>
      <w:r>
        <w:t>3</w:t>
      </w:r>
      <w:r>
        <w:fldChar w:fldCharType="end"/>
      </w:r>
      <w:r>
        <w:fldChar w:fldCharType="end"/>
      </w:r>
    </w:p>
    <w:p>
      <w:pPr>
        <w:pStyle w:val="19"/>
        <w:tabs>
          <w:tab w:val="right" w:leader="dot" w:pos="8715"/>
        </w:tabs>
      </w:pPr>
      <w:r>
        <w:fldChar w:fldCharType="begin"/>
      </w:r>
      <w:r>
        <w:instrText xml:space="preserve"> HYPERLINK \l "_Toc19426" </w:instrText>
      </w:r>
      <w:r>
        <w:fldChar w:fldCharType="separate"/>
      </w:r>
      <w:r>
        <w:rPr>
          <w:rFonts w:ascii="宋体" w:hAnsi="宋体" w:cs="宋体"/>
        </w:rPr>
        <w:t xml:space="preserve">4 </w:t>
      </w:r>
      <w:r>
        <w:rPr>
          <w:rFonts w:hint="eastAsia" w:ascii="宋体" w:hAnsi="宋体" w:cs="宋体"/>
        </w:rPr>
        <w:t>交货及付款</w:t>
      </w:r>
      <w:r>
        <w:tab/>
      </w:r>
      <w:r>
        <w:fldChar w:fldCharType="begin"/>
      </w:r>
      <w:r>
        <w:instrText xml:space="preserve"> PAGEREF _Toc19426 \h </w:instrText>
      </w:r>
      <w:r>
        <w:fldChar w:fldCharType="separate"/>
      </w:r>
      <w:r>
        <w:t>4</w:t>
      </w:r>
      <w:r>
        <w:fldChar w:fldCharType="end"/>
      </w:r>
      <w:r>
        <w:fldChar w:fldCharType="end"/>
      </w:r>
    </w:p>
    <w:p>
      <w:pPr>
        <w:pStyle w:val="19"/>
        <w:tabs>
          <w:tab w:val="right" w:leader="dot" w:pos="8715"/>
        </w:tabs>
      </w:pPr>
      <w:r>
        <w:fldChar w:fldCharType="begin"/>
      </w:r>
      <w:r>
        <w:instrText xml:space="preserve"> HYPERLINK \l "_Toc15144" </w:instrText>
      </w:r>
      <w:r>
        <w:fldChar w:fldCharType="separate"/>
      </w:r>
      <w:r>
        <w:rPr>
          <w:rFonts w:ascii="宋体" w:hAnsi="宋体"/>
        </w:rPr>
        <w:t xml:space="preserve">5 </w:t>
      </w:r>
      <w:r>
        <w:rPr>
          <w:rFonts w:hint="eastAsia" w:ascii="宋体" w:hAnsi="宋体" w:cs="宋体"/>
        </w:rPr>
        <w:t>投标说明</w:t>
      </w:r>
      <w:r>
        <w:tab/>
      </w:r>
      <w:r>
        <w:fldChar w:fldCharType="begin"/>
      </w:r>
      <w:r>
        <w:instrText xml:space="preserve"> PAGEREF _Toc15144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"_Toc32664" </w:instrText>
      </w:r>
      <w:r>
        <w:fldChar w:fldCharType="separate"/>
      </w:r>
      <w:r>
        <w:rPr>
          <w:rFonts w:ascii="宋体" w:hAnsi="宋体"/>
        </w:rPr>
        <w:t xml:space="preserve">5.1 </w:t>
      </w:r>
      <w:r>
        <w:rPr>
          <w:rFonts w:hint="eastAsia" w:ascii="宋体" w:hAnsi="宋体" w:cs="宋体"/>
        </w:rPr>
        <w:t>招标要求</w:t>
      </w:r>
      <w:r>
        <w:tab/>
      </w:r>
      <w:r>
        <w:fldChar w:fldCharType="begin"/>
      </w:r>
      <w:r>
        <w:instrText xml:space="preserve"> PAGEREF _Toc32664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"_Toc27634" </w:instrText>
      </w:r>
      <w:r>
        <w:fldChar w:fldCharType="separate"/>
      </w:r>
      <w:r>
        <w:rPr>
          <w:rFonts w:hint="eastAsia" w:ascii="宋体" w:hAnsi="宋体" w:cs="黑体"/>
          <w:szCs w:val="21"/>
        </w:rPr>
        <w:t>中国重型汽车集团济南商用车制造公司</w:t>
      </w:r>
      <w:r>
        <w:tab/>
      </w:r>
      <w:r>
        <w:fldChar w:fldCharType="begin"/>
      </w:r>
      <w:r>
        <w:instrText xml:space="preserve"> PAGEREF _Toc27634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"_Toc26769" </w:instrText>
      </w:r>
      <w:r>
        <w:fldChar w:fldCharType="separate"/>
      </w:r>
      <w:r>
        <w:rPr>
          <w:rFonts w:ascii="宋体" w:hAnsi="宋体" w:cs="宋体"/>
        </w:rPr>
        <w:t xml:space="preserve">5.2 </w:t>
      </w:r>
      <w:r>
        <w:rPr>
          <w:rFonts w:hint="eastAsia" w:ascii="宋体" w:hAnsi="宋体" w:cs="宋体"/>
        </w:rPr>
        <w:t>投标报价</w:t>
      </w:r>
      <w:r>
        <w:tab/>
      </w:r>
      <w:r>
        <w:fldChar w:fldCharType="begin"/>
      </w:r>
      <w:r>
        <w:instrText xml:space="preserve"> PAGEREF _Toc26769 \h </w:instrText>
      </w:r>
      <w:r>
        <w:fldChar w:fldCharType="separate"/>
      </w:r>
      <w:r>
        <w:t>6</w:t>
      </w:r>
      <w:r>
        <w:fldChar w:fldCharType="end"/>
      </w:r>
      <w:r>
        <w:fldChar w:fldCharType="end"/>
      </w:r>
    </w:p>
    <w:p>
      <w:pPr>
        <w:pStyle w:val="21"/>
        <w:tabs>
          <w:tab w:val="right" w:leader="dot" w:pos="8715"/>
        </w:tabs>
      </w:pPr>
      <w:r>
        <w:fldChar w:fldCharType="begin"/>
      </w:r>
      <w:r>
        <w:instrText xml:space="preserve"> HYPERLINK \l "_Toc8607" </w:instrText>
      </w:r>
      <w:r>
        <w:fldChar w:fldCharType="separate"/>
      </w:r>
      <w:r>
        <w:rPr>
          <w:rFonts w:ascii="宋体" w:hAnsi="宋体"/>
        </w:rPr>
        <w:t xml:space="preserve">5.3 </w:t>
      </w:r>
      <w:r>
        <w:rPr>
          <w:rFonts w:hint="eastAsia" w:ascii="宋体" w:hAnsi="宋体" w:cs="宋体"/>
        </w:rPr>
        <w:t>招标文件的组成</w:t>
      </w:r>
      <w:r>
        <w:tab/>
      </w:r>
      <w:r>
        <w:fldChar w:fldCharType="begin"/>
      </w:r>
      <w:r>
        <w:instrText xml:space="preserve"> PAGEREF _Toc8607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"_Toc19940" </w:instrText>
      </w:r>
      <w:r>
        <w:fldChar w:fldCharType="separate"/>
      </w:r>
      <w:r>
        <w:rPr>
          <w:rFonts w:ascii="宋体" w:hAnsi="宋体"/>
        </w:rPr>
        <w:t xml:space="preserve">5.4 </w:t>
      </w:r>
      <w:r>
        <w:rPr>
          <w:rFonts w:hint="eastAsia" w:ascii="宋体" w:hAnsi="宋体" w:cs="宋体"/>
        </w:rPr>
        <w:t>招标文件的澄清</w:t>
      </w:r>
      <w:r>
        <w:tab/>
      </w:r>
      <w:r>
        <w:fldChar w:fldCharType="begin"/>
      </w:r>
      <w:r>
        <w:instrText xml:space="preserve"> PAGEREF _Toc19940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"_Toc22073" </w:instrText>
      </w:r>
      <w:r>
        <w:fldChar w:fldCharType="separate"/>
      </w:r>
      <w:r>
        <w:rPr>
          <w:rFonts w:ascii="宋体" w:hAnsi="宋体"/>
        </w:rPr>
        <w:t xml:space="preserve">5.5 </w:t>
      </w:r>
      <w:r>
        <w:rPr>
          <w:rFonts w:hint="eastAsia" w:ascii="宋体" w:hAnsi="宋体" w:cs="宋体"/>
        </w:rPr>
        <w:t>招标文件的修改</w:t>
      </w:r>
      <w:r>
        <w:tab/>
      </w:r>
      <w:r>
        <w:fldChar w:fldCharType="begin"/>
      </w:r>
      <w:r>
        <w:instrText xml:space="preserve"> PAGEREF _Toc22073 \h </w:instrText>
      </w:r>
      <w:r>
        <w:fldChar w:fldCharType="separate"/>
      </w:r>
      <w:r>
        <w:t>7</w:t>
      </w:r>
      <w:r>
        <w:fldChar w:fldCharType="end"/>
      </w:r>
      <w:r>
        <w:fldChar w:fldCharType="end"/>
      </w:r>
    </w:p>
    <w:p>
      <w:pPr>
        <w:pStyle w:val="19"/>
        <w:tabs>
          <w:tab w:val="right" w:leader="dot" w:pos="8715"/>
        </w:tabs>
      </w:pPr>
      <w:r>
        <w:fldChar w:fldCharType="begin"/>
      </w:r>
      <w:r>
        <w:instrText xml:space="preserve"> HYPERLINK \l "_Toc7035" </w:instrText>
      </w:r>
      <w:r>
        <w:fldChar w:fldCharType="separate"/>
      </w:r>
      <w:r>
        <w:rPr>
          <w:rFonts w:ascii="宋体" w:hAnsi="宋体"/>
        </w:rPr>
        <w:t xml:space="preserve">6 </w:t>
      </w:r>
      <w:r>
        <w:rPr>
          <w:rFonts w:hint="eastAsia" w:ascii="宋体" w:hAnsi="宋体" w:cs="宋体"/>
        </w:rPr>
        <w:t>投标文件的内容和要求</w:t>
      </w:r>
      <w:r>
        <w:tab/>
      </w:r>
      <w:r>
        <w:fldChar w:fldCharType="begin"/>
      </w:r>
      <w:r>
        <w:instrText xml:space="preserve"> PAGEREF _Toc7035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"_Toc24551" </w:instrText>
      </w:r>
      <w:r>
        <w:fldChar w:fldCharType="separate"/>
      </w:r>
      <w:r>
        <w:rPr>
          <w:rFonts w:ascii="宋体" w:hAnsi="宋体"/>
        </w:rPr>
        <w:t xml:space="preserve">6.1 </w:t>
      </w:r>
      <w:r>
        <w:rPr>
          <w:rFonts w:hint="eastAsia" w:ascii="宋体" w:hAnsi="宋体" w:cs="宋体"/>
        </w:rPr>
        <w:t>投标文件计量单位</w:t>
      </w:r>
      <w:r>
        <w:tab/>
      </w:r>
      <w:r>
        <w:fldChar w:fldCharType="begin"/>
      </w:r>
      <w:r>
        <w:instrText xml:space="preserve"> PAGEREF _Toc24551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"_Toc2363" </w:instrText>
      </w:r>
      <w:r>
        <w:fldChar w:fldCharType="separate"/>
      </w:r>
      <w:r>
        <w:rPr>
          <w:rFonts w:ascii="宋体" w:hAnsi="宋体"/>
        </w:rPr>
        <w:t xml:space="preserve">6.2 </w:t>
      </w:r>
      <w:r>
        <w:rPr>
          <w:rFonts w:hint="eastAsia" w:ascii="宋体" w:hAnsi="宋体" w:cs="宋体"/>
        </w:rPr>
        <w:t>投标文件组成</w:t>
      </w:r>
      <w:r>
        <w:tab/>
      </w:r>
      <w:r>
        <w:fldChar w:fldCharType="begin"/>
      </w:r>
      <w:r>
        <w:instrText xml:space="preserve"> PAGEREF _Toc2363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"_Toc20458" </w:instrText>
      </w:r>
      <w:r>
        <w:fldChar w:fldCharType="separate"/>
      </w:r>
      <w:r>
        <w:rPr>
          <w:rFonts w:ascii="宋体" w:hAnsi="宋体"/>
        </w:rPr>
        <w:t xml:space="preserve">6.3 </w:t>
      </w:r>
      <w:r>
        <w:rPr>
          <w:rFonts w:hint="eastAsia" w:ascii="宋体" w:hAnsi="宋体" w:cs="宋体"/>
        </w:rPr>
        <w:t>有效期</w:t>
      </w:r>
      <w:r>
        <w:tab/>
      </w:r>
      <w:r>
        <w:fldChar w:fldCharType="begin"/>
      </w:r>
      <w:r>
        <w:instrText xml:space="preserve"> PAGEREF _Toc20458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"_Toc138" </w:instrText>
      </w:r>
      <w:r>
        <w:fldChar w:fldCharType="separate"/>
      </w:r>
      <w:r>
        <w:rPr>
          <w:rFonts w:ascii="宋体" w:hAnsi="宋体"/>
        </w:rPr>
        <w:t xml:space="preserve">6.4 </w:t>
      </w:r>
      <w:r>
        <w:rPr>
          <w:rFonts w:hint="eastAsia" w:ascii="宋体" w:hAnsi="宋体" w:cs="宋体"/>
        </w:rPr>
        <w:t>投标文件格式</w:t>
      </w:r>
      <w:r>
        <w:tab/>
      </w:r>
      <w:r>
        <w:fldChar w:fldCharType="begin"/>
      </w:r>
      <w:r>
        <w:instrText xml:space="preserve"> PAGEREF _Toc138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"_Toc14994" </w:instrText>
      </w:r>
      <w:r>
        <w:fldChar w:fldCharType="separate"/>
      </w:r>
      <w:r>
        <w:rPr>
          <w:rFonts w:ascii="宋体" w:hAnsi="宋体"/>
        </w:rPr>
        <w:t xml:space="preserve">6.5 </w:t>
      </w:r>
      <w:r>
        <w:rPr>
          <w:rFonts w:hint="eastAsia" w:ascii="宋体" w:hAnsi="宋体" w:cs="宋体"/>
        </w:rPr>
        <w:t>投标文件的装袋、密封和递交</w:t>
      </w:r>
      <w:r>
        <w:tab/>
      </w:r>
      <w:r>
        <w:fldChar w:fldCharType="begin"/>
      </w:r>
      <w:r>
        <w:instrText xml:space="preserve"> PAGEREF _Toc14994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"_Toc23283" </w:instrText>
      </w:r>
      <w:r>
        <w:fldChar w:fldCharType="separate"/>
      </w:r>
      <w:r>
        <w:rPr>
          <w:rFonts w:ascii="宋体" w:hAnsi="宋体"/>
        </w:rPr>
        <w:t xml:space="preserve">6.6 </w:t>
      </w:r>
      <w:r>
        <w:rPr>
          <w:rFonts w:hint="eastAsia" w:ascii="宋体" w:hAnsi="宋体" w:cs="宋体"/>
        </w:rPr>
        <w:t>投标文件的澄清</w:t>
      </w:r>
      <w:r>
        <w:tab/>
      </w:r>
      <w:r>
        <w:fldChar w:fldCharType="begin"/>
      </w:r>
      <w:r>
        <w:instrText xml:space="preserve"> PAGEREF _Toc23283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"_Toc14285" </w:instrText>
      </w:r>
      <w:r>
        <w:fldChar w:fldCharType="separate"/>
      </w:r>
      <w:r>
        <w:rPr>
          <w:rFonts w:ascii="宋体" w:hAnsi="宋体"/>
        </w:rPr>
        <w:t xml:space="preserve">6.7 </w:t>
      </w:r>
      <w:r>
        <w:rPr>
          <w:rFonts w:hint="eastAsia" w:ascii="宋体" w:hAnsi="宋体" w:cs="宋体"/>
        </w:rPr>
        <w:t>开标</w:t>
      </w:r>
      <w:r>
        <w:tab/>
      </w:r>
      <w:r>
        <w:fldChar w:fldCharType="begin"/>
      </w:r>
      <w:r>
        <w:instrText xml:space="preserve"> PAGEREF _Toc14285 \h </w:instrText>
      </w:r>
      <w:r>
        <w:fldChar w:fldCharType="separate"/>
      </w:r>
      <w:r>
        <w:t>10</w:t>
      </w:r>
      <w:r>
        <w:fldChar w:fldCharType="end"/>
      </w:r>
      <w:r>
        <w:fldChar w:fldCharType="end"/>
      </w:r>
    </w:p>
    <w:p>
      <w:pPr>
        <w:pStyle w:val="19"/>
        <w:tabs>
          <w:tab w:val="right" w:leader="dot" w:pos="8715"/>
        </w:tabs>
      </w:pPr>
      <w:r>
        <w:fldChar w:fldCharType="begin"/>
      </w:r>
      <w:r>
        <w:instrText xml:space="preserve"> HYPERLINK \l "_Toc11001" </w:instrText>
      </w:r>
      <w:r>
        <w:fldChar w:fldCharType="separate"/>
      </w:r>
      <w:r>
        <w:rPr>
          <w:rFonts w:ascii="宋体" w:hAnsi="宋体" w:cs="宋体"/>
        </w:rPr>
        <w:t xml:space="preserve">7 </w:t>
      </w:r>
      <w:r>
        <w:rPr>
          <w:rFonts w:hint="eastAsia" w:ascii="宋体" w:hAnsi="宋体" w:cs="宋体"/>
        </w:rPr>
        <w:t>讲标及评标</w:t>
      </w:r>
      <w:r>
        <w:tab/>
      </w:r>
      <w:r>
        <w:fldChar w:fldCharType="begin"/>
      </w:r>
      <w:r>
        <w:instrText xml:space="preserve"> PAGEREF _Toc11001 \h </w:instrText>
      </w:r>
      <w:r>
        <w:fldChar w:fldCharType="separate"/>
      </w:r>
      <w:r>
        <w:t>11</w:t>
      </w:r>
      <w:r>
        <w:fldChar w:fldCharType="end"/>
      </w:r>
      <w:r>
        <w:fldChar w:fldCharType="end"/>
      </w:r>
    </w:p>
    <w:p>
      <w:pPr>
        <w:pStyle w:val="21"/>
        <w:tabs>
          <w:tab w:val="right" w:leader="dot" w:pos="8715"/>
        </w:tabs>
      </w:pPr>
      <w:r>
        <w:fldChar w:fldCharType="begin"/>
      </w:r>
      <w:r>
        <w:instrText xml:space="preserve"> HYPERLINK \l "_Toc10557" </w:instrText>
      </w:r>
      <w:r>
        <w:fldChar w:fldCharType="separate"/>
      </w:r>
      <w:r>
        <w:rPr>
          <w:rFonts w:ascii="宋体" w:hAnsi="宋体"/>
        </w:rPr>
        <w:t xml:space="preserve">7.1 </w:t>
      </w:r>
      <w:r>
        <w:rPr>
          <w:rFonts w:hint="eastAsia" w:ascii="宋体" w:hAnsi="宋体" w:cs="宋体"/>
        </w:rPr>
        <w:t>中标及合同签订</w:t>
      </w:r>
      <w:r>
        <w:tab/>
      </w:r>
      <w:r>
        <w:fldChar w:fldCharType="begin"/>
      </w:r>
      <w:r>
        <w:instrText xml:space="preserve"> PAGEREF _Toc10557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"_Toc2123" </w:instrText>
      </w:r>
      <w:r>
        <w:fldChar w:fldCharType="separate"/>
      </w:r>
      <w:r>
        <w:rPr>
          <w:rFonts w:ascii="宋体" w:hAnsi="宋体"/>
        </w:rPr>
        <w:t xml:space="preserve">7.2 </w:t>
      </w:r>
      <w:r>
        <w:rPr>
          <w:rFonts w:hint="eastAsia" w:ascii="宋体" w:hAnsi="宋体" w:cs="宋体"/>
        </w:rPr>
        <w:t>废标</w:t>
      </w:r>
      <w:r>
        <w:tab/>
      </w:r>
      <w:r>
        <w:fldChar w:fldCharType="begin"/>
      </w:r>
      <w:r>
        <w:instrText xml:space="preserve"> PAGEREF _Toc2123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"_Toc31228" </w:instrText>
      </w:r>
      <w:r>
        <w:fldChar w:fldCharType="separate"/>
      </w:r>
      <w:r>
        <w:rPr>
          <w:rFonts w:ascii="宋体" w:hAnsi="宋体" w:cs="宋体"/>
        </w:rPr>
        <w:t xml:space="preserve">7.3 </w:t>
      </w:r>
      <w:r>
        <w:rPr>
          <w:rFonts w:hint="eastAsia" w:ascii="宋体" w:hAnsi="宋体" w:cs="宋体"/>
        </w:rPr>
        <w:t>瑕疵滞后发现的处理</w:t>
      </w:r>
      <w:r>
        <w:tab/>
      </w:r>
      <w:r>
        <w:fldChar w:fldCharType="begin"/>
      </w:r>
      <w:r>
        <w:instrText xml:space="preserve"> PAGEREF _Toc31228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"_Toc25354" </w:instrText>
      </w:r>
      <w:r>
        <w:fldChar w:fldCharType="separate"/>
      </w:r>
      <w:r>
        <w:rPr>
          <w:rFonts w:hint="eastAsia" w:ascii="宋体" w:hAnsi="宋体" w:cs="宋体"/>
        </w:rPr>
        <w:t>7</w:t>
      </w:r>
      <w:r>
        <w:rPr>
          <w:rFonts w:ascii="宋体" w:hAnsi="宋体" w:cs="宋体"/>
        </w:rPr>
        <w:t>.4</w:t>
      </w:r>
      <w:r>
        <w:rPr>
          <w:rFonts w:hint="eastAsia" w:ascii="宋体" w:hAnsi="宋体" w:cs="宋体"/>
        </w:rPr>
        <w:t>合同以双方最终签署的版本为准。</w:t>
      </w:r>
      <w:r>
        <w:tab/>
      </w:r>
      <w:r>
        <w:fldChar w:fldCharType="begin"/>
      </w:r>
      <w:r>
        <w:instrText xml:space="preserve"> PAGEREF _Toc25354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"_Toc28016" </w:instrText>
      </w:r>
      <w:r>
        <w:fldChar w:fldCharType="separate"/>
      </w:r>
      <w:r>
        <w:rPr>
          <w:rFonts w:ascii="宋体" w:hAnsi="宋体" w:cs="宋体"/>
        </w:rPr>
        <w:t xml:space="preserve">7.5 </w:t>
      </w:r>
      <w:r>
        <w:rPr>
          <w:rFonts w:hint="eastAsia" w:ascii="宋体" w:hAnsi="宋体" w:cs="宋体"/>
        </w:rPr>
        <w:t>本项目最终解释权归中国重汽集团济南商用车制造公司所有。</w:t>
      </w:r>
      <w:r>
        <w:tab/>
      </w:r>
      <w:r>
        <w:fldChar w:fldCharType="begin"/>
      </w:r>
      <w:r>
        <w:instrText xml:space="preserve"> PAGEREF _Toc28016 \h </w:instrText>
      </w:r>
      <w:r>
        <w:fldChar w:fldCharType="separate"/>
      </w:r>
      <w:r>
        <w:t>14</w:t>
      </w:r>
      <w:r>
        <w:fldChar w:fldCharType="end"/>
      </w:r>
      <w:r>
        <w:fldChar w:fldCharType="end"/>
      </w:r>
    </w:p>
    <w:p>
      <w:pPr>
        <w:pStyle w:val="19"/>
        <w:tabs>
          <w:tab w:val="right" w:leader="dot" w:pos="8715"/>
        </w:tabs>
      </w:pPr>
      <w:r>
        <w:fldChar w:fldCharType="begin"/>
      </w:r>
      <w:r>
        <w:instrText xml:space="preserve"> HYPERLINK \l "_Toc15800" </w:instrText>
      </w:r>
      <w:r>
        <w:fldChar w:fldCharType="separate"/>
      </w:r>
      <w:r>
        <w:rPr>
          <w:rFonts w:ascii="宋体" w:hAnsi="宋体" w:cs="宋体"/>
        </w:rPr>
        <w:t xml:space="preserve">8 </w:t>
      </w:r>
      <w:r>
        <w:rPr>
          <w:rFonts w:hint="eastAsia" w:ascii="宋体" w:hAnsi="宋体" w:cs="宋体"/>
        </w:rPr>
        <w:t>项目组织范围</w:t>
      </w:r>
      <w:r>
        <w:tab/>
      </w:r>
      <w:r>
        <w:fldChar w:fldCharType="begin"/>
      </w:r>
      <w:r>
        <w:instrText xml:space="preserve"> PAGEREF _Toc15800 \h </w:instrText>
      </w:r>
      <w:r>
        <w:fldChar w:fldCharType="separate"/>
      </w:r>
      <w:r>
        <w:t>15</w:t>
      </w:r>
      <w:r>
        <w:fldChar w:fldCharType="end"/>
      </w:r>
      <w:r>
        <w:fldChar w:fldCharType="end"/>
      </w:r>
    </w:p>
    <w:p>
      <w:pPr>
        <w:pStyle w:val="19"/>
        <w:tabs>
          <w:tab w:val="right" w:leader="dot" w:pos="8715"/>
        </w:tabs>
      </w:pPr>
      <w:r>
        <w:fldChar w:fldCharType="begin"/>
      </w:r>
      <w:r>
        <w:instrText xml:space="preserve"> HYPERLINK \l "_Toc32231" </w:instrText>
      </w:r>
      <w:r>
        <w:fldChar w:fldCharType="separate"/>
      </w:r>
      <w:r>
        <w:rPr>
          <w:rFonts w:ascii="宋体" w:hAnsi="宋体" w:cs="宋体"/>
        </w:rPr>
        <w:t xml:space="preserve">9 </w:t>
      </w:r>
      <w:r>
        <w:rPr>
          <w:rFonts w:hint="eastAsia" w:ascii="宋体" w:hAnsi="宋体" w:cs="宋体"/>
        </w:rPr>
        <w:t>项目技术要求</w:t>
      </w:r>
      <w:r>
        <w:tab/>
      </w:r>
      <w:r>
        <w:fldChar w:fldCharType="begin"/>
      </w:r>
      <w:r>
        <w:instrText xml:space="preserve"> PAGEREF _Toc32231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"_Toc27644" </w:instrText>
      </w:r>
      <w:r>
        <w:fldChar w:fldCharType="separate"/>
      </w:r>
      <w:r>
        <w:rPr>
          <w:rFonts w:ascii="宋体" w:hAnsi="宋体" w:cs="宋体"/>
        </w:rPr>
        <w:t xml:space="preserve">9.1 </w:t>
      </w:r>
      <w:r>
        <w:rPr>
          <w:rFonts w:hint="eastAsia" w:ascii="宋体" w:hAnsi="宋体" w:cs="宋体"/>
        </w:rPr>
        <w:t>项目目标</w:t>
      </w:r>
      <w:r>
        <w:tab/>
      </w:r>
      <w:r>
        <w:fldChar w:fldCharType="begin"/>
      </w:r>
      <w:r>
        <w:instrText xml:space="preserve"> PAGEREF _Toc27644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"_Toc4294" </w:instrText>
      </w:r>
      <w:r>
        <w:fldChar w:fldCharType="separate"/>
      </w:r>
      <w:r>
        <w:rPr>
          <w:rFonts w:ascii="宋体" w:hAnsi="宋体" w:cs="宋体"/>
        </w:rPr>
        <w:t xml:space="preserve">9.2 </w:t>
      </w:r>
      <w:r>
        <w:rPr>
          <w:rFonts w:hint="eastAsia" w:ascii="宋体" w:hAnsi="宋体" w:cs="宋体"/>
        </w:rPr>
        <w:t>项目范围</w:t>
      </w:r>
      <w:r>
        <w:tab/>
      </w:r>
      <w:r>
        <w:fldChar w:fldCharType="begin"/>
      </w:r>
      <w:r>
        <w:instrText xml:space="preserve"> PAGEREF _Toc4294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"_Toc9337" </w:instrText>
      </w:r>
      <w:r>
        <w:fldChar w:fldCharType="separate"/>
      </w:r>
      <w:r>
        <w:rPr>
          <w:rFonts w:ascii="宋体" w:hAnsi="宋体" w:cs="宋体"/>
        </w:rPr>
        <w:t xml:space="preserve">9.3 </w:t>
      </w:r>
      <w:r>
        <w:rPr>
          <w:rFonts w:hint="eastAsia" w:ascii="宋体" w:hAnsi="宋体" w:cs="宋体"/>
        </w:rPr>
        <w:t>项目进度</w:t>
      </w:r>
      <w:r>
        <w:tab/>
      </w:r>
      <w:r>
        <w:fldChar w:fldCharType="begin"/>
      </w:r>
      <w:r>
        <w:instrText xml:space="preserve"> PAGEREF _Toc9337 \h </w:instrText>
      </w:r>
      <w:r>
        <w:fldChar w:fldCharType="separate"/>
      </w:r>
      <w:r>
        <w:t>17</w:t>
      </w:r>
      <w:r>
        <w:fldChar w:fldCharType="end"/>
      </w:r>
      <w:r>
        <w:fldChar w:fldCharType="end"/>
      </w:r>
    </w:p>
    <w:p>
      <w:pPr>
        <w:pStyle w:val="21"/>
        <w:tabs>
          <w:tab w:val="right" w:leader="dot" w:pos="8715"/>
        </w:tabs>
      </w:pPr>
      <w:r>
        <w:fldChar w:fldCharType="begin"/>
      </w:r>
      <w:r>
        <w:instrText xml:space="preserve"> HYPERLINK \l "_Toc13722" </w:instrText>
      </w:r>
      <w:r>
        <w:fldChar w:fldCharType="separate"/>
      </w:r>
      <w:r>
        <w:rPr>
          <w:rFonts w:ascii="宋体" w:hAnsi="宋体" w:cs="宋体"/>
        </w:rPr>
        <w:t xml:space="preserve">9.4 </w:t>
      </w:r>
      <w:r>
        <w:rPr>
          <w:rFonts w:hint="eastAsia" w:ascii="宋体" w:hAnsi="宋体" w:cs="宋体"/>
        </w:rPr>
        <w:t>项目技术小组</w:t>
      </w:r>
      <w:r>
        <w:tab/>
      </w:r>
      <w:r>
        <w:fldChar w:fldCharType="begin"/>
      </w:r>
      <w:r>
        <w:instrText xml:space="preserve"> PAGEREF _Toc13722 \h </w:instrText>
      </w:r>
      <w:r>
        <w:fldChar w:fldCharType="separate"/>
      </w:r>
      <w:r>
        <w:t>18</w:t>
      </w:r>
      <w:r>
        <w:fldChar w:fldCharType="end"/>
      </w:r>
      <w:r>
        <w:fldChar w:fldCharType="end"/>
      </w:r>
    </w:p>
    <w:p>
      <w:pPr>
        <w:pStyle w:val="21"/>
        <w:tabs>
          <w:tab w:val="right" w:leader="dot" w:pos="8715"/>
        </w:tabs>
      </w:pPr>
      <w:r>
        <w:fldChar w:fldCharType="begin"/>
      </w:r>
      <w:r>
        <w:instrText xml:space="preserve"> HYPERLINK \l "_Toc26167" </w:instrText>
      </w:r>
      <w:r>
        <w:fldChar w:fldCharType="separate"/>
      </w:r>
      <w:r>
        <w:rPr>
          <w:rFonts w:ascii="宋体" w:hAnsi="宋体" w:cs="宋体"/>
        </w:rPr>
        <w:t xml:space="preserve">9.5 </w:t>
      </w:r>
      <w:r>
        <w:rPr>
          <w:rFonts w:hint="eastAsia" w:ascii="宋体" w:hAnsi="宋体" w:cs="宋体"/>
        </w:rPr>
        <w:t>项目技术要求</w:t>
      </w:r>
      <w:r>
        <w:tab/>
      </w:r>
      <w:r>
        <w:fldChar w:fldCharType="begin"/>
      </w:r>
      <w:r>
        <w:instrText xml:space="preserve"> PAGEREF _Toc26167 \h </w:instrText>
      </w:r>
      <w:r>
        <w:fldChar w:fldCharType="separate"/>
      </w:r>
      <w:r>
        <w:t>18</w:t>
      </w:r>
      <w:r>
        <w:fldChar w:fldCharType="end"/>
      </w:r>
      <w:r>
        <w:fldChar w:fldCharType="end"/>
      </w:r>
    </w:p>
    <w:p>
      <w:pPr>
        <w:pStyle w:val="14"/>
        <w:tabs>
          <w:tab w:val="right" w:leader="dot" w:pos="8715"/>
        </w:tabs>
        <w:rPr>
          <w:i w:val="0"/>
          <w:iCs/>
        </w:rPr>
      </w:pPr>
      <w:r>
        <w:fldChar w:fldCharType="begin"/>
      </w:r>
      <w:r>
        <w:instrText xml:space="preserve"> HYPERLINK \l "_Toc3662" </w:instrText>
      </w:r>
      <w:r>
        <w:fldChar w:fldCharType="separate"/>
      </w:r>
      <w:r>
        <w:rPr>
          <w:rFonts w:hint="eastAsia"/>
          <w:i w:val="0"/>
          <w:iCs/>
          <w:szCs w:val="28"/>
        </w:rPr>
        <w:t>9.5.1车辆定位与识别</w:t>
      </w:r>
      <w:r>
        <w:rPr>
          <w:i w:val="0"/>
          <w:iCs/>
        </w:rPr>
        <w:tab/>
      </w:r>
      <w:r>
        <w:rPr>
          <w:i w:val="0"/>
          <w:iCs/>
        </w:rPr>
        <w:fldChar w:fldCharType="begin"/>
      </w:r>
      <w:r>
        <w:rPr>
          <w:i w:val="0"/>
          <w:iCs/>
        </w:rPr>
        <w:instrText xml:space="preserve"> PAGEREF _Toc3662 \h </w:instrText>
      </w:r>
      <w:r>
        <w:rPr>
          <w:i w:val="0"/>
          <w:iCs/>
        </w:rPr>
        <w:fldChar w:fldCharType="separate"/>
      </w:r>
      <w:r>
        <w:rPr>
          <w:i w:val="0"/>
          <w:iCs/>
        </w:rPr>
        <w:t>18</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"_Toc30321" </w:instrText>
      </w:r>
      <w:r>
        <w:fldChar w:fldCharType="separate"/>
      </w:r>
      <w:r>
        <w:rPr>
          <w:rFonts w:hint="eastAsia"/>
          <w:i w:val="0"/>
          <w:iCs/>
          <w:szCs w:val="28"/>
        </w:rPr>
        <w:t>9.5.2基础数据</w:t>
      </w:r>
      <w:r>
        <w:rPr>
          <w:i w:val="0"/>
          <w:iCs/>
        </w:rPr>
        <w:tab/>
      </w:r>
      <w:r>
        <w:rPr>
          <w:i w:val="0"/>
          <w:iCs/>
        </w:rPr>
        <w:fldChar w:fldCharType="begin"/>
      </w:r>
      <w:r>
        <w:rPr>
          <w:i w:val="0"/>
          <w:iCs/>
        </w:rPr>
        <w:instrText xml:space="preserve"> PAGEREF _Toc30321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"_Toc12867" </w:instrText>
      </w:r>
      <w:r>
        <w:fldChar w:fldCharType="separate"/>
      </w:r>
      <w:r>
        <w:rPr>
          <w:rFonts w:hint="eastAsia"/>
          <w:i w:val="0"/>
          <w:iCs/>
          <w:szCs w:val="28"/>
        </w:rPr>
        <w:t>9.5.3系统管理</w:t>
      </w:r>
      <w:r>
        <w:rPr>
          <w:i w:val="0"/>
          <w:iCs/>
        </w:rPr>
        <w:tab/>
      </w:r>
      <w:r>
        <w:rPr>
          <w:i w:val="0"/>
          <w:iCs/>
        </w:rPr>
        <w:fldChar w:fldCharType="begin"/>
      </w:r>
      <w:r>
        <w:rPr>
          <w:i w:val="0"/>
          <w:iCs/>
        </w:rPr>
        <w:instrText xml:space="preserve"> PAGEREF _Toc12867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"_Toc8651" </w:instrText>
      </w:r>
      <w:r>
        <w:fldChar w:fldCharType="separate"/>
      </w:r>
      <w:r>
        <w:rPr>
          <w:rFonts w:hint="eastAsia"/>
          <w:i w:val="0"/>
          <w:iCs/>
          <w:szCs w:val="28"/>
        </w:rPr>
        <w:t>9.5.4软件技术要求</w:t>
      </w:r>
      <w:r>
        <w:rPr>
          <w:i w:val="0"/>
          <w:iCs/>
        </w:rPr>
        <w:tab/>
      </w:r>
      <w:r>
        <w:rPr>
          <w:i w:val="0"/>
          <w:iCs/>
        </w:rPr>
        <w:fldChar w:fldCharType="begin"/>
      </w:r>
      <w:r>
        <w:rPr>
          <w:i w:val="0"/>
          <w:iCs/>
        </w:rPr>
        <w:instrText xml:space="preserve"> PAGEREF _Toc8651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"_Toc11056" </w:instrText>
      </w:r>
      <w:r>
        <w:fldChar w:fldCharType="separate"/>
      </w:r>
      <w:r>
        <w:rPr>
          <w:rFonts w:hint="eastAsia"/>
          <w:i w:val="0"/>
          <w:iCs/>
          <w:szCs w:val="24"/>
        </w:rPr>
        <w:t>9.5.4.4</w:t>
      </w:r>
      <w:r>
        <w:rPr>
          <w:i w:val="0"/>
          <w:iCs/>
          <w:szCs w:val="24"/>
        </w:rPr>
        <w:t>可靠性和稳定性</w:t>
      </w:r>
      <w:r>
        <w:rPr>
          <w:i w:val="0"/>
          <w:iCs/>
        </w:rPr>
        <w:tab/>
      </w:r>
      <w:r>
        <w:rPr>
          <w:i w:val="0"/>
          <w:iCs/>
        </w:rPr>
        <w:fldChar w:fldCharType="begin"/>
      </w:r>
      <w:r>
        <w:rPr>
          <w:i w:val="0"/>
          <w:iCs/>
        </w:rPr>
        <w:instrText xml:space="preserve"> PAGEREF _Toc11056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"_Toc1078" </w:instrText>
      </w:r>
      <w:r>
        <w:fldChar w:fldCharType="separate"/>
      </w:r>
      <w:r>
        <w:rPr>
          <w:rFonts w:hint="eastAsia"/>
          <w:i w:val="0"/>
          <w:iCs/>
          <w:szCs w:val="24"/>
        </w:rPr>
        <w:t>9.5.4.5</w:t>
      </w:r>
      <w:r>
        <w:rPr>
          <w:i w:val="0"/>
          <w:iCs/>
          <w:szCs w:val="24"/>
        </w:rPr>
        <w:t>先进性和前瞻性</w:t>
      </w:r>
      <w:r>
        <w:rPr>
          <w:i w:val="0"/>
          <w:iCs/>
        </w:rPr>
        <w:tab/>
      </w:r>
      <w:r>
        <w:rPr>
          <w:i w:val="0"/>
          <w:iCs/>
        </w:rPr>
        <w:fldChar w:fldCharType="begin"/>
      </w:r>
      <w:r>
        <w:rPr>
          <w:i w:val="0"/>
          <w:iCs/>
        </w:rPr>
        <w:instrText xml:space="preserve"> PAGEREF _Toc1078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"_Toc25070" </w:instrText>
      </w:r>
      <w:r>
        <w:fldChar w:fldCharType="separate"/>
      </w:r>
      <w:r>
        <w:rPr>
          <w:rFonts w:hint="eastAsia"/>
          <w:i w:val="0"/>
          <w:iCs/>
          <w:szCs w:val="24"/>
        </w:rPr>
        <w:t>9.5.4.7</w:t>
      </w:r>
      <w:r>
        <w:rPr>
          <w:i w:val="0"/>
          <w:iCs/>
          <w:szCs w:val="24"/>
        </w:rPr>
        <w:t>开放性和标准性</w:t>
      </w:r>
      <w:r>
        <w:rPr>
          <w:i w:val="0"/>
          <w:iCs/>
        </w:rPr>
        <w:tab/>
      </w:r>
      <w:r>
        <w:rPr>
          <w:i w:val="0"/>
          <w:iCs/>
        </w:rPr>
        <w:fldChar w:fldCharType="begin"/>
      </w:r>
      <w:r>
        <w:rPr>
          <w:i w:val="0"/>
          <w:iCs/>
        </w:rPr>
        <w:instrText xml:space="preserve"> PAGEREF _Toc25070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"_Toc29976" </w:instrText>
      </w:r>
      <w:r>
        <w:fldChar w:fldCharType="separate"/>
      </w:r>
      <w:r>
        <w:rPr>
          <w:rFonts w:hint="eastAsia"/>
          <w:i w:val="0"/>
          <w:iCs/>
          <w:szCs w:val="24"/>
        </w:rPr>
        <w:t>9.5.4.8</w:t>
      </w:r>
      <w:r>
        <w:rPr>
          <w:i w:val="0"/>
          <w:iCs/>
          <w:szCs w:val="24"/>
        </w:rPr>
        <w:t>易操作性和可恢复性</w:t>
      </w:r>
      <w:r>
        <w:rPr>
          <w:i w:val="0"/>
          <w:iCs/>
        </w:rPr>
        <w:tab/>
      </w:r>
      <w:r>
        <w:rPr>
          <w:i w:val="0"/>
          <w:iCs/>
        </w:rPr>
        <w:fldChar w:fldCharType="begin"/>
      </w:r>
      <w:r>
        <w:rPr>
          <w:i w:val="0"/>
          <w:iCs/>
        </w:rPr>
        <w:instrText xml:space="preserve"> PAGEREF _Toc29976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"_Toc17044" </w:instrText>
      </w:r>
      <w:r>
        <w:fldChar w:fldCharType="separate"/>
      </w:r>
      <w:r>
        <w:rPr>
          <w:rFonts w:hint="eastAsia"/>
          <w:i w:val="0"/>
          <w:iCs/>
          <w:szCs w:val="24"/>
        </w:rPr>
        <w:t>9.5.4.9</w:t>
      </w:r>
      <w:r>
        <w:rPr>
          <w:i w:val="0"/>
          <w:iCs/>
          <w:szCs w:val="24"/>
        </w:rPr>
        <w:t>安全性</w:t>
      </w:r>
      <w:r>
        <w:rPr>
          <w:i w:val="0"/>
          <w:iCs/>
        </w:rPr>
        <w:tab/>
      </w:r>
      <w:r>
        <w:rPr>
          <w:i w:val="0"/>
          <w:iCs/>
        </w:rPr>
        <w:fldChar w:fldCharType="begin"/>
      </w:r>
      <w:r>
        <w:rPr>
          <w:i w:val="0"/>
          <w:iCs/>
        </w:rPr>
        <w:instrText xml:space="preserve"> PAGEREF _Toc17044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"_Toc24934" </w:instrText>
      </w:r>
      <w:r>
        <w:fldChar w:fldCharType="separate"/>
      </w:r>
      <w:r>
        <w:rPr>
          <w:rFonts w:hint="eastAsia"/>
          <w:i w:val="0"/>
          <w:iCs/>
          <w:szCs w:val="24"/>
        </w:rPr>
        <w:t>9.5.4.10</w:t>
      </w:r>
      <w:r>
        <w:rPr>
          <w:i w:val="0"/>
          <w:iCs/>
          <w:szCs w:val="24"/>
        </w:rPr>
        <w:t>可扩展性和管理性</w:t>
      </w:r>
      <w:r>
        <w:rPr>
          <w:i w:val="0"/>
          <w:iCs/>
        </w:rPr>
        <w:tab/>
      </w:r>
      <w:r>
        <w:rPr>
          <w:i w:val="0"/>
          <w:iCs/>
        </w:rPr>
        <w:fldChar w:fldCharType="begin"/>
      </w:r>
      <w:r>
        <w:rPr>
          <w:i w:val="0"/>
          <w:iCs/>
        </w:rPr>
        <w:instrText xml:space="preserve"> PAGEREF _Toc24934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"_Toc23188" </w:instrText>
      </w:r>
      <w:r>
        <w:fldChar w:fldCharType="separate"/>
      </w:r>
      <w:r>
        <w:rPr>
          <w:rFonts w:hint="eastAsia"/>
          <w:i w:val="0"/>
          <w:iCs/>
          <w:szCs w:val="28"/>
        </w:rPr>
        <w:t>9.5.5 显示屏技术要求</w:t>
      </w:r>
      <w:r>
        <w:rPr>
          <w:i w:val="0"/>
          <w:iCs/>
        </w:rPr>
        <w:tab/>
      </w:r>
      <w:r>
        <w:rPr>
          <w:i w:val="0"/>
          <w:iCs/>
        </w:rPr>
        <w:fldChar w:fldCharType="begin"/>
      </w:r>
      <w:r>
        <w:rPr>
          <w:i w:val="0"/>
          <w:iCs/>
        </w:rPr>
        <w:instrText xml:space="preserve"> PAGEREF _Toc23188 \h </w:instrText>
      </w:r>
      <w:r>
        <w:rPr>
          <w:i w:val="0"/>
          <w:iCs/>
        </w:rPr>
        <w:fldChar w:fldCharType="separate"/>
      </w:r>
      <w:r>
        <w:rPr>
          <w:i w:val="0"/>
          <w:iCs/>
        </w:rPr>
        <w:t>23</w:t>
      </w:r>
      <w:r>
        <w:rPr>
          <w:i w:val="0"/>
          <w:iCs/>
        </w:rPr>
        <w:fldChar w:fldCharType="end"/>
      </w:r>
      <w:r>
        <w:rPr>
          <w:i w:val="0"/>
          <w:iCs/>
        </w:rPr>
        <w:fldChar w:fldCharType="end"/>
      </w:r>
    </w:p>
    <w:p>
      <w:pPr>
        <w:pStyle w:val="14"/>
        <w:tabs>
          <w:tab w:val="right" w:leader="dot" w:pos="8715"/>
        </w:tabs>
      </w:pPr>
      <w:r>
        <w:fldChar w:fldCharType="begin"/>
      </w:r>
      <w:r>
        <w:instrText xml:space="preserve"> HYPERLINK \l "_Toc27598" </w:instrText>
      </w:r>
      <w:r>
        <w:fldChar w:fldCharType="separate"/>
      </w:r>
      <w:r>
        <w:rPr>
          <w:rFonts w:hint="eastAsia"/>
          <w:i w:val="0"/>
          <w:iCs/>
          <w:szCs w:val="28"/>
        </w:rPr>
        <w:t>9.5.6设备配置清单及部署要求</w:t>
      </w:r>
      <w:r>
        <w:rPr>
          <w:i w:val="0"/>
          <w:iCs/>
        </w:rPr>
        <w:tab/>
      </w:r>
      <w:r>
        <w:rPr>
          <w:i w:val="0"/>
          <w:iCs/>
        </w:rPr>
        <w:fldChar w:fldCharType="begin"/>
      </w:r>
      <w:r>
        <w:rPr>
          <w:i w:val="0"/>
          <w:iCs/>
        </w:rPr>
        <w:instrText xml:space="preserve"> PAGEREF _Toc27598 \h </w:instrText>
      </w:r>
      <w:r>
        <w:rPr>
          <w:i w:val="0"/>
          <w:iCs/>
        </w:rPr>
        <w:fldChar w:fldCharType="separate"/>
      </w:r>
      <w:r>
        <w:rPr>
          <w:i w:val="0"/>
          <w:iCs/>
        </w:rPr>
        <w:t>24</w:t>
      </w:r>
      <w:r>
        <w:rPr>
          <w:i w:val="0"/>
          <w:iCs/>
        </w:rPr>
        <w:fldChar w:fldCharType="end"/>
      </w:r>
      <w:r>
        <w:rPr>
          <w:i w:val="0"/>
          <w:iCs/>
        </w:rPr>
        <w:fldChar w:fldCharType="end"/>
      </w:r>
    </w:p>
    <w:p>
      <w:pPr>
        <w:pStyle w:val="21"/>
        <w:tabs>
          <w:tab w:val="right" w:leader="dot" w:pos="8715"/>
        </w:tabs>
      </w:pPr>
      <w:r>
        <w:fldChar w:fldCharType="begin"/>
      </w:r>
      <w:r>
        <w:instrText xml:space="preserve"> HYPERLINK \l "_Toc2239" </w:instrText>
      </w:r>
      <w:r>
        <w:fldChar w:fldCharType="separate"/>
      </w:r>
      <w:r>
        <w:rPr>
          <w:rFonts w:hint="eastAsia" w:ascii="宋体" w:hAnsi="宋体" w:cs="宋体"/>
        </w:rPr>
        <w:t>9</w:t>
      </w:r>
      <w:r>
        <w:rPr>
          <w:rFonts w:ascii="宋体" w:hAnsi="宋体" w:cs="宋体"/>
        </w:rPr>
        <w:t>.</w:t>
      </w:r>
      <w:r>
        <w:rPr>
          <w:rFonts w:hint="eastAsia" w:ascii="宋体" w:hAnsi="宋体" w:cs="宋体"/>
        </w:rPr>
        <w:t>6需求偏离</w:t>
      </w:r>
      <w:r>
        <w:tab/>
      </w:r>
      <w:r>
        <w:fldChar w:fldCharType="begin"/>
      </w:r>
      <w:r>
        <w:instrText xml:space="preserve"> PAGEREF _Toc2239 \h </w:instrText>
      </w:r>
      <w:r>
        <w:fldChar w:fldCharType="separate"/>
      </w:r>
      <w:r>
        <w:t>26</w:t>
      </w:r>
      <w:r>
        <w:fldChar w:fldCharType="end"/>
      </w:r>
      <w:r>
        <w:fldChar w:fldCharType="end"/>
      </w:r>
    </w:p>
    <w:p>
      <w:pPr>
        <w:pStyle w:val="21"/>
        <w:tabs>
          <w:tab w:val="right" w:leader="dot" w:pos="8715"/>
        </w:tabs>
      </w:pPr>
      <w:r>
        <w:fldChar w:fldCharType="begin"/>
      </w:r>
      <w:r>
        <w:instrText xml:space="preserve"> HYPERLINK \l "_Toc11066" </w:instrText>
      </w:r>
      <w:r>
        <w:fldChar w:fldCharType="separate"/>
      </w:r>
      <w:r>
        <w:rPr>
          <w:rFonts w:hint="eastAsia" w:ascii="宋体" w:hAnsi="宋体" w:cs="宋体"/>
        </w:rPr>
        <w:t>9</w:t>
      </w:r>
      <w:r>
        <w:rPr>
          <w:rFonts w:ascii="宋体" w:hAnsi="宋体" w:cs="宋体"/>
        </w:rPr>
        <w:t>.</w:t>
      </w:r>
      <w:r>
        <w:rPr>
          <w:rFonts w:hint="eastAsia" w:ascii="宋体" w:hAnsi="宋体" w:cs="宋体"/>
        </w:rPr>
        <w:t>7 其他</w:t>
      </w:r>
      <w:r>
        <w:tab/>
      </w:r>
      <w:r>
        <w:fldChar w:fldCharType="begin"/>
      </w:r>
      <w:r>
        <w:instrText xml:space="preserve"> PAGEREF _Toc11066 \h </w:instrText>
      </w:r>
      <w:r>
        <w:fldChar w:fldCharType="separate"/>
      </w:r>
      <w:r>
        <w:t>26</w:t>
      </w:r>
      <w:r>
        <w:fldChar w:fldCharType="end"/>
      </w:r>
      <w:r>
        <w:fldChar w:fldCharType="end"/>
      </w:r>
    </w:p>
    <w:p>
      <w:pPr>
        <w:pStyle w:val="19"/>
        <w:tabs>
          <w:tab w:val="right" w:leader="dot" w:pos="8715"/>
        </w:tabs>
      </w:pPr>
      <w:r>
        <w:fldChar w:fldCharType="begin"/>
      </w:r>
      <w:r>
        <w:instrText xml:space="preserve"> HYPERLINK \l "_Toc22100" </w:instrText>
      </w:r>
      <w:r>
        <w:fldChar w:fldCharType="separate"/>
      </w:r>
      <w:r>
        <w:rPr>
          <w:rFonts w:hint="eastAsia" w:cs="宋体"/>
        </w:rPr>
        <w:t>10项目商务要求</w:t>
      </w:r>
      <w:r>
        <w:tab/>
      </w:r>
      <w:r>
        <w:fldChar w:fldCharType="begin"/>
      </w:r>
      <w:r>
        <w:instrText xml:space="preserve"> PAGEREF _Toc22100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"_Toc25113" </w:instrText>
      </w:r>
      <w:r>
        <w:fldChar w:fldCharType="separate"/>
      </w:r>
      <w:r>
        <w:rPr>
          <w:rFonts w:hint="eastAsia" w:cs="宋体"/>
        </w:rPr>
        <w:t>10.1投标人资质要求</w:t>
      </w:r>
      <w:r>
        <w:tab/>
      </w:r>
      <w:r>
        <w:fldChar w:fldCharType="begin"/>
      </w:r>
      <w:r>
        <w:instrText xml:space="preserve"> PAGEREF _Toc25113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"_Toc2431" </w:instrText>
      </w:r>
      <w:r>
        <w:fldChar w:fldCharType="separate"/>
      </w:r>
      <w:r>
        <w:rPr>
          <w:rFonts w:hint="eastAsia" w:cs="宋体"/>
        </w:rPr>
        <w:t>10.2培训及售后服务要求</w:t>
      </w:r>
      <w:r>
        <w:tab/>
      </w:r>
      <w:r>
        <w:fldChar w:fldCharType="begin"/>
      </w:r>
      <w:r>
        <w:instrText xml:space="preserve"> PAGEREF _Toc2431 \h </w:instrText>
      </w:r>
      <w:r>
        <w:fldChar w:fldCharType="separate"/>
      </w:r>
      <w:r>
        <w:t>27</w:t>
      </w:r>
      <w:r>
        <w:fldChar w:fldCharType="end"/>
      </w:r>
      <w:r>
        <w:fldChar w:fldCharType="end"/>
      </w:r>
    </w:p>
    <w:p>
      <w:pPr>
        <w:pStyle w:val="14"/>
        <w:tabs>
          <w:tab w:val="right" w:leader="dot" w:pos="8715"/>
        </w:tabs>
        <w:rPr>
          <w:i w:val="0"/>
          <w:iCs/>
        </w:rPr>
      </w:pPr>
      <w:r>
        <w:fldChar w:fldCharType="begin"/>
      </w:r>
      <w:r>
        <w:instrText xml:space="preserve"> HYPERLINK \l "_Toc7517" </w:instrText>
      </w:r>
      <w:r>
        <w:fldChar w:fldCharType="separate"/>
      </w:r>
      <w:r>
        <w:rPr>
          <w:rFonts w:hint="eastAsia" w:ascii="宋体" w:hAnsi="宋体" w:cs="宋体"/>
          <w:i w:val="0"/>
          <w:iCs/>
        </w:rPr>
        <w:t>10.2.1培训方案</w:t>
      </w:r>
      <w:r>
        <w:rPr>
          <w:i w:val="0"/>
          <w:iCs/>
        </w:rPr>
        <w:tab/>
      </w:r>
      <w:r>
        <w:rPr>
          <w:i w:val="0"/>
          <w:iCs/>
        </w:rPr>
        <w:fldChar w:fldCharType="begin"/>
      </w:r>
      <w:r>
        <w:rPr>
          <w:i w:val="0"/>
          <w:iCs/>
        </w:rPr>
        <w:instrText xml:space="preserve"> PAGEREF _Toc7517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"_Toc17664" </w:instrText>
      </w:r>
      <w:r>
        <w:fldChar w:fldCharType="separate"/>
      </w:r>
      <w:r>
        <w:rPr>
          <w:rFonts w:hint="eastAsia" w:ascii="宋体" w:hAnsi="宋体" w:cs="宋体"/>
          <w:i w:val="0"/>
          <w:iCs/>
        </w:rPr>
        <w:t>10.2.2知识转移</w:t>
      </w:r>
      <w:r>
        <w:rPr>
          <w:i w:val="0"/>
          <w:iCs/>
        </w:rPr>
        <w:tab/>
      </w:r>
      <w:r>
        <w:rPr>
          <w:i w:val="0"/>
          <w:iCs/>
        </w:rPr>
        <w:fldChar w:fldCharType="begin"/>
      </w:r>
      <w:r>
        <w:rPr>
          <w:i w:val="0"/>
          <w:iCs/>
        </w:rPr>
        <w:instrText xml:space="preserve"> PAGEREF _Toc17664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pPr>
      <w:r>
        <w:fldChar w:fldCharType="begin"/>
      </w:r>
      <w:r>
        <w:instrText xml:space="preserve"> HYPERLINK \l "_Toc24597" </w:instrText>
      </w:r>
      <w:r>
        <w:fldChar w:fldCharType="separate"/>
      </w:r>
      <w:r>
        <w:rPr>
          <w:rFonts w:hint="eastAsia" w:ascii="宋体" w:hAnsi="宋体" w:cs="宋体"/>
          <w:i w:val="0"/>
          <w:iCs/>
        </w:rPr>
        <w:t>11.2.3售后技术支持</w:t>
      </w:r>
      <w:r>
        <w:rPr>
          <w:i w:val="0"/>
          <w:iCs/>
        </w:rPr>
        <w:tab/>
      </w:r>
      <w:r>
        <w:rPr>
          <w:i w:val="0"/>
          <w:iCs/>
        </w:rPr>
        <w:fldChar w:fldCharType="begin"/>
      </w:r>
      <w:r>
        <w:rPr>
          <w:i w:val="0"/>
          <w:iCs/>
        </w:rPr>
        <w:instrText xml:space="preserve"> PAGEREF _Toc24597 \h </w:instrText>
      </w:r>
      <w:r>
        <w:rPr>
          <w:i w:val="0"/>
          <w:iCs/>
        </w:rPr>
        <w:fldChar w:fldCharType="separate"/>
      </w:r>
      <w:r>
        <w:rPr>
          <w:i w:val="0"/>
          <w:iCs/>
        </w:rPr>
        <w:t>27</w:t>
      </w:r>
      <w:r>
        <w:rPr>
          <w:i w:val="0"/>
          <w:iCs/>
        </w:rPr>
        <w:fldChar w:fldCharType="end"/>
      </w:r>
      <w:r>
        <w:rPr>
          <w:i w:val="0"/>
          <w:iCs/>
        </w:rPr>
        <w:fldChar w:fldCharType="end"/>
      </w:r>
    </w:p>
    <w:p>
      <w:pPr>
        <w:pStyle w:val="21"/>
        <w:tabs>
          <w:tab w:val="right" w:leader="dot" w:pos="8715"/>
        </w:tabs>
      </w:pPr>
      <w:r>
        <w:fldChar w:fldCharType="begin"/>
      </w:r>
      <w:r>
        <w:instrText xml:space="preserve"> HYPERLINK \l "_Toc26058" </w:instrText>
      </w:r>
      <w:r>
        <w:fldChar w:fldCharType="separate"/>
      </w:r>
      <w:r>
        <w:rPr>
          <w:rFonts w:hint="eastAsia" w:cs="宋体"/>
        </w:rPr>
        <w:t>10.3项目实施计划表</w:t>
      </w:r>
      <w:r>
        <w:tab/>
      </w:r>
      <w:r>
        <w:fldChar w:fldCharType="begin"/>
      </w:r>
      <w:r>
        <w:instrText xml:space="preserve"> PAGEREF _Toc26058 \h </w:instrText>
      </w:r>
      <w:r>
        <w:fldChar w:fldCharType="separate"/>
      </w:r>
      <w:r>
        <w:t>28</w:t>
      </w:r>
      <w:r>
        <w:fldChar w:fldCharType="end"/>
      </w:r>
      <w:r>
        <w:fldChar w:fldCharType="end"/>
      </w:r>
    </w:p>
    <w:p>
      <w:pPr>
        <w:pStyle w:val="21"/>
        <w:tabs>
          <w:tab w:val="right" w:leader="dot" w:pos="8715"/>
        </w:tabs>
      </w:pPr>
      <w:r>
        <w:fldChar w:fldCharType="begin"/>
      </w:r>
      <w:r>
        <w:instrText xml:space="preserve"> HYPERLINK \l "_Toc26878" </w:instrText>
      </w:r>
      <w:r>
        <w:fldChar w:fldCharType="separate"/>
      </w:r>
      <w:r>
        <w:rPr>
          <w:rFonts w:hint="eastAsia" w:cs="宋体"/>
        </w:rPr>
        <w:t>10.</w:t>
      </w:r>
      <w:r>
        <w:rPr>
          <w:rFonts w:cs="宋体"/>
        </w:rPr>
        <w:t>4</w:t>
      </w:r>
      <w:r>
        <w:rPr>
          <w:rFonts w:hint="eastAsia" w:cs="宋体"/>
        </w:rPr>
        <w:t>保密要求</w:t>
      </w:r>
      <w:r>
        <w:tab/>
      </w:r>
      <w:r>
        <w:fldChar w:fldCharType="begin"/>
      </w:r>
      <w:r>
        <w:instrText xml:space="preserve"> PAGEREF _Toc26878 \h </w:instrText>
      </w:r>
      <w:r>
        <w:fldChar w:fldCharType="separate"/>
      </w:r>
      <w:r>
        <w:t>28</w:t>
      </w:r>
      <w:r>
        <w:fldChar w:fldCharType="end"/>
      </w:r>
      <w:r>
        <w:fldChar w:fldCharType="end"/>
      </w:r>
    </w:p>
    <w:p>
      <w:pPr>
        <w:pStyle w:val="19"/>
        <w:tabs>
          <w:tab w:val="right" w:leader="dot" w:pos="8715"/>
        </w:tabs>
      </w:pPr>
      <w:r>
        <w:fldChar w:fldCharType="begin"/>
      </w:r>
      <w:r>
        <w:instrText xml:space="preserve"> HYPERLINK \l "_Toc5851" </w:instrText>
      </w:r>
      <w:r>
        <w:fldChar w:fldCharType="separate"/>
      </w:r>
      <w:r>
        <w:rPr>
          <w:rFonts w:hint="eastAsia" w:ascii="宋体" w:hAnsi="宋体" w:cs="宋体"/>
        </w:rPr>
        <w:t>11评价标准</w:t>
      </w:r>
      <w:r>
        <w:tab/>
      </w:r>
      <w:r>
        <w:fldChar w:fldCharType="begin"/>
      </w:r>
      <w:r>
        <w:instrText xml:space="preserve"> PAGEREF _Toc5851 \h </w:instrText>
      </w:r>
      <w:r>
        <w:fldChar w:fldCharType="separate"/>
      </w:r>
      <w:r>
        <w:t>29</w:t>
      </w:r>
      <w:r>
        <w:fldChar w:fldCharType="end"/>
      </w:r>
      <w:r>
        <w:fldChar w:fldCharType="end"/>
      </w:r>
    </w:p>
    <w:p>
      <w:pPr>
        <w:pStyle w:val="19"/>
        <w:tabs>
          <w:tab w:val="right" w:leader="dot" w:pos="8715"/>
        </w:tabs>
      </w:pPr>
      <w:r>
        <w:fldChar w:fldCharType="begin"/>
      </w:r>
      <w:r>
        <w:instrText xml:space="preserve"> HYPERLINK \l "_Toc18824" </w:instrText>
      </w:r>
      <w:r>
        <w:fldChar w:fldCharType="separate"/>
      </w:r>
      <w:r>
        <w:rPr>
          <w:rFonts w:hint="eastAsia" w:ascii="宋体" w:hAnsi="宋体" w:cs="宋体"/>
          <w:szCs w:val="30"/>
        </w:rPr>
        <w:t>12投标文件格式</w:t>
      </w:r>
      <w:r>
        <w:tab/>
      </w:r>
      <w:r>
        <w:fldChar w:fldCharType="begin"/>
      </w:r>
      <w:r>
        <w:instrText xml:space="preserve"> PAGEREF _Toc18824 \h </w:instrText>
      </w:r>
      <w:r>
        <w:fldChar w:fldCharType="separate"/>
      </w:r>
      <w:r>
        <w:t>30</w:t>
      </w:r>
      <w:r>
        <w:fldChar w:fldCharType="end"/>
      </w:r>
      <w:r>
        <w:fldChar w:fldCharType="end"/>
      </w:r>
    </w:p>
    <w:p>
      <w:pPr>
        <w:pStyle w:val="33"/>
        <w:widowControl/>
        <w:ind w:firstLine="480"/>
        <w:rPr>
          <w:rFonts w:ascii="宋体" w:hAnsi="宋体"/>
          <w:color w:val="000000" w:themeColor="text1"/>
          <w:lang w:bidi="ar"/>
          <w14:textFill>
            <w14:solidFill>
              <w14:schemeClr w14:val="tx1"/>
            </w14:solidFill>
          </w14:textFill>
        </w:rPr>
        <w:sectPr>
          <w:pgSz w:w="12242" w:h="15842"/>
          <w:pgMar w:top="1418" w:right="1752" w:bottom="1135" w:left="1418" w:header="737" w:footer="431" w:gutter="357"/>
          <w:pgNumType w:fmt="upperRoman" w:start="1"/>
          <w:cols w:space="425" w:num="1"/>
          <w:docGrid w:type="lines" w:linePitch="312" w:charSpace="0"/>
        </w:sectPr>
      </w:pPr>
      <w:r>
        <w:rPr>
          <w:rFonts w:ascii="宋体" w:hAnsi="宋体"/>
          <w:color w:val="000000" w:themeColor="text1"/>
          <w14:textFill>
            <w14:solidFill>
              <w14:schemeClr w14:val="tx1"/>
            </w14:solidFill>
          </w14:textFill>
        </w:rPr>
        <w:fldChar w:fldCharType="end"/>
      </w:r>
    </w:p>
    <w:p>
      <w:pPr>
        <w:pStyle w:val="32"/>
        <w:keepNext w:val="0"/>
        <w:widowControl/>
        <w:rPr>
          <w:rFonts w:ascii="宋体" w:hAnsi="宋体"/>
          <w:color w:val="000000" w:themeColor="text1"/>
          <w14:textFill>
            <w14:solidFill>
              <w14:schemeClr w14:val="tx1"/>
            </w14:solidFill>
          </w14:textFill>
        </w:rPr>
      </w:pPr>
      <w:bookmarkStart w:id="3" w:name="_Toc2295"/>
      <w:r>
        <w:rPr>
          <w:rFonts w:hint="eastAsia" w:ascii="宋体" w:hAnsi="宋体" w:cs="宋体"/>
          <w:color w:val="000000" w:themeColor="text1"/>
          <w14:textFill>
            <w14:solidFill>
              <w14:schemeClr w14:val="tx1"/>
            </w14:solidFill>
          </w14:textFill>
        </w:rPr>
        <w:t>项目名称</w:t>
      </w:r>
      <w:bookmarkEnd w:id="3"/>
    </w:p>
    <w:p>
      <w:pPr>
        <w:pStyle w:val="33"/>
        <w:widowControl/>
        <w:ind w:firstLine="480"/>
        <w:rPr>
          <w:rFonts w:ascii="宋体" w:hAnsi="宋体"/>
          <w:color w:val="FF0000"/>
        </w:rPr>
      </w:pPr>
      <w:r>
        <w:rPr>
          <w:rFonts w:hint="eastAsia" w:ascii="宋体" w:hAnsi="宋体" w:cs="宋体"/>
          <w:color w:val="000000" w:themeColor="text1"/>
          <w14:textFill>
            <w14:solidFill>
              <w14:schemeClr w14:val="tx1"/>
            </w14:solidFill>
          </w14:textFill>
        </w:rPr>
        <w:t>项目名称：</w:t>
      </w:r>
      <w:r>
        <w:rPr>
          <w:rFonts w:ascii="宋体" w:hAnsi="宋体"/>
          <w:color w:val="FF0000"/>
        </w:rPr>
        <w:t>中国重汽集团</w:t>
      </w:r>
      <w:r>
        <w:rPr>
          <w:rFonts w:hint="eastAsia" w:ascii="宋体" w:hAnsi="宋体"/>
          <w:color w:val="FF0000"/>
        </w:rPr>
        <w:t>济南商用车关重件件号随车展示项目</w:t>
      </w:r>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中国重汽集团济南商用车制造公司（以下简称招标人）就</w:t>
      </w:r>
      <w:r>
        <w:rPr>
          <w:rFonts w:ascii="宋体" w:hAnsi="宋体"/>
          <w:color w:val="FF0000"/>
        </w:rPr>
        <w:t>中国重汽集团</w:t>
      </w:r>
      <w:r>
        <w:rPr>
          <w:rFonts w:hint="eastAsia" w:ascii="宋体" w:hAnsi="宋体"/>
          <w:color w:val="FF0000"/>
        </w:rPr>
        <w:t>济南商用车关重件件号随车展示项目</w:t>
      </w:r>
      <w:r>
        <w:rPr>
          <w:rFonts w:hint="eastAsia" w:ascii="宋体" w:hAnsi="宋体" w:cs="宋体"/>
          <w:color w:val="000000" w:themeColor="text1"/>
          <w14:textFill>
            <w14:solidFill>
              <w14:schemeClr w14:val="tx1"/>
            </w14:solidFill>
          </w14:textFill>
        </w:rPr>
        <w:t>实施厂商进行招标，特邀请具有项目资质及承担能力的供应商进行投标。</w:t>
      </w:r>
    </w:p>
    <w:p>
      <w:pPr>
        <w:pStyle w:val="64"/>
        <w:keepNext w:val="0"/>
        <w:widowControl/>
        <w:rPr>
          <w:rFonts w:ascii="宋体" w:hAnsi="宋体"/>
          <w:color w:val="000000" w:themeColor="text1"/>
          <w14:textFill>
            <w14:solidFill>
              <w14:schemeClr w14:val="tx1"/>
            </w14:solidFill>
          </w14:textFill>
        </w:rPr>
      </w:pPr>
      <w:bookmarkStart w:id="4" w:name="_Toc270497415"/>
      <w:bookmarkStart w:id="5" w:name="_Toc27241"/>
      <w:r>
        <w:rPr>
          <w:rFonts w:hint="eastAsia" w:ascii="宋体" w:hAnsi="宋体" w:cs="宋体"/>
          <w:color w:val="000000" w:themeColor="text1"/>
          <w14:textFill>
            <w14:solidFill>
              <w14:schemeClr w14:val="tx1"/>
            </w14:solidFill>
          </w14:textFill>
        </w:rPr>
        <w:t>总则</w:t>
      </w:r>
      <w:bookmarkEnd w:id="4"/>
      <w:bookmarkEnd w:id="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根据中华人民共和国招标投标法，经中国重型汽车集团有限公司批准，现对</w:t>
      </w:r>
      <w:r>
        <w:rPr>
          <w:rFonts w:ascii="宋体" w:hAnsi="宋体"/>
          <w:color w:val="FF0000"/>
        </w:rPr>
        <w:t>中国重汽集团</w:t>
      </w:r>
      <w:r>
        <w:rPr>
          <w:rFonts w:hint="eastAsia" w:ascii="宋体" w:hAnsi="宋体"/>
          <w:color w:val="FF0000"/>
        </w:rPr>
        <w:t>济南商用车关重件件号随车展示项目</w:t>
      </w:r>
      <w:r>
        <w:rPr>
          <w:rFonts w:hint="eastAsia" w:ascii="宋体" w:hAnsi="宋体" w:cs="宋体"/>
          <w:color w:val="000000" w:themeColor="text1"/>
          <w14:textFill>
            <w14:solidFill>
              <w14:schemeClr w14:val="tx1"/>
            </w14:solidFill>
          </w14:textFill>
        </w:rPr>
        <w:t>实施厂商进行招标。</w:t>
      </w:r>
    </w:p>
    <w:p>
      <w:pPr>
        <w:pStyle w:val="32"/>
        <w:keepNext w:val="0"/>
        <w:widowControl/>
        <w:pBdr>
          <w:top w:val="single" w:color="auto" w:sz="48" w:space="0"/>
        </w:pBdr>
        <w:rPr>
          <w:rFonts w:ascii="宋体" w:hAnsi="宋体" w:cs="宋体"/>
          <w:color w:val="000000" w:themeColor="text1"/>
          <w14:textFill>
            <w14:solidFill>
              <w14:schemeClr w14:val="tx1"/>
            </w14:solidFill>
          </w14:textFill>
        </w:rPr>
      </w:pPr>
      <w:bookmarkStart w:id="6" w:name="_Toc8623"/>
      <w:r>
        <w:rPr>
          <w:rFonts w:hint="eastAsia" w:ascii="宋体" w:hAnsi="宋体" w:cs="宋体"/>
          <w:color w:val="000000" w:themeColor="text1"/>
          <w14:textFill>
            <w14:solidFill>
              <w14:schemeClr w14:val="tx1"/>
            </w14:solidFill>
          </w14:textFill>
        </w:rPr>
        <w:t>招标内容及形式</w:t>
      </w:r>
      <w:bookmarkEnd w:id="6"/>
    </w:p>
    <w:p>
      <w:pPr>
        <w:spacing w:line="360" w:lineRule="auto"/>
        <w:ind w:firstLine="561" w:firstLineChars="200"/>
        <w:rPr>
          <w:rFonts w:ascii="宋体" w:hAnsi="宋体" w:eastAsia="宋体" w:cs="Times New Roman"/>
          <w:color w:val="FF0000"/>
          <w:sz w:val="24"/>
          <w:szCs w:val="22"/>
        </w:rPr>
      </w:pPr>
      <w:bookmarkStart w:id="7" w:name="_Toc19448"/>
      <w:r>
        <w:rPr>
          <w:rStyle w:val="66"/>
          <w:rFonts w:ascii="宋体" w:hAnsi="宋体" w:eastAsia="宋体" w:cs="Times New Roman"/>
          <w:bCs/>
          <w:color w:val="000000" w:themeColor="text1"/>
          <w:lang w:bidi="ar"/>
          <w14:textFill>
            <w14:solidFill>
              <w14:schemeClr w14:val="tx1"/>
            </w14:solidFill>
          </w14:textFill>
        </w:rPr>
        <w:t>2.1</w:t>
      </w:r>
      <w:r>
        <w:rPr>
          <w:rStyle w:val="66"/>
          <w:rFonts w:hint="eastAsia" w:ascii="宋体" w:hAnsi="宋体" w:eastAsia="宋体" w:cs="宋体"/>
          <w:bCs/>
          <w:color w:val="000000" w:themeColor="text1"/>
          <w:lang w:bidi="ar"/>
          <w14:textFill>
            <w14:solidFill>
              <w14:schemeClr w14:val="tx1"/>
            </w14:solidFill>
          </w14:textFill>
        </w:rPr>
        <w:t>招标内容</w:t>
      </w:r>
      <w:r>
        <w:rPr>
          <w:rStyle w:val="66"/>
          <w:bCs/>
        </w:rPr>
        <w:t>-</w:t>
      </w:r>
      <w:bookmarkEnd w:id="7"/>
      <w:r>
        <w:rPr>
          <w:rFonts w:ascii="宋体" w:hAnsi="宋体"/>
          <w:color w:val="FF0000"/>
        </w:rPr>
        <w:t>中国重汽集团</w:t>
      </w:r>
      <w:r>
        <w:rPr>
          <w:rFonts w:hint="eastAsia" w:ascii="宋体" w:hAnsi="宋体"/>
          <w:color w:val="FF0000"/>
        </w:rPr>
        <w:t>济南商用车关重件件号随车展示项目</w:t>
      </w:r>
    </w:p>
    <w:p>
      <w:pPr>
        <w:spacing w:line="360" w:lineRule="auto"/>
        <w:ind w:firstLine="561" w:firstLineChars="200"/>
        <w:rPr>
          <w:rFonts w:ascii="宋体" w:hAnsi="宋体" w:eastAsia="宋体" w:cs="Times New Roman"/>
          <w:color w:val="FF0000"/>
          <w:sz w:val="24"/>
          <w:szCs w:val="22"/>
        </w:rPr>
      </w:pPr>
      <w:bookmarkStart w:id="8" w:name="_Toc29689"/>
      <w:r>
        <w:rPr>
          <w:rStyle w:val="66"/>
          <w:rFonts w:hint="eastAsia" w:ascii="宋体" w:hAnsi="宋体" w:eastAsia="宋体" w:cs="Times New Roman"/>
          <w:bCs/>
          <w:color w:val="000000" w:themeColor="text1"/>
          <w:lang w:bidi="ar"/>
          <w14:textFill>
            <w14:solidFill>
              <w14:schemeClr w14:val="tx1"/>
            </w14:solidFill>
          </w14:textFill>
        </w:rPr>
        <w:t>2.2</w:t>
      </w:r>
      <w:r>
        <w:rPr>
          <w:rStyle w:val="66"/>
          <w:rFonts w:hint="eastAsia" w:ascii="宋体" w:hAnsi="宋体" w:eastAsia="宋体" w:cs="宋体"/>
          <w:bCs/>
          <w:color w:val="000000" w:themeColor="text1"/>
          <w:lang w:bidi="ar"/>
          <w14:textFill>
            <w14:solidFill>
              <w14:schemeClr w14:val="tx1"/>
            </w14:solidFill>
          </w14:textFill>
        </w:rPr>
        <w:t>招标形式</w:t>
      </w:r>
      <w:r>
        <w:rPr>
          <w:rStyle w:val="66"/>
          <w:bCs/>
        </w:rPr>
        <w:t>-</w:t>
      </w:r>
      <w:bookmarkEnd w:id="8"/>
      <w:r>
        <w:rPr>
          <w:rFonts w:hint="eastAsia" w:ascii="宋体" w:hAnsi="宋体" w:eastAsia="宋体" w:cs="Times New Roman"/>
          <w:b/>
          <w:color w:val="FF0000"/>
          <w:sz w:val="24"/>
          <w:szCs w:val="22"/>
        </w:rPr>
        <w:t>公开招标</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9" w:name="_Toc467"/>
      <w:r>
        <w:rPr>
          <w:rFonts w:hint="eastAsia" w:ascii="宋体" w:hAnsi="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议程安排</w:t>
      </w:r>
      <w:bookmarkEnd w:id="9"/>
    </w:p>
    <w:p>
      <w:pPr>
        <w:spacing w:line="360" w:lineRule="auto"/>
        <w:ind w:firstLine="420" w:firstLineChars="200"/>
        <w:rPr>
          <w:rFonts w:ascii="宋体" w:hAnsi="宋体" w:eastAsia="宋体" w:cs="宋体"/>
          <w:b/>
          <w:color w:val="000000" w:themeColor="text1"/>
          <w:szCs w:val="20"/>
          <w:highlight w:val="yellow"/>
          <w14:textFill>
            <w14:solidFill>
              <w14:schemeClr w14:val="tx1"/>
            </w14:solidFill>
          </w14:textFill>
        </w:rPr>
      </w:pPr>
      <w:bookmarkStart w:id="10" w:name="_Hlk138230965"/>
      <w:r>
        <w:rPr>
          <w:rFonts w:hint="eastAsia" w:ascii="宋体" w:hAnsi="宋体" w:eastAsia="宋体" w:cs="宋体"/>
          <w:color w:val="000000" w:themeColor="text1"/>
          <w:szCs w:val="20"/>
          <w:highlight w:val="yellow"/>
          <w:lang w:bidi="ar"/>
          <w14:textFill>
            <w14:solidFill>
              <w14:schemeClr w14:val="tx1"/>
            </w14:solidFill>
          </w14:textFill>
        </w:rPr>
        <w:t>1、发标时间：</w:t>
      </w:r>
      <w:r>
        <w:rPr>
          <w:rFonts w:hint="eastAsia" w:ascii="宋体" w:hAnsi="宋体" w:eastAsia="宋体" w:cs="宋体"/>
          <w:color w:val="FF0000"/>
          <w:szCs w:val="20"/>
          <w:highlight w:val="yellow"/>
          <w:lang w:bidi="ar"/>
        </w:rPr>
        <w:t>2023年6月29日</w:t>
      </w:r>
      <w:r>
        <w:rPr>
          <w:rFonts w:hint="eastAsia" w:ascii="宋体" w:hAnsi="宋体" w:eastAsia="宋体" w:cs="宋体"/>
          <w:b/>
          <w:color w:val="000000" w:themeColor="text1"/>
          <w:szCs w:val="20"/>
          <w:highlight w:val="yellow"/>
          <w:lang w:bidi="ar"/>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2、答疑时间：截止至</w:t>
      </w:r>
      <w:r>
        <w:rPr>
          <w:rFonts w:hint="eastAsia" w:ascii="宋体" w:hAnsi="宋体" w:eastAsia="宋体" w:cs="宋体"/>
          <w:color w:val="FF0000"/>
          <w:szCs w:val="20"/>
          <w:highlight w:val="yellow"/>
          <w:lang w:bidi="ar"/>
        </w:rPr>
        <w:t>2023年7月12日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pStyle w:val="67"/>
        <w:spacing w:line="360" w:lineRule="auto"/>
        <w:ind w:left="420" w:firstLine="0" w:firstLineChars="0"/>
        <w:rPr>
          <w:rFonts w:hint="eastAsia" w:ascii="宋体" w:hAnsi="宋体" w:eastAsia="宋体" w:cs="宋体"/>
          <w:color w:val="FF0000"/>
          <w:szCs w:val="20"/>
          <w:highlight w:val="yellow"/>
          <w:lang w:bidi="ar"/>
        </w:rPr>
      </w:pPr>
      <w:r>
        <w:rPr>
          <w:rFonts w:hint="eastAsia" w:ascii="宋体" w:hAnsi="宋体" w:eastAsia="宋体" w:cs="宋体"/>
          <w:color w:val="000000" w:themeColor="text1"/>
          <w:szCs w:val="20"/>
          <w:highlight w:val="yellow"/>
          <w:lang w:bidi="ar"/>
          <w14:textFill>
            <w14:solidFill>
              <w14:schemeClr w14:val="tx1"/>
            </w14:solidFill>
          </w14:textFill>
        </w:rPr>
        <w:t>联 系 人：王老师</w:t>
      </w:r>
      <w:r>
        <w:rPr>
          <w:rFonts w:hint="eastAsia" w:ascii="宋体" w:hAnsi="宋体" w:eastAsia="宋体" w:cs="宋体"/>
          <w:color w:val="FF0000"/>
          <w:szCs w:val="20"/>
          <w:highlight w:val="yellow"/>
          <w:lang w:bidi="ar"/>
        </w:rPr>
        <w:t xml:space="preserve">  13506343898</w:t>
      </w:r>
      <w:r>
        <w:rPr>
          <w:rFonts w:hint="eastAsia" w:asciiTheme="minorEastAsia" w:hAnsiTheme="minorEastAsia" w:cstheme="minorEastAsia"/>
          <w:color w:val="FF0000"/>
          <w:szCs w:val="21"/>
          <w:highlight w:val="yellow"/>
          <w:shd w:val="clear" w:color="auto" w:fill="FFFFFF"/>
        </w:rPr>
        <w:t>（技术部分）</w:t>
      </w:r>
    </w:p>
    <w:p>
      <w:pPr>
        <w:pStyle w:val="67"/>
        <w:spacing w:line="360" w:lineRule="auto"/>
        <w:ind w:left="420" w:firstLine="0" w:firstLineChars="0"/>
        <w:rPr>
          <w:rFonts w:hint="eastAsia" w:asciiTheme="minorEastAsia" w:hAnsiTheme="minorEastAsia" w:cstheme="minorEastAsia"/>
          <w:color w:val="000000" w:themeColor="text1"/>
          <w:szCs w:val="21"/>
          <w:highlight w:val="yellow"/>
          <w:lang w:bidi="ar"/>
          <w14:textFill>
            <w14:solidFill>
              <w14:schemeClr w14:val="tx1"/>
            </w14:solidFill>
          </w14:textFill>
        </w:rPr>
      </w:pPr>
      <w:r>
        <w:rPr>
          <w:rFonts w:hint="eastAsia" w:ascii="宋体" w:hAnsi="宋体" w:eastAsia="宋体" w:cs="宋体"/>
          <w:color w:val="FF0000"/>
          <w:szCs w:val="20"/>
          <w:highlight w:val="yellow"/>
          <w:lang w:bidi="ar"/>
        </w:rPr>
        <w:t xml:space="preserve">        温老师  13354282116</w:t>
      </w:r>
      <w:r>
        <w:rPr>
          <w:rFonts w:hint="eastAsia" w:asciiTheme="minorEastAsia" w:hAnsiTheme="minorEastAsia" w:cstheme="minorEastAsia"/>
          <w:color w:val="FF0000"/>
          <w:szCs w:val="21"/>
          <w:highlight w:val="yellow"/>
          <w:shd w:val="clear" w:color="auto" w:fill="FFFFFF"/>
        </w:rPr>
        <w:t>（商务部分）</w:t>
      </w:r>
    </w:p>
    <w:p>
      <w:pPr>
        <w:pStyle w:val="67"/>
        <w:spacing w:line="360" w:lineRule="auto"/>
        <w:ind w:left="420" w:firstLine="0" w:firstLineChars="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3、投标报名截止时间：2023年</w:t>
      </w:r>
      <w:r>
        <w:rPr>
          <w:rFonts w:hint="default" w:ascii="宋体" w:hAnsi="宋体" w:eastAsia="宋体" w:cs="宋体"/>
          <w:color w:val="000000" w:themeColor="text1"/>
          <w:szCs w:val="20"/>
          <w:highlight w:val="yellow"/>
          <w:lang w:bidi="ar"/>
          <w14:textFill>
            <w14:solidFill>
              <w14:schemeClr w14:val="tx1"/>
            </w14:solidFill>
          </w14:textFill>
        </w:rPr>
        <w:t>7</w:t>
      </w:r>
      <w:r>
        <w:rPr>
          <w:rFonts w:hint="eastAsia" w:ascii="宋体" w:hAnsi="宋体" w:eastAsia="宋体" w:cs="宋体"/>
          <w:bCs/>
          <w:color w:val="FF0000"/>
          <w:szCs w:val="20"/>
          <w:highlight w:val="yellow"/>
          <w:lang w:bidi="ar"/>
        </w:rPr>
        <w:t>月1</w:t>
      </w:r>
      <w:r>
        <w:rPr>
          <w:rFonts w:hint="default" w:ascii="宋体" w:hAnsi="宋体" w:eastAsia="宋体" w:cs="宋体"/>
          <w:bCs/>
          <w:color w:val="FF0000"/>
          <w:szCs w:val="20"/>
          <w:highlight w:val="yellow"/>
          <w:lang w:bidi="ar"/>
        </w:rPr>
        <w:t>2</w:t>
      </w:r>
      <w:r>
        <w:rPr>
          <w:rFonts w:hint="eastAsia" w:ascii="宋体" w:hAnsi="宋体" w:eastAsia="宋体" w:cs="宋体"/>
          <w:color w:val="FF0000"/>
          <w:szCs w:val="20"/>
          <w:highlight w:val="yellow"/>
          <w:lang w:bidi="ar"/>
        </w:rPr>
        <w:t>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pStyle w:val="67"/>
        <w:spacing w:line="360" w:lineRule="auto"/>
        <w:ind w:left="420" w:firstLine="0" w:firstLineChars="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报名方式：将附表9填写完毕后，加盖公章，扫描成PDF发送至j</w:t>
      </w:r>
      <w:bookmarkStart w:id="11" w:name="_Hlt20314908"/>
      <w:bookmarkStart w:id="12" w:name="_Hlt20314909"/>
      <w:r>
        <w:rPr>
          <w:rFonts w:hint="eastAsia" w:ascii="宋体" w:hAnsi="宋体" w:eastAsia="宋体" w:cs="宋体"/>
          <w:color w:val="000000" w:themeColor="text1"/>
          <w:szCs w:val="20"/>
          <w:highlight w:val="yellow"/>
          <w:lang w:bidi="ar"/>
          <w14:textFill>
            <w14:solidFill>
              <w14:schemeClr w14:val="tx1"/>
            </w14:solidFill>
          </w14:textFill>
        </w:rPr>
        <w:t>t</w:t>
      </w:r>
      <w:bookmarkEnd w:id="11"/>
      <w:bookmarkEnd w:id="12"/>
      <w:r>
        <w:rPr>
          <w:rFonts w:hint="eastAsia" w:ascii="宋体" w:hAnsi="宋体" w:eastAsia="宋体" w:cs="宋体"/>
          <w:color w:val="000000" w:themeColor="text1"/>
          <w:szCs w:val="20"/>
          <w:highlight w:val="yellow"/>
          <w:lang w:bidi="ar"/>
          <w14:textFill>
            <w14:solidFill>
              <w14:schemeClr w14:val="tx1"/>
            </w14:solidFill>
          </w14:textFill>
        </w:rPr>
        <w:t>xxhb@sinotruk.com，并电话确认</w:t>
      </w:r>
    </w:p>
    <w:p>
      <w:pPr>
        <w:pStyle w:val="67"/>
        <w:spacing w:line="360" w:lineRule="auto"/>
        <w:ind w:left="420" w:firstLine="0" w:firstLineChars="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联 系 人：陈老师</w:t>
      </w:r>
      <w:r>
        <w:rPr>
          <w:rFonts w:hint="eastAsia" w:ascii="宋体" w:hAnsi="宋体" w:eastAsia="宋体" w:cs="宋体"/>
          <w:color w:val="FF0000"/>
          <w:szCs w:val="20"/>
          <w:highlight w:val="yellow"/>
          <w:lang w:bidi="ar"/>
        </w:rPr>
        <w:t xml:space="preserve">  </w:t>
      </w:r>
      <w:r>
        <w:rPr>
          <w:rFonts w:ascii="宋体" w:cs="宋体"/>
          <w:b/>
          <w:bCs/>
          <w:color w:val="000000"/>
          <w:szCs w:val="20"/>
          <w:highlight w:val="yellow"/>
        </w:rPr>
        <w:t> </w:t>
      </w:r>
      <w:r>
        <w:rPr>
          <w:rFonts w:hint="eastAsia" w:ascii="宋体" w:cs="宋体"/>
          <w:b/>
          <w:bCs/>
          <w:color w:val="000000"/>
          <w:szCs w:val="20"/>
          <w:highlight w:val="yellow"/>
        </w:rPr>
        <w:t>13793155096</w:t>
      </w:r>
    </w:p>
    <w:p>
      <w:pPr>
        <w:pStyle w:val="67"/>
        <w:spacing w:line="360" w:lineRule="auto"/>
        <w:ind w:left="420" w:firstLine="0" w:firstLineChars="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4、开标时间：</w:t>
      </w:r>
      <w:r>
        <w:rPr>
          <w:rFonts w:hint="eastAsia" w:ascii="宋体" w:hAnsi="宋体" w:eastAsia="宋体" w:cs="宋体"/>
          <w:color w:val="FF0000"/>
          <w:szCs w:val="20"/>
          <w:highlight w:val="yellow"/>
          <w:lang w:bidi="ar"/>
        </w:rPr>
        <w:t>2023年7月20日9：00</w:t>
      </w:r>
    </w:p>
    <w:p>
      <w:pPr>
        <w:pStyle w:val="67"/>
        <w:numPr>
          <w:ilvl w:val="0"/>
          <w:numId w:val="5"/>
        </w:numPr>
        <w:spacing w:line="360" w:lineRule="auto"/>
        <w:ind w:firstLineChars="0"/>
        <w:rPr>
          <w:rFonts w:hint="eastAsia"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投标地点：</w:t>
      </w:r>
      <w:bookmarkStart w:id="13" w:name="OLE_LINK2"/>
      <w:bookmarkStart w:id="14" w:name="OLE_LINK3"/>
      <w:r>
        <w:rPr>
          <w:rFonts w:hint="eastAsia" w:ascii="宋体" w:hAnsi="宋体" w:eastAsia="宋体" w:cs="宋体"/>
          <w:color w:val="000000" w:themeColor="text1"/>
          <w:szCs w:val="20"/>
          <w:highlight w:val="yellow"/>
          <w:lang w:bidi="ar"/>
          <w14:textFill>
            <w14:solidFill>
              <w14:schemeClr w14:val="tx1"/>
            </w14:solidFill>
          </w14:textFill>
        </w:rPr>
        <w:t>重汽科技大厦</w:t>
      </w:r>
      <w:bookmarkEnd w:id="13"/>
      <w:bookmarkEnd w:id="14"/>
      <w:r>
        <w:rPr>
          <w:rFonts w:hint="eastAsia" w:ascii="宋体" w:hAnsi="宋体" w:eastAsia="宋体" w:cs="宋体"/>
          <w:color w:val="FF0000"/>
          <w:szCs w:val="20"/>
          <w:highlight w:val="yellow"/>
          <w:lang w:bidi="ar"/>
        </w:rPr>
        <w:t>3楼302</w:t>
      </w:r>
    </w:p>
    <w:p>
      <w:pPr>
        <w:pStyle w:val="67"/>
        <w:numPr>
          <w:ilvl w:val="0"/>
          <w:numId w:val="5"/>
        </w:numPr>
        <w:spacing w:line="360" w:lineRule="auto"/>
        <w:ind w:firstLineChars="0"/>
        <w:rPr>
          <w:rFonts w:hint="eastAsia" w:ascii="宋体" w:hAnsi="宋体" w:eastAsia="宋体" w:cs="宋体"/>
          <w:color w:val="000000" w:themeColor="text1"/>
          <w:szCs w:val="20"/>
          <w:highlight w:val="yellow"/>
          <w:lang w:bidi="ar"/>
          <w14:textFill>
            <w14:solidFill>
              <w14:schemeClr w14:val="tx1"/>
            </w14:solidFill>
          </w14:textFill>
        </w:rPr>
      </w:pPr>
      <w:r>
        <w:rPr>
          <w:rFonts w:hint="eastAsia" w:ascii="宋体" w:hAnsi="宋体" w:eastAsia="宋体" w:cs="宋体"/>
          <w:color w:val="000000" w:themeColor="text1"/>
          <w:szCs w:val="20"/>
          <w:lang w:bidi="ar"/>
          <w14:textFill>
            <w14:solidFill>
              <w14:schemeClr w14:val="tx1"/>
            </w14:solidFill>
          </w14:textFill>
        </w:rPr>
        <w:t xml:space="preserve">       </w:t>
      </w:r>
      <w:r>
        <w:rPr>
          <w:rFonts w:hint="eastAsia" w:ascii="宋体" w:hAnsi="宋体" w:eastAsia="宋体" w:cs="宋体"/>
          <w:color w:val="000000" w:themeColor="text1"/>
          <w:szCs w:val="20"/>
          <w:highlight w:val="yellow"/>
          <w:lang w:bidi="ar"/>
          <w14:textFill>
            <w14:solidFill>
              <w14:schemeClr w14:val="tx1"/>
            </w14:solidFill>
          </w14:textFill>
        </w:rPr>
        <w:t>地    址：济南市高新区华奥路777号</w:t>
      </w:r>
    </w:p>
    <w:p>
      <w:pPr>
        <w:numPr>
          <w:ilvl w:val="0"/>
          <w:numId w:val="5"/>
        </w:numPr>
        <w:spacing w:line="360" w:lineRule="auto"/>
        <w:ind w:firstLine="420" w:firstLineChars="200"/>
        <w:jc w:val="left"/>
        <w:rPr>
          <w:rFonts w:ascii="宋体" w:hAnsi="宋体" w:eastAsia="宋体" w:cs="宋体"/>
          <w:szCs w:val="20"/>
          <w:lang w:bidi="ar"/>
        </w:rPr>
      </w:pPr>
      <w:r>
        <w:rPr>
          <w:rFonts w:hint="eastAsia" w:ascii="宋体" w:hAnsi="宋体" w:eastAsia="宋体" w:cs="宋体"/>
          <w:szCs w:val="20"/>
          <w:lang w:bidi="ar"/>
        </w:rPr>
        <w:t>本次招标注册、应标、澄清、报价全部操作需要登录E采通系统进行操作，网址如下：</w:t>
      </w:r>
      <w:r>
        <w:fldChar w:fldCharType="begin"/>
      </w:r>
      <w:r>
        <w:instrText xml:space="preserve"> HYPERLINK "http://ecaitong.sinotruk.com:8012/，请于截止日期前完成注册、应标等操作。" </w:instrText>
      </w:r>
      <w:r>
        <w:fldChar w:fldCharType="separate"/>
      </w:r>
      <w:r>
        <w:rPr>
          <w:rStyle w:val="29"/>
          <w:rFonts w:hint="eastAsia" w:ascii="宋体" w:hAnsi="宋体" w:eastAsia="宋体" w:cs="宋体"/>
          <w:color w:val="auto"/>
          <w:szCs w:val="20"/>
          <w:u w:val="none"/>
          <w:lang w:bidi="ar"/>
        </w:rPr>
        <w:t>http://ecaitong.sinotruk.com:8012/，请于截止日期前完成注册、应标、投标等操作，超过截止日期未将盖章（或电子章）技术标、商务标、资质等文件上传系统的，系统自动关闭上传入口，视为放弃应标。</w:t>
      </w:r>
      <w:r>
        <w:rPr>
          <w:rStyle w:val="29"/>
          <w:rFonts w:hint="eastAsia" w:ascii="宋体" w:hAnsi="宋体" w:eastAsia="宋体" w:cs="宋体"/>
          <w:color w:val="auto"/>
          <w:szCs w:val="20"/>
          <w:u w:val="none"/>
          <w:lang w:bidi="ar"/>
        </w:rPr>
        <w:fldChar w:fldCharType="end"/>
      </w:r>
    </w:p>
    <w:bookmarkEnd w:id="10"/>
    <w:p>
      <w:pPr>
        <w:pStyle w:val="2"/>
        <w:rPr>
          <w:highlight w:val="yellow"/>
          <w:lang w:bidi="ar"/>
        </w:rPr>
      </w:pPr>
    </w:p>
    <w:p>
      <w:pPr>
        <w:pStyle w:val="32"/>
        <w:keepNext w:val="0"/>
        <w:widowControl/>
        <w:pBdr>
          <w:top w:val="single" w:color="auto" w:sz="48" w:space="0"/>
        </w:pBdr>
        <w:rPr>
          <w:rFonts w:ascii="宋体" w:hAnsi="宋体"/>
          <w:color w:val="000000" w:themeColor="text1"/>
          <w14:textFill>
            <w14:solidFill>
              <w14:schemeClr w14:val="tx1"/>
            </w14:solidFill>
          </w14:textFill>
        </w:rPr>
      </w:pPr>
      <w:bookmarkStart w:id="15" w:name="_Toc5986"/>
      <w:r>
        <w:rPr>
          <w:rFonts w:hint="eastAsia" w:ascii="宋体" w:hAnsi="宋体" w:cs="宋体"/>
          <w:color w:val="000000" w:themeColor="text1"/>
          <w14:textFill>
            <w14:solidFill>
              <w14:schemeClr w14:val="tx1"/>
            </w14:solidFill>
          </w14:textFill>
        </w:rPr>
        <w:t>有关说明</w:t>
      </w:r>
      <w:bookmarkEnd w:id="15"/>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6" w:name="_Toc26452"/>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定义</w:t>
      </w:r>
      <w:bookmarkEnd w:id="16"/>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招标人：中国重汽集团济南商用车制造公司</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投标人：由招标人认可的符合投标资格的参加本项目投标的供应商</w:t>
      </w:r>
    </w:p>
    <w:p>
      <w:pPr>
        <w:pStyle w:val="41"/>
        <w:widowControl/>
        <w:numPr>
          <w:ilvl w:val="0"/>
          <w:numId w:val="6"/>
        </w:numPr>
        <w:rPr>
          <w:rFonts w:ascii="宋体" w:hAnsi="宋体"/>
          <w:color w:val="000000" w:themeColor="text1"/>
          <w14:textFill>
            <w14:solidFill>
              <w14:schemeClr w14:val="tx1"/>
            </w14:solidFill>
          </w14:textFill>
        </w:rPr>
      </w:pPr>
      <w:bookmarkStart w:id="17" w:name="_Toc270497418"/>
      <w:r>
        <w:rPr>
          <w:rFonts w:hint="eastAsia" w:ascii="宋体" w:hAnsi="宋体" w:cs="宋体"/>
          <w:color w:val="000000" w:themeColor="text1"/>
          <w14:textFill>
            <w14:solidFill>
              <w14:schemeClr w14:val="tx1"/>
            </w14:solidFill>
          </w14:textFill>
        </w:rPr>
        <w:t>产品：指投标人为本项目提供的安全评估服务及项目交付物</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招标方式</w:t>
      </w:r>
      <w:bookmarkEnd w:id="17"/>
      <w:r>
        <w:rPr>
          <w:rFonts w:hint="eastAsia" w:ascii="宋体" w:hAnsi="宋体" w:cs="宋体"/>
          <w:color w:val="000000" w:themeColor="text1"/>
          <w14:textFill>
            <w14:solidFill>
              <w14:schemeClr w14:val="tx1"/>
            </w14:solidFill>
          </w14:textFill>
        </w:rPr>
        <w:t>：本项目采用</w:t>
      </w:r>
      <w:r>
        <w:rPr>
          <w:rFonts w:hint="eastAsia" w:ascii="宋体" w:hAnsi="宋体"/>
          <w:b/>
          <w:color w:val="FF0000"/>
        </w:rPr>
        <w:t>公开</w:t>
      </w:r>
      <w:r>
        <w:rPr>
          <w:rFonts w:hint="eastAsia" w:ascii="宋体" w:hAnsi="宋体" w:cs="宋体"/>
          <w:color w:val="000000" w:themeColor="text1"/>
          <w:szCs w:val="24"/>
          <w14:textFill>
            <w14:solidFill>
              <w14:schemeClr w14:val="tx1"/>
            </w14:solidFill>
          </w14:textFill>
        </w:rPr>
        <w:t>招标</w:t>
      </w:r>
      <w:r>
        <w:rPr>
          <w:rFonts w:hint="eastAsia" w:ascii="宋体" w:hAnsi="宋体" w:cs="宋体"/>
          <w:color w:val="000000" w:themeColor="text1"/>
          <w14:textFill>
            <w14:solidFill>
              <w14:schemeClr w14:val="tx1"/>
            </w14:solidFill>
          </w14:textFill>
        </w:rPr>
        <w:t>方式</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8" w:name="_Toc7118"/>
      <w:bookmarkStart w:id="19" w:name="_Toc270497419"/>
      <w:r>
        <w:rPr>
          <w:rFonts w:hint="eastAsia" w:ascii="宋体" w:hAnsi="宋体" w:cs="宋体"/>
          <w:color w:val="000000" w:themeColor="text1"/>
          <w:szCs w:val="24"/>
          <w14:textFill>
            <w14:solidFill>
              <w14:schemeClr w14:val="tx1"/>
            </w14:solidFill>
          </w14:textFill>
        </w:rPr>
        <w:t>3</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项目实施方</w:t>
      </w:r>
      <w:r>
        <w:rPr>
          <w:rFonts w:hint="eastAsia" w:ascii="宋体" w:hAnsi="宋体" w:cs="宋体"/>
          <w:color w:val="000000" w:themeColor="text1"/>
          <w14:textFill>
            <w14:solidFill>
              <w14:schemeClr w14:val="tx1"/>
            </w14:solidFill>
          </w14:textFill>
        </w:rPr>
        <w:t>式</w:t>
      </w:r>
      <w:bookmarkEnd w:id="18"/>
      <w:bookmarkEnd w:id="19"/>
    </w:p>
    <w:p>
      <w:pPr>
        <w:pStyle w:val="33"/>
        <w:widowControl/>
        <w:adjustRightInd w:val="0"/>
        <w:snapToGrid w:val="0"/>
        <w:spacing w:line="300" w:lineRule="auto"/>
        <w:ind w:left="-105" w:leftChars="-50" w:firstLine="444" w:firstLineChars="185"/>
        <w:rPr>
          <w:rFonts w:ascii="宋体" w:hAnsi="宋体"/>
          <w:color w:val="FF0000"/>
        </w:rPr>
      </w:pPr>
      <w:r>
        <w:rPr>
          <w:rFonts w:hint="eastAsia" w:ascii="宋体" w:hAnsi="宋体" w:cs="宋体"/>
          <w:color w:val="000000" w:themeColor="text1"/>
          <w:szCs w:val="24"/>
          <w14:textFill>
            <w14:solidFill>
              <w14:schemeClr w14:val="tx1"/>
            </w14:solidFill>
          </w14:textFill>
        </w:rPr>
        <w:t>本项目所采用的实施方式为</w:t>
      </w:r>
      <w:r>
        <w:rPr>
          <w:rFonts w:hint="eastAsia" w:ascii="宋体" w:hAnsi="宋体"/>
          <w:color w:val="FF0000"/>
        </w:rPr>
        <w:t>现场实施。</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20" w:name="_Toc20191"/>
      <w:bookmarkStart w:id="21" w:name="_Toc265850577"/>
      <w:bookmarkStart w:id="22" w:name="_Toc264881857"/>
      <w:bookmarkStart w:id="23" w:name="_Toc234922352"/>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投标人须知</w:t>
      </w:r>
      <w:bookmarkEnd w:id="20"/>
      <w:bookmarkEnd w:id="21"/>
      <w:bookmarkEnd w:id="22"/>
      <w:bookmarkEnd w:id="23"/>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投标人须确保遵守国家规定的各种有关投标的规定、法规、法律文件等。</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投标人须确保具有良好的商业信誉和诚实的职业道德。</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投标人应仔细阅读并理解招标文件的全部内容，并做出实质性响应。</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投标人须确保项目交付物的功能满足招标文件的要求。</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投标人应当按照招标文件规定的内容和要求编制投标文件。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投标人须确保有能力在规定期限内完成招标文件规定的全部内容。</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投标人在收到招标文件后，如有疑问，应以书面形式向招标人提出，招标人将以书面形式予以答复，但不说明答复的来源。</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在投标截止日期前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天，招标人都可能会以补充通知的方式修改招标文件。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无论投标结果如何，投标人应承担编制投标文件、递交投标文件、考察等所涉及的一切费用。</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招标人对未中标者不作任何解释。</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如投标方代表不是法人代表，须持有盖有法人单位公章的《法人代表授权书》。</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讲标方案需存储在</w:t>
      </w:r>
      <w:r>
        <w:rPr>
          <w:rFonts w:ascii="宋体" w:hAnsi="宋体" w:cs="宋体"/>
          <w:color w:val="000000" w:themeColor="text1"/>
          <w14:textFill>
            <w14:solidFill>
              <w14:schemeClr w14:val="tx1"/>
            </w14:solidFill>
          </w14:textFill>
        </w:rPr>
        <w:t>U</w:t>
      </w:r>
      <w:r>
        <w:rPr>
          <w:rFonts w:hint="eastAsia" w:ascii="宋体" w:hAnsi="宋体" w:cs="宋体"/>
          <w:color w:val="000000" w:themeColor="text1"/>
          <w14:textFill>
            <w14:solidFill>
              <w14:schemeClr w14:val="tx1"/>
            </w14:solidFill>
          </w14:textFill>
        </w:rPr>
        <w:t>盘中单独装入密封袋，随投标材料一并提供，投标人在讲标时不允许使用个人自带电脑，投标人在讲标时，须由拟担任招标项目建设的项目经理讲标，其中讲标40分钟，答疑时间20分钟。若中标，非经招标人同意，项目经理及项目组成员不得在项目建设中途更换。</w:t>
      </w:r>
    </w:p>
    <w:p>
      <w:pPr>
        <w:pStyle w:val="41"/>
        <w:widowControl/>
        <w:numPr>
          <w:ilvl w:val="0"/>
          <w:numId w:val="7"/>
        </w:numPr>
        <w:rPr>
          <w:highlight w:val="yellow"/>
        </w:rPr>
      </w:pPr>
      <w:r>
        <w:rPr>
          <w:rFonts w:hint="eastAsia" w:cs="宋体"/>
        </w:rPr>
        <w:t>关于保证金的收取。投标保证金收取，</w:t>
      </w:r>
      <w:r>
        <w:rPr>
          <w:rFonts w:hint="eastAsia" w:cs="宋体"/>
          <w:highlight w:val="yellow"/>
        </w:rPr>
        <w:t>投标保证金</w:t>
      </w:r>
      <w:r>
        <w:rPr>
          <w:rFonts w:cs="宋体"/>
          <w:highlight w:val="yellow"/>
        </w:rPr>
        <w:t>1</w:t>
      </w:r>
      <w:r>
        <w:rPr>
          <w:rFonts w:hint="eastAsia" w:cs="宋体"/>
          <w:highlight w:val="yellow"/>
        </w:rPr>
        <w:t>万元人民币</w:t>
      </w:r>
      <w:r>
        <w:rPr>
          <w:rFonts w:hint="eastAsia" w:cs="宋体"/>
        </w:rPr>
        <w:t>。投标人须</w:t>
      </w:r>
      <w:r>
        <w:rPr>
          <w:rFonts w:hint="eastAsia" w:cs="宋体"/>
          <w:highlight w:val="yellow"/>
        </w:rPr>
        <w:t>在</w:t>
      </w:r>
      <w:r>
        <w:rPr>
          <w:rFonts w:cs="宋体"/>
          <w:highlight w:val="yellow"/>
        </w:rPr>
        <w:t>6</w:t>
      </w:r>
      <w:r>
        <w:rPr>
          <w:rFonts w:hint="eastAsia" w:cs="宋体"/>
          <w:highlight w:val="yellow"/>
        </w:rPr>
        <w:t>月</w:t>
      </w:r>
      <w:r>
        <w:rPr>
          <w:rFonts w:cs="宋体"/>
          <w:highlight w:val="yellow"/>
        </w:rPr>
        <w:t>X</w:t>
      </w:r>
      <w:r>
        <w:rPr>
          <w:rFonts w:hint="eastAsia" w:cs="宋体"/>
          <w:highlight w:val="yellow"/>
        </w:rPr>
        <w:t>日1</w:t>
      </w:r>
      <w:r>
        <w:rPr>
          <w:rFonts w:cs="宋体"/>
          <w:highlight w:val="yellow"/>
        </w:rPr>
        <w:t>7</w:t>
      </w:r>
      <w:r>
        <w:rPr>
          <w:rFonts w:hint="eastAsia" w:cs="宋体"/>
          <w:highlight w:val="yellow"/>
        </w:rPr>
        <w:t>:</w:t>
      </w:r>
      <w:r>
        <w:rPr>
          <w:rFonts w:cs="宋体"/>
          <w:highlight w:val="yellow"/>
        </w:rPr>
        <w:t>00</w:t>
      </w:r>
      <w:r>
        <w:rPr>
          <w:rFonts w:hint="eastAsia" w:cs="宋体"/>
          <w:highlight w:val="yellow"/>
        </w:rPr>
        <w:t>前将投标保证金由投标人的基本户转出汇至如下账户：</w:t>
      </w:r>
      <w:r>
        <w:rPr>
          <w:rFonts w:hint="eastAsia" w:cs="宋体"/>
        </w:rPr>
        <w:t>（</w:t>
      </w:r>
      <w:r>
        <w:rPr>
          <w:rFonts w:hint="eastAsia"/>
          <w:highlight w:val="yellow"/>
        </w:rPr>
        <w:t>汇款时请备注：</w:t>
      </w:r>
      <w:r>
        <w:rPr>
          <w:rFonts w:cs="宋体"/>
          <w:highlight w:val="yellow"/>
        </w:rPr>
        <w:t>中国重汽集团</w:t>
      </w:r>
      <w:r>
        <w:rPr>
          <w:rFonts w:hint="eastAsia" w:cs="宋体"/>
          <w:highlight w:val="yellow"/>
        </w:rPr>
        <w:t>济南商用车关重件件号随车展示项目保证金</w:t>
      </w:r>
      <w:r>
        <w:rPr>
          <w:rFonts w:hint="eastAsia"/>
          <w:highlight w:val="yellow"/>
        </w:rPr>
        <w:t>-xxx单位</w:t>
      </w:r>
      <w:r>
        <w:rPr>
          <w:rFonts w:hint="eastAsia" w:cs="宋体"/>
          <w:highlight w:val="yellow"/>
        </w:rPr>
        <w:t>）</w:t>
      </w:r>
    </w:p>
    <w:tbl>
      <w:tblPr>
        <w:tblStyle w:val="25"/>
        <w:tblW w:w="6823" w:type="dxa"/>
        <w:jc w:val="center"/>
        <w:tblLayout w:type="fixed"/>
        <w:tblCellMar>
          <w:top w:w="0" w:type="dxa"/>
          <w:left w:w="0" w:type="dxa"/>
          <w:bottom w:w="0" w:type="dxa"/>
          <w:right w:w="0" w:type="dxa"/>
        </w:tblCellMar>
      </w:tblPr>
      <w:tblGrid>
        <w:gridCol w:w="6823"/>
      </w:tblGrid>
      <w:tr>
        <w:tblPrEx>
          <w:tblCellMar>
            <w:top w:w="0" w:type="dxa"/>
            <w:left w:w="0" w:type="dxa"/>
            <w:bottom w:w="0" w:type="dxa"/>
            <w:right w:w="0" w:type="dxa"/>
          </w:tblCellMar>
        </w:tblPrEx>
        <w:trPr>
          <w:trHeight w:val="61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138"/>
              <w:ind w:left="105"/>
              <w:rPr>
                <w:rFonts w:ascii="Times New Roman" w:hAnsi="Times New Roman" w:cs="宋体"/>
                <w:sz w:val="24"/>
                <w:highlight w:val="yellow"/>
              </w:rPr>
            </w:pPr>
            <w:r>
              <w:rPr>
                <w:rFonts w:hint="eastAsia" w:ascii="Times New Roman" w:hAnsi="Times New Roman" w:cs="宋体"/>
                <w:sz w:val="24"/>
                <w:highlight w:val="yellow"/>
              </w:rPr>
              <w:t>开户银行：</w:t>
            </w:r>
            <w:r>
              <w:rPr>
                <w:rFonts w:ascii="Times New Roman" w:hAnsi="Times New Roman" w:cs="宋体"/>
                <w:sz w:val="24"/>
                <w:highlight w:val="yellow"/>
              </w:rPr>
              <w:t>中</w:t>
            </w:r>
            <w:r>
              <w:rPr>
                <w:rFonts w:hint="eastAsia" w:ascii="Times New Roman" w:hAnsi="Times New Roman" w:cs="宋体"/>
                <w:sz w:val="24"/>
                <w:highlight w:val="yellow"/>
              </w:rPr>
              <w:t>国银</w:t>
            </w:r>
            <w:r>
              <w:rPr>
                <w:rFonts w:ascii="Times New Roman" w:hAnsi="Times New Roman" w:cs="宋体"/>
                <w:sz w:val="24"/>
                <w:highlight w:val="yellow"/>
              </w:rPr>
              <w:t>行章丘支行</w:t>
            </w:r>
          </w:p>
        </w:tc>
      </w:tr>
      <w:tr>
        <w:tblPrEx>
          <w:tblCellMar>
            <w:top w:w="0" w:type="dxa"/>
            <w:left w:w="0" w:type="dxa"/>
            <w:bottom w:w="0" w:type="dxa"/>
            <w:right w:w="0" w:type="dxa"/>
          </w:tblCellMar>
        </w:tblPrEx>
        <w:trPr>
          <w:trHeight w:val="563"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户名：</w:t>
            </w:r>
            <w:r>
              <w:rPr>
                <w:rFonts w:ascii="Times New Roman" w:hAnsi="Times New Roman" w:cs="宋体"/>
                <w:sz w:val="24"/>
                <w:highlight w:val="yellow"/>
              </w:rPr>
              <w:t>中国重汽集团济南商用车有限公司</w:t>
            </w:r>
          </w:p>
        </w:tc>
      </w:tr>
      <w:tr>
        <w:trPr>
          <w:trHeight w:val="57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账号：</w:t>
            </w:r>
            <w:r>
              <w:rPr>
                <w:rFonts w:ascii="Times New Roman" w:hAnsi="Times New Roman" w:cs="宋体"/>
                <w:sz w:val="24"/>
                <w:highlight w:val="yellow"/>
              </w:rPr>
              <w:t>226005574527</w:t>
            </w:r>
          </w:p>
        </w:tc>
      </w:tr>
      <w:tr>
        <w:tblPrEx>
          <w:tblCellMar>
            <w:top w:w="0" w:type="dxa"/>
            <w:left w:w="0" w:type="dxa"/>
            <w:bottom w:w="0" w:type="dxa"/>
            <w:right w:w="0" w:type="dxa"/>
          </w:tblCellMar>
        </w:tblPrEx>
        <w:trPr>
          <w:trHeight w:val="565"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纳税人识别号：</w:t>
            </w:r>
            <w:r>
              <w:rPr>
                <w:rFonts w:ascii="Times New Roman" w:hAnsi="Times New Roman" w:cs="宋体"/>
                <w:sz w:val="24"/>
                <w:highlight w:val="yellow"/>
              </w:rPr>
              <w:t>9137010072624213XP</w:t>
            </w:r>
          </w:p>
        </w:tc>
      </w:tr>
    </w:tbl>
    <w:p>
      <w:pPr>
        <w:pStyle w:val="41"/>
        <w:numPr>
          <w:ilvl w:val="0"/>
          <w:numId w:val="7"/>
        </w:numPr>
        <w:adjustRightInd w:val="0"/>
        <w:snapToGrid w:val="0"/>
        <w:rPr>
          <w:rFonts w:cs="宋体"/>
        </w:rPr>
      </w:pPr>
      <w:r>
        <w:rPr>
          <w:rFonts w:hint="eastAsia" w:cs="宋体"/>
        </w:rPr>
        <w:t>关于保证金的没收与退还。</w:t>
      </w:r>
    </w:p>
    <w:p>
      <w:pPr>
        <w:pStyle w:val="41"/>
        <w:numPr>
          <w:ilvl w:val="0"/>
          <w:numId w:val="0"/>
        </w:numPr>
        <w:adjustRightInd w:val="0"/>
        <w:snapToGrid w:val="0"/>
        <w:ind w:left="420"/>
        <w:rPr>
          <w:rFonts w:cs="宋体"/>
        </w:rPr>
      </w:pPr>
      <w:r>
        <w:rPr>
          <w:rFonts w:hint="eastAsia" w:cs="宋体"/>
        </w:rPr>
        <w:t>①截至开标前</w:t>
      </w:r>
      <w:r>
        <w:rPr>
          <w:rFonts w:cs="宋体"/>
        </w:rPr>
        <w:t>3</w:t>
      </w:r>
      <w:r>
        <w:rPr>
          <w:rFonts w:hint="eastAsia" w:cs="宋体"/>
        </w:rPr>
        <w:t>天，拟投标人无正当理由、未以书面形式递交说明而在投标截止日不来投标的；</w:t>
      </w:r>
    </w:p>
    <w:p>
      <w:pPr>
        <w:pStyle w:val="41"/>
        <w:numPr>
          <w:ilvl w:val="0"/>
          <w:numId w:val="0"/>
        </w:numPr>
        <w:adjustRightInd w:val="0"/>
        <w:snapToGrid w:val="0"/>
        <w:ind w:left="420"/>
        <w:rPr>
          <w:rFonts w:cs="宋体"/>
        </w:rPr>
      </w:pPr>
      <w:r>
        <w:rPr>
          <w:rFonts w:hint="eastAsia" w:cs="宋体"/>
        </w:rPr>
        <w:t>②拟投标人递送文件后，无正当理由放弃投标的；</w:t>
      </w:r>
    </w:p>
    <w:p>
      <w:pPr>
        <w:pStyle w:val="41"/>
        <w:numPr>
          <w:ilvl w:val="0"/>
          <w:numId w:val="0"/>
        </w:numPr>
        <w:adjustRightInd w:val="0"/>
        <w:snapToGrid w:val="0"/>
        <w:ind w:left="420"/>
        <w:rPr>
          <w:rFonts w:cs="宋体"/>
        </w:rPr>
      </w:pPr>
      <w:r>
        <w:rPr>
          <w:rFonts w:hint="eastAsia" w:cs="宋体"/>
        </w:rPr>
        <w:t>③自中标（成交）通知发出之日起</w:t>
      </w:r>
      <w:r>
        <w:rPr>
          <w:rFonts w:cs="宋体"/>
        </w:rPr>
        <w:t>30</w:t>
      </w:r>
      <w:r>
        <w:rPr>
          <w:rFonts w:hint="eastAsia" w:cs="宋体"/>
        </w:rPr>
        <w:t>日内，中标（成交）单位无正当理由不签订合同的；</w:t>
      </w:r>
    </w:p>
    <w:p>
      <w:pPr>
        <w:pStyle w:val="41"/>
        <w:numPr>
          <w:ilvl w:val="0"/>
          <w:numId w:val="0"/>
        </w:numPr>
        <w:adjustRightInd w:val="0"/>
        <w:snapToGrid w:val="0"/>
        <w:ind w:left="420"/>
        <w:rPr>
          <w:rFonts w:cs="宋体"/>
        </w:rPr>
      </w:pPr>
      <w:r>
        <w:rPr>
          <w:rFonts w:hint="eastAsia" w:cs="宋体"/>
        </w:rPr>
        <w:t>④投标过程中被查实有串标、围标、陪标等违规违纪行为的；</w:t>
      </w:r>
    </w:p>
    <w:p>
      <w:pPr>
        <w:pStyle w:val="41"/>
        <w:numPr>
          <w:ilvl w:val="0"/>
          <w:numId w:val="0"/>
        </w:numPr>
        <w:adjustRightInd w:val="0"/>
        <w:snapToGrid w:val="0"/>
        <w:ind w:left="420"/>
        <w:rPr>
          <w:rFonts w:cs="宋体"/>
        </w:rPr>
      </w:pPr>
      <w:r>
        <w:rPr>
          <w:rFonts w:hint="eastAsia" w:cs="宋体"/>
        </w:rPr>
        <w:t>⑤投标人有违约违规行为或被投诉、举报的，在调查处理期间，保证金暂不退还，待调查处理结束后按有关规定处理；</w:t>
      </w:r>
    </w:p>
    <w:p>
      <w:pPr>
        <w:pStyle w:val="41"/>
        <w:numPr>
          <w:ilvl w:val="0"/>
          <w:numId w:val="0"/>
        </w:numPr>
        <w:adjustRightInd w:val="0"/>
        <w:snapToGrid w:val="0"/>
        <w:ind w:left="420"/>
        <w:rPr>
          <w:rFonts w:cs="宋体"/>
        </w:rPr>
      </w:pPr>
      <w:r>
        <w:rPr>
          <w:rFonts w:hint="eastAsia" w:ascii="宋体" w:hAnsi="宋体" w:cs="宋体"/>
        </w:rPr>
        <w:t>⑥</w:t>
      </w:r>
      <w:r>
        <w:rPr>
          <w:rFonts w:hint="eastAsia" w:cs="宋体"/>
        </w:rPr>
        <w:t>自中标（成交）通知发出之日起</w:t>
      </w:r>
      <w:r>
        <w:rPr>
          <w:rFonts w:cs="宋体"/>
        </w:rPr>
        <w:t>5</w:t>
      </w:r>
      <w:r>
        <w:rPr>
          <w:rFonts w:hint="eastAsia" w:cs="宋体"/>
        </w:rPr>
        <w:t>个工作日内，退还未中标（成交）单位的投标保证金；合同签订后5个工作日内，退还中标（成交）单位的保证金。</w:t>
      </w:r>
    </w:p>
    <w:p>
      <w:pPr>
        <w:pStyle w:val="41"/>
        <w:numPr>
          <w:ilvl w:val="0"/>
          <w:numId w:val="0"/>
        </w:numPr>
        <w:adjustRightInd w:val="0"/>
        <w:snapToGrid w:val="0"/>
        <w:ind w:left="42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⑦</w:t>
      </w:r>
      <w:r>
        <w:rPr>
          <w:rFonts w:ascii="宋体" w:hAnsi="宋体" w:cs="宋体"/>
        </w:rPr>
        <w:fldChar w:fldCharType="end"/>
      </w:r>
      <w:r>
        <w:rPr>
          <w:rFonts w:hint="eastAsia" w:ascii="宋体" w:hAnsi="宋体" w:cs="宋体"/>
        </w:rPr>
        <w:t>投标保证金退还时，为无息退还。</w:t>
      </w:r>
    </w:p>
    <w:p>
      <w:pPr>
        <w:pStyle w:val="41"/>
        <w:widowControl/>
        <w:numPr>
          <w:ilvl w:val="0"/>
          <w:numId w:val="0"/>
        </w:numPr>
        <w:ind w:left="420"/>
        <w:rPr>
          <w:rFonts w:ascii="宋体" w:hAnsi="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24" w:name="_Toc19426"/>
      <w:r>
        <w:rPr>
          <w:rFonts w:hint="eastAsia" w:ascii="宋体" w:hAnsi="宋体" w:cs="宋体"/>
          <w:color w:val="000000" w:themeColor="text1"/>
          <w14:textFill>
            <w14:solidFill>
              <w14:schemeClr w14:val="tx1"/>
            </w14:solidFill>
          </w14:textFill>
        </w:rPr>
        <w:t>交货及付款</w:t>
      </w:r>
      <w:bookmarkEnd w:id="24"/>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4.1、项目实施小组进驻时间：收到甲方通知后3个工作日内。</w:t>
      </w:r>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4.2、实施地点：招标人指定地点。</w:t>
      </w:r>
    </w:p>
    <w:p>
      <w:pPr>
        <w:tabs>
          <w:tab w:val="left" w:pos="0"/>
        </w:tabs>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4.3、交货方式：项目交接。</w:t>
      </w:r>
    </w:p>
    <w:p>
      <w:pPr>
        <w:pStyle w:val="41"/>
        <w:widowControl/>
        <w:numPr>
          <w:ilvl w:val="0"/>
          <w:numId w:val="0"/>
        </w:numPr>
        <w:ind w:firstLine="480" w:firstLineChars="200"/>
        <w:rPr>
          <w:rFonts w:ascii="宋体" w:hAnsi="宋体" w:cs="宋体"/>
          <w:color w:val="FF0000"/>
          <w:kern w:val="0"/>
        </w:rPr>
      </w:pPr>
      <w:r>
        <w:rPr>
          <w:rFonts w:hint="eastAsia" w:ascii="宋体" w:hAnsi="宋体" w:cs="宋体"/>
          <w:color w:val="000000" w:themeColor="text1"/>
          <w:kern w:val="0"/>
          <w14:textFill>
            <w14:solidFill>
              <w14:schemeClr w14:val="tx1"/>
            </w14:solidFill>
          </w14:textFill>
        </w:rPr>
        <w:t>4.4、付款方式：</w:t>
      </w:r>
      <w:r>
        <w:rPr>
          <w:rFonts w:hint="eastAsia" w:ascii="宋体" w:hAnsi="宋体" w:cs="宋体"/>
          <w:color w:val="FF0000"/>
          <w:kern w:val="0"/>
        </w:rPr>
        <w:t>半年期商业汇票（商业承兑汇票或银行承兑汇票）</w:t>
      </w:r>
    </w:p>
    <w:p>
      <w:pPr>
        <w:pStyle w:val="41"/>
        <w:widowControl/>
        <w:numPr>
          <w:ilvl w:val="0"/>
          <w:numId w:val="0"/>
        </w:numPr>
        <w:ind w:firstLine="480" w:firstLineChars="200"/>
        <w:rPr>
          <w:rFonts w:ascii="宋体" w:hAnsi="宋体"/>
          <w:color w:val="FF0000"/>
        </w:rPr>
      </w:pPr>
      <w:r>
        <w:rPr>
          <w:rFonts w:ascii="宋体" w:hAnsi="宋体"/>
          <w:color w:val="FF0000"/>
        </w:rPr>
        <w:t xml:space="preserve"> </w:t>
      </w:r>
      <w:r>
        <w:rPr>
          <w:rFonts w:hint="eastAsia" w:ascii="宋体" w:hAnsi="宋体"/>
          <w:color w:val="FF0000"/>
        </w:rPr>
        <w:t>（1）合同签订后，应标方提交金额为合同价款30%的增值税专用发票，并根据招标方需求，提供相关单据，经招标方依照财务制度审核无误后20个工作日内支付。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（2）项目整体验收完毕后，应标方提交金额为合同价款60%的增值税专用发票，经招标方依照财务制度审核无误后20个工作日内支付。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（3）合同总价款的10%作为本项目约定的保证金，保证金在一年内不计利息。待项目整体验收满1年后，应标方向招标方方提出书面付款账单，经买方审核无误后20个工作日内支付。</w:t>
      </w:r>
    </w:p>
    <w:p>
      <w:pPr>
        <w:pStyle w:val="32"/>
        <w:keepNext w:val="0"/>
        <w:widowControl/>
        <w:rPr>
          <w:rFonts w:ascii="宋体" w:hAnsi="宋体"/>
          <w:color w:val="000000" w:themeColor="text1"/>
          <w14:textFill>
            <w14:solidFill>
              <w14:schemeClr w14:val="tx1"/>
            </w14:solidFill>
          </w14:textFill>
        </w:rPr>
      </w:pPr>
      <w:bookmarkStart w:id="25" w:name="_Toc15144"/>
      <w:r>
        <w:rPr>
          <w:rFonts w:hint="eastAsia" w:ascii="宋体" w:hAnsi="宋体" w:cs="宋体"/>
          <w:color w:val="000000" w:themeColor="text1"/>
          <w14:textFill>
            <w14:solidFill>
              <w14:schemeClr w14:val="tx1"/>
            </w14:solidFill>
          </w14:textFill>
        </w:rPr>
        <w:t>投标说明</w:t>
      </w:r>
      <w:bookmarkEnd w:id="25"/>
    </w:p>
    <w:p>
      <w:pPr>
        <w:pStyle w:val="64"/>
        <w:keepNext w:val="0"/>
        <w:widowControl/>
        <w:rPr>
          <w:rFonts w:ascii="宋体" w:hAnsi="宋体"/>
          <w:color w:val="000000" w:themeColor="text1"/>
          <w14:textFill>
            <w14:solidFill>
              <w14:schemeClr w14:val="tx1"/>
            </w14:solidFill>
          </w14:textFill>
        </w:rPr>
      </w:pPr>
      <w:bookmarkStart w:id="26" w:name="_Toc32664"/>
      <w:r>
        <w:rPr>
          <w:rFonts w:hint="eastAsia" w:ascii="宋体" w:hAnsi="宋体" w:cs="宋体"/>
          <w:color w:val="000000" w:themeColor="text1"/>
          <w14:textFill>
            <w14:solidFill>
              <w14:schemeClr w14:val="tx1"/>
            </w14:solidFill>
          </w14:textFill>
        </w:rPr>
        <w:t>招标要求</w:t>
      </w:r>
      <w:bookmarkEnd w:id="26"/>
    </w:p>
    <w:tbl>
      <w:tblPr>
        <w:tblStyle w:val="2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tabs>
                <w:tab w:val="left" w:pos="420"/>
              </w:tabs>
              <w:spacing w:before="0" w:after="0"/>
              <w:ind w:left="0" w:leftChars="0" w:firstLine="205" w:firstLineChars="98"/>
              <w:jc w:val="both"/>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邀标人名称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spacing w:before="0" w:after="0" w:line="240" w:lineRule="auto"/>
              <w:ind w:left="820" w:hanging="400"/>
              <w:jc w:val="center"/>
              <w:rPr>
                <w:rFonts w:ascii="宋体" w:hAnsi="宋体" w:eastAsia="宋体"/>
                <w:color w:val="000000" w:themeColor="text1"/>
                <w:szCs w:val="21"/>
                <w14:textFill>
                  <w14:solidFill>
                    <w14:schemeClr w14:val="tx1"/>
                  </w14:solidFill>
                </w14:textFill>
              </w:rPr>
            </w:pPr>
            <w:bookmarkStart w:id="27" w:name="_Toc27634"/>
            <w:r>
              <w:rPr>
                <w:rFonts w:hint="eastAsia" w:ascii="宋体" w:hAnsi="宋体" w:eastAsia="宋体" w:cs="黑体"/>
                <w:color w:val="000000" w:themeColor="text1"/>
                <w:szCs w:val="21"/>
                <w14:textFill>
                  <w14:solidFill>
                    <w14:schemeClr w14:val="tx1"/>
                  </w14:solidFill>
                </w14:textFill>
              </w:rPr>
              <w:t>中国重型汽车集团济南</w:t>
            </w:r>
            <w:bookmarkEnd w:id="27"/>
            <w:r>
              <w:rPr>
                <w:rFonts w:hint="eastAsia" w:ascii="宋体" w:hAnsi="宋体" w:eastAsia="宋体" w:cs="黑体"/>
                <w:color w:val="000000" w:themeColor="text1"/>
                <w:szCs w:val="21"/>
                <w14:textFill>
                  <w14:solidFill>
                    <w14:schemeClr w14:val="tx1"/>
                  </w14:solidFill>
                </w14:textFill>
              </w:rPr>
              <w:t>商用车制造公司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（1）拟投标人注册资金不低于1000万元人民币，按营业执照公司成立时间截止招标当天满三年，具有独立法人资格，并具有良好信誉和业绩；缴纳社保人员50人以上。</w:t>
            </w:r>
          </w:p>
          <w:p>
            <w:r>
              <w:rPr>
                <w:rFonts w:hint="eastAsia"/>
              </w:rPr>
              <w:t>（2）拟投标人应具有相关招标项目的实施及服务能力。</w:t>
            </w:r>
          </w:p>
          <w:p>
            <w:r>
              <w:rPr>
                <w:rFonts w:hint="eastAsia"/>
              </w:rPr>
              <w:t>（3）拟投标人遵守执业准则和执业规范，近三年（以营业执照为准，公司成立满三年）内没有与本项目有关的违法、违规或行业自律惩戒记录，需提供信用中国网站出具的信用报告。</w:t>
            </w:r>
          </w:p>
          <w:p>
            <w:pPr>
              <w:tabs>
                <w:tab w:val="left" w:pos="2532"/>
              </w:tabs>
              <w:jc w:val="left"/>
            </w:pPr>
            <w:r>
              <w:rPr>
                <w:rFonts w:hint="eastAsia"/>
              </w:rPr>
              <w:t>（4）拟投标人提供的经会计师事务所审计的近三年的公司财务报表（资产负债表、损益表、现金流量表）未显示异常。。</w:t>
            </w:r>
          </w:p>
          <w:p>
            <w:pPr>
              <w:tabs>
                <w:tab w:val="left" w:pos="2532"/>
              </w:tabs>
              <w:jc w:val="left"/>
            </w:pPr>
            <w:r>
              <w:rPr>
                <w:rFonts w:hint="eastAsia"/>
              </w:rPr>
              <w:t>（5）拟投标人应提供董事会、监事会人员信息。</w:t>
            </w:r>
          </w:p>
          <w:p>
            <w:r>
              <w:rPr>
                <w:rFonts w:hint="eastAsia"/>
              </w:rPr>
              <w:t>（</w:t>
            </w:r>
            <w:r>
              <w:t>6</w:t>
            </w:r>
            <w:r>
              <w:rPr>
                <w:rFonts w:hint="eastAsia"/>
              </w:rPr>
              <w:t>）拟投标人须认可招标人的工作指令，包括节、假日能正常开展工作的要求。</w:t>
            </w:r>
          </w:p>
          <w:p>
            <w:pPr>
              <w:pStyle w:val="2"/>
              <w:spacing w:before="0" w:after="0"/>
              <w:ind w:left="0"/>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（7）没有被公司列入黑名单。</w:t>
            </w:r>
          </w:p>
          <w:p>
            <w:pPr>
              <w:rPr>
                <w:rFonts w:ascii="宋体" w:hAnsi="宋体" w:eastAsia="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（8）拟投标人的直接或间接股东、法定代表人、董事监事、高管非重汽员工及其亲属。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color w:val="FF0000"/>
                <w:sz w:val="24"/>
                <w:szCs w:val="22"/>
              </w:rPr>
            </w:pPr>
            <w:r>
              <w:rPr>
                <w:rFonts w:hint="eastAsia" w:ascii="宋体" w:hAnsi="宋体" w:eastAsia="宋体" w:cs="Times New Roman"/>
                <w:color w:val="FF0000"/>
                <w:sz w:val="24"/>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（1）法定代表人授权委托书；</w:t>
            </w:r>
          </w:p>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（2）营业执照（投标人应提交有效的企业法人营业执照副本复印件，并加盖投标人公章，按规定需要年检的，年检章要清楚）；提供认证机构的营业执照副本复印件加盖认证机构公章</w:t>
            </w:r>
          </w:p>
          <w:p>
            <w:pPr>
              <w:tabs>
                <w:tab w:val="left" w:pos="55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w:t>
            </w:r>
            <w:r>
              <w:rPr>
                <w:rFonts w:hint="eastAsia" w:ascii="宋体" w:hAnsi="宋体" w:eastAsia="宋体" w:cs="宋体"/>
                <w:color w:val="FF0000"/>
                <w:szCs w:val="21"/>
                <w:lang w:bidi="ar"/>
              </w:rPr>
              <w:t>6.2</w:t>
            </w:r>
            <w:r>
              <w:rPr>
                <w:rFonts w:hint="eastAsia" w:ascii="宋体" w:hAnsi="宋体" w:eastAsia="宋体" w:cs="宋体"/>
                <w:color w:val="000000" w:themeColor="text1"/>
                <w:szCs w:val="21"/>
                <w:lang w:bidi="ar"/>
                <w14:textFill>
                  <w14:solidFill>
                    <w14:schemeClr w14:val="tx1"/>
                  </w14:solidFill>
                </w14:textFill>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szCs w:val="21"/>
              </w:rPr>
            </w:pPr>
            <w:r>
              <w:rPr>
                <w:rFonts w:hint="eastAsia" w:ascii="宋体" w:hAnsi="宋体" w:eastAsia="宋体"/>
                <w:szCs w:val="21"/>
              </w:rPr>
              <w:t>投标人有完善售后服务组织体系，在济南设有常驻服务和技术支持机构，并配有专业的技术队伍，能提供快捷的售后服务响应。</w:t>
            </w:r>
          </w:p>
          <w:p>
            <w:pPr>
              <w:tabs>
                <w:tab w:val="left" w:pos="2532"/>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szCs w:val="21"/>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（1）投标人自行编写的服务及技术文件；</w:t>
            </w:r>
          </w:p>
          <w:p>
            <w:pPr>
              <w:rPr>
                <w:rFonts w:ascii="宋体" w:hAnsi="宋体" w:eastAsia="宋体" w:cs="宋体"/>
                <w:color w:val="000000" w:themeColor="text1"/>
                <w:szCs w:val="21"/>
                <w14:textFill>
                  <w14:solidFill>
                    <w14:schemeClr w14:val="tx1"/>
                  </w14:solidFill>
                </w14:textFill>
              </w:rPr>
            </w:pPr>
            <w:r>
              <w:rPr>
                <w:rFonts w:hint="eastAsia"/>
                <w:color w:val="000000"/>
                <w:szCs w:val="21"/>
                <w:shd w:val="clear" w:color="auto" w:fill="FFFFFF"/>
              </w:rPr>
              <w:t>（2）投标人提供设备生产厂商针对本项目授权书原件和售后服务承诺函（书）原件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3</w:t>
            </w:r>
            <w:r>
              <w:rPr>
                <w:rFonts w:hint="eastAsia" w:ascii="宋体" w:hAnsi="宋体" w:eastAsia="宋体" w:cs="宋体"/>
                <w:color w:val="000000" w:themeColor="text1"/>
                <w:szCs w:val="21"/>
                <w:lang w:bidi="ar"/>
                <w14:textFill>
                  <w14:solidFill>
                    <w14:schemeClr w14:val="tx1"/>
                  </w14:solidFill>
                </w14:textFill>
              </w:rPr>
              <w:t>）技术偏离表及优惠条件；</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4</w:t>
            </w:r>
            <w:r>
              <w:rPr>
                <w:rFonts w:hint="eastAsia" w:ascii="宋体" w:hAnsi="宋体" w:eastAsia="宋体" w:cs="宋体"/>
                <w:color w:val="000000" w:themeColor="text1"/>
                <w:szCs w:val="21"/>
                <w:lang w:bidi="ar"/>
                <w14:textFill>
                  <w14:solidFill>
                    <w14:schemeClr w14:val="tx1"/>
                  </w14:solidFill>
                </w14:textFill>
              </w:rPr>
              <w:t>）投标人认为需要提供的其它说明和资料。详见6.2节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投标人自行编写的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服务及技术文件应包含内容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项目实施方案</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投标人所提供的评估服务，应符合本文件提出的要求，如果投标人对技术规格提出合理建议或更改，应在报价服务规格性能偏离表中注明；</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FF000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详见6</w:t>
            </w:r>
            <w:r>
              <w:rPr>
                <w:rFonts w:ascii="宋体" w:hAnsi="宋体" w:eastAsia="宋体" w:cs="宋体"/>
                <w:color w:val="000000" w:themeColor="text1"/>
                <w:szCs w:val="21"/>
                <w:lang w:bidi="ar"/>
                <w14:textFill>
                  <w14:solidFill>
                    <w14:schemeClr w14:val="tx1"/>
                  </w14:solidFill>
                </w14:textFill>
              </w:rPr>
              <w:t>.2</w:t>
            </w:r>
            <w:r>
              <w:rPr>
                <w:rFonts w:hint="eastAsia" w:ascii="宋体" w:hAnsi="宋体" w:eastAsia="宋体" w:cs="宋体"/>
                <w:color w:val="000000" w:themeColor="text1"/>
                <w:szCs w:val="21"/>
                <w:lang w:bidi="ar"/>
                <w14:textFill>
                  <w14:solidFill>
                    <w14:schemeClr w14:val="tx1"/>
                  </w14:solidFill>
                </w14:textFill>
              </w:rPr>
              <w:t>节</w:t>
            </w:r>
          </w:p>
        </w:tc>
      </w:tr>
    </w:tbl>
    <w:p>
      <w:pPr>
        <w:pStyle w:val="64"/>
        <w:keepNext w:val="0"/>
        <w:widowControl/>
        <w:rPr>
          <w:rFonts w:ascii="宋体" w:hAnsi="宋体" w:cs="宋体"/>
          <w:color w:val="000000" w:themeColor="text1"/>
          <w14:textFill>
            <w14:solidFill>
              <w14:schemeClr w14:val="tx1"/>
            </w14:solidFill>
          </w14:textFill>
        </w:rPr>
      </w:pPr>
      <w:bookmarkStart w:id="28" w:name="_Toc26769"/>
      <w:r>
        <w:rPr>
          <w:rFonts w:hint="eastAsia" w:ascii="宋体" w:hAnsi="宋体" w:cs="宋体"/>
          <w:color w:val="000000" w:themeColor="text1"/>
          <w14:textFill>
            <w14:solidFill>
              <w14:schemeClr w14:val="tx1"/>
            </w14:solidFill>
          </w14:textFill>
        </w:rPr>
        <w:t>投标报价</w:t>
      </w:r>
      <w:bookmarkEnd w:id="28"/>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本次招投标为</w:t>
      </w:r>
      <w:r>
        <w:rPr>
          <w:rFonts w:hint="eastAsia" w:ascii="宋体" w:hAnsi="宋体" w:cs="宋体"/>
          <w:b/>
          <w:bCs/>
          <w:color w:val="FF0000"/>
        </w:rPr>
        <w:t>公开</w:t>
      </w:r>
      <w:r>
        <w:rPr>
          <w:rFonts w:hint="eastAsia" w:ascii="宋体" w:hAnsi="宋体" w:cs="宋体"/>
          <w:b/>
          <w:bCs/>
          <w:color w:val="000000" w:themeColor="text1"/>
          <w14:textFill>
            <w14:solidFill>
              <w14:schemeClr w14:val="tx1"/>
            </w14:solidFill>
          </w14:textFill>
        </w:rPr>
        <w:t>招标</w:t>
      </w:r>
      <w:r>
        <w:rPr>
          <w:rFonts w:hint="eastAsia" w:ascii="宋体" w:hAnsi="宋体" w:cs="宋体"/>
          <w:color w:val="000000" w:themeColor="text1"/>
          <w14:textFill>
            <w14:solidFill>
              <w14:schemeClr w14:val="tx1"/>
            </w14:solidFill>
          </w14:textFill>
        </w:rPr>
        <w:t>，投标总报价应包括项目设备、实施服务、及相关资料、保险、税费、运杂、差旅等全部费用，并对各主要报价构成项列报价清单。</w:t>
      </w:r>
    </w:p>
    <w:p>
      <w:pPr>
        <w:pStyle w:val="41"/>
        <w:widowControl/>
        <w:numPr>
          <w:ilvl w:val="0"/>
          <w:numId w:val="9"/>
        </w:numPr>
        <w:rPr>
          <w:rFonts w:ascii="宋体" w:hAnsi="宋体" w:cs="宋体"/>
          <w:b/>
        </w:rPr>
      </w:pPr>
      <w:r>
        <w:rPr>
          <w:rFonts w:hint="eastAsia" w:ascii="宋体" w:hAnsi="宋体" w:cs="宋体"/>
          <w:color w:val="000000" w:themeColor="text1"/>
          <w14:textFill>
            <w14:solidFill>
              <w14:schemeClr w14:val="tx1"/>
            </w14:solidFill>
          </w14:textFill>
        </w:rPr>
        <w:t>所有参加投标的单位必须结合自身的实际情况，对此次招标项目建设周期与实施难度的估量以及所制定的实施组织计划，以实际产生的费用，据实报价。</w:t>
      </w:r>
      <w:r>
        <w:rPr>
          <w:rFonts w:hint="eastAsia" w:ascii="宋体" w:hAnsi="宋体" w:cs="宋体"/>
          <w:b/>
        </w:rPr>
        <w:t>报价包含不含税金额、税率及价税合计金额。</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供应商免费提供的项目，应先填写该项目的实际价格，并注明免费。此项不计入总报价。</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项目的报价货币单位为：人民币-元。</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最后磋商报价在合同执行过程中是固定不变的，不得以任何理由予以变更。</w:t>
      </w:r>
    </w:p>
    <w:p>
      <w:pPr>
        <w:pStyle w:val="64"/>
        <w:keepNext w:val="0"/>
        <w:widowControl/>
        <w:rPr>
          <w:rFonts w:ascii="宋体" w:hAnsi="宋体"/>
          <w:color w:val="000000" w:themeColor="text1"/>
          <w14:textFill>
            <w14:solidFill>
              <w14:schemeClr w14:val="tx1"/>
            </w14:solidFill>
          </w14:textFill>
        </w:rPr>
      </w:pPr>
      <w:bookmarkStart w:id="29" w:name="_Toc8607"/>
      <w:r>
        <w:rPr>
          <w:rFonts w:hint="eastAsia" w:ascii="宋体" w:hAnsi="宋体" w:cs="宋体"/>
          <w:color w:val="000000" w:themeColor="text1"/>
          <w14:textFill>
            <w14:solidFill>
              <w14:schemeClr w14:val="tx1"/>
            </w14:solidFill>
          </w14:textFill>
        </w:rPr>
        <w:t>招标文件的组成</w:t>
      </w:r>
      <w:bookmarkEnd w:id="29"/>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招标文件由招标文件总目录所列内容组成。</w:t>
      </w:r>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投标人详细阅读招标文件的全部内容。不按招标文件的要求提供的投标文件和资料，可能导致投标被拒绝，投标文件以投标人现场递交的为准，不接受后补材料。</w:t>
      </w:r>
    </w:p>
    <w:p>
      <w:pPr>
        <w:pStyle w:val="64"/>
        <w:keepNext w:val="0"/>
        <w:widowControl/>
        <w:rPr>
          <w:rFonts w:ascii="宋体" w:hAnsi="宋体"/>
          <w:color w:val="000000" w:themeColor="text1"/>
          <w14:textFill>
            <w14:solidFill>
              <w14:schemeClr w14:val="tx1"/>
            </w14:solidFill>
          </w14:textFill>
        </w:rPr>
      </w:pPr>
      <w:bookmarkStart w:id="30" w:name="_Toc533998779"/>
      <w:bookmarkStart w:id="31" w:name="_Toc533413548"/>
      <w:bookmarkStart w:id="32" w:name="_Toc19940"/>
      <w:bookmarkStart w:id="33" w:name="_Toc533413149"/>
      <w:bookmarkStart w:id="34" w:name="_Toc534087348"/>
      <w:bookmarkStart w:id="35" w:name="_Toc536867084"/>
      <w:r>
        <w:rPr>
          <w:rFonts w:hint="eastAsia" w:ascii="宋体" w:hAnsi="宋体" w:cs="宋体"/>
          <w:color w:val="000000" w:themeColor="text1"/>
          <w14:textFill>
            <w14:solidFill>
              <w14:schemeClr w14:val="tx1"/>
            </w14:solidFill>
          </w14:textFill>
        </w:rPr>
        <w:t>招标文件的澄清</w:t>
      </w:r>
      <w:bookmarkEnd w:id="30"/>
      <w:bookmarkEnd w:id="31"/>
      <w:bookmarkEnd w:id="32"/>
      <w:bookmarkEnd w:id="33"/>
      <w:bookmarkEnd w:id="34"/>
      <w:bookmarkEnd w:id="3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pPr>
        <w:pStyle w:val="64"/>
        <w:keepNext w:val="0"/>
        <w:widowControl/>
        <w:rPr>
          <w:rFonts w:ascii="宋体" w:hAnsi="宋体"/>
          <w:color w:val="000000" w:themeColor="text1"/>
          <w14:textFill>
            <w14:solidFill>
              <w14:schemeClr w14:val="tx1"/>
            </w14:solidFill>
          </w14:textFill>
        </w:rPr>
      </w:pPr>
      <w:bookmarkStart w:id="36" w:name="_Toc533413150"/>
      <w:bookmarkStart w:id="37" w:name="_Toc22073"/>
      <w:bookmarkStart w:id="38" w:name="_Toc533413549"/>
      <w:bookmarkStart w:id="39" w:name="_Toc533998780"/>
      <w:bookmarkStart w:id="40" w:name="_Toc534087349"/>
      <w:bookmarkStart w:id="41" w:name="_Toc536867085"/>
      <w:r>
        <w:rPr>
          <w:rFonts w:hint="eastAsia" w:ascii="宋体" w:hAnsi="宋体" w:cs="宋体"/>
          <w:color w:val="000000" w:themeColor="text1"/>
          <w14:textFill>
            <w14:solidFill>
              <w14:schemeClr w14:val="tx1"/>
            </w14:solidFill>
          </w14:textFill>
        </w:rPr>
        <w:t>招标文件的修改</w:t>
      </w:r>
      <w:bookmarkEnd w:id="36"/>
      <w:bookmarkEnd w:id="37"/>
      <w:bookmarkEnd w:id="38"/>
      <w:bookmarkEnd w:id="39"/>
      <w:bookmarkEnd w:id="40"/>
      <w:bookmarkEnd w:id="41"/>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在投标截止时间前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天，招标人无论出于自己的考虑，还是出于对投标人提问的澄清，均可对招标文件用补充文件的方式进行修改。</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对招标文件的修改，将以书面或传真的形式通知已收到招标文件的每一投标人。补充文件将作为招标文件的组成部分，对所有投标人有约束力。</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为使投标人有足够的时间按招标文件的修改要求考虑修正投标文件，招标人可酌情推迟投标和开标日期，并将这些变更通知上述每一投标人。</w:t>
      </w:r>
    </w:p>
    <w:p>
      <w:pPr>
        <w:pStyle w:val="32"/>
        <w:keepNext w:val="0"/>
        <w:widowControl/>
        <w:rPr>
          <w:rFonts w:ascii="宋体" w:hAnsi="宋体"/>
          <w:color w:val="FF0000"/>
        </w:rPr>
      </w:pPr>
      <w:bookmarkStart w:id="42" w:name="_Toc265850578"/>
      <w:bookmarkStart w:id="43" w:name="_Toc7035"/>
      <w:bookmarkStart w:id="44" w:name="_Toc234922353"/>
      <w:bookmarkStart w:id="45" w:name="_Toc264881858"/>
      <w:r>
        <w:rPr>
          <w:rFonts w:hint="eastAsia" w:ascii="宋体" w:hAnsi="宋体" w:cs="宋体"/>
          <w:color w:val="FF0000"/>
        </w:rPr>
        <w:t>投标文件的内容和要求</w:t>
      </w:r>
      <w:bookmarkEnd w:id="42"/>
      <w:bookmarkEnd w:id="43"/>
      <w:bookmarkEnd w:id="44"/>
      <w:bookmarkEnd w:id="45"/>
    </w:p>
    <w:p>
      <w:pPr>
        <w:pStyle w:val="64"/>
        <w:keepNext w:val="0"/>
        <w:widowControl/>
        <w:rPr>
          <w:rFonts w:ascii="宋体" w:hAnsi="宋体"/>
          <w:color w:val="FF0000"/>
        </w:rPr>
      </w:pPr>
      <w:bookmarkStart w:id="46" w:name="_Toc24551"/>
      <w:r>
        <w:rPr>
          <w:rFonts w:hint="eastAsia" w:ascii="宋体" w:hAnsi="宋体" w:cs="宋体"/>
          <w:color w:val="FF0000"/>
        </w:rPr>
        <w:t>投标文件计量单位</w:t>
      </w:r>
      <w:bookmarkEnd w:id="46"/>
    </w:p>
    <w:p>
      <w:pPr>
        <w:pStyle w:val="33"/>
        <w:widowControl/>
        <w:ind w:firstLine="480"/>
        <w:rPr>
          <w:rFonts w:ascii="宋体" w:hAnsi="宋体"/>
          <w:color w:val="FF0000"/>
        </w:rPr>
      </w:pPr>
      <w:r>
        <w:rPr>
          <w:rFonts w:hint="eastAsia" w:ascii="宋体" w:hAnsi="宋体" w:cs="宋体"/>
          <w:color w:val="FF0000"/>
        </w:rPr>
        <w:t>投标文件中所使用的计量单位，除招标文件中有特殊要求外，应采用国家法定计量单位。</w:t>
      </w:r>
    </w:p>
    <w:p>
      <w:pPr>
        <w:pStyle w:val="64"/>
        <w:keepNext w:val="0"/>
        <w:widowControl/>
        <w:rPr>
          <w:rFonts w:ascii="宋体" w:hAnsi="宋体"/>
          <w:color w:val="FF0000"/>
        </w:rPr>
      </w:pPr>
      <w:bookmarkStart w:id="47" w:name="_Toc2363"/>
      <w:r>
        <w:rPr>
          <w:rFonts w:hint="eastAsia" w:ascii="宋体" w:hAnsi="宋体" w:cs="宋体"/>
          <w:color w:val="FF0000"/>
        </w:rPr>
        <w:t>投标文件组成</w:t>
      </w:r>
      <w:bookmarkEnd w:id="47"/>
    </w:p>
    <w:p>
      <w:pPr>
        <w:pStyle w:val="33"/>
        <w:widowControl/>
        <w:ind w:firstLine="480"/>
        <w:rPr>
          <w:rFonts w:ascii="宋体" w:hAnsi="宋体" w:cs="宋体"/>
          <w:color w:val="FF0000"/>
        </w:rPr>
      </w:pPr>
      <w:r>
        <w:rPr>
          <w:rFonts w:hint="eastAsia" w:ascii="宋体" w:hAnsi="宋体" w:cs="宋体"/>
          <w:color w:val="FF0000"/>
        </w:rPr>
        <w:t>投标文件由以下部分组成（请按照下述组织投标书各章节内容）：</w:t>
      </w:r>
    </w:p>
    <w:p>
      <w:pPr>
        <w:pStyle w:val="33"/>
        <w:widowControl/>
        <w:numPr>
          <w:ilvl w:val="0"/>
          <w:numId w:val="11"/>
        </w:numPr>
        <w:ind w:firstLineChars="0"/>
        <w:rPr>
          <w:rFonts w:ascii="宋体" w:hAnsi="宋体" w:cs="宋体"/>
          <w:color w:val="FF0000"/>
        </w:rPr>
      </w:pPr>
      <w:r>
        <w:rPr>
          <w:rFonts w:hint="eastAsia" w:ascii="宋体" w:hAnsi="宋体"/>
          <w:color w:val="FF0000"/>
        </w:rPr>
        <w:t>资质文件（独立封装在一个档案袋，一式两份）：</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法定代表人授权委托书（见附件</w:t>
      </w:r>
      <w:r>
        <w:rPr>
          <w:rFonts w:ascii="宋体" w:hAnsi="宋体" w:cs="宋体"/>
          <w:color w:val="FF0000"/>
        </w:rPr>
        <w:t>2</w:t>
      </w:r>
      <w:r>
        <w:rPr>
          <w:rFonts w:hint="eastAsia" w:ascii="宋体" w:hAnsi="宋体" w:cs="宋体"/>
          <w:color w:val="FF0000"/>
        </w:rPr>
        <w:t>）（见附录）；</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企业营业执照副本复印件（加盖法人单位公章）；</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法人代表或授权代表有效身份证（盖有法人单位公章的复印件，包括正反两面）；</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szCs w:val="21"/>
          <w:lang w:bidi="ar"/>
        </w:rPr>
        <w:t>企业董事会、监事会人员信息</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投标方经营业绩情况，至少应包括近三年的年度财务报表审计报告、近三年的财务报表，（如投标单位公司规模较小，未有审计报告，可提供近三年财务报表）。</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成功案例。列举与此招标项目类似的成功案例，包括项目实施时间、单位、应用范围、投标人参与的核心成员等；</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评分规则中加分项的证书证明彩色复印件。</w:t>
      </w:r>
    </w:p>
    <w:p>
      <w:pPr>
        <w:pStyle w:val="33"/>
        <w:widowControl/>
        <w:ind w:firstLine="480"/>
        <w:rPr>
          <w:rFonts w:ascii="宋体" w:hAnsi="宋体"/>
          <w:color w:val="FF0000"/>
        </w:rPr>
      </w:pPr>
      <w:r>
        <w:rPr>
          <w:rFonts w:ascii="宋体" w:hAnsi="宋体"/>
          <w:color w:val="FF0000"/>
        </w:rPr>
        <w:t>2.</w:t>
      </w:r>
      <w:r>
        <w:rPr>
          <w:rFonts w:hint="eastAsia" w:ascii="宋体" w:hAnsi="宋体"/>
          <w:color w:val="FF0000"/>
        </w:rPr>
        <w:t>技术标（独立封装在一个档案袋，一式六份，其中正本一份，副本五份）：</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项目实施方案（见附件</w:t>
      </w:r>
      <w:r>
        <w:rPr>
          <w:rFonts w:ascii="宋体" w:hAnsi="宋体" w:cs="宋体"/>
          <w:color w:val="FF0000"/>
        </w:rPr>
        <w:t>8</w:t>
      </w:r>
      <w:r>
        <w:rPr>
          <w:rFonts w:hint="eastAsia" w:ascii="宋体" w:hAnsi="宋体" w:cs="宋体"/>
          <w:color w:val="FF0000"/>
        </w:rPr>
        <w:t>）。针对招标文件项目技术要求，提出相应的解决方案。</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项目团队。列示拟参与项目的团队成员及工作简历。</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项目报名表（见附件</w:t>
      </w:r>
      <w:r>
        <w:rPr>
          <w:rFonts w:ascii="宋体" w:hAnsi="宋体" w:cs="宋体"/>
          <w:color w:val="FF0000"/>
        </w:rPr>
        <w:t>9</w:t>
      </w:r>
      <w:r>
        <w:rPr>
          <w:rFonts w:hint="eastAsia" w:ascii="宋体" w:hAnsi="宋体" w:cs="宋体"/>
          <w:color w:val="FF0000"/>
        </w:rPr>
        <w:t>）。</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olor w:val="FF0000"/>
        </w:rPr>
        <w:t>综合说明</w:t>
      </w:r>
    </w:p>
    <w:p>
      <w:pPr>
        <w:pStyle w:val="33"/>
        <w:widowControl/>
        <w:ind w:firstLine="480"/>
        <w:rPr>
          <w:rFonts w:ascii="宋体" w:hAnsi="宋体"/>
          <w:color w:val="FF0000"/>
        </w:rPr>
      </w:pPr>
      <w:r>
        <w:rPr>
          <w:rFonts w:ascii="宋体" w:hAnsi="宋体"/>
          <w:color w:val="FF0000"/>
        </w:rPr>
        <w:t>3</w:t>
      </w:r>
      <w:r>
        <w:rPr>
          <w:rFonts w:hint="eastAsia" w:ascii="宋体" w:hAnsi="宋体"/>
          <w:color w:val="FF0000"/>
        </w:rPr>
        <w:t>．商务标（独立封装在一个档案袋，一式六份，其中正本一份，副本五份，并附存有电子版招标文件的</w:t>
      </w:r>
      <w:r>
        <w:rPr>
          <w:rFonts w:ascii="宋体" w:hAnsi="宋体"/>
          <w:color w:val="FF0000"/>
        </w:rPr>
        <w:t>U</w:t>
      </w:r>
      <w:r>
        <w:rPr>
          <w:rFonts w:hint="eastAsia" w:ascii="宋体" w:hAnsi="宋体"/>
          <w:color w:val="FF0000"/>
        </w:rPr>
        <w:t>盘（注意：与讲标U盘进行区分），电子版要求详见第二章投标文件格式）：</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投标函（见附件格式</w:t>
      </w:r>
      <w:r>
        <w:rPr>
          <w:rFonts w:ascii="宋体" w:hAnsi="宋体" w:cs="宋体"/>
          <w:color w:val="FF0000"/>
        </w:rPr>
        <w:t>1</w:t>
      </w:r>
      <w:r>
        <w:rPr>
          <w:rFonts w:hint="eastAsia" w:ascii="宋体" w:hAnsi="宋体" w:cs="宋体"/>
          <w:color w:val="FF0000"/>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开标一览表（见附件</w:t>
      </w:r>
      <w:r>
        <w:rPr>
          <w:rFonts w:ascii="宋体" w:hAnsi="宋体" w:cs="宋体"/>
          <w:color w:val="FF0000"/>
        </w:rPr>
        <w:t>4</w:t>
      </w:r>
      <w:r>
        <w:rPr>
          <w:rFonts w:hint="eastAsia" w:ascii="宋体" w:hAnsi="宋体" w:cs="宋体"/>
          <w:color w:val="FF0000"/>
        </w:rPr>
        <w:t>）。</w:t>
      </w:r>
    </w:p>
    <w:p>
      <w:pPr>
        <w:pStyle w:val="41"/>
        <w:widowControl/>
        <w:numPr>
          <w:ilvl w:val="0"/>
          <w:numId w:val="0"/>
        </w:numPr>
        <w:adjustRightInd w:val="0"/>
        <w:snapToGrid w:val="0"/>
        <w:spacing w:line="300" w:lineRule="auto"/>
        <w:ind w:left="-105" w:firstLine="420" w:firstLineChars="175"/>
        <w:rPr>
          <w:rFonts w:ascii="宋体" w:hAnsi="宋体"/>
          <w:color w:val="FF0000"/>
          <w:szCs w:val="24"/>
        </w:rPr>
      </w:pPr>
      <w:r>
        <w:rPr>
          <w:rFonts w:hint="eastAsia" w:ascii="宋体" w:hAnsi="宋体" w:cs="宋体"/>
          <w:color w:val="FF0000"/>
          <w:szCs w:val="24"/>
        </w:rPr>
        <w:t>开标一览表中所有报价均采用人民币报价，其金额应包括：人天单价。</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商务条款偏离表（见附件</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）、技术规则、参数偏离表（见附件</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服务承诺及优惠条件。</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其它需要说明的事项。</w:t>
      </w:r>
    </w:p>
    <w:p>
      <w:pPr>
        <w:pStyle w:val="64"/>
        <w:keepNext w:val="0"/>
        <w:widowControl/>
        <w:rPr>
          <w:rFonts w:ascii="宋体" w:hAnsi="宋体"/>
          <w:color w:val="000000" w:themeColor="text1"/>
          <w14:textFill>
            <w14:solidFill>
              <w14:schemeClr w14:val="tx1"/>
            </w14:solidFill>
          </w14:textFill>
        </w:rPr>
      </w:pPr>
      <w:bookmarkStart w:id="48" w:name="_Toc20458"/>
      <w:r>
        <w:rPr>
          <w:rFonts w:hint="eastAsia" w:ascii="宋体" w:hAnsi="宋体" w:cs="宋体"/>
          <w:color w:val="000000" w:themeColor="text1"/>
          <w14:textFill>
            <w14:solidFill>
              <w14:schemeClr w14:val="tx1"/>
            </w14:solidFill>
          </w14:textFill>
        </w:rPr>
        <w:t>有效期</w:t>
      </w:r>
      <w:bookmarkEnd w:id="48"/>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自开标日起</w:t>
      </w:r>
      <w:r>
        <w:rPr>
          <w:rFonts w:ascii="宋体" w:hAnsi="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天内，投标书应保持有效。有效期短于这个规定期限的投标将被拒绝。</w:t>
      </w:r>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在特殊情况下，招标人可与投标人协商延长投标书的有效期。这种要求和答复都应以书面、传真的形式进行。</w:t>
      </w:r>
    </w:p>
    <w:p>
      <w:pPr>
        <w:pStyle w:val="64"/>
        <w:keepNext w:val="0"/>
        <w:widowControl/>
        <w:rPr>
          <w:rFonts w:ascii="宋体" w:hAnsi="宋体"/>
          <w:color w:val="000000" w:themeColor="text1"/>
          <w14:textFill>
            <w14:solidFill>
              <w14:schemeClr w14:val="tx1"/>
            </w14:solidFill>
          </w14:textFill>
        </w:rPr>
      </w:pPr>
      <w:bookmarkStart w:id="49" w:name="_Toc138"/>
      <w:r>
        <w:rPr>
          <w:rFonts w:hint="eastAsia" w:ascii="宋体" w:hAnsi="宋体" w:cs="宋体"/>
          <w:color w:val="000000" w:themeColor="text1"/>
          <w14:textFill>
            <w14:solidFill>
              <w14:schemeClr w14:val="tx1"/>
            </w14:solidFill>
          </w14:textFill>
        </w:rPr>
        <w:t>投标文件格式</w:t>
      </w:r>
      <w:bookmarkEnd w:id="49"/>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投标文件语言应采用中文。</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投标文件字体书写必须工整清楚，易于辨认，文义明白准确。投标文件不得涂改和增删。如因字迹潦草或表达不清所引起的后果由投标人负责。</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投标文件必须用不褪色的墨水填写或打印。</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投标文件必须由法人代表或授权代表签署，投标人应填写全称，并加盖公章（含骑缝章）。</w:t>
      </w:r>
    </w:p>
    <w:p>
      <w:pPr>
        <w:pStyle w:val="41"/>
        <w:widowControl/>
        <w:numPr>
          <w:ilvl w:val="0"/>
          <w:numId w:val="16"/>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不按上述规定编写的投标文件将视为主动放弃，不予评标。</w:t>
      </w:r>
    </w:p>
    <w:p>
      <w:pPr>
        <w:pStyle w:val="64"/>
        <w:keepNext w:val="0"/>
        <w:widowControl/>
        <w:rPr>
          <w:rFonts w:ascii="宋体" w:hAnsi="宋体"/>
          <w:color w:val="000000" w:themeColor="text1"/>
          <w14:textFill>
            <w14:solidFill>
              <w14:schemeClr w14:val="tx1"/>
            </w14:solidFill>
          </w14:textFill>
        </w:rPr>
      </w:pPr>
      <w:bookmarkStart w:id="50" w:name="_Toc14994"/>
      <w:bookmarkStart w:id="51" w:name="_Toc264881859"/>
      <w:bookmarkStart w:id="52" w:name="_Toc265850579"/>
      <w:bookmarkStart w:id="53" w:name="_Toc234922354"/>
      <w:r>
        <w:rPr>
          <w:rFonts w:hint="eastAsia" w:ascii="宋体" w:hAnsi="宋体" w:cs="宋体"/>
          <w:color w:val="000000" w:themeColor="text1"/>
          <w14:textFill>
            <w14:solidFill>
              <w14:schemeClr w14:val="tx1"/>
            </w14:solidFill>
          </w14:textFill>
        </w:rPr>
        <w:t>投标文件的装袋、密封和递交</w:t>
      </w:r>
      <w:bookmarkEnd w:id="50"/>
      <w:bookmarkEnd w:id="51"/>
      <w:bookmarkEnd w:id="52"/>
      <w:bookmarkEnd w:id="53"/>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投标文件在封页正面右上角标明“正本”、“副本”字样，保证正本与副本的内容一致。如果正本与副本内容不一致以正本为准。提交电子版标书一份。</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正面封皮应标明投标人单位名称、地址，并在单位名称处加盖公章。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投标书正本内封和投标书副本内封封口处应有投标全权代表的签字或投标单位公章，并注明“开标时启封”字样。</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开标一览表内封封口处应加盖投标单位公章。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投标文件由投标人在开标日自行带到开标现场，在开标时当场交与招标负责人。</w:t>
      </w:r>
    </w:p>
    <w:p>
      <w:pPr>
        <w:pStyle w:val="64"/>
        <w:keepNext w:val="0"/>
        <w:widowControl/>
        <w:rPr>
          <w:rFonts w:ascii="宋体" w:hAnsi="宋体"/>
          <w:color w:val="000000" w:themeColor="text1"/>
          <w14:textFill>
            <w14:solidFill>
              <w14:schemeClr w14:val="tx1"/>
            </w14:solidFill>
          </w14:textFill>
        </w:rPr>
      </w:pPr>
      <w:bookmarkStart w:id="54" w:name="_Toc23283"/>
      <w:r>
        <w:rPr>
          <w:rFonts w:hint="eastAsia" w:ascii="宋体" w:hAnsi="宋体" w:cs="宋体"/>
          <w:color w:val="000000" w:themeColor="text1"/>
          <w14:textFill>
            <w14:solidFill>
              <w14:schemeClr w14:val="tx1"/>
            </w14:solidFill>
          </w14:textFill>
        </w:rPr>
        <w:t>投标文件的澄清</w:t>
      </w:r>
      <w:bookmarkEnd w:id="54"/>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为有助于对投标文件进行审查、综合评定，招标人有权向投标人提出质疑，请其澄清投标内容。</w:t>
      </w:r>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重要的澄清答复应是书面的，并作为投标文件的一部分，但不得对投标内容作实质性修改。</w:t>
      </w:r>
    </w:p>
    <w:p>
      <w:pPr>
        <w:pStyle w:val="64"/>
        <w:keepNext w:val="0"/>
        <w:widowControl/>
        <w:rPr>
          <w:rFonts w:ascii="宋体" w:hAnsi="宋体"/>
          <w:color w:val="000000" w:themeColor="text1"/>
          <w14:textFill>
            <w14:solidFill>
              <w14:schemeClr w14:val="tx1"/>
            </w14:solidFill>
          </w14:textFill>
        </w:rPr>
      </w:pPr>
      <w:bookmarkStart w:id="55" w:name="_Toc14285"/>
      <w:r>
        <w:rPr>
          <w:rFonts w:hint="eastAsia" w:ascii="宋体" w:hAnsi="宋体" w:cs="宋体"/>
          <w:color w:val="000000" w:themeColor="text1"/>
          <w14:textFill>
            <w14:solidFill>
              <w14:schemeClr w14:val="tx1"/>
            </w14:solidFill>
          </w14:textFill>
        </w:rPr>
        <w:t>开标</w:t>
      </w:r>
      <w:bookmarkEnd w:id="55"/>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招标人按招标文件规定的时间、地点主持公开开标。开标仪式由招标人主持。</w:t>
      </w:r>
    </w:p>
    <w:p>
      <w:pPr>
        <w:pStyle w:val="41"/>
        <w:widowControl/>
        <w:numPr>
          <w:ilvl w:val="0"/>
          <w:numId w:val="19"/>
        </w:numPr>
        <w:rPr>
          <w:rFonts w:ascii="宋体" w:hAnsi="宋体"/>
        </w:rPr>
      </w:pPr>
      <w:r>
        <w:rPr>
          <w:rFonts w:hint="eastAsia" w:ascii="宋体" w:hAnsi="宋体" w:cs="宋体"/>
          <w:color w:val="000000" w:themeColor="text1"/>
          <w14:textFill>
            <w14:solidFill>
              <w14:schemeClr w14:val="tx1"/>
            </w14:solidFill>
          </w14:textFill>
        </w:rPr>
        <w:t>投标人派代表参加开标仪式。若需讲标，须由拟担任招标项目建设的</w:t>
      </w:r>
      <w:r>
        <w:rPr>
          <w:rFonts w:hint="eastAsia" w:ascii="宋体" w:hAnsi="宋体" w:cs="宋体"/>
        </w:rPr>
        <w:t>项目经理负责讲标。</w:t>
      </w:r>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开标时查验投标文件密封情况，确认无误后拆封唱标。</w:t>
      </w:r>
    </w:p>
    <w:p>
      <w:pPr>
        <w:pStyle w:val="41"/>
        <w:widowControl/>
        <w:numPr>
          <w:ilvl w:val="0"/>
          <w:numId w:val="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招标人在开标仪式上，将公布投标人的名称、投标产品或服务、投标项目、投标价格及其投标的修改、投标的撤回及其有关声明等，招标人将做唱标记录。</w:t>
      </w:r>
    </w:p>
    <w:p>
      <w:pPr>
        <w:pStyle w:val="41"/>
        <w:widowControl/>
        <w:numPr>
          <w:ilvl w:val="0"/>
          <w:numId w:val="0"/>
        </w:numPr>
        <w:rPr>
          <w:rFonts w:ascii="宋体" w:hAnsi="宋体" w:cs="宋体"/>
          <w:color w:val="000000" w:themeColor="text1"/>
          <w:highlight w:val="green"/>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56" w:name="_Toc11001"/>
      <w:bookmarkStart w:id="57" w:name="_Toc533251933"/>
      <w:bookmarkStart w:id="58" w:name="_Toc290401052"/>
      <w:r>
        <w:rPr>
          <w:rFonts w:hint="eastAsia" w:ascii="宋体" w:hAnsi="宋体" w:cs="宋体"/>
          <w:color w:val="000000" w:themeColor="text1"/>
          <w14:textFill>
            <w14:solidFill>
              <w14:schemeClr w14:val="tx1"/>
            </w14:solidFill>
          </w14:textFill>
        </w:rPr>
        <w:t>讲标及评标</w:t>
      </w:r>
      <w:bookmarkEnd w:id="56"/>
    </w:p>
    <w:p>
      <w:pPr>
        <w:tabs>
          <w:tab w:val="left" w:pos="0"/>
        </w:tabs>
        <w:spacing w:line="360" w:lineRule="auto"/>
        <w:ind w:firstLine="480" w:firstLineChars="200"/>
        <w:rPr>
          <w:rFonts w:ascii="宋体" w:hAnsi="宋体" w:eastAsia="宋体" w:cs="宋体"/>
          <w:color w:val="FF0000"/>
          <w:kern w:val="0"/>
          <w:sz w:val="24"/>
          <w:lang w:bidi="ar"/>
        </w:rPr>
      </w:pPr>
      <w:bookmarkStart w:id="59" w:name="OLE_LINK4"/>
      <w:r>
        <w:rPr>
          <w:rFonts w:hint="eastAsia" w:ascii="宋体" w:hAnsi="宋体" w:eastAsia="宋体" w:cs="宋体"/>
          <w:color w:val="000000" w:themeColor="text1"/>
          <w:kern w:val="0"/>
          <w:sz w:val="24"/>
          <w:lang w:bidi="ar"/>
          <w14:textFill>
            <w14:solidFill>
              <w14:schemeClr w14:val="tx1"/>
            </w14:solidFill>
          </w14:textFill>
        </w:rPr>
        <w:t xml:space="preserve"> 为保证项目顺利实施，由招标人组织、按国家法律法规及公司相关规章制度要求，设立评标工作小组，投标人在讲标时，须由拟担任招标项目建设的项目经理讲标，</w:t>
      </w:r>
      <w:r>
        <w:rPr>
          <w:rFonts w:hint="eastAsia" w:ascii="宋体" w:hAnsi="宋体" w:eastAsia="宋体" w:cs="宋体"/>
          <w:b/>
          <w:color w:val="000000" w:themeColor="text1"/>
          <w:kern w:val="0"/>
          <w:sz w:val="24"/>
          <w:lang w:bidi="ar"/>
          <w14:textFill>
            <w14:solidFill>
              <w14:schemeClr w14:val="tx1"/>
            </w14:solidFill>
          </w14:textFill>
        </w:rPr>
        <w:t>其中讲</w:t>
      </w:r>
      <w:r>
        <w:rPr>
          <w:rFonts w:hint="eastAsia" w:ascii="宋体" w:hAnsi="宋体" w:eastAsia="宋体" w:cs="宋体"/>
          <w:b/>
          <w:kern w:val="0"/>
          <w:sz w:val="24"/>
          <w:lang w:bidi="ar"/>
        </w:rPr>
        <w:t>标</w:t>
      </w:r>
      <w:r>
        <w:rPr>
          <w:rFonts w:ascii="宋体" w:hAnsi="宋体" w:eastAsia="宋体" w:cs="宋体"/>
          <w:b/>
          <w:kern w:val="0"/>
          <w:sz w:val="24"/>
          <w:lang w:bidi="ar"/>
        </w:rPr>
        <w:t>3</w:t>
      </w:r>
      <w:r>
        <w:rPr>
          <w:rFonts w:hint="eastAsia" w:ascii="宋体" w:hAnsi="宋体" w:eastAsia="宋体" w:cs="宋体"/>
          <w:b/>
          <w:kern w:val="0"/>
          <w:sz w:val="24"/>
          <w:lang w:bidi="ar"/>
        </w:rPr>
        <w:t>0分钟，答</w:t>
      </w:r>
      <w:r>
        <w:rPr>
          <w:rFonts w:hint="eastAsia" w:ascii="宋体" w:hAnsi="宋体" w:eastAsia="宋体" w:cs="宋体"/>
          <w:b/>
          <w:color w:val="000000" w:themeColor="text1"/>
          <w:kern w:val="0"/>
          <w:sz w:val="24"/>
          <w:lang w:bidi="ar"/>
          <w14:textFill>
            <w14:solidFill>
              <w14:schemeClr w14:val="tx1"/>
            </w14:solidFill>
          </w14:textFill>
        </w:rPr>
        <w:t>疑时间</w:t>
      </w:r>
      <w:r>
        <w:rPr>
          <w:rFonts w:ascii="宋体" w:hAnsi="宋体" w:eastAsia="宋体" w:cs="宋体"/>
          <w:b/>
          <w:color w:val="000000" w:themeColor="text1"/>
          <w:kern w:val="0"/>
          <w:sz w:val="24"/>
          <w:lang w:bidi="ar"/>
          <w14:textFill>
            <w14:solidFill>
              <w14:schemeClr w14:val="tx1"/>
            </w14:solidFill>
          </w14:textFill>
        </w:rPr>
        <w:t>2</w:t>
      </w:r>
      <w:r>
        <w:rPr>
          <w:rFonts w:hint="eastAsia" w:ascii="宋体" w:hAnsi="宋体" w:eastAsia="宋体" w:cs="宋体"/>
          <w:b/>
          <w:color w:val="000000" w:themeColor="text1"/>
          <w:kern w:val="0"/>
          <w:sz w:val="24"/>
          <w:lang w:bidi="ar"/>
          <w14:textFill>
            <w14:solidFill>
              <w14:schemeClr w14:val="tx1"/>
            </w14:solidFill>
          </w14:textFill>
        </w:rPr>
        <w:t>0分钟。</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本次招标的开标、评标由招标人依法组织实施，本次招标采用技术标和商务标分级开标的模式。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本项目开标时间和地点见投标人须知前附表。开标会议由招标人组织并主持。招标人邀请各投标人派员参加开标会议。投标人未参加开标的，视同认可开标结果。</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开标程序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）宣布开标会议开始。</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）介绍与会人员。</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）核验投标人资格证件。</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）投标人或投标人推选的代表对投标文件密封情况进行检查（投标人未参加开标会议的，视同认可投标文件密封完好）。</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）经确认无误后，投标人先递交资质文件和技术标，由工作人员当众拆封，资质文件和技术标书（技术标书不含价格）。开标一览表及商务标，由投标人保管。</w:t>
      </w:r>
      <w:r>
        <w:rPr>
          <w:rFonts w:hint="eastAsia" w:ascii="宋体" w:hAnsi="宋体" w:eastAsia="宋体" w:cs="宋体"/>
          <w:b/>
          <w:color w:val="000000" w:themeColor="text1"/>
          <w:kern w:val="0"/>
          <w:sz w:val="24"/>
          <w14:textFill>
            <w14:solidFill>
              <w14:schemeClr w14:val="tx1"/>
            </w14:solidFill>
          </w14:textFill>
        </w:rPr>
        <w:t>由技术评标专家组对所有投标方的技术方案进行综合评定和打分，确定进入商务标评阶段的投标方。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hint="eastAsia" w:ascii="宋体" w:hAnsi="宋体" w:eastAsia="宋体" w:cs="宋体"/>
          <w:b/>
          <w:bCs/>
          <w:color w:val="000000" w:themeColor="text1"/>
          <w:kern w:val="0"/>
          <w:sz w:val="24"/>
          <w14:textFill>
            <w14:solidFill>
              <w14:schemeClr w14:val="tx1"/>
            </w14:solidFill>
          </w14:textFill>
        </w:rPr>
        <w:t>，</w:t>
      </w:r>
      <w:r>
        <w:rPr>
          <w:rFonts w:hint="eastAsia" w:ascii="宋体" w:hAnsi="宋体" w:eastAsia="宋体" w:cs="宋体"/>
          <w:b/>
          <w:bCs/>
          <w:color w:val="FF0000"/>
          <w:kern w:val="0"/>
          <w:sz w:val="24"/>
        </w:rPr>
        <w:t>由商务评标专家组推荐</w:t>
      </w:r>
      <w:r>
        <w:rPr>
          <w:rFonts w:ascii="宋体" w:hAnsi="宋体" w:eastAsia="宋体" w:cs="宋体"/>
          <w:b/>
          <w:bCs/>
          <w:color w:val="FF0000"/>
          <w:kern w:val="0"/>
          <w:sz w:val="24"/>
        </w:rPr>
        <w:t>合理最低价</w:t>
      </w:r>
      <w:r>
        <w:rPr>
          <w:rFonts w:hint="eastAsia" w:ascii="宋体" w:hAnsi="宋体" w:eastAsia="宋体" w:cs="宋体"/>
          <w:b/>
          <w:bCs/>
          <w:color w:val="FF0000"/>
          <w:kern w:val="0"/>
          <w:sz w:val="24"/>
        </w:rPr>
        <w:t>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（7）投标前请各投标方按照招标文件要求对项目方案进行充分准备，投标单位已默认认可上述开标、评标过程，无异议。招标人无义务对未入围投标方及未中标方做任何解释。</w:t>
      </w: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评分标准如下：</w:t>
      </w:r>
      <w:r>
        <w:rPr>
          <w:rFonts w:ascii="宋体" w:hAnsi="宋体" w:eastAsia="宋体" w:cs="宋体"/>
          <w:color w:val="000000" w:themeColor="text1"/>
          <w:kern w:val="0"/>
          <w:sz w:val="24"/>
          <w:lang w:bidi="ar"/>
          <w14:textFill>
            <w14:solidFill>
              <w14:schemeClr w14:val="tx1"/>
            </w14:solidFill>
          </w14:textFill>
        </w:rPr>
        <w:t xml:space="preserve"> </w:t>
      </w:r>
    </w:p>
    <w:tbl>
      <w:tblPr>
        <w:tblStyle w:val="26"/>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47"/>
        <w:gridCol w:w="568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评分项目</w:t>
            </w:r>
          </w:p>
        </w:tc>
        <w:tc>
          <w:tcPr>
            <w:tcW w:w="1547" w:type="dxa"/>
          </w:tcPr>
          <w:p>
            <w:pPr>
              <w:jc w:val="center"/>
              <w:rPr>
                <w:sz w:val="24"/>
              </w:rPr>
            </w:pPr>
            <w:r>
              <w:rPr>
                <w:rFonts w:hint="eastAsia" w:ascii="宋体" w:hAnsi="宋体" w:eastAsia="宋体" w:cs="宋体"/>
                <w:b/>
                <w:color w:val="000000"/>
                <w:kern w:val="0"/>
                <w:sz w:val="24"/>
                <w:lang w:bidi="ar"/>
              </w:rPr>
              <w:t>评分因素</w:t>
            </w:r>
          </w:p>
        </w:tc>
        <w:tc>
          <w:tcPr>
            <w:tcW w:w="5689" w:type="dxa"/>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说明</w:t>
            </w:r>
          </w:p>
        </w:tc>
        <w:tc>
          <w:tcPr>
            <w:tcW w:w="1305" w:type="dxa"/>
          </w:tcPr>
          <w:p>
            <w:pPr>
              <w:jc w:val="center"/>
              <w:rPr>
                <w:sz w:val="24"/>
              </w:rPr>
            </w:pPr>
            <w:r>
              <w:rPr>
                <w:rFonts w:hint="eastAsia" w:ascii="宋体" w:hAnsi="宋体" w:eastAsia="宋体" w:cs="宋体"/>
                <w:b/>
                <w:color w:val="000000"/>
                <w:kern w:val="0"/>
                <w:sz w:val="24"/>
                <w:lang w:bidi="ar"/>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271" w:type="dxa"/>
            <w:vMerge w:val="restart"/>
            <w:tcBorders>
              <w:left w:val="single" w:color="auto" w:sz="4" w:space="0"/>
              <w:right w:val="single" w:color="auto" w:sz="4" w:space="0"/>
            </w:tcBorders>
            <w:vAlign w:val="center"/>
          </w:tcPr>
          <w:p>
            <w:pPr>
              <w:jc w:val="center"/>
              <w:rPr>
                <w:rFonts w:ascii="宋体" w:hAnsi="宋体" w:eastAsia="宋体" w:cs="宋体"/>
                <w:b/>
                <w:sz w:val="24"/>
              </w:rPr>
            </w:pPr>
            <w:r>
              <w:rPr>
                <w:rFonts w:hint="eastAsia" w:ascii="宋体" w:hAnsi="宋体" w:eastAsia="宋体" w:cs="宋体"/>
                <w:b/>
                <w:sz w:val="24"/>
              </w:rPr>
              <w:t>技术部分</w:t>
            </w:r>
          </w:p>
          <w:p>
            <w:pPr>
              <w:jc w:val="center"/>
              <w:rPr>
                <w:rFonts w:ascii="宋体" w:hAnsi="宋体" w:eastAsia="宋体" w:cs="宋体"/>
                <w:sz w:val="24"/>
              </w:rPr>
            </w:pPr>
            <w:r>
              <w:rPr>
                <w:rFonts w:hint="eastAsia" w:ascii="宋体" w:hAnsi="宋体" w:eastAsia="宋体" w:cs="宋体"/>
                <w:b/>
                <w:sz w:val="24"/>
              </w:rPr>
              <w:t>（100分）</w:t>
            </w:r>
          </w:p>
        </w:tc>
        <w:tc>
          <w:tcPr>
            <w:tcW w:w="1547" w:type="dxa"/>
            <w:vAlign w:val="center"/>
          </w:tcPr>
          <w:p>
            <w:pPr>
              <w:jc w:val="center"/>
              <w:rPr>
                <w:rFonts w:ascii="宋体" w:hAnsi="宋体" w:eastAsia="宋体" w:cs="宋体"/>
                <w:sz w:val="24"/>
              </w:rPr>
            </w:pPr>
            <w:r>
              <w:rPr>
                <w:rFonts w:hint="eastAsia" w:ascii="宋体" w:hAnsi="宋体" w:eastAsia="宋体" w:cs="宋体"/>
                <w:sz w:val="24"/>
              </w:rPr>
              <w:t>实施方案可行性</w:t>
            </w:r>
          </w:p>
        </w:tc>
        <w:tc>
          <w:tcPr>
            <w:tcW w:w="5689" w:type="dxa"/>
          </w:tcPr>
          <w:p>
            <w:pPr>
              <w:spacing w:line="360" w:lineRule="auto"/>
              <w:jc w:val="left"/>
              <w:textAlignment w:val="center"/>
              <w:rPr>
                <w:rFonts w:ascii="宋体" w:hAnsi="宋体" w:eastAsia="宋体" w:cs="宋体"/>
                <w:sz w:val="24"/>
              </w:rPr>
            </w:pPr>
            <w:r>
              <w:rPr>
                <w:rFonts w:hint="eastAsia" w:ascii="宋体" w:hAnsi="宋体" w:eastAsia="宋体" w:cs="宋体"/>
                <w:color w:val="000000" w:themeColor="text1"/>
                <w:kern w:val="0"/>
                <w:sz w:val="24"/>
                <w:lang w:bidi="ar"/>
                <w14:textFill>
                  <w14:solidFill>
                    <w14:schemeClr w14:val="tx1"/>
                  </w14:solidFill>
                </w14:textFill>
              </w:rPr>
              <w:t>考察实施方案的全面性及针对性，从现状调研、现场测试、定位精度、定位延迟、设备管理、技术培训等</w:t>
            </w:r>
            <w:r>
              <w:rPr>
                <w:rFonts w:hint="eastAsia" w:ascii="宋体" w:hAnsi="宋体" w:eastAsia="宋体" w:cs="宋体"/>
                <w:color w:val="000000" w:themeColor="text1"/>
                <w:sz w:val="24"/>
                <w:lang w:eastAsia="zh-Hans"/>
                <w14:textFill>
                  <w14:solidFill>
                    <w14:schemeClr w14:val="tx1"/>
                  </w14:solidFill>
                </w14:textFill>
              </w:rPr>
              <w:t>方面进行评价</w:t>
            </w:r>
            <w:r>
              <w:rPr>
                <w:rFonts w:hint="eastAsia" w:ascii="宋体" w:hAnsi="宋体" w:eastAsia="宋体" w:cs="宋体"/>
                <w:color w:val="000000" w:themeColor="text1"/>
                <w:sz w:val="24"/>
                <w14:textFill>
                  <w14:solidFill>
                    <w14:schemeClr w14:val="tx1"/>
                  </w14:solidFill>
                </w14:textFill>
              </w:rPr>
              <w:t>。根据实施方案中各分项包含的具体实施内容、实施方式方法、使用的工具等方面，</w:t>
            </w:r>
            <w:r>
              <w:rPr>
                <w:rFonts w:hint="eastAsia" w:ascii="宋体" w:hAnsi="宋体" w:eastAsia="宋体" w:cs="宋体"/>
                <w:color w:val="000000" w:themeColor="text1"/>
                <w:sz w:val="24"/>
                <w:lang w:eastAsia="zh-Hans"/>
                <w14:textFill>
                  <w14:solidFill>
                    <w14:schemeClr w14:val="tx1"/>
                  </w14:solidFill>
                </w14:textFill>
              </w:rPr>
              <w:t>由评标专家</w:t>
            </w:r>
            <w:r>
              <w:rPr>
                <w:rFonts w:hint="eastAsia" w:ascii="宋体" w:hAnsi="宋体" w:eastAsia="宋体" w:cs="宋体"/>
                <w:color w:val="000000" w:themeColor="text1"/>
                <w:sz w:val="24"/>
                <w14:textFill>
                  <w14:solidFill>
                    <w14:schemeClr w14:val="tx1"/>
                  </w14:solidFill>
                </w14:textFill>
              </w:rPr>
              <w:t>根据评分标准进行打分</w:t>
            </w:r>
            <w:r>
              <w:rPr>
                <w:rFonts w:hint="eastAsia" w:ascii="宋体" w:hAnsi="宋体" w:eastAsia="宋体" w:cs="宋体"/>
                <w:sz w:val="24"/>
              </w:rPr>
              <w:t>。具体评分标准见附件。</w:t>
            </w:r>
          </w:p>
        </w:tc>
        <w:tc>
          <w:tcPr>
            <w:tcW w:w="1305" w:type="dxa"/>
            <w:vAlign w:val="center"/>
          </w:tcPr>
          <w:p>
            <w:pPr>
              <w:jc w:val="center"/>
              <w:rPr>
                <w:rFonts w:ascii="宋体" w:hAnsi="宋体" w:eastAsia="宋体" w:cs="宋体"/>
                <w:b/>
                <w:sz w:val="24"/>
              </w:rPr>
            </w:pPr>
            <w:r>
              <w:rPr>
                <w:rFonts w:hint="eastAsia" w:ascii="宋体" w:hAnsi="宋体" w:eastAsia="宋体" w:cs="宋体"/>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服务团队</w:t>
            </w:r>
          </w:p>
        </w:tc>
        <w:tc>
          <w:tcPr>
            <w:tcW w:w="5689" w:type="dxa"/>
            <w:tcBorders>
              <w:bottom w:val="single" w:color="auto" w:sz="4" w:space="0"/>
            </w:tcBorders>
            <w:vAlign w:val="center"/>
          </w:tcPr>
          <w:p>
            <w:pPr>
              <w:pStyle w:val="67"/>
              <w:numPr>
                <w:ilvl w:val="0"/>
                <w:numId w:val="20"/>
              </w:numPr>
              <w:tabs>
                <w:tab w:val="left" w:pos="0"/>
              </w:tabs>
              <w:spacing w:line="360" w:lineRule="auto"/>
              <w:ind w:firstLineChars="0"/>
              <w:rPr>
                <w:rFonts w:ascii="宋体" w:hAnsi="宋体" w:eastAsia="宋体" w:cs="仿宋_GB2312"/>
                <w:kern w:val="0"/>
                <w:sz w:val="24"/>
                <w:lang w:eastAsia="zh-Hans"/>
              </w:rPr>
            </w:pPr>
            <w:r>
              <w:rPr>
                <w:rFonts w:hint="eastAsia" w:ascii="宋体" w:hAnsi="宋体" w:eastAsia="宋体" w:cs="仿宋_GB2312"/>
                <w:kern w:val="0"/>
                <w:sz w:val="24"/>
                <w:lang w:eastAsia="zh-Hans"/>
              </w:rPr>
              <w:t>因项目交付需要</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项目经理须具备全日制本科以上学历且为投标人长期稳定正式员工</w:t>
            </w:r>
            <w:r>
              <w:rPr>
                <w:rFonts w:hint="eastAsia" w:ascii="宋体" w:hAnsi="宋体" w:eastAsia="宋体" w:cs="仿宋_GB2312"/>
                <w:kern w:val="0"/>
                <w:sz w:val="24"/>
              </w:rPr>
              <w:t>，</w:t>
            </w:r>
            <w:r>
              <w:rPr>
                <w:rFonts w:hint="eastAsia" w:ascii="宋体" w:hAnsi="宋体" w:eastAsia="宋体" w:cs="仿宋_GB2312"/>
                <w:kern w:val="0"/>
                <w:sz w:val="24"/>
                <w:lang w:eastAsia="zh-Hans"/>
              </w:rPr>
              <w:t>每提供一个证书得</w:t>
            </w:r>
            <w:r>
              <w:rPr>
                <w:rFonts w:hint="eastAsia" w:ascii="宋体" w:hAnsi="宋体" w:eastAsia="宋体" w:cs="仿宋_GB2312"/>
                <w:kern w:val="0"/>
                <w:sz w:val="24"/>
              </w:rPr>
              <w:t>2分，最高得8分。</w:t>
            </w:r>
          </w:p>
          <w:p>
            <w:pPr>
              <w:tabs>
                <w:tab w:val="left" w:pos="0"/>
              </w:tabs>
              <w:spacing w:line="360" w:lineRule="auto"/>
              <w:jc w:val="left"/>
              <w:rPr>
                <w:rFonts w:ascii="宋体" w:hAnsi="宋体" w:eastAsia="宋体"/>
              </w:rPr>
            </w:pPr>
            <w:r>
              <w:rPr>
                <w:rFonts w:hint="eastAsia" w:ascii="宋体" w:hAnsi="宋体" w:eastAsia="宋体" w:cs="仿宋_GB2312"/>
                <w:kern w:val="0"/>
                <w:sz w:val="24"/>
              </w:rPr>
              <w:t>（</w:t>
            </w:r>
            <w:r>
              <w:rPr>
                <w:rFonts w:hint="eastAsia" w:ascii="宋体" w:hAnsi="宋体" w:eastAsia="宋体" w:cs="仿宋_GB2312"/>
                <w:kern w:val="0"/>
                <w:sz w:val="24"/>
                <w:lang w:eastAsia="zh-Hans"/>
              </w:rPr>
              <w:t>项目经理</w:t>
            </w:r>
            <w:r>
              <w:rPr>
                <w:rFonts w:hint="eastAsia" w:ascii="宋体" w:hAnsi="宋体" w:eastAsia="宋体" w:cs="仿宋_GB2312"/>
                <w:kern w:val="0"/>
                <w:sz w:val="24"/>
              </w:rPr>
              <w:t>需提供在投标人任职</w:t>
            </w:r>
            <w:r>
              <w:rPr>
                <w:rFonts w:hint="eastAsia" w:ascii="宋体" w:hAnsi="宋体" w:eastAsia="宋体" w:cs="仿宋_GB2312"/>
                <w:kern w:val="0"/>
                <w:sz w:val="24"/>
                <w:lang w:eastAsia="zh-Hans"/>
              </w:rPr>
              <w:t>至少六个月的</w:t>
            </w:r>
            <w:r>
              <w:rPr>
                <w:rFonts w:hint="eastAsia" w:ascii="宋体" w:hAnsi="宋体" w:eastAsia="宋体" w:cs="仿宋_GB2312"/>
                <w:kern w:val="0"/>
                <w:sz w:val="24"/>
              </w:rPr>
              <w:t>社保证明材料、</w:t>
            </w:r>
            <w:r>
              <w:rPr>
                <w:rFonts w:hint="eastAsia" w:ascii="宋体" w:hAnsi="宋体" w:eastAsia="宋体" w:cs="仿宋_GB2312"/>
                <w:kern w:val="0"/>
                <w:sz w:val="24"/>
                <w:lang w:eastAsia="zh-Hans"/>
              </w:rPr>
              <w:t>学历证明、学位证明及相关证书证明材料</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须加盖公章）</w:t>
            </w:r>
          </w:p>
          <w:p>
            <w:pPr>
              <w:widowControl/>
              <w:numPr>
                <w:ilvl w:val="0"/>
                <w:numId w:val="20"/>
              </w:numPr>
              <w:spacing w:line="360" w:lineRule="auto"/>
              <w:jc w:val="left"/>
              <w:rPr>
                <w:rFonts w:ascii="宋体" w:hAnsi="宋体" w:eastAsia="宋体" w:cs="仿宋_GB2312"/>
                <w:kern w:val="0"/>
                <w:sz w:val="24"/>
                <w:lang w:eastAsia="zh-Hans"/>
              </w:rPr>
            </w:pPr>
            <w:r>
              <w:rPr>
                <w:rFonts w:hint="eastAsia" w:ascii="宋体" w:hAnsi="宋体" w:cs="宋体"/>
                <w:kern w:val="0"/>
                <w:sz w:val="24"/>
              </w:rPr>
              <w:t>投标人针对本项目提供实施团队,驻场实施人员</w:t>
            </w:r>
            <w:r>
              <w:rPr>
                <w:rFonts w:ascii="宋体" w:hAnsi="宋体" w:cs="宋体"/>
                <w:kern w:val="0"/>
                <w:sz w:val="24"/>
              </w:rPr>
              <w:t>1</w:t>
            </w:r>
            <w:r>
              <w:rPr>
                <w:rFonts w:hint="eastAsia" w:ascii="宋体" w:hAnsi="宋体" w:cs="宋体"/>
                <w:kern w:val="0"/>
                <w:sz w:val="24"/>
              </w:rPr>
              <w:t>0人</w:t>
            </w:r>
            <w:r>
              <w:rPr>
                <w:rFonts w:hint="eastAsia" w:ascii="宋体" w:hAnsi="宋体" w:eastAsia="宋体" w:cs="仿宋_GB2312"/>
                <w:kern w:val="0"/>
                <w:sz w:val="24"/>
              </w:rPr>
              <w:t>，具备等资质证书或同等能力，每提供一个证书得2分，同一个人提供多个证书最多计3分，最高得6分</w:t>
            </w:r>
          </w:p>
        </w:tc>
        <w:tc>
          <w:tcPr>
            <w:tcW w:w="1305" w:type="dxa"/>
            <w:tcBorders>
              <w:bottom w:val="single" w:color="auto" w:sz="4" w:space="0"/>
            </w:tcBorders>
            <w:vAlign w:val="center"/>
          </w:tcPr>
          <w:p>
            <w:pPr>
              <w:jc w:val="center"/>
              <w:rPr>
                <w:b/>
                <w:sz w:val="24"/>
              </w:rPr>
            </w:pPr>
            <w:r>
              <w:rPr>
                <w:rFonts w:hint="eastAsia"/>
                <w:b/>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rFonts w:ascii="宋体" w:hAnsi="宋体" w:eastAsia="宋体" w:cs="宋体"/>
                <w:sz w:val="24"/>
              </w:rPr>
            </w:pPr>
            <w:r>
              <w:rPr>
                <w:rFonts w:hint="eastAsia" w:ascii="宋体" w:hAnsi="宋体" w:eastAsia="宋体" w:cs="宋体"/>
                <w:sz w:val="24"/>
              </w:rPr>
              <w:t>投标人实力</w:t>
            </w:r>
          </w:p>
        </w:tc>
        <w:tc>
          <w:tcPr>
            <w:tcW w:w="5689" w:type="dxa"/>
            <w:vAlign w:val="center"/>
          </w:tcPr>
          <w:p>
            <w:pPr>
              <w:widowControl/>
              <w:adjustRightInd w:val="0"/>
              <w:spacing w:line="276" w:lineRule="auto"/>
              <w:jc w:val="left"/>
              <w:rPr>
                <w:rFonts w:ascii="宋体" w:hAnsi="宋体" w:eastAsia="宋体" w:cs="宋体"/>
                <w:sz w:val="24"/>
              </w:rPr>
            </w:pPr>
            <w:r>
              <w:rPr>
                <w:rFonts w:hint="eastAsia" w:ascii="宋体" w:hAnsi="宋体" w:eastAsia="宋体" w:cs="宋体"/>
                <w:sz w:val="24"/>
              </w:rPr>
              <w:t>需提供有效的认证证书复印件并加盖厂商公章，原件备查：</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1、信息安全管理体系认证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2、电子与智能化工程专业承包资质</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3、质量管理体系认证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4、信息系统建设和服务能力CS2级或以上</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5、高新技术企业证书</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6、专精特新企业认证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7、企业科技研究开发机构证书认证</w:t>
            </w:r>
          </w:p>
          <w:p>
            <w:pPr>
              <w:widowControl/>
              <w:adjustRightInd w:val="0"/>
              <w:spacing w:line="276" w:lineRule="auto"/>
              <w:jc w:val="left"/>
              <w:rPr>
                <w:rFonts w:ascii="宋体" w:hAnsi="宋体" w:eastAsia="宋体" w:cs="宋体"/>
                <w:szCs w:val="21"/>
                <w:highlight w:val="yellow"/>
              </w:rPr>
            </w:pPr>
            <w:r>
              <w:rPr>
                <w:rFonts w:hint="eastAsia" w:ascii="宋体" w:hAnsi="宋体" w:eastAsia="宋体" w:cs="宋体"/>
                <w:sz w:val="24"/>
              </w:rPr>
              <w:t>每提供一项得2分，最高得10分</w:t>
            </w:r>
          </w:p>
        </w:tc>
        <w:tc>
          <w:tcPr>
            <w:tcW w:w="1305" w:type="dxa"/>
            <w:vAlign w:val="center"/>
          </w:tcPr>
          <w:p>
            <w:pPr>
              <w:jc w:val="center"/>
              <w:rPr>
                <w:b/>
                <w:sz w:val="24"/>
              </w:rPr>
            </w:pP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同类项目业绩</w:t>
            </w:r>
          </w:p>
          <w:p>
            <w:pPr>
              <w:rPr>
                <w:sz w:val="24"/>
              </w:rPr>
            </w:pPr>
          </w:p>
        </w:tc>
        <w:tc>
          <w:tcPr>
            <w:tcW w:w="5689" w:type="dxa"/>
            <w:vAlign w:val="center"/>
          </w:tcPr>
          <w:p>
            <w:pPr>
              <w:spacing w:line="360" w:lineRule="auto"/>
              <w:rPr>
                <w:sz w:val="24"/>
                <w:lang w:eastAsia="zh-Hans"/>
              </w:rPr>
            </w:pPr>
            <w:r>
              <w:rPr>
                <w:rFonts w:hint="eastAsia"/>
                <w:sz w:val="24"/>
              </w:rPr>
              <w:t>1、服务商</w:t>
            </w:r>
            <w:r>
              <w:rPr>
                <w:rFonts w:hint="eastAsia"/>
                <w:sz w:val="24"/>
                <w:lang w:eastAsia="zh-Hans"/>
              </w:rPr>
              <w:t>近三年以来(以合同签订时间为准）承接的同类项目案例合同原件扫描件，其中必须包括合同首页、合同金额所在页、签字盖章页及合同标的页，每提供一项得</w:t>
            </w:r>
            <w:r>
              <w:rPr>
                <w:rFonts w:hint="eastAsia"/>
                <w:sz w:val="24"/>
              </w:rPr>
              <w:t>2分，最高</w:t>
            </w:r>
            <w:r>
              <w:rPr>
                <w:rFonts w:hint="eastAsia"/>
                <w:sz w:val="24"/>
                <w:lang w:eastAsia="zh-Hans"/>
              </w:rPr>
              <w:t>得</w:t>
            </w:r>
            <w:r>
              <w:rPr>
                <w:rFonts w:hint="eastAsia"/>
                <w:sz w:val="24"/>
              </w:rPr>
              <w:t>10</w:t>
            </w:r>
            <w:r>
              <w:rPr>
                <w:rFonts w:hint="eastAsia"/>
                <w:sz w:val="24"/>
                <w:lang w:eastAsia="zh-Hans"/>
              </w:rPr>
              <w:t>分。</w:t>
            </w:r>
          </w:p>
          <w:p>
            <w:pPr>
              <w:spacing w:line="360" w:lineRule="auto"/>
              <w:rPr>
                <w:rFonts w:ascii="宋体" w:hAnsi="宋体" w:eastAsia="宋体" w:cs="宋体"/>
                <w:kern w:val="0"/>
                <w:sz w:val="24"/>
                <w:lang w:bidi="ar"/>
              </w:rPr>
            </w:pPr>
            <w:r>
              <w:rPr>
                <w:rFonts w:ascii="宋体" w:hAnsi="宋体" w:eastAsia="宋体" w:cs="宋体"/>
                <w:sz w:val="24"/>
              </w:rPr>
              <w:t>2</w:t>
            </w:r>
            <w:r>
              <w:rPr>
                <w:rFonts w:hint="eastAsia" w:ascii="宋体" w:hAnsi="宋体" w:eastAsia="宋体" w:cs="宋体"/>
                <w:sz w:val="24"/>
              </w:rPr>
              <w:t>、近</w:t>
            </w:r>
            <w:r>
              <w:rPr>
                <w:rFonts w:hint="eastAsia"/>
                <w:sz w:val="24"/>
                <w:lang w:eastAsia="zh-Hans"/>
              </w:rPr>
              <w:t>三年</w:t>
            </w:r>
            <w:r>
              <w:rPr>
                <w:rFonts w:hint="eastAsia"/>
                <w:sz w:val="24"/>
              </w:rPr>
              <w:t>同行业或同类型主机厂</w:t>
            </w:r>
            <w:r>
              <w:rPr>
                <w:rFonts w:hint="eastAsia"/>
                <w:sz w:val="24"/>
                <w:lang w:eastAsia="zh-Hans"/>
              </w:rPr>
              <w:t>大型制造业项目经历</w:t>
            </w:r>
            <w:r>
              <w:rPr>
                <w:rFonts w:hint="eastAsia"/>
                <w:sz w:val="24"/>
              </w:rPr>
              <w:t>，</w:t>
            </w:r>
            <w:r>
              <w:rPr>
                <w:rFonts w:hint="eastAsia"/>
                <w:sz w:val="24"/>
                <w:lang w:eastAsia="zh-Hans"/>
              </w:rPr>
              <w:t>每提供一项得</w:t>
            </w:r>
            <w:r>
              <w:rPr>
                <w:rFonts w:hint="eastAsia"/>
                <w:sz w:val="24"/>
              </w:rPr>
              <w:t>3分，最高</w:t>
            </w:r>
            <w:r>
              <w:rPr>
                <w:rFonts w:hint="eastAsia"/>
                <w:sz w:val="24"/>
                <w:lang w:eastAsia="zh-Hans"/>
              </w:rPr>
              <w:t>得</w:t>
            </w:r>
            <w:r>
              <w:rPr>
                <w:rFonts w:hint="eastAsia"/>
                <w:sz w:val="24"/>
              </w:rPr>
              <w:t>6</w:t>
            </w:r>
            <w:r>
              <w:rPr>
                <w:rFonts w:hint="eastAsia"/>
                <w:sz w:val="24"/>
                <w:lang w:eastAsia="zh-Hans"/>
              </w:rPr>
              <w:t>分。需提供相关证明并加盖公章。</w:t>
            </w:r>
          </w:p>
        </w:tc>
        <w:tc>
          <w:tcPr>
            <w:tcW w:w="1305" w:type="dxa"/>
            <w:vAlign w:val="center"/>
          </w:tcPr>
          <w:p>
            <w:pPr>
              <w:jc w:val="center"/>
              <w:rPr>
                <w:b/>
                <w:sz w:val="24"/>
              </w:rPr>
            </w:pPr>
            <w:r>
              <w:rPr>
                <w:rFonts w:hint="eastAsia"/>
                <w:b/>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tcBorders>
              <w:left w:val="single" w:color="auto" w:sz="4" w:space="0"/>
              <w:right w:val="single" w:color="auto" w:sz="4" w:space="0"/>
            </w:tcBorders>
            <w:vAlign w:val="center"/>
          </w:tcPr>
          <w:p>
            <w:pPr>
              <w:jc w:val="center"/>
              <w:rPr>
                <w:sz w:val="24"/>
              </w:rPr>
            </w:pPr>
            <w:r>
              <w:rPr>
                <w:rFonts w:hint="eastAsia"/>
                <w:sz w:val="24"/>
              </w:rPr>
              <w:t>合计</w:t>
            </w:r>
          </w:p>
        </w:tc>
        <w:tc>
          <w:tcPr>
            <w:tcW w:w="1547" w:type="dxa"/>
            <w:vAlign w:val="center"/>
          </w:tcPr>
          <w:p>
            <w:pPr>
              <w:jc w:val="center"/>
              <w:rPr>
                <w:sz w:val="24"/>
              </w:rPr>
            </w:pPr>
          </w:p>
        </w:tc>
        <w:tc>
          <w:tcPr>
            <w:tcW w:w="5689" w:type="dxa"/>
            <w:vAlign w:val="center"/>
          </w:tcPr>
          <w:p>
            <w:pPr>
              <w:widowControl/>
              <w:jc w:val="left"/>
              <w:textAlignment w:val="center"/>
              <w:rPr>
                <w:rFonts w:ascii="宋体" w:hAnsi="宋体" w:eastAsia="宋体" w:cs="宋体"/>
                <w:kern w:val="0"/>
                <w:sz w:val="24"/>
                <w:lang w:bidi="ar"/>
              </w:rPr>
            </w:pPr>
          </w:p>
        </w:tc>
        <w:tc>
          <w:tcPr>
            <w:tcW w:w="1305" w:type="dxa"/>
            <w:vAlign w:val="center"/>
          </w:tcPr>
          <w:p>
            <w:pPr>
              <w:jc w:val="center"/>
              <w:rPr>
                <w:b/>
                <w:sz w:val="24"/>
              </w:rPr>
            </w:pPr>
            <w:r>
              <w:rPr>
                <w:rFonts w:hint="eastAsia"/>
                <w:b/>
                <w:sz w:val="24"/>
              </w:rPr>
              <w:t>100</w:t>
            </w:r>
          </w:p>
        </w:tc>
      </w:tr>
      <w:bookmarkEnd w:id="57"/>
      <w:bookmarkEnd w:id="58"/>
      <w:bookmarkEnd w:id="59"/>
    </w:tbl>
    <w:p>
      <w:pPr>
        <w:pStyle w:val="64"/>
        <w:keepNext w:val="0"/>
        <w:widowControl/>
        <w:rPr>
          <w:rFonts w:ascii="宋体" w:hAnsi="宋体"/>
          <w:color w:val="000000" w:themeColor="text1"/>
          <w14:textFill>
            <w14:solidFill>
              <w14:schemeClr w14:val="tx1"/>
            </w14:solidFill>
          </w14:textFill>
        </w:rPr>
      </w:pPr>
      <w:bookmarkStart w:id="60" w:name="_Toc264881861"/>
      <w:bookmarkStart w:id="61" w:name="_Toc234922356"/>
      <w:bookmarkStart w:id="62" w:name="_Toc265850581"/>
      <w:bookmarkStart w:id="63" w:name="_Toc10557"/>
      <w:r>
        <w:rPr>
          <w:rFonts w:hint="eastAsia" w:ascii="宋体" w:hAnsi="宋体" w:cs="宋体"/>
          <w:color w:val="000000" w:themeColor="text1"/>
          <w14:textFill>
            <w14:solidFill>
              <w14:schemeClr w14:val="tx1"/>
            </w14:solidFill>
          </w14:textFill>
        </w:rPr>
        <w:t>中标</w:t>
      </w:r>
      <w:bookmarkEnd w:id="60"/>
      <w:bookmarkEnd w:id="61"/>
      <w:bookmarkEnd w:id="62"/>
      <w:r>
        <w:rPr>
          <w:rFonts w:hint="eastAsia" w:ascii="宋体" w:hAnsi="宋体" w:cs="宋体"/>
          <w:color w:val="000000" w:themeColor="text1"/>
          <w14:textFill>
            <w14:solidFill>
              <w14:schemeClr w14:val="tx1"/>
            </w14:solidFill>
          </w14:textFill>
        </w:rPr>
        <w:t>及合同签订</w:t>
      </w:r>
      <w:bookmarkEnd w:id="63"/>
    </w:p>
    <w:p>
      <w:pPr>
        <w:pStyle w:val="41"/>
        <w:widowControl/>
        <w:numPr>
          <w:ilvl w:val="0"/>
          <w:numId w:val="21"/>
        </w:numPr>
        <w:rPr>
          <w:rFonts w:ascii="宋体" w:hAnsi="宋体"/>
          <w:color w:val="000000" w:themeColor="text1"/>
          <w14:textFill>
            <w14:solidFill>
              <w14:schemeClr w14:val="tx1"/>
            </w14:solidFill>
          </w14:textFill>
        </w:rPr>
      </w:pPr>
      <w:bookmarkStart w:id="64" w:name="_Toc265850587"/>
      <w:r>
        <w:rPr>
          <w:rFonts w:hint="eastAsia" w:ascii="宋体" w:hAnsi="宋体" w:cs="宋体"/>
          <w:color w:val="000000" w:themeColor="text1"/>
          <w14:textFill>
            <w14:solidFill>
              <w14:schemeClr w14:val="tx1"/>
            </w14:solidFill>
          </w14:textFill>
        </w:rPr>
        <w:t>招标人根据谈判结果确定中标人，并通知中标人；招标人不承诺将合同授予报价最低的投标人。</w:t>
      </w:r>
    </w:p>
    <w:p>
      <w:pPr>
        <w:pStyle w:val="41"/>
        <w:widowControl/>
        <w:numPr>
          <w:ilvl w:val="0"/>
          <w:numId w:val="7"/>
        </w:numPr>
      </w:pPr>
      <w:r>
        <w:rPr>
          <w:rFonts w:hint="eastAsia" w:cs="宋体"/>
        </w:rPr>
        <w:t>本项目产生一个中标人</w:t>
      </w:r>
      <w:r>
        <w:rPr>
          <w:rFonts w:hint="eastAsia" w:hAnsi="宋体"/>
          <w:szCs w:val="24"/>
        </w:rPr>
        <w:t>。</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年不得参与中国重汽集团济南商用车制造公司发布的招投标项目。</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中标人应当按照合同约定的履约责任，在保证质量的前提下完成中标项目，不得将中标项目转包或分包给他人，否则视为违约，招标人有权解除合同。</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在履行合同过程中，中标人由于履行义务的能力或信用有严重缺陷，招标人有权取消其中标资格，招标人将从中标候选单位中依序重新确定中标人，或重新组织招标。</w:t>
      </w:r>
    </w:p>
    <w:p>
      <w:pPr>
        <w:pStyle w:val="64"/>
        <w:keepNext w:val="0"/>
        <w:widowControl/>
        <w:rPr>
          <w:rFonts w:ascii="宋体" w:hAnsi="宋体"/>
          <w:color w:val="000000" w:themeColor="text1"/>
          <w14:textFill>
            <w14:solidFill>
              <w14:schemeClr w14:val="tx1"/>
            </w14:solidFill>
          </w14:textFill>
        </w:rPr>
      </w:pPr>
      <w:bookmarkStart w:id="65" w:name="_Toc2123"/>
      <w:r>
        <w:rPr>
          <w:rFonts w:hint="eastAsia" w:ascii="宋体" w:hAnsi="宋体" w:cs="宋体"/>
          <w:color w:val="000000" w:themeColor="text1"/>
          <w14:textFill>
            <w14:solidFill>
              <w14:schemeClr w14:val="tx1"/>
            </w14:solidFill>
          </w14:textFill>
        </w:rPr>
        <w:t>废标</w:t>
      </w:r>
      <w:bookmarkEnd w:id="65"/>
    </w:p>
    <w:p>
      <w:pPr>
        <w:spacing w:line="520" w:lineRule="exact"/>
        <w:ind w:right="2" w:firstLine="210"/>
        <w:rPr>
          <w:rFonts w:ascii="宋体" w:hAnsi="宋体" w:eastAsia="宋体" w:cs="Times New Roman"/>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1</w:t>
      </w:r>
      <w:r>
        <w:rPr>
          <w:rFonts w:hint="eastAsia" w:ascii="宋体" w:hAnsi="宋体" w:eastAsia="宋体" w:cs="宋体"/>
          <w:color w:val="000000" w:themeColor="text1"/>
          <w:sz w:val="24"/>
          <w:szCs w:val="22"/>
          <w:lang w:bidi="ar"/>
          <w14:textFill>
            <w14:solidFill>
              <w14:schemeClr w14:val="tx1"/>
            </w14:solidFill>
          </w14:textFill>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（1）投标人提供的有关资格、资质证明文件不合格、不真实或提供虚假投标材料；</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（2）投标人在报价有效期内撤回投标；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（3）在整个评标过程中，投标人有企图影响评标结果公正性的任何活动；</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（4）投标人以任何方式诋毁其他投标人；</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（5）投标人串通投标；</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（6）以他人名义投标或者以其他方式弄虚作假，骗取中标的；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（7）投标单位负责人为同一人或者存在控股、管理关系的不同单位；</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（8）投标人被举报、检举，并经招标方查实无误的；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（9）出现影响采购公正的违法违规行为的；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（10）不同投标人的投标文件异常一致或</w:t>
      </w:r>
      <w:r>
        <w:rPr>
          <w:rFonts w:ascii="宋体" w:hAnsi="宋体" w:eastAsia="宋体" w:cs="宋体"/>
          <w:sz w:val="24"/>
          <w:szCs w:val="22"/>
          <w:lang w:bidi="ar"/>
        </w:rPr>
        <w:t>者投标报价呈规律性差异的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（11）投标人报价均超过采购预算的；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（12）因重大变故</w:t>
      </w:r>
      <w:r>
        <w:rPr>
          <w:rFonts w:ascii="宋体" w:hAnsi="宋体" w:eastAsia="宋体" w:cs="宋体"/>
          <w:sz w:val="24"/>
          <w:szCs w:val="22"/>
          <w:lang w:bidi="ar"/>
        </w:rPr>
        <w:t>采购任务取消的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（13）法律、法规规定的其他情况。</w:t>
      </w:r>
    </w:p>
    <w:p>
      <w:pPr>
        <w:spacing w:line="520" w:lineRule="exact"/>
        <w:ind w:right="2" w:firstLine="21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2、出现下列情形之一，招标人有权否决所有投标人的投标，并终止招标。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（1）出现影响采购公正的违法、违规行为的；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（2）评标委员会经评审，认为所有投标都不符合招标文件要求的；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（3）因重大变故，采购任务取消的；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（4）符合条件的投标人或者对招标文件做实质响应的投标人不足三家的；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（5）招标人认为其他应终止招标的情形；</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w:t>
      </w:r>
      <w:r>
        <w:rPr>
          <w:rFonts w:ascii="宋体" w:hAnsi="宋体" w:eastAsia="宋体" w:cs="宋体"/>
          <w:color w:val="000000" w:themeColor="text1"/>
          <w:sz w:val="24"/>
          <w:szCs w:val="22"/>
          <w:lang w:bidi="ar"/>
          <w14:textFill>
            <w14:solidFill>
              <w14:schemeClr w14:val="tx1"/>
            </w14:solidFill>
          </w14:textFill>
        </w:rPr>
        <w:t>6</w:t>
      </w:r>
      <w:r>
        <w:rPr>
          <w:rFonts w:hint="eastAsia" w:ascii="宋体" w:hAnsi="宋体" w:eastAsia="宋体" w:cs="宋体"/>
          <w:color w:val="000000" w:themeColor="text1"/>
          <w:sz w:val="24"/>
          <w:szCs w:val="22"/>
          <w:lang w:bidi="ar"/>
          <w14:textFill>
            <w14:solidFill>
              <w14:schemeClr w14:val="tx1"/>
            </w14:solidFill>
          </w14:textFill>
        </w:rPr>
        <w:t>）投标人承诺同意由于招标人公司政策变化引起的随时终止项目的要求并承担由此带来的一切损失。</w:t>
      </w:r>
    </w:p>
    <w:p>
      <w:pPr>
        <w:pStyle w:val="64"/>
        <w:keepNext w:val="0"/>
        <w:widowControl/>
        <w:rPr>
          <w:rFonts w:ascii="宋体" w:hAnsi="宋体" w:cs="宋体"/>
          <w:color w:val="000000" w:themeColor="text1"/>
          <w14:textFill>
            <w14:solidFill>
              <w14:schemeClr w14:val="tx1"/>
            </w14:solidFill>
          </w14:textFill>
        </w:rPr>
      </w:pPr>
      <w:bookmarkStart w:id="66" w:name="_Toc31228"/>
      <w:r>
        <w:rPr>
          <w:rFonts w:hint="eastAsia" w:ascii="宋体" w:hAnsi="宋体" w:cs="宋体"/>
          <w:color w:val="000000" w:themeColor="text1"/>
          <w14:textFill>
            <w14:solidFill>
              <w14:schemeClr w14:val="tx1"/>
            </w14:solidFill>
          </w14:textFill>
        </w:rPr>
        <w:t>瑕疵滞后发现的处理</w:t>
      </w:r>
      <w:bookmarkEnd w:id="66"/>
    </w:p>
    <w:p>
      <w:pPr>
        <w:spacing w:line="520" w:lineRule="exact"/>
        <w:ind w:right="2" w:firstLine="48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14:textFill>
            <w14:solidFill>
              <w14:schemeClr w14:val="tx1"/>
            </w14:solidFill>
          </w14:textFill>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7" w:name="_Toc53753563"/>
      <w:bookmarkStart w:id="68" w:name="_Toc25354"/>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合同以双方最终签署的版本为准</w:t>
      </w:r>
      <w:bookmarkEnd w:id="67"/>
      <w:r>
        <w:rPr>
          <w:rFonts w:hint="eastAsia" w:ascii="宋体" w:hAnsi="宋体" w:cs="宋体"/>
          <w:color w:val="000000" w:themeColor="text1"/>
          <w14:textFill>
            <w14:solidFill>
              <w14:schemeClr w14:val="tx1"/>
            </w14:solidFill>
          </w14:textFill>
        </w:rPr>
        <w:t>。</w:t>
      </w:r>
      <w:bookmarkEnd w:id="68"/>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9" w:name="_Toc28016"/>
      <w:r>
        <w:rPr>
          <w:rFonts w:ascii="宋体" w:hAnsi="宋体" w:cs="宋体"/>
          <w:color w:val="000000" w:themeColor="text1"/>
          <w14:textFill>
            <w14:solidFill>
              <w14:schemeClr w14:val="tx1"/>
            </w14:solidFill>
          </w14:textFill>
        </w:rPr>
        <w:t xml:space="preserve">7.5 </w:t>
      </w:r>
      <w:r>
        <w:rPr>
          <w:rFonts w:hint="eastAsia" w:ascii="宋体" w:hAnsi="宋体" w:cs="宋体"/>
          <w:color w:val="000000" w:themeColor="text1"/>
          <w14:textFill>
            <w14:solidFill>
              <w14:schemeClr w14:val="tx1"/>
            </w14:solidFill>
          </w14:textFill>
        </w:rPr>
        <w:t>本项目最终解释权归中国重汽集团济南商用车制造公司所有。</w:t>
      </w:r>
      <w:bookmarkEnd w:id="69"/>
    </w:p>
    <w:bookmarkEnd w:id="64"/>
    <w:p>
      <w:pPr>
        <w:pStyle w:val="32"/>
        <w:keepNext w:val="0"/>
        <w:widowControl/>
        <w:rPr>
          <w:rFonts w:ascii="宋体" w:hAnsi="宋体" w:cs="宋体"/>
          <w:color w:val="000000" w:themeColor="text1"/>
          <w14:textFill>
            <w14:solidFill>
              <w14:schemeClr w14:val="tx1"/>
            </w14:solidFill>
          </w14:textFill>
        </w:rPr>
      </w:pPr>
      <w:bookmarkStart w:id="70" w:name="_Toc15800"/>
      <w:r>
        <w:rPr>
          <w:rFonts w:hint="eastAsia" w:ascii="宋体" w:hAnsi="宋体" w:cs="宋体"/>
          <w:color w:val="000000" w:themeColor="text1"/>
          <w14:textFill>
            <w14:solidFill>
              <w14:schemeClr w14:val="tx1"/>
            </w14:solidFill>
          </w14:textFill>
        </w:rPr>
        <w:t>项目组织范围</w:t>
      </w:r>
      <w:bookmarkEnd w:id="70"/>
    </w:p>
    <w:p>
      <w:pPr>
        <w:pStyle w:val="33"/>
        <w:ind w:firstLine="0" w:firstLineChars="0"/>
        <w:rPr>
          <w:highlight w:val="green"/>
        </w:rPr>
      </w:pPr>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本项目需充分考虑中国重汽集团济南商用车制造公司管控方面的要求，在组织上包含</w:t>
      </w:r>
      <w:r>
        <w:rPr>
          <w:rFonts w:hint="eastAsia" w:ascii="宋体" w:hAnsi="宋体" w:cs="宋体"/>
        </w:rPr>
        <w:t>集团总部及各下属单位。</w:t>
      </w:r>
    </w:p>
    <w:tbl>
      <w:tblPr>
        <w:tblStyle w:val="25"/>
        <w:tblW w:w="7796" w:type="dxa"/>
        <w:jc w:val="center"/>
        <w:tblLayout w:type="fixed"/>
        <w:tblCellMar>
          <w:top w:w="0" w:type="dxa"/>
          <w:left w:w="0" w:type="dxa"/>
          <w:bottom w:w="0" w:type="dxa"/>
          <w:right w:w="0" w:type="dxa"/>
        </w:tblCellMar>
      </w:tblPr>
      <w:tblGrid>
        <w:gridCol w:w="896"/>
        <w:gridCol w:w="6900"/>
      </w:tblGrid>
      <w:tr>
        <w:tblPrEx>
          <w:tblCellMar>
            <w:top w:w="0" w:type="dxa"/>
            <w:left w:w="0" w:type="dxa"/>
            <w:bottom w:w="0" w:type="dxa"/>
            <w:right w:w="0" w:type="dxa"/>
          </w:tblCellMar>
        </w:tblPrEx>
        <w:trPr>
          <w:trHeight w:val="253"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业务主体</w:t>
            </w:r>
          </w:p>
        </w:tc>
      </w:tr>
      <w:tr>
        <w:tblPrEx>
          <w:tblCellMar>
            <w:top w:w="0" w:type="dxa"/>
            <w:left w:w="0" w:type="dxa"/>
            <w:bottom w:w="0" w:type="dxa"/>
            <w:right w:w="0" w:type="dxa"/>
          </w:tblCellMar>
        </w:tblPrEx>
        <w:trPr>
          <w:trHeight w:val="425"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ind w:left="10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中国重汽集团济南商用车制造公司</w:t>
            </w:r>
          </w:p>
        </w:tc>
      </w:tr>
    </w:tbl>
    <w:p>
      <w:pPr>
        <w:pStyle w:val="33"/>
        <w:ind w:firstLine="480"/>
      </w:pPr>
    </w:p>
    <w:p>
      <w:pPr>
        <w:pStyle w:val="32"/>
        <w:keepNext w:val="0"/>
        <w:widowControl/>
        <w:rPr>
          <w:rFonts w:ascii="宋体" w:hAnsi="宋体" w:cs="宋体"/>
          <w:color w:val="000000" w:themeColor="text1"/>
          <w14:textFill>
            <w14:solidFill>
              <w14:schemeClr w14:val="tx1"/>
            </w14:solidFill>
          </w14:textFill>
        </w:rPr>
      </w:pPr>
      <w:bookmarkStart w:id="71" w:name="_Toc32231"/>
      <w:r>
        <w:rPr>
          <w:rFonts w:hint="eastAsia" w:ascii="宋体" w:hAnsi="宋体" w:cs="宋体"/>
          <w:color w:val="000000" w:themeColor="text1"/>
          <w14:textFill>
            <w14:solidFill>
              <w14:schemeClr w14:val="tx1"/>
            </w14:solidFill>
          </w14:textFill>
        </w:rPr>
        <w:t>项目技术要求</w:t>
      </w:r>
      <w:bookmarkEnd w:id="71"/>
    </w:p>
    <w:p>
      <w:pPr>
        <w:pStyle w:val="64"/>
        <w:keepNext w:val="0"/>
        <w:widowControl/>
        <w:numPr>
          <w:ilvl w:val="1"/>
          <w:numId w:val="22"/>
        </w:numPr>
        <w:tabs>
          <w:tab w:val="left" w:pos="0"/>
        </w:tabs>
        <w:ind w:left="0"/>
        <w:rPr>
          <w:rFonts w:ascii="宋体" w:hAnsi="宋体" w:cs="宋体"/>
          <w:color w:val="000000" w:themeColor="text1"/>
          <w14:textFill>
            <w14:solidFill>
              <w14:schemeClr w14:val="tx1"/>
            </w14:solidFill>
          </w14:textFill>
        </w:rPr>
      </w:pPr>
      <w:bookmarkStart w:id="72" w:name="_Toc73462702"/>
      <w:bookmarkStart w:id="73" w:name="_Toc27644"/>
      <w:r>
        <w:rPr>
          <w:rFonts w:hint="eastAsia" w:ascii="宋体" w:hAnsi="宋体" w:cs="宋体"/>
          <w:color w:val="000000" w:themeColor="text1"/>
          <w14:textFill>
            <w14:solidFill>
              <w14:schemeClr w14:val="tx1"/>
            </w14:solidFill>
          </w14:textFill>
        </w:rPr>
        <w:t>项目目标</w:t>
      </w:r>
      <w:bookmarkEnd w:id="72"/>
      <w:bookmarkEnd w:id="73"/>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1.运营透明化：通过U</w:t>
      </w:r>
      <w:r>
        <w:rPr>
          <w:rFonts w:ascii="Times New Roman" w:hAnsi="Times New Roman"/>
          <w:sz w:val="24"/>
        </w:rPr>
        <w:t>WB技术</w:t>
      </w:r>
      <w:r>
        <w:rPr>
          <w:rFonts w:hint="eastAsia" w:ascii="Times New Roman" w:hAnsi="Times New Roman"/>
          <w:sz w:val="24"/>
        </w:rPr>
        <w:t>，</w:t>
      </w:r>
      <w:r>
        <w:rPr>
          <w:rFonts w:ascii="Times New Roman" w:hAnsi="Times New Roman"/>
          <w:sz w:val="24"/>
        </w:rPr>
        <w:t>实时获取总装车间车辆位置信息和车辆订单信息</w:t>
      </w:r>
      <w:r>
        <w:rPr>
          <w:rFonts w:hint="eastAsia" w:ascii="Times New Roman" w:hAnsi="Times New Roman"/>
          <w:sz w:val="24"/>
        </w:rPr>
        <w:t>，建立生产过程追溯系统，实现总装线对车体的精确追踪和透明化、智能化管理。</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2.管理集约化：依托于UWB追溯管理系统，建立线边装配作业的工艺提示与预警机制，科学化、集约化管理过程执行，保证生产物流高效作业。</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3.运维便捷化：通过一体化的物联网设备管理平台，</w:t>
      </w:r>
      <w:r>
        <w:rPr>
          <w:rFonts w:ascii="Times New Roman" w:hAnsi="Times New Roman"/>
          <w:sz w:val="24"/>
        </w:rPr>
        <w:t>实现对</w:t>
      </w:r>
      <w:r>
        <w:rPr>
          <w:rFonts w:hint="eastAsia" w:ascii="Times New Roman" w:hAnsi="Times New Roman"/>
          <w:sz w:val="24"/>
        </w:rPr>
        <w:t>UWB</w:t>
      </w:r>
      <w:r>
        <w:rPr>
          <w:rFonts w:ascii="Times New Roman" w:hAnsi="Times New Roman"/>
          <w:sz w:val="24"/>
        </w:rPr>
        <w:t>自身硬件监管</w:t>
      </w:r>
      <w:r>
        <w:rPr>
          <w:rFonts w:hint="eastAsia" w:ascii="Times New Roman" w:hAnsi="Times New Roman"/>
          <w:sz w:val="24"/>
        </w:rPr>
        <w:t>，</w:t>
      </w:r>
    </w:p>
    <w:p>
      <w:pPr>
        <w:snapToGrid w:val="0"/>
        <w:spacing w:before="156" w:beforeLines="50" w:after="156" w:afterLines="50" w:line="360" w:lineRule="auto"/>
        <w:contextualSpacing/>
        <w:rPr>
          <w:rFonts w:ascii="Times New Roman" w:hAnsi="Times New Roman"/>
          <w:sz w:val="24"/>
        </w:rPr>
      </w:pPr>
      <w:r>
        <w:rPr>
          <w:rFonts w:ascii="Times New Roman" w:hAnsi="Times New Roman"/>
          <w:sz w:val="24"/>
        </w:rPr>
        <w:t>故障报警</w:t>
      </w:r>
      <w:r>
        <w:rPr>
          <w:rFonts w:hint="eastAsia" w:ascii="Times New Roman" w:hAnsi="Times New Roman"/>
          <w:sz w:val="24"/>
        </w:rPr>
        <w:t>，</w:t>
      </w:r>
      <w:r>
        <w:rPr>
          <w:rFonts w:ascii="Times New Roman" w:hAnsi="Times New Roman"/>
          <w:sz w:val="24"/>
        </w:rPr>
        <w:t>低电量报警等</w:t>
      </w:r>
      <w:r>
        <w:rPr>
          <w:rFonts w:hint="eastAsia" w:ascii="Times New Roman" w:hAnsi="Times New Roman"/>
          <w:sz w:val="24"/>
        </w:rPr>
        <w:t>功能，实现设备运维管理的编辑化。</w:t>
      </w:r>
    </w:p>
    <w:p>
      <w:pPr>
        <w:pStyle w:val="64"/>
        <w:keepNext w:val="0"/>
        <w:widowControl/>
        <w:numPr>
          <w:ilvl w:val="1"/>
          <w:numId w:val="22"/>
        </w:numPr>
        <w:tabs>
          <w:tab w:val="left" w:pos="0"/>
        </w:tabs>
        <w:ind w:left="0"/>
        <w:rPr>
          <w:rFonts w:ascii="宋体" w:hAnsi="宋体" w:cs="宋体"/>
          <w:color w:val="000000" w:themeColor="text1"/>
          <w14:textFill>
            <w14:solidFill>
              <w14:schemeClr w14:val="tx1"/>
            </w14:solidFill>
          </w14:textFill>
        </w:rPr>
      </w:pPr>
      <w:bookmarkStart w:id="74" w:name="_Toc4294"/>
      <w:r>
        <w:rPr>
          <w:rFonts w:hint="eastAsia" w:ascii="宋体" w:hAnsi="宋体" w:cs="宋体"/>
          <w:color w:val="000000" w:themeColor="text1"/>
          <w14:textFill>
            <w14:solidFill>
              <w14:schemeClr w14:val="tx1"/>
            </w14:solidFill>
          </w14:textFill>
        </w:rPr>
        <w:t>项目范围</w:t>
      </w:r>
      <w:bookmarkEnd w:id="74"/>
    </w:p>
    <w:p>
      <w:pPr>
        <w:spacing w:line="360" w:lineRule="auto"/>
        <w:ind w:firstLine="480" w:firstLineChars="200"/>
        <w:rPr>
          <w:sz w:val="24"/>
        </w:rPr>
      </w:pPr>
      <w:r>
        <w:rPr>
          <w:rFonts w:hint="eastAsia"/>
          <w:sz w:val="24"/>
        </w:rPr>
        <w:t>1、济南商用车制造公司UWB定位追踪范围涵盖4大区域，分别为内饰线区域1、内饰线区域2、预装线和总装大线，具体面积尺寸如下：</w:t>
      </w:r>
    </w:p>
    <w:p>
      <w:pPr>
        <w:pStyle w:val="67"/>
        <w:spacing w:line="360" w:lineRule="auto"/>
        <w:ind w:firstLine="0" w:firstLineChars="0"/>
        <w:rPr>
          <w:sz w:val="24"/>
        </w:rPr>
      </w:pPr>
      <w:r>
        <w:rPr>
          <w:rFonts w:cs="Calibri"/>
          <w:sz w:val="24"/>
        </w:rPr>
        <w:t>①</w:t>
      </w:r>
      <w:r>
        <w:rPr>
          <w:rFonts w:hint="eastAsia" w:cs="Calibri"/>
          <w:sz w:val="24"/>
        </w:rPr>
        <w:t>内饰线区域1</w:t>
      </w:r>
      <w:r>
        <w:rPr>
          <w:rFonts w:hint="eastAsia"/>
          <w:sz w:val="24"/>
        </w:rPr>
        <w:t xml:space="preserve"> </w:t>
      </w:r>
      <w:r>
        <w:rPr>
          <w:sz w:val="24"/>
        </w:rPr>
        <w:t xml:space="preserve">        长</w:t>
      </w:r>
      <w:r>
        <w:rPr>
          <w:rFonts w:hint="eastAsia"/>
          <w:sz w:val="24"/>
        </w:rPr>
        <w:t>*</w:t>
      </w:r>
      <w:r>
        <w:rPr>
          <w:sz w:val="24"/>
        </w:rPr>
        <w:t>宽</w:t>
      </w:r>
      <w:r>
        <w:rPr>
          <w:rFonts w:hint="eastAsia"/>
          <w:sz w:val="24"/>
        </w:rPr>
        <w:t>=</w:t>
      </w:r>
      <w:r>
        <w:rPr>
          <w:sz w:val="24"/>
        </w:rPr>
        <w:t>82</w:t>
      </w:r>
      <w:r>
        <w:rPr>
          <w:rFonts w:hint="eastAsia"/>
          <w:sz w:val="24"/>
        </w:rPr>
        <w:t>m*</w:t>
      </w:r>
      <w:r>
        <w:rPr>
          <w:sz w:val="24"/>
        </w:rPr>
        <w:t>10m</w:t>
      </w:r>
    </w:p>
    <w:p>
      <w:pPr>
        <w:pStyle w:val="67"/>
        <w:spacing w:line="360" w:lineRule="auto"/>
        <w:ind w:firstLine="0" w:firstLineChars="0"/>
        <w:rPr>
          <w:sz w:val="24"/>
        </w:rPr>
      </w:pPr>
      <w:r>
        <w:rPr>
          <w:rFonts w:cs="Calibri"/>
          <w:sz w:val="24"/>
        </w:rPr>
        <w:t>②</w:t>
      </w:r>
      <w:r>
        <w:rPr>
          <w:rFonts w:hint="eastAsia" w:cs="Calibri"/>
          <w:sz w:val="24"/>
        </w:rPr>
        <w:t>内饰线区域2</w:t>
      </w:r>
      <w:r>
        <w:rPr>
          <w:sz w:val="24"/>
        </w:rPr>
        <w:t xml:space="preserve">         长</w:t>
      </w:r>
      <w:r>
        <w:rPr>
          <w:rFonts w:hint="eastAsia"/>
          <w:sz w:val="24"/>
        </w:rPr>
        <w:t>*</w:t>
      </w:r>
      <w:r>
        <w:rPr>
          <w:sz w:val="24"/>
        </w:rPr>
        <w:t>宽</w:t>
      </w:r>
      <w:r>
        <w:rPr>
          <w:rFonts w:hint="eastAsia"/>
          <w:sz w:val="24"/>
        </w:rPr>
        <w:t>=</w:t>
      </w:r>
      <w:r>
        <w:rPr>
          <w:sz w:val="24"/>
        </w:rPr>
        <w:t>154m</w:t>
      </w:r>
      <w:r>
        <w:rPr>
          <w:rFonts w:hint="eastAsia"/>
          <w:sz w:val="24"/>
        </w:rPr>
        <w:t>*</w:t>
      </w:r>
      <w:r>
        <w:rPr>
          <w:sz w:val="24"/>
        </w:rPr>
        <w:t>10m</w:t>
      </w:r>
    </w:p>
    <w:p>
      <w:pPr>
        <w:pStyle w:val="67"/>
        <w:spacing w:line="360" w:lineRule="auto"/>
        <w:ind w:firstLine="0" w:firstLineChars="0"/>
        <w:rPr>
          <w:sz w:val="24"/>
        </w:rPr>
      </w:pPr>
      <w:r>
        <w:rPr>
          <w:rFonts w:cs="Calibri"/>
          <w:sz w:val="24"/>
        </w:rPr>
        <w:t>③</w:t>
      </w:r>
      <w:r>
        <w:rPr>
          <w:rFonts w:hint="eastAsia" w:cs="Calibri"/>
          <w:sz w:val="24"/>
        </w:rPr>
        <w:t>预装线</w:t>
      </w:r>
      <w:r>
        <w:rPr>
          <w:rFonts w:hint="eastAsia"/>
          <w:sz w:val="24"/>
        </w:rPr>
        <w:t xml:space="preserve"> </w:t>
      </w:r>
      <w:r>
        <w:rPr>
          <w:sz w:val="24"/>
        </w:rPr>
        <w:t xml:space="preserve">              长</w:t>
      </w:r>
      <w:r>
        <w:rPr>
          <w:rFonts w:hint="eastAsia"/>
          <w:sz w:val="24"/>
        </w:rPr>
        <w:t>*</w:t>
      </w:r>
      <w:r>
        <w:rPr>
          <w:sz w:val="24"/>
        </w:rPr>
        <w:t>宽</w:t>
      </w:r>
      <w:r>
        <w:rPr>
          <w:rFonts w:hint="eastAsia"/>
          <w:sz w:val="24"/>
        </w:rPr>
        <w:t>=</w:t>
      </w:r>
      <w:r>
        <w:rPr>
          <w:sz w:val="24"/>
        </w:rPr>
        <w:t>145m</w:t>
      </w:r>
      <w:r>
        <w:rPr>
          <w:rFonts w:hint="eastAsia"/>
          <w:sz w:val="24"/>
        </w:rPr>
        <w:t>*</w:t>
      </w:r>
      <w:r>
        <w:rPr>
          <w:sz w:val="24"/>
        </w:rPr>
        <w:t>10m</w:t>
      </w:r>
    </w:p>
    <w:p>
      <w:pPr>
        <w:pStyle w:val="67"/>
        <w:spacing w:line="360" w:lineRule="auto"/>
        <w:ind w:firstLine="0" w:firstLineChars="0"/>
        <w:rPr>
          <w:sz w:val="24"/>
        </w:rPr>
      </w:pPr>
      <w:r>
        <w:rPr>
          <w:rFonts w:cs="Calibri"/>
          <w:sz w:val="24"/>
        </w:rPr>
        <w:t>④</w:t>
      </w:r>
      <w:r>
        <w:rPr>
          <w:rFonts w:hint="eastAsia" w:cs="Calibri"/>
          <w:sz w:val="24"/>
        </w:rPr>
        <w:t>总装大线</w:t>
      </w:r>
      <w:r>
        <w:rPr>
          <w:rFonts w:hint="eastAsia"/>
          <w:sz w:val="24"/>
        </w:rPr>
        <w:t xml:space="preserve"> </w:t>
      </w:r>
      <w:r>
        <w:rPr>
          <w:sz w:val="24"/>
        </w:rPr>
        <w:t xml:space="preserve">            长</w:t>
      </w:r>
      <w:r>
        <w:rPr>
          <w:rFonts w:hint="eastAsia"/>
          <w:sz w:val="24"/>
        </w:rPr>
        <w:t>*</w:t>
      </w:r>
      <w:r>
        <w:rPr>
          <w:sz w:val="24"/>
        </w:rPr>
        <w:t>宽</w:t>
      </w:r>
      <w:r>
        <w:rPr>
          <w:rFonts w:hint="eastAsia"/>
          <w:sz w:val="24"/>
        </w:rPr>
        <w:t>=</w:t>
      </w:r>
      <w:r>
        <w:rPr>
          <w:sz w:val="24"/>
        </w:rPr>
        <w:t>270m</w:t>
      </w:r>
      <w:r>
        <w:rPr>
          <w:rFonts w:hint="eastAsia"/>
          <w:sz w:val="24"/>
        </w:rPr>
        <w:t>*</w:t>
      </w:r>
      <w:r>
        <w:rPr>
          <w:sz w:val="24"/>
        </w:rPr>
        <w:t>10m</w:t>
      </w:r>
    </w:p>
    <w:p>
      <w:pPr>
        <w:rPr>
          <w:sz w:val="24"/>
        </w:rPr>
      </w:pPr>
      <w:r>
        <w:rPr>
          <w:rFonts w:hint="eastAsia"/>
          <w:sz w:val="24"/>
        </w:rPr>
        <w:t>区域示意图如下：</w:t>
      </w:r>
    </w:p>
    <w:p>
      <w:pPr>
        <w:pStyle w:val="2"/>
      </w:pPr>
    </w:p>
    <w:p>
      <w:pPr>
        <w:rPr>
          <w:sz w:val="24"/>
        </w:rPr>
      </w:pPr>
    </w:p>
    <w:p>
      <w:pPr>
        <w:pStyle w:val="2"/>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4756150</wp:posOffset>
                </wp:positionH>
                <wp:positionV relativeFrom="paragraph">
                  <wp:posOffset>269875</wp:posOffset>
                </wp:positionV>
                <wp:extent cx="1113790" cy="342900"/>
                <wp:effectExtent l="4445" t="4445" r="9525" b="18415"/>
                <wp:wrapNone/>
                <wp:docPr id="5" name="文本框 5"/>
                <wp:cNvGraphicFramePr/>
                <a:graphic xmlns:a="http://schemas.openxmlformats.org/drawingml/2006/main">
                  <a:graphicData uri="http://schemas.microsoft.com/office/word/2010/wordprocessingShape">
                    <wps:wsp>
                      <wps:cNvSpPr txBox="1"/>
                      <wps:spPr>
                        <a:xfrm>
                          <a:off x="3590925" y="6482080"/>
                          <a:ext cx="1113790"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textAlignment w:val="center"/>
                              <w:rPr>
                                <w:color w:val="FFFFFF" w:themeColor="background1"/>
                                <w:sz w:val="15"/>
                                <w:szCs w:val="15"/>
                                <w14:textFill>
                                  <w14:solidFill>
                                    <w14:schemeClr w14:val="bg1"/>
                                  </w14:solidFill>
                                </w14:textFill>
                              </w:rPr>
                            </w:pPr>
                            <w:r>
                              <w:rPr>
                                <w:rFonts w:hint="eastAsia"/>
                                <w:color w:val="FFFFFF" w:themeColor="background1"/>
                                <w:sz w:val="15"/>
                                <w:szCs w:val="15"/>
                                <w14:textFill>
                                  <w14:solidFill>
                                    <w14:schemeClr w14:val="bg1"/>
                                  </w14:solidFill>
                                </w14:textFill>
                              </w:rPr>
                              <w:t>内饰线区域1  82*10</w:t>
                            </w:r>
                          </w:p>
                          <w:p>
                            <w:pPr>
                              <w:pStyle w:val="2"/>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pt;margin-top:21.25pt;height:27pt;width:87.7pt;z-index:251659264;mso-width-relative:page;mso-height-relative:page;" fillcolor="#5B9BD5 [3204]" filled="t" stroked="t" coordsize="21600,21600" o:gfxdata="UEsFBgAAAAAAAAAAAAAAAAAAAAAAAFBLAwQKAAAAAACHTuJAAAAAAAAAAAAAAAAABAAAAGRycy9Q&#10;SwMEFAAAAAgAh07iQFweVrnXAAAACQEAAA8AAABkcnMvZG93bnJldi54bWxNj0FPhDAQhe8m/odm&#10;TLwYtywWFKTsQaP3RQ8eZ+kIRNoS2oVdf73jSW9v8l7efK/anewoFprD4J2G7SYBQa71ZnCdhve3&#10;l9sHECGiMzh6RxrOFGBXX15UWBq/uj0tTewEl7hQooY+xqmUMrQ9WQwbP5Fj79PPFiOfcyfNjCuX&#10;21GmSZJLi4PjDz1O9NRT+9UcrYa7vf82w+vcrEW2YH7u1M1z+ND6+mqbPIKIdIp/YfjFZ3Someng&#10;j84EMWq4VwVviRpUmoHgQJEqBeLAIs9A1pX8v6D+AVBLAwQUAAAACACHTuJAw40efWgCAADDBAAA&#10;DgAAAGRycy9lMm9Eb2MueG1srVTNbhMxEL4j8Q6W73Q3f20TZVOljYqQKlopIM6O15u1sD3GdrJb&#10;HgDegBMX7jxXn4Oxd9M/OPTAxZnxfPk8883Mzs9archeOC/BFHRwlFMiDIdSmm1BP364fHNKiQ/M&#10;lEyBEQW9FZ6eLV6/mjd2JoZQgyqFI0hi/KyxBa1DsLMs87wWmvkjsMJgsAKnWUDXbbPSsQbZtcqG&#10;eX6cNeBK64AL7/F21QVpz+heQghVJblYAd9pYULH6oRiAUvytbSeLlK2VSV4uK4qLwJRBcVKQzrx&#10;EbQ38cwWczbbOmZryfsU2EtSeFaTZtLgo/dUKxYY2Tn5F5WW3IGHKhxx0FlXSFIEqxjkz7RZ18yK&#10;VAtK7e296P7/0fL3+xtHZFnQCSWGaWz43Y/vdz9/3/36RiZRnsb6GaLWFnGhPYcWh+Zw7/EyVt1W&#10;TsdfrIdgfDSZ5tMhEt4W9Hh8OsxPe6FFGwiPBIPB6GSKPeCIGI2H0zwBsgcm63x4K0CTaBTUYSOT&#10;vmx/5QNmhdADJD7sQcnyUiqVHLfdXChH9gybPjmfnq9SIfiXJzBlSIP5jSZ5Yn4Si9z3FBvF+OdY&#10;8lMG9JTByyhQJ0S0Qrtpe9U2UN6iaA66qfOWX0rkvWI+3DCHY4YC4CKGazwqBZgM9BYlNbiv/7qP&#10;eOw+RilpcGwL6r/smBOUqHcG52I6GI/jnCdnPDkZouMeRzaPI2anLwBFGuDKW57MiA/qYFYO9Cfc&#10;12V8FUPMcHy7oOFgXoRumXDfuVguEwgn27JwZdaWR+rYEgPLXYBKptZFmTptevVwtpO4/R7G5Xns&#10;J9TDt2f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FweVrnXAAAACQEAAA8AAAAAAAAAAQAgAAAA&#10;OAAAAGRycy9kb3ducmV2LnhtbFBLAQIUABQAAAAIAIdO4kDDjR59aAIAAMMEAAAOAAAAAAAAAAEA&#10;IAAAADwBAABkcnMvZTJvRG9jLnhtbFBLBQYAAAAABgAGAFkBAAAWBgAAAAA=&#10;">
                <v:fill on="t" focussize="0,0"/>
                <v:stroke weight="0.5pt" color="#000000 [3204]" joinstyle="round"/>
                <v:imagedata o:title=""/>
                <o:lock v:ext="edit" aspectratio="f"/>
                <v:textbox>
                  <w:txbxContent>
                    <w:p>
                      <w:pPr>
                        <w:jc w:val="left"/>
                        <w:textAlignment w:val="center"/>
                        <w:rPr>
                          <w:color w:val="FFFFFF" w:themeColor="background1"/>
                          <w:sz w:val="15"/>
                          <w:szCs w:val="15"/>
                          <w14:textFill>
                            <w14:solidFill>
                              <w14:schemeClr w14:val="bg1"/>
                            </w14:solidFill>
                          </w14:textFill>
                        </w:rPr>
                      </w:pPr>
                      <w:r>
                        <w:rPr>
                          <w:rFonts w:hint="eastAsia"/>
                          <w:color w:val="FFFFFF" w:themeColor="background1"/>
                          <w:sz w:val="15"/>
                          <w:szCs w:val="15"/>
                          <w14:textFill>
                            <w14:solidFill>
                              <w14:schemeClr w14:val="bg1"/>
                            </w14:solidFill>
                          </w14:textFill>
                        </w:rPr>
                        <w:t>内饰线区域1  82*10</w:t>
                      </w:r>
                    </w:p>
                    <w:p>
                      <w:pPr>
                        <w:pStyle w:val="2"/>
                        <w:rPr>
                          <w:sz w:val="16"/>
                          <w:szCs w:val="16"/>
                        </w:rPr>
                      </w:pPr>
                    </w:p>
                  </w:txbxContent>
                </v:textbox>
              </v:shape>
            </w:pict>
          </mc:Fallback>
        </mc:AlternateContent>
      </w:r>
    </w:p>
    <w:p/>
    <w:p/>
    <w:p>
      <w:pPr>
        <w:pStyle w:val="2"/>
      </w:pPr>
      <w:r>
        <w:rPr>
          <w:sz w:val="24"/>
        </w:rPr>
        <mc:AlternateContent>
          <mc:Choice Requires="wps">
            <w:drawing>
              <wp:anchor distT="0" distB="0" distL="114300" distR="114300" simplePos="0" relativeHeight="251661312" behindDoc="0" locked="0" layoutInCell="1" allowOverlap="1">
                <wp:simplePos x="0" y="0"/>
                <wp:positionH relativeFrom="column">
                  <wp:posOffset>4010025</wp:posOffset>
                </wp:positionH>
                <wp:positionV relativeFrom="paragraph">
                  <wp:posOffset>33655</wp:posOffset>
                </wp:positionV>
                <wp:extent cx="1898015" cy="342900"/>
                <wp:effectExtent l="4445" t="5080" r="17780" b="17780"/>
                <wp:wrapNone/>
                <wp:docPr id="7" name="文本框 7"/>
                <wp:cNvGraphicFramePr/>
                <a:graphic xmlns:a="http://schemas.openxmlformats.org/drawingml/2006/main">
                  <a:graphicData uri="http://schemas.microsoft.com/office/word/2010/wordprocessingShape">
                    <wps:wsp>
                      <wps:cNvSpPr txBox="1"/>
                      <wps:spPr>
                        <a:xfrm>
                          <a:off x="0" y="0"/>
                          <a:ext cx="1898015"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内饰线区域2    154*10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75pt;margin-top:2.65pt;height:27pt;width:149.45pt;z-index:251661312;mso-width-relative:page;mso-height-relative:page;" fillcolor="#5B9BD5 [3204]" filled="t" stroked="t" coordsize="21600,21600" o:gfxdata="UEsFBgAAAAAAAAAAAAAAAAAAAAAAAFBLAwQKAAAAAACHTuJAAAAAAAAAAAAAAAAABAAAAGRycy9Q&#10;SwMEFAAAAAgAh07iQGjWRvnVAAAACAEAAA8AAABkcnMvZG93bnJldi54bWxNjzFPwzAUhHck/oP1&#10;kFgQtYObiIQ4HUCwN2VgfI1NEhHbke0mLb+exwTj6U5339W7s53YYkIcvVOQbQQw4zqvR9creD+8&#10;3j8Ciwmdxsk7o+BiIuya66saK+1XtzdLm3pGJS5WqGBIaa44j91gLMaNn40j79MHi4lk6LkOuFK5&#10;nfiDEAW3ODpaGHA2z4PpvtqTVSD3/luPb6Fdy3zB4tJv717ih1K3N5l4ApbMOf2F4Ref0KEhpqM/&#10;OR3ZpKCQWU5RBbkERn4pxRbYkXQpgTc1/3+g+QFQSwMEFAAAAAgAh07iQKZSi3VeAgAAtwQAAA4A&#10;AABkcnMvZTJvRG9jLnhtbK1UzW7bMAy+D9g7CLqvdtKkTYI4Rdqgw4BiLZANOyuyHAuTRE1SYncP&#10;sL7BTrvsvufqc4ySk/Rvhx52kUmR+kh+JD09a7UiW+G8BFPQ3lFOiTAcSmnWBf386fLdiBIfmCmZ&#10;AiMKeis8PZu9fTNt7ET0oQZVCkcQxPhJYwtah2AnWeZ5LTTzR2CFQWMFTrOAqltnpWMNomuV9fP8&#10;JGvAldYBF97j7aIz0h2iew0gVJXkYgF8o4UJHaoTigUsydfSejpL2VaV4OG6qrwIRBUUKw3pxCAo&#10;r+KZzaZssnbM1pLvUmCvSeFZTZpJg0EPUAsWGNk4+QJKS+7AQxWOOOisKyQxglX08mfcLGtmRaoF&#10;qfb2QLr/f7D84/bGEVkW9JQSwzQ2/P7n3f2vP/e/f5DTSE9j/QS9lhb9QnsOLQ7N/t7jZay6rZyO&#10;X6yHoB3JvT2QK9pAeHw0Go/y3pASjrbjQX+cJ/azh9fW+fBegCZRKKjD5iVO2fbKB8wEXfcuMZgH&#10;JctLqVRS3Hp1oRzZMmz08Hx8vhjGJPHJEzdlSFPQk+NhnpCf2CL2AWKlGP/6EgHxlEHYSEpXfJRC&#10;u2p3TK2gvEWiHHST5i2/lIh7xXy4YQ5HC7nB5QvXeFQKMBnYSZTU4L7/6z76Y8fRSkmDo1pQ/23D&#10;nKBEfTA4C+PeYBBnOymD4WkfFffYsnpsMRt9AUhSD9fc8iRG/6D2YuVAf8EdnceoaGKGY+yChr14&#10;EboFwh3nYj5PTjjNloUrs7Q8QseWGJhvAlQytS7S1HGzYw/nObVnt3txYR7ryevhfzP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GjWRvnVAAAACAEAAA8AAAAAAAAAAQAgAAAAOAAAAGRycy9kb3du&#10;cmV2LnhtbFBLAQIUABQAAAAIAIdO4kCmUot1XgIAALcEAAAOAAAAAAAAAAEAIAAAADoBAABkcnMv&#10;ZTJvRG9jLnhtbFBLBQYAAAAABgAGAFkBAAAKBg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内饰线区域2    154*10</w:t>
                      </w:r>
                    </w:p>
                    <w:p>
                      <w:pPr>
                        <w:pStyle w:val="2"/>
                      </w:pPr>
                    </w:p>
                  </w:txbxContent>
                </v:textbox>
              </v:shape>
            </w:pict>
          </mc:Fallback>
        </mc:AlternateContent>
      </w:r>
    </w:p>
    <w:p/>
    <w:p>
      <w:pPr>
        <w:pStyle w:val="2"/>
      </w:pPr>
      <w:r>
        <w:rPr>
          <w:sz w:val="24"/>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56515</wp:posOffset>
                </wp:positionV>
                <wp:extent cx="2342515" cy="342900"/>
                <wp:effectExtent l="4445" t="4445" r="15240" b="18415"/>
                <wp:wrapNone/>
                <wp:docPr id="6" name="文本框 6"/>
                <wp:cNvGraphicFramePr/>
                <a:graphic xmlns:a="http://schemas.openxmlformats.org/drawingml/2006/main">
                  <a:graphicData uri="http://schemas.microsoft.com/office/word/2010/wordprocessingShape">
                    <wps:wsp>
                      <wps:cNvSpPr txBox="1"/>
                      <wps:spPr>
                        <a:xfrm>
                          <a:off x="0" y="0"/>
                          <a:ext cx="2342515"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预装线    145*10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5pt;margin-top:4.45pt;height:27pt;width:184.45pt;z-index:251660288;mso-width-relative:page;mso-height-relative:page;" fillcolor="#5B9BD5 [3204]" filled="t" stroked="t" coordsize="21600,21600" o:gfxdata="UEsFBgAAAAAAAAAAAAAAAAAAAAAAAFBLAwQKAAAAAACHTuJAAAAAAAAAAAAAAAAABAAAAGRycy9Q&#10;SwMEFAAAAAgAh07iQLLBo9nVAAAABwEAAA8AAABkcnMvZG93bnJldi54bWxNjsFOwzAQRO9I/IO1&#10;SFwQdZrQqEmz6QEE9wYOHLexm0TE68h2k5avx5zgOJrRm1ftL2YUs3Z+sIywXiUgNLdWDdwhfLy/&#10;Pm5B+ECsaLSsEa7aw76+vamoVHbhg56b0IkIYV8SQh/CVErp214b8is7aY7dyTpDIUbXSeVoiXAz&#10;yjRJcmlo4PjQ06Sfe91+NWeDkB3stxreXLMUm5nya/f08OI/Ee/v1skORNCX8DeGX/2oDnV0Otoz&#10;Ky9GhDTP4hJhW4CIdVZsUhBHhDwtQNaV/O9f/wBQSwMEFAAAAAgAh07iQERc5q9bAgAAtwQAAA4A&#10;AABkcnMvZTJvRG9jLnhtbK1UzW4TMRC+I/EOlu90kzQpNOqmShsVIVW0UkGcHa83a+E/bCe75QHg&#10;DThx4c5z9Tn47E3S0nLogYszf/vNzDczOTnttCIb4YO0pqTDgwElwnBbSbMq6ccPF6/eUBIiMxVT&#10;1oiS3opAT2cvX5y0bipGtrGqEp4AxIRp60raxOimRRF4IzQLB9YJA2dtvWYRql8VlWct0LUqRoPB&#10;UdFaXzlvuQgB1kXvpFtE/xxAW9eSi4Xlay1M7FG9UCyipdBIF+gsV1vXgserug4iElVSdBrziySQ&#10;l+ktZidsuvLMNZJvS2DPKeFRT5pJg6R7qAWLjKy9fAKlJfc22DoecKuLvpHMCLoYDh5xc9MwJ3Iv&#10;oDq4Penh/8Hy95trT2RV0iNKDNMY+N2P73c/f9/9+kaOEj2tC1NE3TjExe7MdlianT3AmLruaq/T&#10;L/oh8IPc2z25oouEwzg6HI8mwwklHD7Ix4PMfnH/tfMhvhVWkySU1GN4mVO2uQwRlSB0F5KSBatk&#10;dSGVyopfLc+VJxuGQU/Ojs8Wk1QkPvkrTBnSotXDySAj/+VL2HuIpWL881ME4CkD2ERK33ySYrfs&#10;tkwtbXULorztNy04fiGBe8lCvGYeqwVucHzxCk+tLIqxW4mSxvqv/7KneEwcXkparGpJw5c184IS&#10;9c5gF46H43Ha7ayMJ69HUPxDz/Khx6z1uQVJQ5y541lM8VHtxNpb/Qk3Ok9Z4WKGI3dJ4048j/0B&#10;4ca5mM9zELbZsXhpbhxP0Gkkxs7X0dYyjy7R1HOzZQ/7nMezvb10MA/1HHX/fzP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LLBo9nVAAAABwEAAA8AAAAAAAAAAQAgAAAAOAAAAGRycy9kb3ducmV2&#10;LnhtbFBLAQIUABQAAAAIAIdO4kBEXOavWwIAALcEAAAOAAAAAAAAAAEAIAAAADoBAABkcnMvZTJv&#10;RG9jLnhtbFBLBQYAAAAABgAGAFkBAAAHBg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预装线    145*10</w:t>
                      </w:r>
                    </w:p>
                    <w:p>
                      <w:pPr>
                        <w:pStyle w:val="2"/>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2616835</wp:posOffset>
                </wp:positionH>
                <wp:positionV relativeFrom="paragraph">
                  <wp:posOffset>48895</wp:posOffset>
                </wp:positionV>
                <wp:extent cx="3336925" cy="335280"/>
                <wp:effectExtent l="4445" t="4445" r="11430" b="10795"/>
                <wp:wrapNone/>
                <wp:docPr id="8" name="文本框 8"/>
                <wp:cNvGraphicFramePr/>
                <a:graphic xmlns:a="http://schemas.openxmlformats.org/drawingml/2006/main">
                  <a:graphicData uri="http://schemas.microsoft.com/office/word/2010/wordprocessingShape">
                    <wps:wsp>
                      <wps:cNvSpPr txBox="1"/>
                      <wps:spPr>
                        <a:xfrm>
                          <a:off x="0" y="0"/>
                          <a:ext cx="3336925" cy="33528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总装大线    270*10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05pt;margin-top:3.85pt;height:26.4pt;width:262.75pt;z-index:251662336;mso-width-relative:page;mso-height-relative:page;" fillcolor="#5B9BD5 [3204]" filled="t" stroked="t" coordsize="21600,21600" o:gfxdata="UEsFBgAAAAAAAAAAAAAAAAAAAAAAAFBLAwQKAAAAAACHTuJAAAAAAAAAAAAAAAAABAAAAGRycy9Q&#10;SwMEFAAAAAgAh07iQKHzYAbXAAAACAEAAA8AAABkcnMvZG93bnJldi54bWxNj81OwzAQhO9IvIO1&#10;SFxQ66Q/SRuy6QEE9wYOHN14SSLidWS7ScvTY05wHM1o5pvycDGDmMj53jJCukxAEDdW99wivL+9&#10;LHYgfFCs1WCZEK7k4VDd3pSq0HbmI011aEUsYV8ohC6EsZDSNx0Z5Zd2JI7ep3VGhShdK7VTcyw3&#10;g1wlSSaN6jkudGqkp46ar/psENZH+637V1fP++2ksmu7eXj2H4j3d2nyCCLQJfyF4Rc/okMVmU72&#10;zNqLAWGTrtIYRchzENHfr/MMxAkhS7Ygq1L+P1D9AFBLAwQUAAAACACHTuJAYy9xX10CAAC3BAAA&#10;DgAAAGRycy9lMm9Eb2MueG1srVTNbhoxEL5X6jtYvpflJ1CCWCISRFUpaiLRqmfj9bJWbY9rG3bp&#10;A7Rv0FMvvfe58hwde4H89ZBDL2b+9puZb2aYXjRakZ1wXoLJaa/TpUQYDoU0m5x++rh8M6bEB2YK&#10;psCInO6Fpxez16+mtZ2IPlSgCuEIghg/qW1OqxDsJMs8r4RmvgNWGHSW4DQLqLpNVjhWI7pWWb/b&#10;HWU1uMI64MJ7tC5aJz0gupcAQllKLhbAt1qY0KI6oVjAlnwlraezVG1ZCh5uytKLQFROsdOQXkyC&#10;8jq+2WzKJhvHbCX5oQT2khKe9KSZNJj0BLVggZGtk8+gtOQOPJShw0FnbSOJEeyi133CzapiVqRe&#10;kGpvT6T7/wfLP+xuHZFFTnHshmkc+N3PH3e//tz9/k7GkZ7a+glGrSzGheYSGlyao92jMXbdlE7H&#10;X+yHoB/J3Z/IFU0gHI2DwWB03h9SwtE3GAz748R+dv+1dT68E6BJFHLqcHiJU7a79gErwdBjSEzm&#10;QcliKZVKitusr5QjO4aDHl6eXy6GsUj85FGYMqTO6Wgw7CbkR76IfYJYK8a/PEdAPGUQNpLSNh+l&#10;0KybA1NrKPZIlIN207zlS4m418yHW+ZwtZAbPL5wg0+pAIuBg0RJBe7bv+wxHieOXkpqXNWc+q9b&#10;5gQl6r3BXTjvnZ3F3U7K2fBtHxX30LN+6DFbfQVIUg/P3PIkxvigjmLpQH/GG53HrOhihmPunIaj&#10;eBXaA8Ib52I+T0G4zZaFa7OyPELHkRiYbwOUMo0u0tRyc2AP9zmN53B78WAe6inq/v9m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h82AG1wAAAAgBAAAPAAAAAAAAAAEAIAAAADgAAABkcnMvZG93&#10;bnJldi54bWxQSwECFAAUAAAACACHTuJAYy9xX10CAAC3BAAADgAAAAAAAAABACAAAAA8AQAAZHJz&#10;L2Uyb0RvYy54bWxQSwUGAAAAAAYABgBZAQAACwY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总装大线    270*10</w:t>
                      </w:r>
                    </w:p>
                    <w:p>
                      <w:pPr>
                        <w:pStyle w:val="2"/>
                      </w:pPr>
                    </w:p>
                  </w:txbxContent>
                </v:textbox>
              </v:shape>
            </w:pict>
          </mc:Fallback>
        </mc:AlternateContent>
      </w:r>
    </w:p>
    <w:p/>
    <w:p>
      <w:pPr>
        <w:pStyle w:val="2"/>
      </w:pPr>
    </w:p>
    <w:p/>
    <w:p>
      <w:pPr>
        <w:pStyle w:val="2"/>
      </w:pPr>
    </w:p>
    <w:p>
      <w:pPr>
        <w:pStyle w:val="67"/>
        <w:snapToGrid w:val="0"/>
        <w:spacing w:before="50" w:after="50"/>
        <w:ind w:firstLine="0" w:firstLineChars="0"/>
        <w:rPr>
          <w:rFonts w:ascii="宋体" w:hAnsi="宋体" w:eastAsia="宋体" w:cs="宋体"/>
          <w:sz w:val="24"/>
        </w:rPr>
      </w:pPr>
    </w:p>
    <w:p>
      <w:pPr>
        <w:pStyle w:val="64"/>
        <w:keepNext w:val="0"/>
        <w:widowControl/>
        <w:numPr>
          <w:ilvl w:val="1"/>
          <w:numId w:val="22"/>
        </w:numPr>
        <w:tabs>
          <w:tab w:val="left" w:pos="0"/>
        </w:tabs>
        <w:ind w:left="0"/>
        <w:rPr>
          <w:rFonts w:ascii="宋体" w:hAnsi="宋体" w:cs="宋体"/>
        </w:rPr>
      </w:pPr>
      <w:bookmarkStart w:id="75" w:name="_Toc9337"/>
      <w:r>
        <w:rPr>
          <w:rFonts w:hint="eastAsia" w:ascii="宋体" w:hAnsi="宋体" w:cs="宋体"/>
        </w:rPr>
        <w:t>项目进度</w:t>
      </w:r>
      <w:bookmarkEnd w:id="75"/>
    </w:p>
    <w:p>
      <w:pPr>
        <w:snapToGrid w:val="0"/>
        <w:spacing w:before="50" w:after="50" w:line="360" w:lineRule="auto"/>
        <w:ind w:firstLine="420"/>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按照邀标人的具体安排执行。济南商用车制造公司需在中标通知之日起30个日历日内完成，接续50个日历日完成济南轻卡制造公司及济宁商用车公司。</w:t>
      </w:r>
    </w:p>
    <w:p>
      <w:pPr>
        <w:pStyle w:val="64"/>
        <w:keepNext w:val="0"/>
        <w:widowControl/>
        <w:numPr>
          <w:ilvl w:val="1"/>
          <w:numId w:val="22"/>
        </w:numPr>
        <w:tabs>
          <w:tab w:val="left" w:pos="0"/>
        </w:tabs>
        <w:ind w:left="0"/>
        <w:rPr>
          <w:rFonts w:ascii="宋体" w:hAnsi="宋体" w:cs="宋体"/>
        </w:rPr>
      </w:pPr>
      <w:bookmarkStart w:id="76" w:name="_Toc64273275"/>
      <w:bookmarkStart w:id="77" w:name="_Toc13722"/>
      <w:r>
        <w:rPr>
          <w:rFonts w:hint="eastAsia" w:ascii="宋体" w:hAnsi="宋体" w:cs="宋体"/>
        </w:rPr>
        <w:t>项目技术小组</w:t>
      </w:r>
      <w:bookmarkEnd w:id="76"/>
      <w:bookmarkEnd w:id="77"/>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sz w:val="24"/>
        </w:rPr>
        <w:t>投标时投标人</w:t>
      </w:r>
      <w:r>
        <w:rPr>
          <w:rFonts w:hint="eastAsia" w:ascii="宋体" w:hAnsi="宋体" w:eastAsia="宋体" w:cs="宋体"/>
          <w:kern w:val="0"/>
          <w:sz w:val="24"/>
        </w:rPr>
        <w:t>需</w:t>
      </w:r>
      <w:r>
        <w:rPr>
          <w:rFonts w:hint="eastAsia" w:ascii="宋体" w:hAnsi="宋体" w:eastAsia="宋体"/>
          <w:sz w:val="24"/>
        </w:rPr>
        <w:t>指定项目经理，驻场</w:t>
      </w:r>
      <w:r>
        <w:rPr>
          <w:rFonts w:hint="eastAsia" w:ascii="宋体" w:hAnsi="宋体" w:eastAsia="宋体" w:cs="宋体"/>
          <w:kern w:val="0"/>
          <w:sz w:val="24"/>
        </w:rPr>
        <w:t>实施团队10人，</w:t>
      </w:r>
      <w:r>
        <w:rPr>
          <w:rFonts w:hint="eastAsia" w:ascii="宋体" w:hAnsi="宋体" w:eastAsia="宋体"/>
          <w:sz w:val="24"/>
        </w:rPr>
        <w:t>且</w:t>
      </w:r>
      <w:r>
        <w:rPr>
          <w:rFonts w:hint="eastAsia" w:ascii="宋体" w:hAnsi="宋体" w:eastAsia="宋体" w:cs="宋体"/>
          <w:kern w:val="0"/>
          <w:sz w:val="24"/>
        </w:rPr>
        <w:t>须全程参与本次项目，不得随意变动，如确需变动，须提出书面申请并征得采购人同意方可变更。</w:t>
      </w:r>
    </w:p>
    <w:p>
      <w:pPr>
        <w:pStyle w:val="64"/>
        <w:keepNext w:val="0"/>
        <w:widowControl/>
        <w:tabs>
          <w:tab w:val="left" w:pos="0"/>
        </w:tabs>
        <w:ind w:left="0"/>
        <w:rPr>
          <w:rFonts w:ascii="宋体" w:hAnsi="宋体" w:cs="宋体"/>
        </w:rPr>
      </w:pPr>
      <w:bookmarkStart w:id="78" w:name="_Toc26167"/>
      <w:r>
        <w:rPr>
          <w:rFonts w:hint="eastAsia" w:ascii="宋体" w:hAnsi="宋体" w:cs="宋体"/>
        </w:rPr>
        <w:t>项目技术要求</w:t>
      </w:r>
      <w:bookmarkEnd w:id="78"/>
      <w:bookmarkStart w:id="79" w:name="_Toc48823744"/>
      <w:bookmarkStart w:id="80" w:name="_Toc519161988"/>
    </w:p>
    <w:bookmarkEnd w:id="79"/>
    <w:bookmarkEnd w:id="80"/>
    <w:p>
      <w:pPr>
        <w:pStyle w:val="78"/>
        <w:ind w:firstLineChars="0"/>
        <w:rPr>
          <w:iCs/>
        </w:rPr>
      </w:pPr>
      <w:r>
        <w:rPr>
          <w:rFonts w:hint="eastAsia"/>
          <w:iCs/>
        </w:rPr>
        <w:t>本项目的服务内容详细技术要求如下：</w:t>
      </w:r>
    </w:p>
    <w:p>
      <w:pPr>
        <w:spacing w:line="360" w:lineRule="auto"/>
        <w:ind w:firstLine="420" w:firstLineChars="200"/>
        <w:rPr>
          <w:rFonts w:ascii="宋体" w:hAnsi="宋体"/>
          <w:szCs w:val="21"/>
        </w:rPr>
      </w:pPr>
      <w:r>
        <w:rPr>
          <w:rFonts w:ascii="宋体" w:hAnsi="宋体"/>
          <w:szCs w:val="21"/>
        </w:rPr>
        <w:drawing>
          <wp:inline distT="0" distB="0" distL="114300" distR="114300">
            <wp:extent cx="5194935" cy="2728595"/>
            <wp:effectExtent l="0" t="0" r="190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194935" cy="2728595"/>
                    </a:xfrm>
                    <a:prstGeom prst="rect">
                      <a:avLst/>
                    </a:prstGeom>
                    <a:noFill/>
                    <a:ln>
                      <a:noFill/>
                    </a:ln>
                  </pic:spPr>
                </pic:pic>
              </a:graphicData>
            </a:graphic>
          </wp:inline>
        </w:drawing>
      </w:r>
    </w:p>
    <w:p>
      <w:pPr>
        <w:spacing w:line="360" w:lineRule="auto"/>
        <w:ind w:firstLine="480" w:firstLineChars="200"/>
        <w:rPr>
          <w:rFonts w:ascii="宋体" w:hAnsi="宋体"/>
          <w:sz w:val="24"/>
        </w:rPr>
      </w:pPr>
      <w:r>
        <w:rPr>
          <w:rFonts w:hint="eastAsia" w:ascii="宋体" w:hAnsi="宋体"/>
          <w:sz w:val="24"/>
        </w:rPr>
        <w:t>通过生产车辆与UWB标签的绑定，结合生产线部署的UWB定位基站，实现生产过程中车辆的实时位置信息上报，并打通与MES/ERP系统的对接，实现MES/ERP系统对生产过程的跟踪及监控。生产过程车辆的位置数据可通过可视化的方式进行展示和查询。</w:t>
      </w:r>
    </w:p>
    <w:p>
      <w:pPr>
        <w:spacing w:line="360" w:lineRule="auto"/>
        <w:ind w:firstLine="480" w:firstLineChars="200"/>
        <w:rPr>
          <w:rFonts w:ascii="宋体" w:hAnsi="宋体"/>
          <w:sz w:val="24"/>
        </w:rPr>
      </w:pPr>
      <w:r>
        <w:rPr>
          <w:rFonts w:hint="eastAsia" w:ascii="宋体" w:hAnsi="宋体"/>
          <w:sz w:val="24"/>
        </w:rPr>
        <w:t>通过设定相应的电子围栏区域，获取生产车辆的过点信息，并实时上报给到MES/ERP系统。结合MES/ERP系统的工艺数据，可通过现场可视化屏幕提示对应车型的装配零件，提高作业工人的工作效率，防止错装漏装的情况发生。</w:t>
      </w:r>
    </w:p>
    <w:p>
      <w:pPr>
        <w:pStyle w:val="5"/>
        <w:spacing w:before="120" w:after="120" w:line="360" w:lineRule="auto"/>
        <w:rPr>
          <w:sz w:val="28"/>
          <w:szCs w:val="28"/>
        </w:rPr>
      </w:pPr>
      <w:bookmarkStart w:id="81" w:name="_Toc87820182"/>
      <w:bookmarkStart w:id="82" w:name="_Toc3662"/>
      <w:r>
        <w:rPr>
          <w:rFonts w:hint="eastAsia"/>
          <w:sz w:val="28"/>
          <w:szCs w:val="28"/>
        </w:rPr>
        <w:t>9.5.1车辆定位与识别</w:t>
      </w:r>
      <w:bookmarkEnd w:id="81"/>
      <w:bookmarkEnd w:id="82"/>
    </w:p>
    <w:p>
      <w:pPr>
        <w:spacing w:line="360" w:lineRule="auto"/>
        <w:rPr>
          <w:b/>
          <w:sz w:val="24"/>
        </w:rPr>
      </w:pPr>
      <w:r>
        <w:rPr>
          <w:rFonts w:hint="eastAsia"/>
          <w:b/>
          <w:sz w:val="24"/>
        </w:rPr>
        <w:t>9.5.1.1</w:t>
      </w:r>
      <w:r>
        <w:rPr>
          <w:b/>
          <w:sz w:val="24"/>
        </w:rPr>
        <w:t>.标签绑定</w:t>
      </w:r>
    </w:p>
    <w:p>
      <w:pPr>
        <w:spacing w:line="360" w:lineRule="auto"/>
        <w:ind w:left="213" w:firstLine="240" w:firstLineChars="100"/>
        <w:rPr>
          <w:sz w:val="24"/>
        </w:rPr>
      </w:pPr>
      <w:r>
        <w:rPr>
          <w:rFonts w:hint="eastAsia"/>
          <w:sz w:val="24"/>
        </w:rPr>
        <w:t>1）定位系统应具备将定位标签划分为绑定状态和空闲标签状态，便于系统区别统计。</w:t>
      </w:r>
    </w:p>
    <w:p>
      <w:pPr>
        <w:spacing w:line="360" w:lineRule="auto"/>
        <w:ind w:firstLine="480" w:firstLineChars="200"/>
        <w:rPr>
          <w:sz w:val="24"/>
        </w:rPr>
      </w:pPr>
      <w:r>
        <w:rPr>
          <w:sz w:val="24"/>
        </w:rPr>
        <w:t>2</w:t>
      </w:r>
      <w:r>
        <w:rPr>
          <w:rFonts w:hint="eastAsia"/>
          <w:sz w:val="24"/>
        </w:rPr>
        <w:t>）</w:t>
      </w:r>
      <w:r>
        <w:rPr>
          <w:sz w:val="24"/>
        </w:rPr>
        <w:t>在标签进行绑定</w:t>
      </w:r>
      <w:r>
        <w:rPr>
          <w:rFonts w:hint="eastAsia"/>
          <w:sz w:val="24"/>
        </w:rPr>
        <w:t>时，支持人工扫码、触发电子围栏自动绑定两种方式。将定位标签与车辆信息进行绑定后，将定位标签状态设置为绑定状态。</w:t>
      </w:r>
    </w:p>
    <w:p>
      <w:pPr>
        <w:spacing w:line="360" w:lineRule="auto"/>
        <w:rPr>
          <w:b/>
          <w:sz w:val="24"/>
        </w:rPr>
      </w:pPr>
      <w:r>
        <w:rPr>
          <w:rFonts w:hint="eastAsia"/>
          <w:b/>
          <w:sz w:val="24"/>
        </w:rPr>
        <w:t>9.5.1.</w:t>
      </w:r>
      <w:r>
        <w:rPr>
          <w:b/>
          <w:sz w:val="24"/>
        </w:rPr>
        <w:t>2. 标签定位</w:t>
      </w:r>
    </w:p>
    <w:p>
      <w:pPr>
        <w:spacing w:line="360" w:lineRule="auto"/>
        <w:ind w:firstLine="480" w:firstLineChars="200"/>
        <w:rPr>
          <w:sz w:val="24"/>
        </w:rPr>
      </w:pPr>
      <w:r>
        <w:rPr>
          <w:sz w:val="24"/>
        </w:rPr>
        <w:t>1</w:t>
      </w:r>
      <w:r>
        <w:rPr>
          <w:rFonts w:hint="eastAsia"/>
          <w:sz w:val="24"/>
        </w:rPr>
        <w:t>）当进行标签定位时，定位系统应只对绑定状态的标签进行跟踪和处理，避免空标签对系统运行进行干扰。</w:t>
      </w:r>
    </w:p>
    <w:p>
      <w:pPr>
        <w:spacing w:line="360" w:lineRule="auto"/>
        <w:ind w:firstLine="480" w:firstLineChars="200"/>
        <w:rPr>
          <w:sz w:val="24"/>
        </w:rPr>
      </w:pPr>
      <w:r>
        <w:rPr>
          <w:sz w:val="24"/>
        </w:rPr>
        <w:t>2</w:t>
      </w:r>
      <w:r>
        <w:rPr>
          <w:rFonts w:hint="eastAsia"/>
          <w:sz w:val="24"/>
        </w:rPr>
        <w:t>）定位精度：</w:t>
      </w:r>
      <w:r>
        <w:rPr>
          <w:sz w:val="24"/>
        </w:rPr>
        <w:t>定位标签的实际物理位置和系统识别的物理位置</w:t>
      </w:r>
      <w:r>
        <w:rPr>
          <w:rFonts w:hint="eastAsia"/>
          <w:sz w:val="24"/>
        </w:rPr>
        <w:t>偏差≤0.3m。</w:t>
      </w:r>
    </w:p>
    <w:p>
      <w:pPr>
        <w:spacing w:line="360" w:lineRule="auto"/>
        <w:ind w:left="964" w:hanging="961" w:hangingChars="400"/>
        <w:rPr>
          <w:b/>
          <w:sz w:val="24"/>
        </w:rPr>
      </w:pPr>
      <w:r>
        <w:rPr>
          <w:rFonts w:hint="eastAsia"/>
          <w:b/>
          <w:sz w:val="24"/>
        </w:rPr>
        <w:t>9.5.1.</w:t>
      </w:r>
      <w:r>
        <w:rPr>
          <w:b/>
          <w:sz w:val="24"/>
        </w:rPr>
        <w:t>3. 标签解绑</w:t>
      </w:r>
    </w:p>
    <w:p>
      <w:pPr>
        <w:spacing w:line="360" w:lineRule="auto"/>
        <w:ind w:left="480" w:hanging="480" w:hangingChars="200"/>
        <w:rPr>
          <w:sz w:val="24"/>
        </w:rPr>
      </w:pPr>
      <w:r>
        <w:rPr>
          <w:rFonts w:hint="eastAsia"/>
          <w:sz w:val="24"/>
        </w:rPr>
        <w:t xml:space="preserve"> </w:t>
      </w:r>
      <w:r>
        <w:rPr>
          <w:sz w:val="24"/>
        </w:rPr>
        <w:t xml:space="preserve">   </w:t>
      </w:r>
      <w:r>
        <w:rPr>
          <w:rFonts w:hint="eastAsia"/>
          <w:sz w:val="24"/>
        </w:rPr>
        <w:t>1）</w:t>
      </w:r>
      <w:r>
        <w:rPr>
          <w:sz w:val="24"/>
        </w:rPr>
        <w:t>在标签离开跟踪区域时</w:t>
      </w:r>
      <w:r>
        <w:rPr>
          <w:rFonts w:hint="eastAsia"/>
          <w:sz w:val="24"/>
        </w:rPr>
        <w:t>，</w:t>
      </w:r>
      <w:r>
        <w:rPr>
          <w:sz w:val="24"/>
        </w:rPr>
        <w:t>可手动</w:t>
      </w:r>
      <w:r>
        <w:rPr>
          <w:rFonts w:hint="eastAsia"/>
          <w:sz w:val="24"/>
        </w:rPr>
        <w:t>和</w:t>
      </w:r>
      <w:r>
        <w:rPr>
          <w:sz w:val="24"/>
        </w:rPr>
        <w:t>自动解绑标签ID与车辆的绑定关系</w:t>
      </w:r>
      <w:r>
        <w:rPr>
          <w:rFonts w:hint="eastAsia"/>
          <w:sz w:val="24"/>
        </w:rPr>
        <w:t>，</w:t>
      </w:r>
      <w:r>
        <w:rPr>
          <w:sz w:val="24"/>
        </w:rPr>
        <w:t>并</w:t>
      </w:r>
    </w:p>
    <w:p>
      <w:pPr>
        <w:spacing w:line="360" w:lineRule="auto"/>
        <w:ind w:left="480" w:hanging="480" w:hangingChars="200"/>
        <w:rPr>
          <w:sz w:val="24"/>
        </w:rPr>
      </w:pPr>
      <w:r>
        <w:rPr>
          <w:sz w:val="24"/>
        </w:rPr>
        <w:t>将标签状态设置为空标签状态</w:t>
      </w:r>
      <w:r>
        <w:rPr>
          <w:rFonts w:hint="eastAsia"/>
          <w:sz w:val="24"/>
        </w:rPr>
        <w:t>。</w:t>
      </w:r>
    </w:p>
    <w:p>
      <w:pPr>
        <w:numPr>
          <w:ilvl w:val="0"/>
          <w:numId w:val="23"/>
        </w:numPr>
        <w:spacing w:line="360" w:lineRule="auto"/>
        <w:ind w:left="479" w:leftChars="228"/>
        <w:rPr>
          <w:sz w:val="24"/>
        </w:rPr>
      </w:pPr>
      <w:r>
        <w:rPr>
          <w:rFonts w:hint="eastAsia"/>
          <w:sz w:val="24"/>
        </w:rPr>
        <w:t>配备合理数量的周转料盒，内部带隔断，一标签一隔断，避免相互吸附。周</w:t>
      </w:r>
    </w:p>
    <w:p>
      <w:pPr>
        <w:spacing w:line="360" w:lineRule="auto"/>
        <w:rPr>
          <w:sz w:val="24"/>
        </w:rPr>
      </w:pPr>
      <w:r>
        <w:rPr>
          <w:rFonts w:hint="eastAsia"/>
          <w:sz w:val="24"/>
        </w:rPr>
        <w:t>转料盒材质为PP，尺寸</w:t>
      </w:r>
      <w:r>
        <w:rPr>
          <w:rFonts w:hint="eastAsia" w:ascii="宋体" w:hAnsi="宋体" w:cs="宋体"/>
          <w:color w:val="000000"/>
          <w:kern w:val="0"/>
          <w:sz w:val="24"/>
        </w:rPr>
        <w:t>800*600*280mm。</w:t>
      </w:r>
    </w:p>
    <w:p>
      <w:pPr>
        <w:spacing w:line="360" w:lineRule="auto"/>
        <w:ind w:left="482" w:hanging="480" w:hangingChars="200"/>
        <w:rPr>
          <w:b/>
          <w:sz w:val="24"/>
        </w:rPr>
      </w:pPr>
      <w:r>
        <w:rPr>
          <w:rFonts w:hint="eastAsia"/>
          <w:b/>
          <w:bCs/>
          <w:sz w:val="24"/>
        </w:rPr>
        <w:t>9.5.1</w:t>
      </w:r>
      <w:r>
        <w:rPr>
          <w:b/>
          <w:bCs/>
          <w:sz w:val="24"/>
        </w:rPr>
        <w:t xml:space="preserve"> </w:t>
      </w:r>
      <w:r>
        <w:rPr>
          <w:b/>
          <w:sz w:val="24"/>
        </w:rPr>
        <w:t>4. 电子围栏管理</w:t>
      </w:r>
    </w:p>
    <w:p>
      <w:pPr>
        <w:spacing w:line="360" w:lineRule="auto"/>
        <w:ind w:left="660" w:leftChars="200" w:hanging="240" w:hangingChars="100"/>
        <w:rPr>
          <w:sz w:val="24"/>
        </w:rPr>
      </w:pPr>
      <w:r>
        <w:rPr>
          <w:sz w:val="24"/>
        </w:rPr>
        <w:t>1</w:t>
      </w:r>
      <w:r>
        <w:rPr>
          <w:rFonts w:hint="eastAsia"/>
          <w:sz w:val="24"/>
        </w:rPr>
        <w:t>）定位</w:t>
      </w:r>
      <w:r>
        <w:rPr>
          <w:sz w:val="24"/>
        </w:rPr>
        <w:t>系统可在电子</w:t>
      </w:r>
      <w:r>
        <w:rPr>
          <w:rFonts w:hint="eastAsia"/>
          <w:sz w:val="24"/>
        </w:rPr>
        <w:t>地图</w:t>
      </w:r>
      <w:r>
        <w:rPr>
          <w:sz w:val="24"/>
        </w:rPr>
        <w:t>区或CAD图</w:t>
      </w:r>
      <w:r>
        <w:rPr>
          <w:rFonts w:hint="eastAsia"/>
          <w:sz w:val="24"/>
        </w:rPr>
        <w:t>任意</w:t>
      </w:r>
      <w:r>
        <w:rPr>
          <w:sz w:val="24"/>
        </w:rPr>
        <w:t>设置一个或多个电子围栏</w:t>
      </w:r>
      <w:r>
        <w:rPr>
          <w:rFonts w:hint="eastAsia"/>
          <w:sz w:val="24"/>
        </w:rPr>
        <w:t>，范围可根</w:t>
      </w:r>
    </w:p>
    <w:p>
      <w:pPr>
        <w:spacing w:line="360" w:lineRule="auto"/>
        <w:rPr>
          <w:sz w:val="24"/>
        </w:rPr>
      </w:pPr>
      <w:r>
        <w:rPr>
          <w:rFonts w:hint="eastAsia"/>
          <w:sz w:val="24"/>
        </w:rPr>
        <w:t>据实际需要进行设定，并可在定位系统中可进行命名。</w:t>
      </w:r>
    </w:p>
    <w:p>
      <w:pPr>
        <w:spacing w:line="360" w:lineRule="auto"/>
        <w:ind w:left="660" w:leftChars="200" w:hanging="240" w:hangingChars="100"/>
        <w:rPr>
          <w:sz w:val="24"/>
        </w:rPr>
      </w:pPr>
      <w:r>
        <w:rPr>
          <w:sz w:val="24"/>
        </w:rPr>
        <w:t>2</w:t>
      </w:r>
      <w:r>
        <w:rPr>
          <w:rFonts w:hint="eastAsia"/>
          <w:sz w:val="24"/>
        </w:rPr>
        <w:t>）</w:t>
      </w:r>
      <w:r>
        <w:rPr>
          <w:sz w:val="24"/>
        </w:rPr>
        <w:t>系统</w:t>
      </w:r>
      <w:r>
        <w:rPr>
          <w:rFonts w:hint="eastAsia"/>
          <w:sz w:val="24"/>
        </w:rPr>
        <w:t>可以</w:t>
      </w:r>
      <w:r>
        <w:rPr>
          <w:sz w:val="24"/>
        </w:rPr>
        <w:t>采集跟踪进入</w:t>
      </w:r>
      <w:r>
        <w:rPr>
          <w:rFonts w:hint="eastAsia"/>
          <w:sz w:val="24"/>
        </w:rPr>
        <w:t>、</w:t>
      </w:r>
      <w:r>
        <w:rPr>
          <w:sz w:val="24"/>
        </w:rPr>
        <w:t>离开电子围栏的标签ID</w:t>
      </w:r>
      <w:r>
        <w:rPr>
          <w:rFonts w:hint="eastAsia"/>
          <w:sz w:val="24"/>
        </w:rPr>
        <w:t>、标签类型、</w:t>
      </w:r>
      <w:r>
        <w:rPr>
          <w:sz w:val="24"/>
        </w:rPr>
        <w:t>时间等信息</w:t>
      </w:r>
      <w:r>
        <w:rPr>
          <w:rFonts w:hint="eastAsia"/>
          <w:sz w:val="24"/>
        </w:rPr>
        <w:t>和</w:t>
      </w:r>
    </w:p>
    <w:p>
      <w:pPr>
        <w:spacing w:line="360" w:lineRule="auto"/>
        <w:rPr>
          <w:sz w:val="24"/>
        </w:rPr>
      </w:pPr>
      <w:r>
        <w:rPr>
          <w:rFonts w:hint="eastAsia"/>
          <w:sz w:val="24"/>
        </w:rPr>
        <w:t>在电子围栏的停留时长。</w:t>
      </w:r>
    </w:p>
    <w:p>
      <w:pPr>
        <w:spacing w:line="360" w:lineRule="auto"/>
        <w:ind w:left="660" w:leftChars="200" w:hanging="240" w:hangingChars="100"/>
        <w:rPr>
          <w:sz w:val="24"/>
        </w:rPr>
      </w:pPr>
      <w:r>
        <w:rPr>
          <w:sz w:val="24"/>
        </w:rPr>
        <w:t>3</w:t>
      </w:r>
      <w:r>
        <w:rPr>
          <w:rFonts w:hint="eastAsia"/>
          <w:sz w:val="24"/>
        </w:rPr>
        <w:t>）电子围栏可以通过系统前台由管理员灵活进行配置。</w:t>
      </w:r>
    </w:p>
    <w:p>
      <w:pPr>
        <w:spacing w:line="360" w:lineRule="auto"/>
        <w:rPr>
          <w:b/>
          <w:sz w:val="24"/>
        </w:rPr>
      </w:pPr>
      <w:r>
        <w:rPr>
          <w:rFonts w:hint="eastAsia"/>
          <w:b/>
          <w:bCs/>
          <w:sz w:val="24"/>
        </w:rPr>
        <w:t>9.5.1.</w:t>
      </w:r>
      <w:r>
        <w:rPr>
          <w:b/>
          <w:sz w:val="24"/>
        </w:rPr>
        <w:t>5. 车辆识别</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当标签触碰设定的电子围栏时</w:t>
      </w:r>
      <w:r>
        <w:rPr>
          <w:rFonts w:hint="eastAsia"/>
          <w:sz w:val="24"/>
        </w:rPr>
        <w:t>，</w:t>
      </w:r>
      <w:r>
        <w:rPr>
          <w:sz w:val="24"/>
        </w:rPr>
        <w:t>可将标签ID</w:t>
      </w:r>
      <w:r>
        <w:rPr>
          <w:rFonts w:hint="eastAsia"/>
          <w:sz w:val="24"/>
        </w:rPr>
        <w:t>、</w:t>
      </w:r>
      <w:r>
        <w:rPr>
          <w:sz w:val="24"/>
        </w:rPr>
        <w:t>车辆信息</w:t>
      </w:r>
      <w:r>
        <w:rPr>
          <w:rFonts w:hint="eastAsia"/>
          <w:sz w:val="24"/>
        </w:rPr>
        <w:t>、</w:t>
      </w:r>
      <w:r>
        <w:rPr>
          <w:sz w:val="24"/>
        </w:rPr>
        <w:t>电子围栏编号</w:t>
      </w:r>
      <w:r>
        <w:rPr>
          <w:rFonts w:hint="eastAsia"/>
          <w:sz w:val="24"/>
        </w:rPr>
        <w:t>、</w:t>
      </w:r>
      <w:r>
        <w:rPr>
          <w:sz w:val="24"/>
        </w:rPr>
        <w:t>工位或者现场区域标号</w:t>
      </w:r>
      <w:r>
        <w:rPr>
          <w:rFonts w:hint="eastAsia"/>
          <w:sz w:val="24"/>
        </w:rPr>
        <w:t>，实时发送给其它系统或中间件，发送时效可达毫秒级。</w:t>
      </w:r>
    </w:p>
    <w:p>
      <w:pPr>
        <w:pStyle w:val="2"/>
        <w:ind w:left="0"/>
      </w:pPr>
      <w:r>
        <w:rPr>
          <w:rFonts w:hint="eastAsia"/>
          <w:sz w:val="24"/>
          <w:szCs w:val="24"/>
        </w:rPr>
        <w:t xml:space="preserve">    2）</w:t>
      </w:r>
      <w:r>
        <w:rPr>
          <w:rFonts w:ascii="宋体" w:hAnsi="宋体" w:cs="宋体"/>
          <w:sz w:val="24"/>
          <w:szCs w:val="24"/>
        </w:rPr>
        <w:t>除通过基站识别标签ID获取车辆信息并与系统进行数据交互外，也可通过扫码枪扫描标签码获取车辆信息与系统进行数据交互。</w:t>
      </w:r>
    </w:p>
    <w:p>
      <w:pPr>
        <w:spacing w:line="360" w:lineRule="auto"/>
        <w:rPr>
          <w:sz w:val="24"/>
        </w:rPr>
      </w:pPr>
      <w:r>
        <w:rPr>
          <w:rFonts w:hint="eastAsia"/>
          <w:b/>
          <w:bCs/>
          <w:sz w:val="24"/>
        </w:rPr>
        <w:t>9.5.1.</w:t>
      </w:r>
      <w:r>
        <w:rPr>
          <w:b/>
          <w:bCs/>
          <w:sz w:val="24"/>
        </w:rPr>
        <w:t>6</w:t>
      </w:r>
      <w:r>
        <w:rPr>
          <w:b/>
          <w:sz w:val="24"/>
        </w:rPr>
        <w:t>. 车辆</w:t>
      </w:r>
      <w:r>
        <w:rPr>
          <w:rFonts w:hint="eastAsia"/>
          <w:b/>
          <w:sz w:val="24"/>
        </w:rPr>
        <w:t>U</w:t>
      </w:r>
      <w:r>
        <w:rPr>
          <w:b/>
          <w:sz w:val="24"/>
        </w:rPr>
        <w:t>I画面显示及追溯</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定位系统</w:t>
      </w:r>
      <w:r>
        <w:rPr>
          <w:rFonts w:hint="eastAsia"/>
          <w:sz w:val="24"/>
        </w:rPr>
        <w:t>提供车辆</w:t>
      </w:r>
      <w:r>
        <w:rPr>
          <w:sz w:val="24"/>
        </w:rPr>
        <w:t>位置显示画面</w:t>
      </w:r>
      <w:r>
        <w:rPr>
          <w:rFonts w:hint="eastAsia"/>
          <w:sz w:val="24"/>
        </w:rPr>
        <w:t>，</w:t>
      </w:r>
      <w:r>
        <w:rPr>
          <w:sz w:val="24"/>
        </w:rPr>
        <w:t>并可根据输入车辆相关信息</w:t>
      </w:r>
      <w:r>
        <w:rPr>
          <w:rFonts w:hint="eastAsia"/>
          <w:sz w:val="24"/>
        </w:rPr>
        <w:t>，</w:t>
      </w:r>
      <w:r>
        <w:rPr>
          <w:sz w:val="24"/>
        </w:rPr>
        <w:t>进行车辆位置查询功能</w:t>
      </w:r>
      <w:r>
        <w:rPr>
          <w:rFonts w:hint="eastAsia"/>
          <w:sz w:val="24"/>
        </w:rPr>
        <w:t>，</w:t>
      </w:r>
      <w:r>
        <w:rPr>
          <w:sz w:val="24"/>
        </w:rPr>
        <w:t>画面样式以最终</w:t>
      </w:r>
      <w:r>
        <w:rPr>
          <w:rFonts w:hint="eastAsia"/>
          <w:sz w:val="24"/>
        </w:rPr>
        <w:t>甲方确认的样式</w:t>
      </w:r>
      <w:r>
        <w:rPr>
          <w:sz w:val="24"/>
        </w:rPr>
        <w:t>为准</w:t>
      </w:r>
      <w:r>
        <w:rPr>
          <w:rFonts w:hint="eastAsia"/>
          <w:sz w:val="24"/>
        </w:rPr>
        <w:t>。</w:t>
      </w:r>
    </w:p>
    <w:p>
      <w:pPr>
        <w:spacing w:line="360" w:lineRule="auto"/>
        <w:ind w:left="720" w:hanging="720" w:hangingChars="300"/>
        <w:rPr>
          <w:sz w:val="24"/>
        </w:rPr>
      </w:pPr>
      <w:r>
        <w:rPr>
          <w:rFonts w:hint="eastAsia"/>
          <w:sz w:val="24"/>
        </w:rPr>
        <w:t xml:space="preserve"> </w:t>
      </w:r>
      <w:r>
        <w:rPr>
          <w:sz w:val="24"/>
        </w:rPr>
        <w:t xml:space="preserve">   2</w:t>
      </w:r>
      <w:r>
        <w:rPr>
          <w:rFonts w:hint="eastAsia"/>
          <w:sz w:val="24"/>
        </w:rPr>
        <w:t>）</w:t>
      </w:r>
      <w:r>
        <w:rPr>
          <w:sz w:val="24"/>
        </w:rPr>
        <w:t>系统建立车辆位置的运行履历</w:t>
      </w:r>
      <w:r>
        <w:rPr>
          <w:rFonts w:hint="eastAsia"/>
          <w:sz w:val="24"/>
        </w:rPr>
        <w:t>，从标签绑定、进入和离开每个电子围栏的时间及最后解除绑定状态的的时间进行统计及查询。</w:t>
      </w:r>
    </w:p>
    <w:p>
      <w:pPr>
        <w:spacing w:line="360" w:lineRule="auto"/>
        <w:ind w:left="720" w:hanging="720" w:hangingChars="300"/>
        <w:rPr>
          <w:sz w:val="24"/>
        </w:rPr>
      </w:pPr>
      <w:r>
        <w:rPr>
          <w:sz w:val="24"/>
        </w:rPr>
        <w:t xml:space="preserve">    3</w:t>
      </w:r>
      <w:r>
        <w:rPr>
          <w:rFonts w:hint="eastAsia"/>
          <w:sz w:val="24"/>
        </w:rPr>
        <w:t>）</w:t>
      </w:r>
      <w:r>
        <w:rPr>
          <w:sz w:val="24"/>
        </w:rPr>
        <w:t>系统可以查看车辆的历史移动轨迹</w:t>
      </w:r>
      <w:r>
        <w:rPr>
          <w:rFonts w:hint="eastAsia"/>
          <w:sz w:val="24"/>
        </w:rPr>
        <w:t>，并可形成移动、密度等的热力图。</w:t>
      </w:r>
    </w:p>
    <w:p>
      <w:pPr>
        <w:spacing w:line="360" w:lineRule="auto"/>
        <w:ind w:left="723" w:hanging="721" w:hangingChars="300"/>
        <w:rPr>
          <w:b/>
          <w:sz w:val="24"/>
        </w:rPr>
      </w:pPr>
      <w:r>
        <w:rPr>
          <w:rFonts w:hint="eastAsia"/>
          <w:b/>
          <w:bCs/>
          <w:sz w:val="24"/>
        </w:rPr>
        <w:t>9.5.1.</w:t>
      </w:r>
      <w:r>
        <w:rPr>
          <w:b/>
          <w:sz w:val="24"/>
        </w:rPr>
        <w:t>7. 地图管理</w:t>
      </w:r>
    </w:p>
    <w:p>
      <w:pPr>
        <w:spacing w:line="276" w:lineRule="auto"/>
        <w:rPr>
          <w:sz w:val="24"/>
        </w:rPr>
      </w:pPr>
      <w:r>
        <w:rPr>
          <w:rFonts w:hint="eastAsia"/>
          <w:b/>
          <w:sz w:val="24"/>
        </w:rPr>
        <w:t xml:space="preserve"> </w:t>
      </w:r>
      <w:r>
        <w:rPr>
          <w:b/>
          <w:sz w:val="24"/>
        </w:rPr>
        <w:t xml:space="preserve">   </w:t>
      </w:r>
      <w:r>
        <w:rPr>
          <w:sz w:val="24"/>
        </w:rPr>
        <w:t>1</w:t>
      </w:r>
      <w:r>
        <w:rPr>
          <w:rFonts w:hint="eastAsia"/>
          <w:sz w:val="24"/>
        </w:rPr>
        <w:t>）</w:t>
      </w:r>
      <w:r>
        <w:rPr>
          <w:sz w:val="24"/>
        </w:rPr>
        <w:t>可通过系统</w:t>
      </w:r>
      <w:r>
        <w:rPr>
          <w:rFonts w:hint="eastAsia"/>
          <w:sz w:val="24"/>
        </w:rPr>
        <w:t>导入或</w:t>
      </w:r>
      <w:r>
        <w:rPr>
          <w:sz w:val="24"/>
        </w:rPr>
        <w:t>通过网络更新电子</w:t>
      </w:r>
      <w:r>
        <w:rPr>
          <w:rFonts w:hint="eastAsia"/>
          <w:sz w:val="24"/>
        </w:rPr>
        <w:t>地图，地图和</w:t>
      </w:r>
      <w:r>
        <w:rPr>
          <w:sz w:val="24"/>
        </w:rPr>
        <w:t>电子围栏等坐标系应保持一致</w:t>
      </w:r>
      <w:r>
        <w:rPr>
          <w:rFonts w:hint="eastAsia"/>
          <w:sz w:val="24"/>
        </w:rPr>
        <w:t>。</w:t>
      </w:r>
    </w:p>
    <w:p/>
    <w:p>
      <w:pPr>
        <w:pStyle w:val="5"/>
        <w:spacing w:before="120" w:after="120" w:line="360" w:lineRule="auto"/>
        <w:rPr>
          <w:sz w:val="28"/>
          <w:szCs w:val="28"/>
        </w:rPr>
      </w:pPr>
      <w:bookmarkStart w:id="83" w:name="_Toc87820184"/>
      <w:bookmarkStart w:id="84" w:name="_Toc30321"/>
      <w:r>
        <w:rPr>
          <w:rFonts w:hint="eastAsia"/>
          <w:sz w:val="28"/>
          <w:szCs w:val="28"/>
        </w:rPr>
        <w:t>9.5.2基础数据</w:t>
      </w:r>
      <w:bookmarkEnd w:id="83"/>
      <w:bookmarkEnd w:id="84"/>
    </w:p>
    <w:p>
      <w:pPr>
        <w:numPr>
          <w:ilvl w:val="0"/>
          <w:numId w:val="24"/>
        </w:numPr>
        <w:spacing w:line="360" w:lineRule="auto"/>
        <w:rPr>
          <w:rFonts w:ascii="宋体" w:hAnsi="宋体"/>
          <w:sz w:val="24"/>
        </w:rPr>
      </w:pPr>
      <w:r>
        <w:rPr>
          <w:rFonts w:ascii="宋体" w:hAnsi="宋体"/>
          <w:sz w:val="24"/>
        </w:rPr>
        <w:t>工厂信息（工厂编号、工厂名称等），车间信息（车间编号、车间名称等），生</w:t>
      </w:r>
    </w:p>
    <w:p>
      <w:pPr>
        <w:spacing w:line="360" w:lineRule="auto"/>
        <w:rPr>
          <w:rFonts w:ascii="宋体" w:hAnsi="宋体"/>
          <w:sz w:val="24"/>
        </w:rPr>
      </w:pPr>
      <w:r>
        <w:rPr>
          <w:rFonts w:ascii="宋体" w:hAnsi="宋体"/>
          <w:sz w:val="24"/>
        </w:rPr>
        <w:t>产线信息（生产线名称、生产线编号等）、生产线相对应工位信息，并可通过系统前台进行配置和变更。</w:t>
      </w:r>
    </w:p>
    <w:p>
      <w:pPr>
        <w:numPr>
          <w:ilvl w:val="0"/>
          <w:numId w:val="24"/>
        </w:numPr>
        <w:spacing w:line="360" w:lineRule="auto"/>
        <w:rPr>
          <w:rFonts w:ascii="宋体" w:hAnsi="宋体"/>
          <w:sz w:val="24"/>
        </w:rPr>
      </w:pPr>
      <w:r>
        <w:rPr>
          <w:rFonts w:ascii="宋体" w:hAnsi="宋体"/>
          <w:sz w:val="24"/>
        </w:rPr>
        <w:t>工位信息应包含工位ID、工位编号、工位名称、工位类型、工位特征参数等，并</w:t>
      </w:r>
    </w:p>
    <w:p>
      <w:pPr>
        <w:spacing w:line="360" w:lineRule="auto"/>
        <w:rPr>
          <w:rFonts w:ascii="宋体" w:hAnsi="宋体"/>
          <w:sz w:val="24"/>
        </w:rPr>
      </w:pPr>
      <w:r>
        <w:rPr>
          <w:rFonts w:ascii="宋体" w:hAnsi="宋体"/>
          <w:sz w:val="24"/>
        </w:rPr>
        <w:t>可通过前台进行配置和变更。工位应与线体相对应和关联。</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定位系统应可对工位信息进行增、改、删、查，并与线体、车间等进行关联。</w:t>
      </w:r>
    </w:p>
    <w:p>
      <w:pPr>
        <w:spacing w:line="360" w:lineRule="auto"/>
        <w:rPr>
          <w:rFonts w:ascii="宋体" w:hAnsi="宋体"/>
          <w:szCs w:val="21"/>
        </w:rPr>
      </w:pPr>
      <w:r>
        <w:rPr>
          <w:rFonts w:ascii="宋体" w:hAnsi="宋体"/>
          <w:sz w:val="24"/>
        </w:rPr>
        <w:t>4</w:t>
      </w:r>
      <w:r>
        <w:rPr>
          <w:rFonts w:hint="eastAsia" w:ascii="宋体" w:hAnsi="宋体"/>
          <w:sz w:val="24"/>
        </w:rPr>
        <w:t>、以上数据在能通过系统接口获取的情况下，考虑通过接口获取。其它内容则通过人工输入完成。</w:t>
      </w:r>
    </w:p>
    <w:p>
      <w:pPr>
        <w:pStyle w:val="5"/>
        <w:spacing w:before="120" w:after="120" w:line="360" w:lineRule="auto"/>
        <w:rPr>
          <w:sz w:val="28"/>
          <w:szCs w:val="28"/>
        </w:rPr>
      </w:pPr>
      <w:bookmarkStart w:id="85" w:name="_Toc12867"/>
      <w:bookmarkStart w:id="86" w:name="_Toc87820185"/>
      <w:r>
        <w:rPr>
          <w:rFonts w:hint="eastAsia"/>
          <w:sz w:val="28"/>
          <w:szCs w:val="28"/>
        </w:rPr>
        <w:t>9.5.3系统管理</w:t>
      </w:r>
      <w:bookmarkEnd w:id="85"/>
      <w:bookmarkEnd w:id="86"/>
    </w:p>
    <w:p>
      <w:pPr>
        <w:pStyle w:val="6"/>
        <w:spacing w:before="120" w:after="120" w:line="360" w:lineRule="auto"/>
        <w:rPr>
          <w:rStyle w:val="84"/>
          <w:sz w:val="24"/>
          <w:szCs w:val="22"/>
        </w:rPr>
      </w:pPr>
      <w:r>
        <w:rPr>
          <w:rFonts w:hint="eastAsia"/>
          <w:sz w:val="24"/>
          <w:szCs w:val="22"/>
        </w:rPr>
        <w:t>9.5.3.1用户管理</w:t>
      </w:r>
    </w:p>
    <w:p>
      <w:pPr>
        <w:spacing w:line="360" w:lineRule="auto"/>
        <w:ind w:firstLine="480" w:firstLineChars="200"/>
        <w:rPr>
          <w:rFonts w:ascii="宋体" w:hAnsi="宋体"/>
          <w:sz w:val="24"/>
        </w:rPr>
      </w:pPr>
      <w:r>
        <w:rPr>
          <w:rFonts w:hint="eastAsia" w:ascii="宋体" w:hAnsi="宋体"/>
          <w:sz w:val="24"/>
        </w:rPr>
        <w:t>支持在定位系统中创建标准的用户、角色、权限三层管理模型。</w:t>
      </w:r>
    </w:p>
    <w:p>
      <w:pPr>
        <w:pStyle w:val="6"/>
        <w:spacing w:before="120" w:after="120" w:line="360" w:lineRule="auto"/>
        <w:rPr>
          <w:sz w:val="24"/>
          <w:szCs w:val="22"/>
        </w:rPr>
      </w:pPr>
      <w:r>
        <w:rPr>
          <w:rFonts w:hint="eastAsia"/>
          <w:sz w:val="24"/>
          <w:szCs w:val="22"/>
        </w:rPr>
        <w:t>9.5.3.2权限管理</w:t>
      </w:r>
    </w:p>
    <w:p>
      <w:pPr>
        <w:spacing w:line="360" w:lineRule="auto"/>
        <w:ind w:firstLine="480" w:firstLineChars="200"/>
        <w:rPr>
          <w:rFonts w:ascii="宋体" w:hAnsi="宋体"/>
          <w:sz w:val="24"/>
        </w:rPr>
      </w:pPr>
      <w:r>
        <w:rPr>
          <w:rFonts w:hint="eastAsia" w:ascii="宋体" w:hAnsi="宋体"/>
          <w:sz w:val="24"/>
        </w:rPr>
        <w:t xml:space="preserve">系统支持功能权限以及操作权限管理，形成完整的授权管理模式。 </w:t>
      </w:r>
    </w:p>
    <w:p>
      <w:pPr>
        <w:pStyle w:val="6"/>
        <w:spacing w:before="120" w:after="120" w:line="360" w:lineRule="auto"/>
        <w:rPr>
          <w:sz w:val="24"/>
          <w:szCs w:val="22"/>
        </w:rPr>
      </w:pPr>
      <w:r>
        <w:rPr>
          <w:rFonts w:hint="eastAsia"/>
          <w:sz w:val="24"/>
          <w:szCs w:val="22"/>
        </w:rPr>
        <w:t>9.5.3.3操作日志管理</w:t>
      </w:r>
    </w:p>
    <w:p>
      <w:pPr>
        <w:spacing w:line="360" w:lineRule="auto"/>
        <w:ind w:firstLine="480" w:firstLineChars="200"/>
        <w:rPr>
          <w:rFonts w:ascii="宋体" w:hAnsi="宋体"/>
          <w:sz w:val="24"/>
        </w:rPr>
      </w:pPr>
      <w:r>
        <w:rPr>
          <w:rFonts w:hint="eastAsia"/>
          <w:sz w:val="24"/>
        </w:rPr>
        <w:t>系统通过自动记录操作日志的方式对系统账号人员的不同操作进行监管，管理人员可以方便的对系统操作日志进行查询和导出，形成系统操作日志报表。</w:t>
      </w:r>
    </w:p>
    <w:p>
      <w:pPr>
        <w:pStyle w:val="6"/>
        <w:spacing w:before="120" w:after="120" w:line="360" w:lineRule="auto"/>
        <w:rPr>
          <w:sz w:val="24"/>
          <w:szCs w:val="22"/>
        </w:rPr>
      </w:pPr>
      <w:r>
        <w:rPr>
          <w:rFonts w:hint="eastAsia"/>
          <w:sz w:val="24"/>
          <w:szCs w:val="22"/>
        </w:rPr>
        <w:t>9.5.3.4接口监控</w:t>
      </w:r>
    </w:p>
    <w:p>
      <w:pPr>
        <w:numPr>
          <w:ilvl w:val="0"/>
          <w:numId w:val="25"/>
        </w:numPr>
        <w:spacing w:line="360" w:lineRule="auto"/>
        <w:rPr>
          <w:rFonts w:ascii="宋体" w:hAnsi="宋体"/>
          <w:sz w:val="24"/>
        </w:rPr>
      </w:pPr>
      <w:r>
        <w:rPr>
          <w:rFonts w:ascii="宋体" w:hAnsi="宋体"/>
          <w:sz w:val="24"/>
        </w:rPr>
        <w:t>定位系统必须提供所有传输接口的监控功能。</w:t>
      </w:r>
    </w:p>
    <w:p>
      <w:pPr>
        <w:numPr>
          <w:ilvl w:val="0"/>
          <w:numId w:val="25"/>
        </w:numPr>
        <w:spacing w:line="360" w:lineRule="auto"/>
      </w:pPr>
      <w:r>
        <w:rPr>
          <w:rFonts w:ascii="宋体" w:hAnsi="宋体"/>
          <w:sz w:val="24"/>
        </w:rPr>
        <w:t>定位系统需要生成所有接口数据的数据日志传输日志。</w:t>
      </w:r>
    </w:p>
    <w:p>
      <w:pPr>
        <w:pStyle w:val="6"/>
        <w:spacing w:before="120" w:after="120" w:line="360" w:lineRule="auto"/>
        <w:rPr>
          <w:sz w:val="24"/>
          <w:szCs w:val="22"/>
        </w:rPr>
      </w:pPr>
      <w:r>
        <w:rPr>
          <w:rFonts w:hint="eastAsia"/>
          <w:sz w:val="24"/>
          <w:szCs w:val="22"/>
        </w:rPr>
        <w:t>9.5.3.5硬件状态监控</w:t>
      </w:r>
    </w:p>
    <w:p>
      <w:pPr>
        <w:spacing w:line="360" w:lineRule="auto"/>
        <w:ind w:firstLine="480" w:firstLineChars="200"/>
        <w:rPr>
          <w:sz w:val="24"/>
        </w:rPr>
      </w:pPr>
      <w:r>
        <w:rPr>
          <w:rFonts w:hint="eastAsia"/>
          <w:sz w:val="24"/>
        </w:rPr>
        <w:t>监控基站、标签硬件设备电量、通讯等运行状态。</w:t>
      </w:r>
    </w:p>
    <w:p>
      <w:pPr>
        <w:pStyle w:val="5"/>
        <w:spacing w:before="120" w:after="120" w:line="360" w:lineRule="auto"/>
        <w:rPr>
          <w:sz w:val="28"/>
          <w:szCs w:val="28"/>
        </w:rPr>
      </w:pPr>
      <w:bookmarkStart w:id="87" w:name="_Toc8651"/>
      <w:r>
        <w:rPr>
          <w:rFonts w:hint="eastAsia"/>
          <w:sz w:val="28"/>
          <w:szCs w:val="28"/>
        </w:rPr>
        <w:t>9.5.4软件技术要求</w:t>
      </w:r>
      <w:bookmarkEnd w:id="87"/>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9.5.4.1</w:t>
      </w:r>
      <w:r>
        <w:rPr>
          <w:b/>
          <w:sz w:val="24"/>
        </w:rPr>
        <w:t>技术路线要求</w:t>
      </w:r>
    </w:p>
    <w:p>
      <w:pPr>
        <w:numPr>
          <w:ilvl w:val="0"/>
          <w:numId w:val="26"/>
        </w:numPr>
        <w:spacing w:line="360" w:lineRule="auto"/>
        <w:rPr>
          <w:sz w:val="24"/>
        </w:rPr>
      </w:pPr>
      <w:r>
        <w:rPr>
          <w:kern w:val="0"/>
          <w:sz w:val="24"/>
        </w:rPr>
        <w:t>要求</w:t>
      </w:r>
      <w:r>
        <w:rPr>
          <w:rFonts w:hint="eastAsia"/>
          <w:kern w:val="0"/>
          <w:sz w:val="24"/>
        </w:rPr>
        <w:t>系统UI符合重汽UI规范要求。</w:t>
      </w:r>
    </w:p>
    <w:p>
      <w:pPr>
        <w:numPr>
          <w:ilvl w:val="0"/>
          <w:numId w:val="26"/>
        </w:numPr>
        <w:spacing w:line="360" w:lineRule="auto"/>
        <w:rPr>
          <w:kern w:val="0"/>
          <w:sz w:val="24"/>
        </w:rPr>
      </w:pPr>
      <w:r>
        <w:rPr>
          <w:kern w:val="0"/>
          <w:sz w:val="24"/>
        </w:rPr>
        <w:t>要求前端使用vue/h5技术</w:t>
      </w:r>
      <w:r>
        <w:rPr>
          <w:rFonts w:hint="eastAsia"/>
          <w:kern w:val="0"/>
          <w:sz w:val="24"/>
        </w:rPr>
        <w:t>，UI框架推荐使用elementUI，具备集成QianKun微前</w:t>
      </w:r>
    </w:p>
    <w:p>
      <w:pPr>
        <w:spacing w:line="360" w:lineRule="auto"/>
        <w:rPr>
          <w:kern w:val="0"/>
          <w:sz w:val="24"/>
        </w:rPr>
      </w:pPr>
      <w:r>
        <w:rPr>
          <w:rFonts w:hint="eastAsia"/>
          <w:kern w:val="0"/>
          <w:sz w:val="24"/>
        </w:rPr>
        <w:t>端能力且内容区域可嵌入重汽统一门户展示</w:t>
      </w:r>
      <w:r>
        <w:rPr>
          <w:kern w:val="0"/>
          <w:sz w:val="24"/>
        </w:rPr>
        <w:t>。</w:t>
      </w:r>
    </w:p>
    <w:p>
      <w:pPr>
        <w:numPr>
          <w:ilvl w:val="0"/>
          <w:numId w:val="26"/>
        </w:numPr>
        <w:spacing w:line="360" w:lineRule="auto"/>
        <w:rPr>
          <w:kern w:val="0"/>
          <w:sz w:val="24"/>
        </w:rPr>
      </w:pPr>
      <w:r>
        <w:rPr>
          <w:kern w:val="0"/>
          <w:sz w:val="24"/>
        </w:rPr>
        <w:t>要求后端使</w:t>
      </w:r>
      <w:r>
        <w:rPr>
          <w:rFonts w:hint="eastAsia"/>
          <w:kern w:val="0"/>
          <w:sz w:val="24"/>
        </w:rPr>
        <w:t>用</w:t>
      </w:r>
      <w:r>
        <w:rPr>
          <w:kern w:val="0"/>
          <w:sz w:val="24"/>
        </w:rPr>
        <w:t>spring</w:t>
      </w:r>
      <w:r>
        <w:rPr>
          <w:rFonts w:hint="eastAsia"/>
          <w:kern w:val="0"/>
          <w:sz w:val="24"/>
        </w:rPr>
        <w:t xml:space="preserve"> </w:t>
      </w:r>
      <w:r>
        <w:rPr>
          <w:kern w:val="0"/>
          <w:sz w:val="24"/>
        </w:rPr>
        <w:t>cloud</w:t>
      </w:r>
      <w:r>
        <w:rPr>
          <w:rFonts w:hint="eastAsia"/>
          <w:kern w:val="0"/>
          <w:sz w:val="24"/>
        </w:rPr>
        <w:t xml:space="preserve"> alibaba</w:t>
      </w:r>
      <w:r>
        <w:rPr>
          <w:kern w:val="0"/>
          <w:sz w:val="24"/>
        </w:rPr>
        <w:t>的微服务架构体系</w:t>
      </w:r>
      <w:r>
        <w:rPr>
          <w:rFonts w:hint="eastAsia"/>
          <w:kern w:val="0"/>
          <w:sz w:val="24"/>
        </w:rPr>
        <w:t>，且支持适配重汽微服务治理</w:t>
      </w:r>
    </w:p>
    <w:p>
      <w:pPr>
        <w:spacing w:line="360" w:lineRule="auto"/>
        <w:rPr>
          <w:kern w:val="0"/>
          <w:sz w:val="24"/>
        </w:rPr>
      </w:pPr>
      <w:r>
        <w:rPr>
          <w:rFonts w:hint="eastAsia"/>
          <w:kern w:val="0"/>
          <w:sz w:val="24"/>
        </w:rPr>
        <w:t>平台，包括但不限于Nacos、Gateway、Sentinel、Seata等，其中，网关鉴权需与gateway基础功能解耦。</w:t>
      </w:r>
    </w:p>
    <w:p>
      <w:pPr>
        <w:numPr>
          <w:ilvl w:val="0"/>
          <w:numId w:val="26"/>
        </w:numPr>
        <w:spacing w:line="360" w:lineRule="auto"/>
        <w:rPr>
          <w:sz w:val="24"/>
        </w:rPr>
      </w:pPr>
      <w:r>
        <w:rPr>
          <w:kern w:val="0"/>
          <w:sz w:val="24"/>
        </w:rPr>
        <w:t>要求</w:t>
      </w:r>
      <w:r>
        <w:rPr>
          <w:rFonts w:hint="eastAsia"/>
          <w:kern w:val="0"/>
          <w:sz w:val="24"/>
        </w:rPr>
        <w:t>系统</w:t>
      </w:r>
      <w:r>
        <w:rPr>
          <w:kern w:val="0"/>
          <w:sz w:val="24"/>
        </w:rPr>
        <w:t>使用</w:t>
      </w:r>
      <w:r>
        <w:rPr>
          <w:rFonts w:hint="eastAsia"/>
          <w:kern w:val="0"/>
          <w:sz w:val="24"/>
        </w:rPr>
        <w:t>重汽云平台中间件，包括mysql</w:t>
      </w:r>
      <w:r>
        <w:rPr>
          <w:kern w:val="0"/>
          <w:sz w:val="24"/>
        </w:rPr>
        <w:t>、</w:t>
      </w:r>
      <w:r>
        <w:rPr>
          <w:rFonts w:hint="eastAsia"/>
          <w:kern w:val="0"/>
          <w:sz w:val="24"/>
        </w:rPr>
        <w:t>postgreSql、redis、rocketMQ、ES、</w:t>
      </w:r>
    </w:p>
    <w:p>
      <w:pPr>
        <w:spacing w:line="360" w:lineRule="auto"/>
        <w:rPr>
          <w:sz w:val="24"/>
        </w:rPr>
      </w:pPr>
      <w:r>
        <w:rPr>
          <w:rFonts w:hint="eastAsia"/>
          <w:kern w:val="0"/>
          <w:sz w:val="24"/>
        </w:rPr>
        <w:t>NFS等，如使用其他中间件，需经过评估使用</w:t>
      </w:r>
      <w:r>
        <w:rPr>
          <w:kern w:val="0"/>
          <w:sz w:val="24"/>
        </w:rPr>
        <w:t>。</w:t>
      </w:r>
    </w:p>
    <w:p>
      <w:pPr>
        <w:numPr>
          <w:ilvl w:val="0"/>
          <w:numId w:val="26"/>
        </w:numPr>
        <w:spacing w:line="360" w:lineRule="auto"/>
        <w:rPr>
          <w:sz w:val="24"/>
        </w:rPr>
      </w:pPr>
      <w:r>
        <w:rPr>
          <w:kern w:val="0"/>
          <w:sz w:val="24"/>
        </w:rPr>
        <w:t>要求</w:t>
      </w:r>
      <w:r>
        <w:rPr>
          <w:rFonts w:hint="eastAsia"/>
          <w:kern w:val="0"/>
          <w:sz w:val="24"/>
        </w:rPr>
        <w:t>系统接入重汽统一权限体系、统一待办、统一消息</w:t>
      </w:r>
      <w:r>
        <w:rPr>
          <w:kern w:val="0"/>
          <w:sz w:val="24"/>
        </w:rPr>
        <w:t>。</w:t>
      </w:r>
    </w:p>
    <w:p>
      <w:pPr>
        <w:numPr>
          <w:ilvl w:val="0"/>
          <w:numId w:val="26"/>
        </w:numPr>
        <w:spacing w:line="360" w:lineRule="auto"/>
        <w:rPr>
          <w:kern w:val="0"/>
          <w:sz w:val="24"/>
        </w:rPr>
      </w:pPr>
      <w:r>
        <w:rPr>
          <w:rFonts w:hint="eastAsia"/>
          <w:kern w:val="0"/>
          <w:sz w:val="24"/>
        </w:rPr>
        <w:t>支持REST、Webservice等主流接口，支持数据库对接，方便与第三方系统对接；</w:t>
      </w:r>
    </w:p>
    <w:p>
      <w:pPr>
        <w:spacing w:line="360" w:lineRule="auto"/>
        <w:rPr>
          <w:kern w:val="0"/>
          <w:sz w:val="24"/>
        </w:rPr>
      </w:pPr>
      <w:r>
        <w:rPr>
          <w:rFonts w:hint="eastAsia"/>
          <w:kern w:val="0"/>
          <w:sz w:val="24"/>
        </w:rPr>
        <w:t>可以根据已有业务软件对于数据的需求前期定制数据接口格式；数据接口满足高稳定性要求。</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9.5.4.2</w:t>
      </w:r>
      <w:r>
        <w:rPr>
          <w:b/>
          <w:sz w:val="24"/>
        </w:rPr>
        <w:t>实施部署要求</w:t>
      </w:r>
    </w:p>
    <w:p>
      <w:pPr>
        <w:numPr>
          <w:ilvl w:val="0"/>
          <w:numId w:val="26"/>
        </w:numPr>
        <w:spacing w:line="360" w:lineRule="auto"/>
        <w:rPr>
          <w:kern w:val="0"/>
          <w:sz w:val="24"/>
        </w:rPr>
      </w:pPr>
      <w:r>
        <w:rPr>
          <w:kern w:val="0"/>
          <w:sz w:val="24"/>
        </w:rPr>
        <w:t>要求平台支持私有云、</w:t>
      </w:r>
      <w:r>
        <w:rPr>
          <w:rFonts w:hint="eastAsia"/>
          <w:kern w:val="0"/>
          <w:sz w:val="24"/>
        </w:rPr>
        <w:t>公</w:t>
      </w:r>
      <w:r>
        <w:rPr>
          <w:kern w:val="0"/>
          <w:sz w:val="24"/>
        </w:rPr>
        <w:t>有云和混合云多种部署。</w:t>
      </w:r>
    </w:p>
    <w:p>
      <w:pPr>
        <w:numPr>
          <w:ilvl w:val="0"/>
          <w:numId w:val="26"/>
        </w:numPr>
        <w:spacing w:line="360" w:lineRule="auto"/>
        <w:rPr>
          <w:kern w:val="0"/>
          <w:sz w:val="24"/>
        </w:rPr>
      </w:pPr>
      <w:r>
        <w:rPr>
          <w:kern w:val="0"/>
          <w:sz w:val="24"/>
        </w:rPr>
        <w:t>要求支持容器化和虚拟机等部署。</w:t>
      </w:r>
    </w:p>
    <w:p>
      <w:pPr>
        <w:numPr>
          <w:ilvl w:val="0"/>
          <w:numId w:val="26"/>
        </w:numPr>
        <w:spacing w:line="360" w:lineRule="auto"/>
        <w:rPr>
          <w:kern w:val="0"/>
          <w:sz w:val="24"/>
        </w:rPr>
      </w:pPr>
      <w:r>
        <w:rPr>
          <w:kern w:val="0"/>
          <w:sz w:val="24"/>
        </w:rPr>
        <w:t>要求支持集成DevOps部署流水线。</w:t>
      </w:r>
    </w:p>
    <w:p>
      <w:pPr>
        <w:numPr>
          <w:ilvl w:val="0"/>
          <w:numId w:val="26"/>
        </w:numPr>
        <w:spacing w:line="360" w:lineRule="auto"/>
      </w:pPr>
      <w:r>
        <w:rPr>
          <w:kern w:val="0"/>
          <w:sz w:val="24"/>
        </w:rPr>
        <w:t>要求集群部署，支持负载均衡。</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9.5.4.3</w:t>
      </w:r>
      <w:r>
        <w:rPr>
          <w:b/>
          <w:sz w:val="24"/>
        </w:rPr>
        <w:t>性能要求</w:t>
      </w:r>
    </w:p>
    <w:p>
      <w:pPr>
        <w:numPr>
          <w:ilvl w:val="0"/>
          <w:numId w:val="26"/>
        </w:numPr>
        <w:spacing w:line="360" w:lineRule="auto"/>
        <w:rPr>
          <w:kern w:val="0"/>
          <w:sz w:val="24"/>
        </w:rPr>
      </w:pPr>
      <w:r>
        <w:rPr>
          <w:kern w:val="0"/>
          <w:sz w:val="24"/>
        </w:rPr>
        <w:t>要求单节点150并发下具备良好的响应速度。</w:t>
      </w:r>
    </w:p>
    <w:p>
      <w:pPr>
        <w:numPr>
          <w:ilvl w:val="0"/>
          <w:numId w:val="26"/>
        </w:numPr>
        <w:spacing w:line="360" w:lineRule="auto"/>
        <w:rPr>
          <w:kern w:val="0"/>
          <w:sz w:val="24"/>
        </w:rPr>
      </w:pPr>
      <w:r>
        <w:rPr>
          <w:kern w:val="0"/>
          <w:sz w:val="24"/>
        </w:rPr>
        <w:t>要求响应时间小于3s。</w:t>
      </w:r>
    </w:p>
    <w:p>
      <w:pPr>
        <w:pStyle w:val="45"/>
        <w:keepNext w:val="0"/>
        <w:widowControl/>
        <w:numPr>
          <w:ilvl w:val="2"/>
          <w:numId w:val="0"/>
        </w:numPr>
        <w:tabs>
          <w:tab w:val="left" w:pos="0"/>
        </w:tabs>
        <w:outlineLvl w:val="4"/>
        <w:rPr>
          <w:sz w:val="24"/>
          <w:szCs w:val="24"/>
        </w:rPr>
      </w:pPr>
      <w:bookmarkStart w:id="88" w:name="_Toc11056"/>
      <w:r>
        <w:rPr>
          <w:rFonts w:hint="eastAsia"/>
          <w:sz w:val="24"/>
          <w:szCs w:val="24"/>
        </w:rPr>
        <w:t>9.5.4.4</w:t>
      </w:r>
      <w:r>
        <w:rPr>
          <w:sz w:val="24"/>
          <w:szCs w:val="24"/>
        </w:rPr>
        <w:t>可靠性和稳定性</w:t>
      </w:r>
      <w:bookmarkEnd w:id="88"/>
      <w:r>
        <w:rPr>
          <w:sz w:val="24"/>
          <w:szCs w:val="24"/>
        </w:rPr>
        <w:t xml:space="preserve"> </w:t>
      </w:r>
    </w:p>
    <w:p>
      <w:pPr>
        <w:numPr>
          <w:ilvl w:val="0"/>
          <w:numId w:val="26"/>
        </w:numPr>
        <w:spacing w:line="360" w:lineRule="auto"/>
        <w:rPr>
          <w:kern w:val="0"/>
          <w:sz w:val="24"/>
        </w:rPr>
      </w:pPr>
      <w:r>
        <w:rPr>
          <w:kern w:val="0"/>
          <w:sz w:val="24"/>
        </w:rPr>
        <w:t>系统具有高可靠性与稳定性，一般的人为和外部的异常事件不会引起系统的崩溃；</w:t>
      </w:r>
    </w:p>
    <w:p>
      <w:pPr>
        <w:spacing w:line="360" w:lineRule="auto"/>
        <w:rPr>
          <w:kern w:val="0"/>
          <w:sz w:val="24"/>
        </w:rPr>
      </w:pPr>
      <w:r>
        <w:rPr>
          <w:kern w:val="0"/>
          <w:sz w:val="24"/>
        </w:rPr>
        <w:t>同时系统有较高的可用性，当系统出现问题后能在较短的时间内恢复。</w:t>
      </w:r>
    </w:p>
    <w:p>
      <w:pPr>
        <w:numPr>
          <w:ilvl w:val="0"/>
          <w:numId w:val="26"/>
        </w:numPr>
        <w:spacing w:line="360" w:lineRule="auto"/>
        <w:rPr>
          <w:kern w:val="0"/>
          <w:sz w:val="24"/>
        </w:rPr>
      </w:pPr>
      <w:r>
        <w:rPr>
          <w:kern w:val="0"/>
          <w:sz w:val="24"/>
        </w:rPr>
        <w:t>系统产品必须是经过实际客户项目使用的现有最新稳定版本，要求平台源代码全</w:t>
      </w:r>
    </w:p>
    <w:p>
      <w:pPr>
        <w:spacing w:line="360" w:lineRule="auto"/>
        <w:rPr>
          <w:kern w:val="0"/>
          <w:sz w:val="24"/>
        </w:rPr>
      </w:pPr>
      <w:r>
        <w:rPr>
          <w:kern w:val="0"/>
          <w:sz w:val="24"/>
        </w:rPr>
        <w:t>部开放，并能够至少提供三年免费平台运维及升级服务。</w:t>
      </w:r>
    </w:p>
    <w:p>
      <w:pPr>
        <w:pStyle w:val="45"/>
        <w:keepNext w:val="0"/>
        <w:widowControl/>
        <w:numPr>
          <w:ilvl w:val="2"/>
          <w:numId w:val="0"/>
        </w:numPr>
        <w:tabs>
          <w:tab w:val="left" w:pos="0"/>
        </w:tabs>
        <w:outlineLvl w:val="4"/>
        <w:rPr>
          <w:sz w:val="24"/>
          <w:szCs w:val="24"/>
        </w:rPr>
      </w:pPr>
      <w:bookmarkStart w:id="89" w:name="_Toc1078"/>
      <w:r>
        <w:rPr>
          <w:rFonts w:hint="eastAsia"/>
          <w:sz w:val="24"/>
          <w:szCs w:val="24"/>
        </w:rPr>
        <w:t>9.5.4.5</w:t>
      </w:r>
      <w:r>
        <w:rPr>
          <w:sz w:val="24"/>
          <w:szCs w:val="24"/>
        </w:rPr>
        <w:t>先进性和前瞻性</w:t>
      </w:r>
      <w:bookmarkEnd w:id="89"/>
    </w:p>
    <w:p>
      <w:pPr>
        <w:numPr>
          <w:ilvl w:val="0"/>
          <w:numId w:val="26"/>
        </w:numPr>
        <w:spacing w:line="360" w:lineRule="auto"/>
        <w:rPr>
          <w:kern w:val="0"/>
          <w:sz w:val="24"/>
        </w:rPr>
      </w:pPr>
      <w:r>
        <w:rPr>
          <w:kern w:val="0"/>
          <w:sz w:val="24"/>
        </w:rPr>
        <w:t>系统的技术架构具有先进及前瞻性；可以跨平台应用或配置；确保充分考虑系统</w:t>
      </w:r>
    </w:p>
    <w:p>
      <w:pPr>
        <w:spacing w:line="360" w:lineRule="auto"/>
        <w:rPr>
          <w:kern w:val="0"/>
          <w:sz w:val="24"/>
        </w:rPr>
      </w:pPr>
      <w:r>
        <w:rPr>
          <w:kern w:val="0"/>
          <w:sz w:val="24"/>
        </w:rPr>
        <w:t>今后的延伸；能够适应Linux、</w:t>
      </w:r>
      <w:r>
        <w:rPr>
          <w:rFonts w:hint="eastAsia"/>
          <w:kern w:val="0"/>
          <w:sz w:val="24"/>
        </w:rPr>
        <w:t>国产化操作系统</w:t>
      </w:r>
      <w:r>
        <w:rPr>
          <w:kern w:val="0"/>
          <w:sz w:val="24"/>
        </w:rPr>
        <w:t xml:space="preserve">等多种不同的操作系统和 </w:t>
      </w:r>
      <w:r>
        <w:rPr>
          <w:rFonts w:hint="eastAsia"/>
          <w:kern w:val="0"/>
          <w:sz w:val="24"/>
        </w:rPr>
        <w:t>mysql、pg、国产数据库</w:t>
      </w:r>
      <w:r>
        <w:rPr>
          <w:kern w:val="0"/>
          <w:sz w:val="24"/>
        </w:rPr>
        <w:t>等多种数据库平台。在系统建成后 5 年内，业务量的增加不会导致对系统的重大调整。</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9.5.4.6</w:t>
      </w:r>
      <w:r>
        <w:rPr>
          <w:b/>
          <w:sz w:val="24"/>
        </w:rPr>
        <w:t>授权数要求</w:t>
      </w:r>
    </w:p>
    <w:p>
      <w:pPr>
        <w:numPr>
          <w:ilvl w:val="0"/>
          <w:numId w:val="26"/>
        </w:numPr>
        <w:spacing w:line="360" w:lineRule="auto"/>
        <w:rPr>
          <w:kern w:val="0"/>
          <w:sz w:val="24"/>
        </w:rPr>
      </w:pPr>
      <w:r>
        <w:rPr>
          <w:kern w:val="0"/>
          <w:sz w:val="24"/>
        </w:rPr>
        <w:t>要求不限制系统部署数量，不限制用户数量。</w:t>
      </w:r>
    </w:p>
    <w:p>
      <w:pPr>
        <w:pStyle w:val="45"/>
        <w:keepNext w:val="0"/>
        <w:widowControl/>
        <w:numPr>
          <w:ilvl w:val="2"/>
          <w:numId w:val="0"/>
        </w:numPr>
        <w:tabs>
          <w:tab w:val="left" w:pos="0"/>
        </w:tabs>
        <w:outlineLvl w:val="4"/>
        <w:rPr>
          <w:sz w:val="24"/>
          <w:szCs w:val="24"/>
        </w:rPr>
      </w:pPr>
      <w:bookmarkStart w:id="90" w:name="_Toc25070"/>
      <w:r>
        <w:rPr>
          <w:rFonts w:hint="eastAsia"/>
          <w:sz w:val="24"/>
          <w:szCs w:val="24"/>
        </w:rPr>
        <w:t>9.5.4.7</w:t>
      </w:r>
      <w:r>
        <w:rPr>
          <w:sz w:val="24"/>
          <w:szCs w:val="24"/>
        </w:rPr>
        <w:t>开放性和标准性</w:t>
      </w:r>
      <w:bookmarkEnd w:id="90"/>
      <w:r>
        <w:rPr>
          <w:sz w:val="24"/>
          <w:szCs w:val="24"/>
        </w:rPr>
        <w:t xml:space="preserve"> </w:t>
      </w:r>
    </w:p>
    <w:p>
      <w:pPr>
        <w:pStyle w:val="33"/>
        <w:widowControl/>
        <w:ind w:firstLine="480"/>
      </w:pPr>
      <w:r>
        <w:t>系统要具有开放性，可通过标准接口实现与现有系统的数据交互功能，可以为其他系统提供所需的本系统数据，也可以接收和处理其他系统发送的信息。</w:t>
      </w:r>
    </w:p>
    <w:p>
      <w:pPr>
        <w:pStyle w:val="45"/>
        <w:keepNext w:val="0"/>
        <w:widowControl/>
        <w:numPr>
          <w:ilvl w:val="2"/>
          <w:numId w:val="0"/>
        </w:numPr>
        <w:tabs>
          <w:tab w:val="left" w:pos="0"/>
        </w:tabs>
        <w:outlineLvl w:val="4"/>
        <w:rPr>
          <w:sz w:val="24"/>
          <w:szCs w:val="24"/>
        </w:rPr>
      </w:pPr>
      <w:bookmarkStart w:id="91" w:name="_Toc29976"/>
      <w:r>
        <w:rPr>
          <w:rFonts w:hint="eastAsia"/>
          <w:sz w:val="24"/>
          <w:szCs w:val="24"/>
        </w:rPr>
        <w:t>9.5.4.8</w:t>
      </w:r>
      <w:r>
        <w:rPr>
          <w:sz w:val="24"/>
          <w:szCs w:val="24"/>
        </w:rPr>
        <w:t>易操作性和可恢复性</w:t>
      </w:r>
      <w:bookmarkEnd w:id="91"/>
      <w:r>
        <w:rPr>
          <w:sz w:val="24"/>
          <w:szCs w:val="24"/>
        </w:rPr>
        <w:t xml:space="preserve"> </w:t>
      </w:r>
    </w:p>
    <w:p>
      <w:pPr>
        <w:pStyle w:val="33"/>
        <w:widowControl/>
        <w:ind w:firstLine="480"/>
      </w:pPr>
      <w:r>
        <w:t>需支持所有主流浏览器，用户界面简洁、美观、友好，易于用户掌握、操作和使用；利用系统提供的工具，无须编写代码，方便用户自行进行客户化功能改造，方便用户自行定制界面数据项的显示；同时在网络或系统出现问题时能及时、快速地恢复系统的正常运行，保证系统的可恢复性。</w:t>
      </w:r>
    </w:p>
    <w:p>
      <w:pPr>
        <w:pStyle w:val="45"/>
        <w:keepNext w:val="0"/>
        <w:widowControl/>
        <w:numPr>
          <w:ilvl w:val="2"/>
          <w:numId w:val="0"/>
        </w:numPr>
        <w:tabs>
          <w:tab w:val="left" w:pos="0"/>
        </w:tabs>
        <w:outlineLvl w:val="4"/>
        <w:rPr>
          <w:sz w:val="24"/>
          <w:szCs w:val="24"/>
        </w:rPr>
      </w:pPr>
      <w:bookmarkStart w:id="92" w:name="_Toc17044"/>
      <w:r>
        <w:rPr>
          <w:rFonts w:hint="eastAsia"/>
          <w:sz w:val="24"/>
          <w:szCs w:val="24"/>
        </w:rPr>
        <w:t>9.5.4.9</w:t>
      </w:r>
      <w:r>
        <w:rPr>
          <w:sz w:val="24"/>
          <w:szCs w:val="24"/>
        </w:rPr>
        <w:t>安全性</w:t>
      </w:r>
      <w:bookmarkEnd w:id="92"/>
      <w:r>
        <w:rPr>
          <w:sz w:val="24"/>
          <w:szCs w:val="24"/>
        </w:rPr>
        <w:t xml:space="preserve"> </w:t>
      </w:r>
    </w:p>
    <w:p>
      <w:pPr>
        <w:pStyle w:val="33"/>
        <w:widowControl/>
        <w:ind w:firstLine="480"/>
      </w:pPr>
      <w:r>
        <w:t>系统不仅需要考虑信息资源的充分共享，更要注意信息的保护和隔离，因此系统应分别针对不同的应用和不同的网络通信环境，采取不同的措施，以确保系统数据的安全性及防止非法盗用数据与帐号；系统采用的硬件、软件和网络是经过实践考验证明其是安全、实用的；同时系统应该充分利用防火墙、安全证书等数据加密技术保证网络数据安全，通过限制用户访问主机资源、记录对系统的各项敏感操作等措施确保系统与应用系统的安全。产品本身具备完善、高度的安全、加密机制，权限设置灵活； 产品具有高度数据安全机制（存储，数据库安全保护，备份，避灾，恢复，数据导出、导入， 操作痕迹和修改痕迹追踪）；产品具有完善的系统内部功能应用权限（系统权限体系，系统日志，出错管理）。</w:t>
      </w:r>
    </w:p>
    <w:p>
      <w:pPr>
        <w:pStyle w:val="45"/>
        <w:keepNext w:val="0"/>
        <w:widowControl/>
        <w:numPr>
          <w:ilvl w:val="2"/>
          <w:numId w:val="0"/>
        </w:numPr>
        <w:tabs>
          <w:tab w:val="left" w:pos="0"/>
        </w:tabs>
        <w:outlineLvl w:val="4"/>
        <w:rPr>
          <w:sz w:val="24"/>
          <w:szCs w:val="24"/>
        </w:rPr>
      </w:pPr>
      <w:bookmarkStart w:id="93" w:name="_Toc24934"/>
      <w:r>
        <w:rPr>
          <w:rFonts w:hint="eastAsia"/>
          <w:sz w:val="24"/>
          <w:szCs w:val="24"/>
        </w:rPr>
        <w:t>9.5.4.10</w:t>
      </w:r>
      <w:r>
        <w:rPr>
          <w:sz w:val="24"/>
          <w:szCs w:val="24"/>
        </w:rPr>
        <w:t>可扩展性和管理性</w:t>
      </w:r>
      <w:bookmarkEnd w:id="93"/>
      <w:r>
        <w:rPr>
          <w:sz w:val="24"/>
          <w:szCs w:val="24"/>
        </w:rPr>
        <w:t xml:space="preserve">  </w:t>
      </w:r>
    </w:p>
    <w:p>
      <w:pPr>
        <w:pStyle w:val="33"/>
        <w:ind w:firstLine="480"/>
      </w:pPr>
      <w:r>
        <w:t>未来业务的扩展只须在现有机制的基础上，增加新的应用与服务模块。</w:t>
      </w:r>
      <w:r>
        <w:rPr>
          <w:rFonts w:hint="eastAsia"/>
        </w:rPr>
        <w:t>一是</w:t>
      </w:r>
      <w:r>
        <w:t>，当系统应用量增加以及用户数增加时系统可以平滑增加服务器的方式来支撑新的压力要求</w:t>
      </w:r>
      <w:r>
        <w:rPr>
          <w:rFonts w:hint="eastAsia"/>
        </w:rPr>
        <w:t>；</w:t>
      </w:r>
      <w:r>
        <w:rPr>
          <w:rFonts w:hint="eastAsia"/>
          <w:lang w:bidi="en-US"/>
        </w:rPr>
        <w:t>支持平行扩展，在大量增加设备时，只需平行增加服务节点，无需暂停服务即可同步配置</w:t>
      </w:r>
      <w:r>
        <w:t>；</w:t>
      </w:r>
      <w:r>
        <w:rPr>
          <w:rFonts w:hint="eastAsia"/>
        </w:rPr>
        <w:t>二是</w:t>
      </w:r>
      <w:r>
        <w:t>，当新的技术或产品出现进行升级时，系统能够平滑过渡而不影响用户的使用。系统管理的使用及管理采用基于 Web 方式的管理系统，提高系统的可管理性；系统的软件应是模块化的，以便于系统配置组态时灵活增加和删除。</w:t>
      </w:r>
      <w:r>
        <w:rPr>
          <w:rFonts w:hint="eastAsia"/>
        </w:rPr>
        <w:t xml:space="preserve"> </w:t>
      </w:r>
    </w:p>
    <w:p>
      <w:pPr>
        <w:pStyle w:val="33"/>
        <w:ind w:firstLine="0" w:firstLineChars="0"/>
        <w:rPr>
          <w:b/>
          <w:szCs w:val="24"/>
        </w:rPr>
      </w:pPr>
      <w:r>
        <w:rPr>
          <w:rFonts w:hint="eastAsia"/>
          <w:b/>
          <w:szCs w:val="24"/>
        </w:rPr>
        <w:t>9.5.4.11</w:t>
      </w:r>
      <w:r>
        <w:rPr>
          <w:b/>
          <w:szCs w:val="24"/>
        </w:rPr>
        <w:t>源码开放要求</w:t>
      </w:r>
    </w:p>
    <w:p>
      <w:pPr>
        <w:numPr>
          <w:ilvl w:val="0"/>
          <w:numId w:val="26"/>
        </w:numPr>
        <w:spacing w:line="360" w:lineRule="auto"/>
        <w:rPr>
          <w:kern w:val="0"/>
          <w:sz w:val="24"/>
        </w:rPr>
      </w:pPr>
      <w:r>
        <w:rPr>
          <w:rFonts w:hint="eastAsia"/>
          <w:kern w:val="0"/>
          <w:sz w:val="24"/>
        </w:rPr>
        <w:t>需提供研发项目管理系统中除第三方组件外的全部程序源代码，便于甲方承接自由扩展。主要包括：业务代码，包括核心业务与客制化业务所有源代码。</w:t>
      </w:r>
    </w:p>
    <w:p>
      <w:pPr>
        <w:numPr>
          <w:ilvl w:val="0"/>
          <w:numId w:val="26"/>
        </w:numPr>
        <w:spacing w:line="360" w:lineRule="auto"/>
        <w:rPr>
          <w:kern w:val="0"/>
          <w:sz w:val="24"/>
        </w:rPr>
      </w:pPr>
      <w:r>
        <w:rPr>
          <w:rFonts w:hint="eastAsia"/>
          <w:kern w:val="0"/>
          <w:sz w:val="24"/>
        </w:rPr>
        <w:t>开发框架代码，包括研发项目管理系统依赖的自研Jar包,若使用开源框架（如Spring、Mybatis等），相关部分可不提供。</w:t>
      </w:r>
    </w:p>
    <w:p>
      <w:pPr>
        <w:numPr>
          <w:ilvl w:val="0"/>
          <w:numId w:val="26"/>
        </w:numPr>
        <w:spacing w:line="360" w:lineRule="auto"/>
        <w:rPr>
          <w:kern w:val="0"/>
          <w:sz w:val="24"/>
        </w:rPr>
      </w:pPr>
      <w:r>
        <w:rPr>
          <w:rFonts w:hint="eastAsia"/>
          <w:kern w:val="0"/>
          <w:sz w:val="24"/>
        </w:rPr>
        <w:t>开发平台代码，包括常用的工作流平台、规则引擎平台和低代码平台等。若使用开源平台，相关部分可不提供。</w:t>
      </w:r>
    </w:p>
    <w:p>
      <w:pPr>
        <w:numPr>
          <w:ilvl w:val="0"/>
          <w:numId w:val="26"/>
        </w:numPr>
        <w:spacing w:line="360" w:lineRule="auto"/>
      </w:pPr>
      <w:r>
        <w:rPr>
          <w:rFonts w:hint="eastAsia"/>
          <w:kern w:val="0"/>
          <w:sz w:val="24"/>
        </w:rPr>
        <w:t>微服务组件代码，包括微服务中常用的网关、注册中心、配置中心、认证中心、文件中心、监控中心、日志中心等二次开发源码。若使用开源组件，相关部分可不提供。</w:t>
      </w:r>
    </w:p>
    <w:p>
      <w:pPr>
        <w:pStyle w:val="5"/>
        <w:spacing w:before="120" w:after="120" w:line="360" w:lineRule="auto"/>
        <w:rPr>
          <w:sz w:val="28"/>
          <w:szCs w:val="28"/>
        </w:rPr>
      </w:pPr>
      <w:bookmarkStart w:id="94" w:name="_Toc23188"/>
      <w:r>
        <w:rPr>
          <w:rFonts w:hint="eastAsia"/>
          <w:sz w:val="28"/>
          <w:szCs w:val="28"/>
        </w:rPr>
        <w:t>9.5.5 显示屏软件技术要求</w:t>
      </w:r>
      <w:bookmarkEnd w:id="94"/>
    </w:p>
    <w:p>
      <w:pPr>
        <w:widowControl/>
        <w:spacing w:line="360" w:lineRule="auto"/>
        <w:ind w:firstLine="480" w:firstLineChars="200"/>
        <w:jc w:val="left"/>
      </w:pPr>
      <w:r>
        <w:rPr>
          <w:rFonts w:hint="eastAsia"/>
          <w:sz w:val="24"/>
        </w:rPr>
        <w:t>1、</w:t>
      </w:r>
      <w:r>
        <w:rPr>
          <w:rFonts w:hint="eastAsia"/>
          <w:sz w:val="24"/>
          <w:lang w:bidi="en-US"/>
        </w:rPr>
        <w:t>投标方负责显示屏软件程序开发。</w:t>
      </w:r>
      <w:r>
        <w:rPr>
          <w:kern w:val="0"/>
          <w:sz w:val="24"/>
        </w:rPr>
        <w:t>要求</w:t>
      </w:r>
      <w:r>
        <w:rPr>
          <w:rFonts w:hint="eastAsia"/>
          <w:kern w:val="0"/>
          <w:sz w:val="24"/>
        </w:rPr>
        <w:t>显示屏程序</w:t>
      </w:r>
      <w:r>
        <w:rPr>
          <w:kern w:val="0"/>
          <w:sz w:val="24"/>
        </w:rPr>
        <w:t>支持私有云、</w:t>
      </w:r>
      <w:r>
        <w:rPr>
          <w:rFonts w:hint="eastAsia"/>
          <w:kern w:val="0"/>
          <w:sz w:val="24"/>
        </w:rPr>
        <w:t>公</w:t>
      </w:r>
      <w:r>
        <w:rPr>
          <w:kern w:val="0"/>
          <w:sz w:val="24"/>
        </w:rPr>
        <w:t>有云和混合云多种部署。</w:t>
      </w:r>
      <w:r>
        <w:rPr>
          <w:rFonts w:hint="eastAsia"/>
          <w:kern w:val="0"/>
          <w:sz w:val="24"/>
        </w:rPr>
        <w:t>显示内容具有可扩展性，支持增加工艺文件等多内容（窗口）展示。显示程序支持与ERP-SAP、HMES、集团新MES平台、质量档案系统等系统集成，比如从ERP-SAP获取BOM信息，从质量档案系统获取车辆质量档案信息等。</w:t>
      </w:r>
    </w:p>
    <w:p>
      <w:pPr>
        <w:spacing w:line="360" w:lineRule="auto"/>
        <w:ind w:firstLine="480" w:firstLineChars="200"/>
        <w:rPr>
          <w:rFonts w:ascii="宋体" w:hAnsi="宋体" w:eastAsia="宋体" w:cs="宋体"/>
          <w:sz w:val="24"/>
        </w:rPr>
      </w:pPr>
      <w:r>
        <w:rPr>
          <w:rFonts w:hint="eastAsia"/>
          <w:sz w:val="24"/>
        </w:rPr>
        <w:t>2、</w:t>
      </w:r>
      <w:r>
        <w:rPr>
          <w:rFonts w:ascii="宋体" w:hAnsi="宋体" w:eastAsia="宋体" w:cs="宋体"/>
          <w:sz w:val="24"/>
        </w:rPr>
        <w:t>支持增加视频、工艺文件等多内容（窗口）展示，具备单个播放、多个循环播放、自动切换、点击切换、定时切换播放内容的功能。</w:t>
      </w:r>
    </w:p>
    <w:p>
      <w:pPr>
        <w:spacing w:line="360" w:lineRule="auto"/>
        <w:ind w:firstLine="480" w:firstLineChars="200"/>
        <w:rPr>
          <w:sz w:val="24"/>
        </w:rPr>
      </w:pPr>
      <w:r>
        <w:rPr>
          <w:rFonts w:hint="eastAsia"/>
          <w:sz w:val="24"/>
        </w:rPr>
        <w:t>3、显示程序具有显示规则维护功能，主要是维护工位、质量大类、物料名称、物料图号等信息。显示内容可参考以下图片：</w:t>
      </w:r>
    </w:p>
    <w:p>
      <w:pPr>
        <w:pStyle w:val="2"/>
        <w:ind w:left="0" w:firstLine="480"/>
        <w:rPr>
          <w:sz w:val="24"/>
          <w:szCs w:val="24"/>
        </w:rPr>
      </w:pPr>
      <w:r>
        <w:rPr>
          <w:rFonts w:hint="eastAsia"/>
          <w:sz w:val="24"/>
          <w:szCs w:val="24"/>
        </w:rPr>
        <w:t>4、系统支持手持端程序扫描随车单一维和二维条码进行过点确认，手持程序为Android版本。</w:t>
      </w:r>
    </w:p>
    <w:p>
      <w:pPr>
        <w:ind w:firstLine="480"/>
        <w:rPr>
          <w:rFonts w:ascii="Book Antiqua" w:hAnsi="Book Antiqua" w:eastAsia="宋体" w:cs="Times New Roman"/>
          <w:kern w:val="0"/>
          <w:sz w:val="24"/>
        </w:rPr>
      </w:pPr>
      <w:r>
        <w:rPr>
          <w:rFonts w:hint="eastAsia" w:ascii="Book Antiqua" w:hAnsi="Book Antiqua" w:eastAsia="宋体" w:cs="Times New Roman"/>
          <w:kern w:val="0"/>
          <w:sz w:val="24"/>
        </w:rPr>
        <w:t>5、系统提供获取车辆当前位置（工位）的对外接口，以供其它系统调用。</w:t>
      </w:r>
    </w:p>
    <w:p>
      <w:pPr>
        <w:pStyle w:val="2"/>
        <w:ind w:left="0" w:firstLine="480"/>
        <w:rPr>
          <w:sz w:val="24"/>
          <w:szCs w:val="24"/>
        </w:rPr>
      </w:pPr>
      <w:r>
        <w:rPr>
          <w:rFonts w:hint="eastAsia"/>
          <w:sz w:val="24"/>
          <w:szCs w:val="24"/>
        </w:rPr>
        <w:t>6、系统支持显示屏程序所在工位的灵活配置，通过修改配置文件就能实现对应工位的调整。</w:t>
      </w:r>
    </w:p>
    <w:p>
      <w:pPr>
        <w:pStyle w:val="2"/>
        <w:ind w:left="0" w:firstLine="480"/>
      </w:pPr>
      <w:r>
        <w:rPr>
          <w:sz w:val="24"/>
          <w:szCs w:val="24"/>
        </w:rPr>
        <w:t>7</w:t>
      </w:r>
      <w:r>
        <w:rPr>
          <w:rFonts w:hint="eastAsia"/>
          <w:sz w:val="24"/>
          <w:szCs w:val="24"/>
        </w:rPr>
        <w:t>、系统支持对本工位操作视频和工艺文件P</w:t>
      </w:r>
      <w:r>
        <w:rPr>
          <w:sz w:val="24"/>
          <w:szCs w:val="24"/>
        </w:rPr>
        <w:t>DF</w:t>
      </w:r>
      <w:r>
        <w:rPr>
          <w:rFonts w:hint="eastAsia"/>
          <w:sz w:val="24"/>
          <w:szCs w:val="24"/>
        </w:rPr>
        <w:t>文件进行循环播放</w:t>
      </w:r>
    </w:p>
    <w:p>
      <w:pPr>
        <w:spacing w:line="360" w:lineRule="auto"/>
        <w:ind w:firstLine="420" w:firstLineChars="200"/>
        <w:rPr>
          <w:sz w:val="24"/>
          <w:lang w:bidi="en-US"/>
        </w:rPr>
      </w:pPr>
      <w:bookmarkStart w:id="160" w:name="_GoBack"/>
      <w:r>
        <w:drawing>
          <wp:anchor distT="0" distB="0" distL="114300" distR="114300" simplePos="0" relativeHeight="251663360" behindDoc="0" locked="0" layoutInCell="1" allowOverlap="1">
            <wp:simplePos x="0" y="0"/>
            <wp:positionH relativeFrom="column">
              <wp:posOffset>-111760</wp:posOffset>
            </wp:positionH>
            <wp:positionV relativeFrom="paragraph">
              <wp:posOffset>897890</wp:posOffset>
            </wp:positionV>
            <wp:extent cx="6085205" cy="2119630"/>
            <wp:effectExtent l="0" t="0" r="10795" b="1397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rcRect l="11798" t="1165" r="11011" b="39826"/>
                    <a:stretch>
                      <a:fillRect/>
                    </a:stretch>
                  </pic:blipFill>
                  <pic:spPr>
                    <a:xfrm>
                      <a:off x="0" y="0"/>
                      <a:ext cx="6085205" cy="2119630"/>
                    </a:xfrm>
                    <a:prstGeom prst="rect">
                      <a:avLst/>
                    </a:prstGeom>
                  </pic:spPr>
                </pic:pic>
              </a:graphicData>
            </a:graphic>
          </wp:anchor>
        </w:drawing>
      </w:r>
      <w:bookmarkEnd w:id="160"/>
      <w:r>
        <w:rPr>
          <w:rFonts w:hint="eastAsia"/>
        </w:rPr>
        <w:t>8</w:t>
      </w:r>
      <w:r>
        <w:rPr>
          <w:rFonts w:hint="eastAsia"/>
          <w:sz w:val="24"/>
          <w:lang w:bidi="en-US"/>
        </w:rPr>
        <w:t>、需根据投标方相关系统给出的数据组进行识别、整理、展示，展示内容主要包括配置描述、工位信息、订单信息、车架号（底盘号）、车型信息、基本装置表、PZK号、关重件信息清单等，界面基础模型如下：</w:t>
      </w:r>
    </w:p>
    <w:p>
      <w:pPr>
        <w:pStyle w:val="5"/>
        <w:spacing w:before="120" w:after="120" w:line="360" w:lineRule="auto"/>
        <w:rPr>
          <w:sz w:val="28"/>
          <w:szCs w:val="28"/>
        </w:rPr>
      </w:pPr>
      <w:bookmarkStart w:id="95" w:name="_Toc27598"/>
      <w:bookmarkStart w:id="96" w:name="_Toc395339382"/>
      <w:r>
        <w:rPr>
          <w:rFonts w:hint="eastAsia"/>
          <w:sz w:val="28"/>
          <w:szCs w:val="28"/>
        </w:rPr>
        <w:t>9.5.6设备配置清单及部署要求</w:t>
      </w:r>
      <w:bookmarkEnd w:id="95"/>
    </w:p>
    <w:tbl>
      <w:tblPr>
        <w:tblStyle w:val="25"/>
        <w:tblW w:w="5600" w:type="pct"/>
        <w:tblInd w:w="-177" w:type="dxa"/>
        <w:tblLayout w:type="autofit"/>
        <w:tblCellMar>
          <w:top w:w="0" w:type="dxa"/>
          <w:left w:w="108" w:type="dxa"/>
          <w:bottom w:w="0" w:type="dxa"/>
          <w:right w:w="108" w:type="dxa"/>
        </w:tblCellMar>
      </w:tblPr>
      <w:tblGrid>
        <w:gridCol w:w="758"/>
        <w:gridCol w:w="2124"/>
        <w:gridCol w:w="4218"/>
        <w:gridCol w:w="799"/>
        <w:gridCol w:w="1375"/>
        <w:gridCol w:w="729"/>
      </w:tblGrid>
      <w:tr>
        <w:tblPrEx>
          <w:tblCellMar>
            <w:top w:w="0" w:type="dxa"/>
            <w:left w:w="108" w:type="dxa"/>
            <w:bottom w:w="0" w:type="dxa"/>
            <w:right w:w="108" w:type="dxa"/>
          </w:tblCellMar>
        </w:tblPrEx>
        <w:trPr>
          <w:trHeight w:val="626"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bookmarkStart w:id="97" w:name="_Toc134513642"/>
            <w:bookmarkStart w:id="98" w:name="_Toc134513633"/>
            <w:r>
              <w:rPr>
                <w:rFonts w:hint="eastAsia" w:ascii="宋体" w:hAnsi="宋体" w:cs="宋体"/>
                <w:b/>
                <w:bCs/>
                <w:color w:val="000000"/>
                <w:kern w:val="0"/>
                <w:sz w:val="24"/>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1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参数要求</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6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324"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UWB高精度定位基站</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基站内部需具备高速中央处理器，快速处理业务逻辑和传递信息；供电方式需同时支持POE供电及DC直流供电，减少布线工作量；需采用内置全向识别天线，具备标准以太网通信接口，通信方式采用TCP/IP、UDP网络通信协议，网络支持≥2000张标签，工作频率3-6 GHz；上电自动查询通信总线上各设备的接入状态,需具备频道隔离技术，确保多个设备互不干扰,设备需支持设备自诊断维护功能,具备加密计算与安全认证，防止链路侦测;需支持四角矩形部署方式以及单边部署方式，满足不同使用条件下的定位部署要求;需支持TDOA、TOF及单边定位（通过同侧部署定位基站实现定位坐标解算）算法;设备需具备FCC认证（提供认证证书），无线通信和工作频段为国家无线通信委员会开放频段。</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UWB工业定位标签</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具备高速中央处理器，快速处理业务逻辑和传递信息，标签采用电池供电，电池容量不小于3</w:t>
            </w:r>
            <w:r>
              <w:rPr>
                <w:szCs w:val="21"/>
              </w:rPr>
              <w:t>000</w:t>
            </w:r>
            <w:r>
              <w:rPr>
                <w:rFonts w:hint="eastAsia"/>
                <w:szCs w:val="21"/>
              </w:rPr>
              <w:t>mAh，充电或更换电池周期不低于18个月，可根据运动状态智能控制标签运动及静止状态下的上传频次，降低功耗；可根据运动状态智能控制标签运动及静止状态下的上传频次，降低功耗，最高精度可达20cm，工作频率3-6GHz；开机后自动定时上传电池剩余电量，实现设备低电压报警功能，支持设备自诊断及预测性维护功能，具备加密计算与安全认证，防止链路侦测。</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济南商用车：240台</w:t>
            </w:r>
          </w:p>
          <w:p>
            <w:pPr>
              <w:widowControl/>
              <w:jc w:val="center"/>
              <w:rPr>
                <w:rFonts w:ascii="宋体" w:hAnsi="宋体" w:cs="宋体"/>
                <w:color w:val="000000"/>
                <w:kern w:val="0"/>
                <w:szCs w:val="21"/>
              </w:rPr>
            </w:pPr>
            <w:r>
              <w:rPr>
                <w:rFonts w:hint="eastAsia" w:ascii="宋体" w:hAnsi="宋体" w:cs="宋体"/>
                <w:color w:val="000000"/>
                <w:kern w:val="0"/>
                <w:szCs w:val="21"/>
              </w:rPr>
              <w:t>济南轻卡：</w:t>
            </w:r>
          </w:p>
          <w:p>
            <w:pPr>
              <w:widowControl/>
              <w:jc w:val="center"/>
              <w:rPr>
                <w:rFonts w:ascii="宋体" w:hAnsi="宋体" w:cs="宋体"/>
                <w:color w:val="000000"/>
                <w:kern w:val="0"/>
                <w:szCs w:val="21"/>
              </w:rPr>
            </w:pPr>
            <w:r>
              <w:rPr>
                <w:rFonts w:hint="eastAsia" w:ascii="宋体" w:hAnsi="宋体" w:cs="宋体"/>
                <w:color w:val="000000"/>
                <w:kern w:val="0"/>
                <w:szCs w:val="21"/>
              </w:rPr>
              <w:t>280台</w:t>
            </w:r>
          </w:p>
          <w:p>
            <w:pPr>
              <w:widowControl/>
              <w:jc w:val="center"/>
              <w:rPr>
                <w:rFonts w:ascii="宋体" w:hAnsi="宋体" w:cs="宋体"/>
                <w:color w:val="000000"/>
                <w:kern w:val="0"/>
                <w:szCs w:val="21"/>
                <w:highlight w:val="yellow"/>
              </w:rPr>
            </w:pPr>
            <w:r>
              <w:rPr>
                <w:rFonts w:hint="eastAsia" w:ascii="宋体" w:hAnsi="宋体" w:cs="宋体"/>
                <w:color w:val="000000"/>
                <w:kern w:val="0"/>
                <w:szCs w:val="21"/>
              </w:rPr>
              <w:t xml:space="preserve">济宁商用车：180台  </w:t>
            </w: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POE交换机（含机柜）</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16口千兆POE供电网管级交换机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cpu5218（16核2.3主频） 32G X2  960Gx2+4T企业X3 H330（raid5） 双电源750w 导轨</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超六类屏蔽线缆</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汇聚交换机</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三层网管级交换机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7</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手持PDA</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处理器：8核高速64位处理器，1</w:t>
            </w:r>
            <w:r>
              <w:rPr>
                <w:rFonts w:ascii="宋体" w:hAnsi="宋体" w:cs="宋体"/>
                <w:color w:val="000000"/>
                <w:kern w:val="0"/>
                <w:szCs w:val="21"/>
              </w:rPr>
              <w:t>.8GH</w:t>
            </w:r>
            <w:r>
              <w:rPr>
                <w:rFonts w:hint="eastAsia" w:ascii="宋体" w:hAnsi="宋体" w:cs="宋体"/>
                <w:color w:val="000000"/>
                <w:kern w:val="0"/>
                <w:szCs w:val="21"/>
              </w:rPr>
              <w:t>z</w:t>
            </w:r>
          </w:p>
          <w:p>
            <w:pPr>
              <w:widowControl/>
              <w:jc w:val="left"/>
              <w:rPr>
                <w:rFonts w:ascii="宋体" w:hAnsi="宋体" w:cs="宋体"/>
                <w:color w:val="000000"/>
                <w:kern w:val="0"/>
                <w:szCs w:val="21"/>
              </w:rPr>
            </w:pPr>
            <w:r>
              <w:rPr>
                <w:rFonts w:hint="eastAsia" w:ascii="宋体" w:hAnsi="宋体" w:cs="宋体"/>
                <w:color w:val="000000"/>
                <w:kern w:val="0"/>
                <w:szCs w:val="21"/>
              </w:rPr>
              <w:t xml:space="preserve">操作系统：Android </w:t>
            </w:r>
            <w:r>
              <w:rPr>
                <w:rFonts w:ascii="宋体" w:hAnsi="宋体" w:cs="宋体"/>
                <w:color w:val="000000"/>
                <w:kern w:val="0"/>
                <w:szCs w:val="21"/>
              </w:rPr>
              <w:t>9.0</w:t>
            </w:r>
          </w:p>
          <w:p>
            <w:pPr>
              <w:widowControl/>
              <w:jc w:val="left"/>
              <w:rPr>
                <w:rFonts w:ascii="宋体" w:hAnsi="宋体" w:cs="宋体"/>
                <w:color w:val="000000"/>
                <w:kern w:val="0"/>
                <w:szCs w:val="21"/>
              </w:rPr>
            </w:pPr>
            <w:r>
              <w:rPr>
                <w:rFonts w:hint="eastAsia" w:ascii="宋体" w:hAnsi="宋体" w:cs="宋体"/>
                <w:color w:val="000000"/>
                <w:kern w:val="0"/>
                <w:szCs w:val="21"/>
              </w:rPr>
              <w:t xml:space="preserve">存储：RAM </w:t>
            </w:r>
            <w:r>
              <w:rPr>
                <w:rFonts w:ascii="宋体" w:hAnsi="宋体" w:cs="宋体"/>
                <w:color w:val="000000"/>
                <w:kern w:val="0"/>
                <w:szCs w:val="21"/>
              </w:rPr>
              <w:t>4</w:t>
            </w:r>
            <w:r>
              <w:rPr>
                <w:rFonts w:hint="eastAsia" w:ascii="宋体" w:hAnsi="宋体" w:cs="宋体"/>
                <w:color w:val="000000"/>
                <w:kern w:val="0"/>
                <w:szCs w:val="21"/>
              </w:rPr>
              <w:t xml:space="preserve">GB; ROM </w:t>
            </w:r>
            <w:r>
              <w:rPr>
                <w:rFonts w:ascii="宋体" w:hAnsi="宋体" w:cs="宋体"/>
                <w:color w:val="000000"/>
                <w:kern w:val="0"/>
                <w:szCs w:val="21"/>
              </w:rPr>
              <w:t>64</w:t>
            </w:r>
            <w:r>
              <w:rPr>
                <w:rFonts w:hint="eastAsia" w:ascii="宋体" w:hAnsi="宋体" w:cs="宋体"/>
                <w:color w:val="000000"/>
                <w:kern w:val="0"/>
                <w:szCs w:val="21"/>
              </w:rPr>
              <w:t>GB</w:t>
            </w:r>
          </w:p>
          <w:p>
            <w:pPr>
              <w:widowControl/>
              <w:jc w:val="left"/>
              <w:rPr>
                <w:rFonts w:ascii="宋体" w:hAnsi="宋体" w:cs="宋体"/>
                <w:color w:val="000000"/>
                <w:kern w:val="0"/>
                <w:szCs w:val="21"/>
              </w:rPr>
            </w:pPr>
            <w:r>
              <w:rPr>
                <w:rFonts w:hint="eastAsia" w:ascii="宋体" w:hAnsi="宋体" w:cs="宋体"/>
                <w:color w:val="000000"/>
                <w:kern w:val="0"/>
                <w:szCs w:val="21"/>
              </w:rPr>
              <w:t>接口：Micro USB 2.0, OTG</w:t>
            </w:r>
          </w:p>
          <w:p>
            <w:pPr>
              <w:widowControl/>
              <w:jc w:val="left"/>
              <w:rPr>
                <w:rFonts w:ascii="宋体" w:hAnsi="宋体" w:cs="宋体"/>
                <w:color w:val="000000"/>
                <w:kern w:val="0"/>
                <w:szCs w:val="21"/>
              </w:rPr>
            </w:pPr>
            <w:r>
              <w:rPr>
                <w:rFonts w:hint="eastAsia" w:ascii="宋体" w:hAnsi="宋体" w:cs="宋体"/>
                <w:color w:val="000000"/>
                <w:kern w:val="0"/>
                <w:szCs w:val="21"/>
              </w:rPr>
              <w:t>显示屏：5</w:t>
            </w:r>
            <w:r>
              <w:rPr>
                <w:rFonts w:ascii="宋体" w:hAnsi="宋体" w:cs="宋体"/>
                <w:color w:val="000000"/>
                <w:kern w:val="0"/>
                <w:szCs w:val="21"/>
              </w:rPr>
              <w:t>.7</w:t>
            </w:r>
            <w:r>
              <w:rPr>
                <w:rFonts w:hint="eastAsia" w:ascii="宋体" w:hAnsi="宋体" w:cs="宋体"/>
                <w:color w:val="000000"/>
                <w:kern w:val="0"/>
                <w:szCs w:val="21"/>
              </w:rPr>
              <w:t>英寸（分辨率 1280×720）电容式触摸屏</w:t>
            </w:r>
          </w:p>
          <w:p>
            <w:pPr>
              <w:widowControl/>
              <w:jc w:val="left"/>
              <w:rPr>
                <w:rFonts w:ascii="宋体" w:hAnsi="宋体" w:cs="宋体"/>
                <w:color w:val="000000"/>
                <w:kern w:val="0"/>
                <w:szCs w:val="21"/>
              </w:rPr>
            </w:pPr>
            <w:r>
              <w:rPr>
                <w:rFonts w:hint="eastAsia" w:ascii="宋体" w:hAnsi="宋体" w:cs="宋体"/>
                <w:color w:val="000000"/>
                <w:kern w:val="0"/>
                <w:szCs w:val="21"/>
              </w:rPr>
              <w:t>协议：协议EPC Class1 Gen2（ISO18000-6C）</w:t>
            </w:r>
          </w:p>
          <w:p>
            <w:pPr>
              <w:widowControl/>
              <w:jc w:val="left"/>
              <w:rPr>
                <w:rFonts w:ascii="宋体" w:hAnsi="宋体" w:cs="宋体"/>
                <w:color w:val="000000"/>
                <w:kern w:val="0"/>
                <w:szCs w:val="21"/>
              </w:rPr>
            </w:pPr>
            <w:r>
              <w:rPr>
                <w:rFonts w:hint="eastAsia" w:ascii="宋体" w:hAnsi="宋体" w:cs="宋体"/>
                <w:color w:val="000000"/>
                <w:kern w:val="0"/>
                <w:szCs w:val="21"/>
              </w:rPr>
              <w:t>通讯：IEEE 802.11 a/b/g/n/ac, 2.4GHz and 5GHz，2G、3G、4G，Bluetooth 4.2 LE，向下兼容</w:t>
            </w:r>
          </w:p>
          <w:p>
            <w:pPr>
              <w:widowControl/>
              <w:jc w:val="left"/>
              <w:rPr>
                <w:rFonts w:ascii="宋体" w:hAnsi="宋体" w:cs="宋体"/>
                <w:color w:val="000000"/>
                <w:kern w:val="0"/>
                <w:szCs w:val="21"/>
              </w:rPr>
            </w:pPr>
            <w:r>
              <w:rPr>
                <w:rFonts w:ascii="宋体" w:hAnsi="宋体" w:cs="宋体"/>
                <w:color w:val="000000"/>
                <w:kern w:val="0"/>
                <w:szCs w:val="21"/>
              </w:rPr>
              <w:t>IP67</w:t>
            </w:r>
            <w:r>
              <w:rPr>
                <w:rFonts w:hint="eastAsia" w:ascii="宋体" w:hAnsi="宋体" w:cs="宋体"/>
                <w:color w:val="000000"/>
                <w:kern w:val="0"/>
                <w:szCs w:val="21"/>
              </w:rPr>
              <w:t>防护等级，1</w:t>
            </w:r>
            <w:r>
              <w:rPr>
                <w:rFonts w:ascii="宋体" w:hAnsi="宋体" w:cs="宋体"/>
                <w:color w:val="000000"/>
                <w:kern w:val="0"/>
                <w:szCs w:val="21"/>
              </w:rPr>
              <w:t>.2</w:t>
            </w:r>
            <w:r>
              <w:rPr>
                <w:rFonts w:hint="eastAsia" w:ascii="宋体" w:hAnsi="宋体" w:cs="宋体"/>
                <w:color w:val="000000"/>
                <w:kern w:val="0"/>
                <w:szCs w:val="21"/>
              </w:rPr>
              <w:t>米抗跌落</w:t>
            </w:r>
          </w:p>
          <w:p>
            <w:pPr>
              <w:widowControl/>
              <w:jc w:val="left"/>
              <w:rPr>
                <w:rFonts w:ascii="宋体" w:hAnsi="宋体" w:cs="宋体"/>
                <w:color w:val="000000"/>
                <w:kern w:val="0"/>
                <w:szCs w:val="21"/>
              </w:rPr>
            </w:pPr>
            <w:r>
              <w:rPr>
                <w:rFonts w:hint="eastAsia" w:ascii="宋体" w:hAnsi="宋体" w:cs="宋体"/>
                <w:color w:val="000000"/>
                <w:kern w:val="0"/>
                <w:szCs w:val="21"/>
              </w:rPr>
              <w:t>支持GPS、</w:t>
            </w:r>
            <w:r>
              <w:rPr>
                <w:rFonts w:ascii="宋体" w:hAnsi="宋体" w:cs="宋体"/>
                <w:color w:val="000000"/>
                <w:kern w:val="0"/>
                <w:szCs w:val="21"/>
              </w:rPr>
              <w:t>A-GPS</w:t>
            </w:r>
            <w:r>
              <w:rPr>
                <w:rFonts w:hint="eastAsia" w:ascii="宋体" w:hAnsi="宋体" w:cs="宋体"/>
                <w:color w:val="000000"/>
                <w:kern w:val="0"/>
                <w:szCs w:val="21"/>
              </w:rPr>
              <w:t>、北斗</w:t>
            </w:r>
          </w:p>
          <w:p>
            <w:pPr>
              <w:widowControl/>
              <w:jc w:val="left"/>
              <w:rPr>
                <w:rFonts w:ascii="宋体" w:hAnsi="宋体" w:cs="宋体"/>
                <w:color w:val="000000"/>
                <w:kern w:val="0"/>
                <w:szCs w:val="21"/>
              </w:rPr>
            </w:pPr>
            <w:r>
              <w:rPr>
                <w:rFonts w:ascii="宋体" w:hAnsi="宋体" w:cs="宋体"/>
                <w:color w:val="000000"/>
                <w:kern w:val="0"/>
                <w:szCs w:val="21"/>
              </w:rPr>
              <w:t>GLONASS</w:t>
            </w:r>
            <w:r>
              <w:rPr>
                <w:rFonts w:hint="eastAsia" w:ascii="宋体" w:hAnsi="宋体" w:cs="宋体"/>
                <w:color w:val="000000"/>
                <w:kern w:val="0"/>
                <w:szCs w:val="21"/>
              </w:rPr>
              <w:t>、</w:t>
            </w:r>
            <w:r>
              <w:rPr>
                <w:rFonts w:ascii="宋体" w:hAnsi="宋体" w:cs="宋体"/>
                <w:color w:val="000000"/>
                <w:kern w:val="0"/>
                <w:szCs w:val="21"/>
              </w:rPr>
              <w:t>Galileo</w:t>
            </w:r>
            <w:r>
              <w:rPr>
                <w:rFonts w:hint="eastAsia" w:ascii="宋体" w:hAnsi="宋体" w:cs="宋体"/>
                <w:color w:val="000000"/>
                <w:kern w:val="0"/>
                <w:szCs w:val="21"/>
              </w:rPr>
              <w:t>定位</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8</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通讯光纤</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电信级SC-SC室内单模单芯 1芯2钢丝尾纤 低烟无卤网线光纤</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镀锌钢管</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加厚镀锌金属穿线管，管径不低于25mm，壁厚不低于1.0mm</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0</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光模块接口</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企业级SFP+万兆双芯多模光纤LC接口模块</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相关辅材</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施工耗材(钻头，切割片，麻花钻头，扎带，沉头螺丝，16A防爆插头，热缩缠绕带2.5，螺纹胶，直通头，螺丝螺母，弯头，吊框，老虎夹，螺杆等)</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软件开发</w:t>
            </w:r>
          </w:p>
        </w:tc>
        <w:tc>
          <w:tcPr>
            <w:tcW w:w="210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04"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物联网智能信息化管理平台</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高精度定位地图及定位引擎</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87"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显示屏软件系统</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支持上云，统一部署</w:t>
            </w: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项目实施及调试</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设备安装</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59"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项目整体实施、差旅、培训及调试</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bookmarkEnd w:id="97"/>
      <w:bookmarkEnd w:id="98"/>
    </w:tbl>
    <w:p>
      <w:pPr>
        <w:pStyle w:val="11"/>
        <w:spacing w:before="0" w:after="0" w:line="360" w:lineRule="auto"/>
        <w:ind w:firstLine="480"/>
      </w:pPr>
      <w:r>
        <w:rPr>
          <w:rFonts w:hint="eastAsia"/>
        </w:rPr>
        <w:t>注:项目招标范围为本招标文件内容的总体说明，按各个业务单位提供UWB工业定位标签数量进行报价；本招标文件除标签外，不提供其它具体设备数量及工程量，投标人的设备、线材、管材等全部工程量应以项目招标范围为基础，按照投标人设计方案结合场地图纸、技术特点等综合考虑，自行计算工程量并报价。</w:t>
      </w:r>
    </w:p>
    <w:p>
      <w:pPr>
        <w:pStyle w:val="6"/>
        <w:spacing w:before="120" w:after="120" w:line="360" w:lineRule="auto"/>
      </w:pPr>
      <w:r>
        <w:rPr>
          <w:rFonts w:hint="eastAsia"/>
        </w:rPr>
        <w:t>现场部署</w:t>
      </w:r>
      <w:r>
        <w:t>要求</w:t>
      </w:r>
    </w:p>
    <w:p>
      <w:pPr>
        <w:spacing w:line="360" w:lineRule="auto"/>
        <w:rPr>
          <w:sz w:val="24"/>
        </w:rPr>
      </w:pPr>
      <w:r>
        <w:rPr>
          <w:rFonts w:hint="eastAsia"/>
          <w:sz w:val="24"/>
        </w:rPr>
        <w:t>1、基站采用P</w:t>
      </w:r>
      <w:r>
        <w:rPr>
          <w:sz w:val="24"/>
        </w:rPr>
        <w:t>OE供电方式</w:t>
      </w:r>
      <w:r>
        <w:rPr>
          <w:rFonts w:hint="eastAsia"/>
          <w:sz w:val="24"/>
        </w:rPr>
        <w:t>；</w:t>
      </w:r>
    </w:p>
    <w:p>
      <w:pPr>
        <w:spacing w:line="360" w:lineRule="auto"/>
        <w:rPr>
          <w:sz w:val="24"/>
        </w:rPr>
      </w:pPr>
      <w:r>
        <w:rPr>
          <w:rFonts w:hint="eastAsia"/>
          <w:sz w:val="24"/>
        </w:rPr>
        <w:t>2、</w:t>
      </w:r>
      <w:r>
        <w:rPr>
          <w:sz w:val="24"/>
        </w:rPr>
        <w:t>基站连接就近交换机</w:t>
      </w:r>
      <w:r>
        <w:rPr>
          <w:rFonts w:hint="eastAsia"/>
          <w:sz w:val="24"/>
        </w:rPr>
        <w:t>；</w:t>
      </w:r>
    </w:p>
    <w:p>
      <w:pPr>
        <w:spacing w:line="360" w:lineRule="auto"/>
        <w:rPr>
          <w:sz w:val="24"/>
        </w:rPr>
      </w:pPr>
      <w:r>
        <w:rPr>
          <w:rFonts w:hint="eastAsia"/>
          <w:sz w:val="24"/>
        </w:rPr>
        <w:t>3、</w:t>
      </w:r>
      <w:r>
        <w:rPr>
          <w:sz w:val="24"/>
        </w:rPr>
        <w:t>交换机就近取电</w:t>
      </w:r>
      <w:r>
        <w:rPr>
          <w:rFonts w:hint="eastAsia"/>
          <w:sz w:val="24"/>
        </w:rPr>
        <w:t>；</w:t>
      </w:r>
    </w:p>
    <w:p>
      <w:pPr>
        <w:spacing w:line="360" w:lineRule="auto"/>
        <w:rPr>
          <w:sz w:val="24"/>
        </w:rPr>
      </w:pPr>
      <w:r>
        <w:rPr>
          <w:rFonts w:hint="eastAsia"/>
          <w:sz w:val="24"/>
        </w:rPr>
        <w:t>4、线缆超过</w:t>
      </w:r>
      <w:r>
        <w:rPr>
          <w:sz w:val="24"/>
        </w:rPr>
        <w:t>3</w:t>
      </w:r>
      <w:r>
        <w:rPr>
          <w:rFonts w:hint="eastAsia"/>
          <w:sz w:val="24"/>
        </w:rPr>
        <w:t>米须套镀锌管；</w:t>
      </w:r>
    </w:p>
    <w:p>
      <w:pPr>
        <w:spacing w:line="360" w:lineRule="auto"/>
        <w:rPr>
          <w:rFonts w:ascii="宋体" w:hAnsi="宋体"/>
          <w:sz w:val="24"/>
        </w:rPr>
      </w:pPr>
      <w:r>
        <w:rPr>
          <w:rFonts w:hint="eastAsia"/>
          <w:sz w:val="24"/>
        </w:rPr>
        <w:t>5、网线最长不可超过90米</w:t>
      </w:r>
      <w:bookmarkEnd w:id="96"/>
      <w:r>
        <w:rPr>
          <w:rFonts w:hint="eastAsia"/>
          <w:sz w:val="24"/>
        </w:rPr>
        <w:t>。</w:t>
      </w:r>
    </w:p>
    <w:p>
      <w:pPr>
        <w:pStyle w:val="64"/>
        <w:keepNext w:val="0"/>
        <w:widowControl/>
        <w:numPr>
          <w:ilvl w:val="0"/>
          <w:numId w:val="0"/>
        </w:numPr>
        <w:rPr>
          <w:rFonts w:ascii="宋体" w:hAnsi="宋体"/>
          <w:color w:val="000000" w:themeColor="text1"/>
          <w14:textFill>
            <w14:solidFill>
              <w14:schemeClr w14:val="tx1"/>
            </w14:solidFill>
          </w14:textFill>
        </w:rPr>
      </w:pPr>
      <w:bookmarkStart w:id="99" w:name="_Toc2239"/>
      <w:bookmarkStart w:id="100" w:name="_Toc265850599"/>
      <w:bookmarkStart w:id="101" w:name="_Toc264881897"/>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6需求偏离</w:t>
      </w:r>
      <w:bookmarkEnd w:id="99"/>
    </w:p>
    <w:p>
      <w:pPr>
        <w:ind w:firstLine="480" w:firstLineChars="200"/>
        <w:rPr>
          <w:rFonts w:ascii="宋体" w:hAnsi="宋体" w:eastAsia="宋体" w:cs="Times New Roman"/>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见附录商务条款偏离表、技术规格、参数偏离表。</w:t>
      </w:r>
    </w:p>
    <w:p>
      <w:pPr>
        <w:pStyle w:val="64"/>
        <w:keepNext w:val="0"/>
        <w:widowControl/>
        <w:numPr>
          <w:ilvl w:val="0"/>
          <w:numId w:val="0"/>
        </w:numPr>
        <w:rPr>
          <w:rFonts w:ascii="宋体" w:hAnsi="宋体"/>
          <w:color w:val="000000" w:themeColor="text1"/>
          <w14:textFill>
            <w14:solidFill>
              <w14:schemeClr w14:val="tx1"/>
            </w14:solidFill>
          </w14:textFill>
        </w:rPr>
      </w:pPr>
      <w:bookmarkStart w:id="102" w:name="_Toc11066"/>
      <w:bookmarkStart w:id="103" w:name="_Toc327880540"/>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7 其他</w:t>
      </w:r>
      <w:bookmarkEnd w:id="100"/>
      <w:bookmarkEnd w:id="101"/>
      <w:bookmarkEnd w:id="102"/>
      <w:bookmarkEnd w:id="103"/>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招标单位对该文件具有最终解释权。</w:t>
      </w:r>
    </w:p>
    <w:p>
      <w:pPr>
        <w:pStyle w:val="32"/>
        <w:keepNext w:val="0"/>
        <w:widowControl/>
        <w:numPr>
          <w:ilvl w:val="0"/>
          <w:numId w:val="0"/>
        </w:numPr>
      </w:pPr>
      <w:bookmarkStart w:id="104" w:name="_Toc265850594"/>
      <w:bookmarkStart w:id="105" w:name="_Toc234922361"/>
      <w:bookmarkStart w:id="106" w:name="_Toc166034994"/>
      <w:bookmarkStart w:id="107" w:name="_Toc45556562"/>
      <w:bookmarkStart w:id="108" w:name="_Toc8865"/>
      <w:bookmarkStart w:id="109" w:name="_Toc32331"/>
      <w:bookmarkStart w:id="110" w:name="_Toc327880530"/>
      <w:bookmarkStart w:id="111" w:name="_Toc22100"/>
      <w:bookmarkStart w:id="112" w:name="_Toc30068"/>
      <w:r>
        <w:rPr>
          <w:rFonts w:hint="eastAsia" w:cs="宋体"/>
        </w:rPr>
        <w:t>10项目</w:t>
      </w:r>
      <w:bookmarkEnd w:id="104"/>
      <w:bookmarkEnd w:id="105"/>
      <w:bookmarkEnd w:id="106"/>
      <w:r>
        <w:rPr>
          <w:rFonts w:hint="eastAsia" w:cs="宋体"/>
        </w:rPr>
        <w:t>商务要求</w:t>
      </w:r>
      <w:bookmarkEnd w:id="107"/>
      <w:bookmarkEnd w:id="108"/>
      <w:bookmarkEnd w:id="109"/>
      <w:bookmarkEnd w:id="110"/>
      <w:bookmarkEnd w:id="111"/>
      <w:bookmarkEnd w:id="112"/>
    </w:p>
    <w:p>
      <w:pPr>
        <w:pStyle w:val="64"/>
        <w:keepNext w:val="0"/>
        <w:widowControl/>
        <w:numPr>
          <w:ilvl w:val="0"/>
          <w:numId w:val="0"/>
        </w:numPr>
        <w:rPr>
          <w:rFonts w:cs="宋体"/>
        </w:rPr>
      </w:pPr>
      <w:bookmarkStart w:id="113" w:name="_Toc19223"/>
      <w:bookmarkStart w:id="114" w:name="_Toc30139"/>
      <w:bookmarkStart w:id="115" w:name="_Toc26758"/>
      <w:bookmarkStart w:id="116" w:name="_Toc25113"/>
      <w:bookmarkStart w:id="117" w:name="_Toc45556563"/>
      <w:bookmarkStart w:id="118" w:name="_Toc276649009"/>
      <w:bookmarkStart w:id="119" w:name="_Toc327880535"/>
      <w:bookmarkStart w:id="120" w:name="_Toc234922363"/>
      <w:bookmarkStart w:id="121" w:name="_Toc265850596"/>
      <w:r>
        <w:rPr>
          <w:rFonts w:hint="eastAsia" w:cs="宋体"/>
        </w:rPr>
        <w:t>10.1投标人资质要求</w:t>
      </w:r>
      <w:bookmarkEnd w:id="113"/>
      <w:bookmarkEnd w:id="114"/>
      <w:bookmarkEnd w:id="115"/>
      <w:bookmarkEnd w:id="116"/>
      <w:bookmarkEnd w:id="117"/>
      <w:bookmarkEnd w:id="118"/>
    </w:p>
    <w:p>
      <w:pPr>
        <w:pStyle w:val="33"/>
        <w:ind w:firstLine="480"/>
      </w:pPr>
      <w:r>
        <w:rPr>
          <w:rFonts w:hint="eastAsia" w:cs="宋体"/>
        </w:rPr>
        <w:t>同2.3投标人资格要求。</w:t>
      </w:r>
    </w:p>
    <w:bookmarkEnd w:id="119"/>
    <w:bookmarkEnd w:id="120"/>
    <w:bookmarkEnd w:id="121"/>
    <w:p>
      <w:pPr>
        <w:pStyle w:val="64"/>
        <w:keepNext w:val="0"/>
        <w:widowControl/>
        <w:numPr>
          <w:ilvl w:val="0"/>
          <w:numId w:val="0"/>
        </w:numPr>
      </w:pPr>
      <w:bookmarkStart w:id="122" w:name="_Toc9483"/>
      <w:bookmarkStart w:id="123" w:name="_Toc45556564"/>
      <w:bookmarkStart w:id="124" w:name="_Toc7201"/>
      <w:bookmarkStart w:id="125" w:name="_Toc2431"/>
      <w:bookmarkStart w:id="126" w:name="_Toc2651"/>
      <w:r>
        <w:rPr>
          <w:rFonts w:hint="eastAsia" w:cs="宋体"/>
        </w:rPr>
        <w:t>10.2培训及售后服务要求</w:t>
      </w:r>
      <w:bookmarkEnd w:id="122"/>
      <w:bookmarkEnd w:id="123"/>
      <w:bookmarkEnd w:id="124"/>
      <w:bookmarkEnd w:id="125"/>
      <w:bookmarkEnd w:id="126"/>
    </w:p>
    <w:p>
      <w:pPr>
        <w:pStyle w:val="45"/>
        <w:keepNext w:val="0"/>
        <w:widowControl/>
        <w:numPr>
          <w:ilvl w:val="0"/>
          <w:numId w:val="0"/>
        </w:numPr>
        <w:rPr>
          <w:rFonts w:ascii="宋体" w:hAnsi="宋体" w:cs="宋体"/>
          <w:color w:val="000000"/>
          <w:sz w:val="24"/>
        </w:rPr>
      </w:pPr>
      <w:bookmarkStart w:id="127" w:name="_Toc30563"/>
      <w:bookmarkStart w:id="128" w:name="_Toc45556565"/>
      <w:bookmarkStart w:id="129" w:name="_Toc19014"/>
      <w:bookmarkStart w:id="130" w:name="_Toc4386"/>
      <w:bookmarkStart w:id="131" w:name="_Toc7517"/>
      <w:r>
        <w:rPr>
          <w:rFonts w:hint="eastAsia" w:ascii="宋体" w:hAnsi="宋体" w:cs="宋体"/>
          <w:color w:val="000000"/>
          <w:sz w:val="24"/>
        </w:rPr>
        <w:t>10.2.1培训方案</w:t>
      </w:r>
      <w:bookmarkEnd w:id="127"/>
      <w:bookmarkEnd w:id="128"/>
      <w:bookmarkEnd w:id="129"/>
      <w:bookmarkEnd w:id="130"/>
      <w:bookmarkEnd w:id="131"/>
    </w:p>
    <w:p>
      <w:pPr>
        <w:pStyle w:val="33"/>
        <w:widowControl/>
        <w:ind w:firstLine="480"/>
      </w:pPr>
      <w:r>
        <w:rPr>
          <w:rFonts w:hint="eastAsia" w:cs="宋体"/>
        </w:rPr>
        <w:t>为了使招标人能很好地使用投标人的产品，投标人应向招标人提供整套培训方案，培训方案至少应涵盖本文件中规定的内容。</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基础培训</w:t>
      </w:r>
    </w:p>
    <w:p>
      <w:pPr>
        <w:pStyle w:val="33"/>
        <w:widowControl/>
        <w:ind w:firstLine="480"/>
      </w:pPr>
      <w:r>
        <w:rPr>
          <w:rFonts w:hint="eastAsia" w:cs="宋体"/>
        </w:rPr>
        <w:t>培训内容：中国重汽集团关重件件号随车展示项目；</w:t>
      </w:r>
    </w:p>
    <w:p>
      <w:pPr>
        <w:pStyle w:val="33"/>
        <w:widowControl/>
        <w:ind w:firstLine="480"/>
      </w:pPr>
      <w:r>
        <w:rPr>
          <w:rFonts w:hint="eastAsia" w:cs="宋体"/>
        </w:rPr>
        <w:t>培训目的：使参加培训的人员基本掌握产品的使用和具体操作；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参加培训人数：招标人相关工程师。</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技术培训</w:t>
      </w:r>
    </w:p>
    <w:p>
      <w:pPr>
        <w:pStyle w:val="33"/>
        <w:widowControl/>
        <w:ind w:firstLine="480"/>
        <w:rPr>
          <w:rFonts w:cs="宋体"/>
        </w:rPr>
      </w:pPr>
      <w:r>
        <w:rPr>
          <w:rFonts w:hint="eastAsia" w:cs="宋体"/>
        </w:rPr>
        <w:t>培训目的：使最终甲方和维护技术人员独立完成相应的技术工作；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参加培训人数：招标人相关人员。</w:t>
      </w:r>
    </w:p>
    <w:p>
      <w:pPr>
        <w:pStyle w:val="45"/>
        <w:keepNext w:val="0"/>
        <w:widowControl/>
        <w:numPr>
          <w:ilvl w:val="0"/>
          <w:numId w:val="0"/>
        </w:numPr>
        <w:rPr>
          <w:rFonts w:ascii="宋体" w:hAnsi="宋体" w:cs="宋体"/>
          <w:color w:val="000000"/>
          <w:sz w:val="24"/>
        </w:rPr>
      </w:pPr>
      <w:bookmarkStart w:id="132" w:name="_Toc45556566"/>
      <w:bookmarkStart w:id="133" w:name="_Toc17664"/>
      <w:bookmarkStart w:id="134" w:name="_Toc29059"/>
      <w:bookmarkStart w:id="135" w:name="_Toc3735"/>
      <w:bookmarkStart w:id="136" w:name="_Toc13884"/>
      <w:r>
        <w:rPr>
          <w:rFonts w:hint="eastAsia" w:ascii="宋体" w:hAnsi="宋体" w:cs="宋体"/>
          <w:color w:val="000000"/>
          <w:sz w:val="24"/>
        </w:rPr>
        <w:t>10.2.2知识转移</w:t>
      </w:r>
      <w:bookmarkEnd w:id="132"/>
      <w:bookmarkEnd w:id="133"/>
      <w:bookmarkEnd w:id="134"/>
      <w:bookmarkEnd w:id="135"/>
      <w:bookmarkEnd w:id="136"/>
    </w:p>
    <w:p>
      <w:pPr>
        <w:pStyle w:val="33"/>
        <w:widowControl/>
        <w:ind w:firstLine="480"/>
        <w:rPr>
          <w:rFonts w:ascii="宋体" w:hAnsi="宋体" w:cs="宋体"/>
          <w:color w:val="000000"/>
        </w:rPr>
      </w:pPr>
      <w:r>
        <w:rPr>
          <w:rFonts w:hint="eastAsia" w:ascii="宋体" w:hAnsi="宋体" w:cs="宋体"/>
          <w:color w:val="000000"/>
        </w:rPr>
        <w:t>投标方需按照项目阶段，制定完善的与招标方关键用户和IT人员进行知识转移、系统承接的方案，包括但不限于：</w:t>
      </w:r>
      <w:r>
        <w:rPr>
          <w:rFonts w:hint="eastAsia" w:ascii="宋体" w:hAnsi="宋体" w:cs="宋体"/>
          <w:color w:val="000000" w:themeColor="text1"/>
          <w14:textFill>
            <w14:solidFill>
              <w14:schemeClr w14:val="tx1"/>
            </w14:solidFill>
          </w14:textFill>
        </w:rPr>
        <w:t>为本项目二次开发的源代码、</w:t>
      </w:r>
      <w:r>
        <w:rPr>
          <w:rFonts w:hint="eastAsia" w:ascii="宋体" w:hAnsi="宋体" w:cs="宋体"/>
          <w:color w:val="000000"/>
        </w:rPr>
        <w:t>系统平台安装配置说明文档、方案与系统配置文档、用户培训文档、用户手册、开发文档、项目问题及变更清单等项目过程文档。</w:t>
      </w:r>
    </w:p>
    <w:p>
      <w:pPr>
        <w:pStyle w:val="45"/>
        <w:keepNext w:val="0"/>
        <w:widowControl/>
        <w:numPr>
          <w:ilvl w:val="0"/>
          <w:numId w:val="0"/>
        </w:numPr>
        <w:rPr>
          <w:rFonts w:ascii="宋体" w:hAnsi="宋体" w:cs="宋体"/>
          <w:color w:val="000000"/>
          <w:sz w:val="24"/>
        </w:rPr>
      </w:pPr>
      <w:bookmarkStart w:id="137" w:name="_Toc14762"/>
      <w:bookmarkStart w:id="138" w:name="_Toc7419"/>
      <w:bookmarkStart w:id="139" w:name="_Toc24597"/>
      <w:bookmarkStart w:id="140" w:name="_Toc16534"/>
      <w:bookmarkStart w:id="141" w:name="_Toc45556567"/>
      <w:r>
        <w:rPr>
          <w:rFonts w:hint="eastAsia" w:ascii="宋体" w:hAnsi="宋体" w:cs="宋体"/>
          <w:color w:val="000000"/>
          <w:sz w:val="24"/>
        </w:rPr>
        <w:t>11.2.3售后技术支持</w:t>
      </w:r>
      <w:bookmarkEnd w:id="137"/>
      <w:bookmarkEnd w:id="138"/>
      <w:bookmarkEnd w:id="139"/>
      <w:bookmarkEnd w:id="140"/>
      <w:bookmarkEnd w:id="141"/>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售后响应时间。</w:t>
      </w:r>
    </w:p>
    <w:p>
      <w:pPr>
        <w:pStyle w:val="33"/>
        <w:widowControl/>
        <w:ind w:firstLine="480"/>
        <w:rPr>
          <w:rFonts w:cs="宋体"/>
        </w:rPr>
      </w:pPr>
      <w:r>
        <w:rPr>
          <w:rFonts w:hint="eastAsia" w:cs="宋体"/>
        </w:rPr>
        <w:t>投标人应具有较强的技术支持能力，按照不同问题等级，投标人均需要在接到招标人提报后尽快给予答复并解决：</w:t>
      </w:r>
      <w:r>
        <w:t>1</w:t>
      </w:r>
      <w:r>
        <w:rPr>
          <w:rFonts w:hint="eastAsia" w:cs="宋体"/>
        </w:rPr>
        <w:t>）严重问题（系统崩溃、数据丢失或损坏、关键功能不可用等）</w:t>
      </w:r>
      <w:r>
        <w:t>0.5</w:t>
      </w:r>
      <w:r>
        <w:rPr>
          <w:rFonts w:hint="eastAsia" w:cs="宋体"/>
        </w:rPr>
        <w:t>小时内响应并解决；</w:t>
      </w:r>
      <w:r>
        <w:t>2</w:t>
      </w:r>
      <w:r>
        <w:rPr>
          <w:rFonts w:hint="eastAsia" w:cs="宋体"/>
        </w:rPr>
        <w:t>）紧急问题（产品错误或故障、性能降低、功能非正常方式受限使用等）</w:t>
      </w:r>
      <w:r>
        <w:t>0.5</w:t>
      </w:r>
      <w:r>
        <w:rPr>
          <w:rFonts w:hint="eastAsia" w:cs="宋体"/>
        </w:rPr>
        <w:t>小时内响应，</w:t>
      </w:r>
      <w:r>
        <w:t>12</w:t>
      </w:r>
      <w:r>
        <w:rPr>
          <w:rFonts w:hint="eastAsia" w:cs="宋体"/>
        </w:rPr>
        <w:t>小时内解决；</w:t>
      </w:r>
      <w:r>
        <w:t>3</w:t>
      </w:r>
      <w:r>
        <w:rPr>
          <w:rFonts w:hint="eastAsia" w:cs="宋体"/>
        </w:rPr>
        <w:t>）其他一般问题（轻微的性能或者功能故障，对企业运营不会产生影响等）</w:t>
      </w:r>
      <w:r>
        <w:t>24</w:t>
      </w:r>
      <w:r>
        <w:rPr>
          <w:rFonts w:hint="eastAsia" w:cs="宋体"/>
        </w:rPr>
        <w:t>小时内响应，</w:t>
      </w:r>
      <w:r>
        <w:t>48</w:t>
      </w:r>
      <w:r>
        <w:rPr>
          <w:rFonts w:hint="eastAsia" w:cs="宋体"/>
        </w:rPr>
        <w:t>小时内并解决。</w:t>
      </w:r>
    </w:p>
    <w:p>
      <w:pPr>
        <w:pStyle w:val="33"/>
        <w:widowControl/>
        <w:ind w:firstLine="480"/>
        <w:rPr>
          <w:rFonts w:cs="宋体"/>
        </w:rPr>
      </w:pPr>
      <w:r>
        <w:rPr>
          <w:rFonts w:hint="eastAsia" w:cs="宋体"/>
        </w:rPr>
        <w:t>投标人必须给出日常</w:t>
      </w:r>
      <w:r>
        <w:rPr>
          <w:rFonts w:cs="宋体"/>
        </w:rPr>
        <w:t>24</w:t>
      </w:r>
      <w:r>
        <w:rPr>
          <w:rFonts w:hint="eastAsia" w:cs="宋体"/>
        </w:rPr>
        <w:t>小时关键运维方案，包括异常处理和监控，提供合适的手段、工具以及其他机制。</w:t>
      </w:r>
    </w:p>
    <w:p>
      <w:pPr>
        <w:pStyle w:val="33"/>
        <w:widowControl/>
        <w:ind w:firstLine="480"/>
        <w:rPr>
          <w:rFonts w:cs="宋体"/>
        </w:rPr>
      </w:pPr>
      <w:r>
        <w:rPr>
          <w:rFonts w:hint="eastAsia" w:cs="宋体"/>
        </w:rPr>
        <w:t>自项目上线之日起投标人应向招标人提供至少一年的免费技术支持服务。</w:t>
      </w:r>
    </w:p>
    <w:p>
      <w:pPr>
        <w:pStyle w:val="64"/>
        <w:keepNext w:val="0"/>
        <w:widowControl/>
        <w:numPr>
          <w:ilvl w:val="0"/>
          <w:numId w:val="0"/>
        </w:numPr>
      </w:pPr>
      <w:bookmarkStart w:id="142" w:name="_Toc21316"/>
      <w:bookmarkStart w:id="143" w:name="_Toc3858"/>
      <w:bookmarkStart w:id="144" w:name="_Toc45556568"/>
      <w:bookmarkStart w:id="145" w:name="_Toc26058"/>
      <w:bookmarkStart w:id="146" w:name="_Toc18674"/>
      <w:bookmarkStart w:id="147" w:name="_Toc380563879"/>
      <w:r>
        <w:rPr>
          <w:rFonts w:hint="eastAsia" w:cs="宋体"/>
        </w:rPr>
        <w:t>10.3项目实施计划表</w:t>
      </w:r>
      <w:bookmarkEnd w:id="142"/>
      <w:bookmarkEnd w:id="143"/>
      <w:bookmarkEnd w:id="144"/>
      <w:bookmarkEnd w:id="145"/>
      <w:bookmarkEnd w:id="146"/>
    </w:p>
    <w:bookmarkEnd w:id="147"/>
    <w:p>
      <w:pPr>
        <w:pStyle w:val="33"/>
        <w:widowControl/>
        <w:ind w:firstLine="480"/>
        <w:rPr>
          <w:rFonts w:cs="宋体"/>
        </w:rPr>
      </w:pPr>
      <w:r>
        <w:rPr>
          <w:rFonts w:hint="eastAsia" w:cs="宋体"/>
        </w:rPr>
        <w:t>投标人按照招标人要求，制定相应的项目实施计划、项目收益及关键节点交付物。</w:t>
      </w:r>
    </w:p>
    <w:p>
      <w:pPr>
        <w:pStyle w:val="33"/>
        <w:widowControl/>
        <w:ind w:firstLine="480"/>
        <w:rPr>
          <w:rFonts w:cs="宋体"/>
        </w:rPr>
      </w:pPr>
      <w:r>
        <w:rPr>
          <w:rFonts w:hint="eastAsia" w:cs="宋体"/>
        </w:rPr>
        <w:t>各阶段完成后，按如下方式进行验收；由中国重汽集团相关负责人员或其授权人对各阶段目标与交付成果书面签字验收。</w:t>
      </w:r>
    </w:p>
    <w:p>
      <w:pPr>
        <w:pStyle w:val="64"/>
        <w:keepNext w:val="0"/>
        <w:widowControl/>
        <w:numPr>
          <w:ilvl w:val="0"/>
          <w:numId w:val="0"/>
        </w:numPr>
        <w:rPr>
          <w:rFonts w:cs="宋体"/>
        </w:rPr>
      </w:pPr>
      <w:bookmarkStart w:id="148" w:name="_Toc28856"/>
      <w:bookmarkStart w:id="149" w:name="_Toc15698"/>
      <w:bookmarkStart w:id="150" w:name="_Toc45556569"/>
      <w:bookmarkStart w:id="151" w:name="_Toc26878"/>
      <w:bookmarkStart w:id="152" w:name="_Toc20717"/>
      <w:r>
        <w:rPr>
          <w:rFonts w:hint="eastAsia" w:cs="宋体"/>
        </w:rPr>
        <w:t>10.</w:t>
      </w:r>
      <w:r>
        <w:rPr>
          <w:rFonts w:cs="宋体"/>
        </w:rPr>
        <w:t>4</w:t>
      </w:r>
      <w:r>
        <w:rPr>
          <w:rFonts w:hint="eastAsia" w:cs="宋体"/>
        </w:rPr>
        <w:t>保密要求</w:t>
      </w:r>
      <w:bookmarkEnd w:id="148"/>
      <w:bookmarkEnd w:id="149"/>
      <w:bookmarkEnd w:id="150"/>
      <w:bookmarkEnd w:id="151"/>
      <w:bookmarkEnd w:id="152"/>
    </w:p>
    <w:p>
      <w:pPr>
        <w:spacing w:line="360" w:lineRule="auto"/>
        <w:ind w:firstLine="480" w:firstLineChars="200"/>
        <w:rPr>
          <w:rFonts w:ascii="宋体"/>
          <w:sz w:val="24"/>
        </w:rPr>
      </w:pPr>
      <w:r>
        <w:rPr>
          <w:rFonts w:hint="eastAsia" w:ascii="宋体"/>
          <w:sz w:val="24"/>
        </w:rPr>
        <w:t>投标方按招标方要求保密，包含但不限于以下保密要求：</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投标人在实施过程中知悉的招标人的技术信息和商业信息，包括但不限于服务器、工作站的资源信息、相关模块的存取权限信息等。</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本项目技术开发过程中形成的所有技术数据、资料。</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投标方交付的研究开发成果。</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招标人提供的隶属于招标文件的所有施工图纸。</w:t>
      </w:r>
    </w:p>
    <w:p>
      <w:pPr>
        <w:jc w:val="left"/>
      </w:pPr>
    </w:p>
    <w:p>
      <w:pPr>
        <w:pStyle w:val="32"/>
        <w:keepNext w:val="0"/>
        <w:widowControl/>
        <w:numPr>
          <w:ilvl w:val="0"/>
          <w:numId w:val="0"/>
        </w:numPr>
        <w:rPr>
          <w:rFonts w:ascii="宋体" w:hAnsi="宋体"/>
          <w:color w:val="000000" w:themeColor="text1"/>
          <w14:textFill>
            <w14:solidFill>
              <w14:schemeClr w14:val="tx1"/>
            </w14:solidFill>
          </w14:textFill>
        </w:rPr>
      </w:pPr>
      <w:bookmarkStart w:id="153" w:name="_Toc5851"/>
      <w:r>
        <w:rPr>
          <w:rFonts w:hint="eastAsia" w:ascii="宋体" w:hAnsi="宋体" w:cs="宋体"/>
          <w:color w:val="000000" w:themeColor="text1"/>
          <w14:textFill>
            <w14:solidFill>
              <w14:schemeClr w14:val="tx1"/>
            </w14:solidFill>
          </w14:textFill>
        </w:rPr>
        <w:t>11评价标准</w:t>
      </w:r>
      <w:bookmarkEnd w:id="153"/>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14:textFill>
            <w14:solidFill>
              <w14:schemeClr w14:val="tx1"/>
            </w14:solidFill>
          </w14:textFill>
        </w:rPr>
        <w:t>7.1.</w:t>
      </w: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2"/>
        <w:keepNext w:val="0"/>
        <w:widowControl/>
        <w:numPr>
          <w:ilvl w:val="0"/>
          <w:numId w:val="0"/>
        </w:numPr>
        <w:rPr>
          <w:rFonts w:ascii="宋体" w:hAnsi="宋体" w:cs="宋体"/>
          <w:color w:val="000000" w:themeColor="text1"/>
          <w:sz w:val="30"/>
          <w:szCs w:val="30"/>
          <w14:textFill>
            <w14:solidFill>
              <w14:schemeClr w14:val="tx1"/>
            </w14:solidFill>
          </w14:textFill>
        </w:rPr>
      </w:pPr>
      <w:bookmarkStart w:id="154" w:name="_Toc18824"/>
      <w:r>
        <w:rPr>
          <w:rFonts w:hint="eastAsia" w:ascii="宋体" w:hAnsi="宋体" w:cs="宋体"/>
          <w:color w:val="000000" w:themeColor="text1"/>
          <w:sz w:val="30"/>
          <w:szCs w:val="30"/>
          <w14:textFill>
            <w14:solidFill>
              <w14:schemeClr w14:val="tx1"/>
            </w14:solidFill>
          </w14:textFill>
        </w:rPr>
        <w:t>12投标文件格式</w:t>
      </w:r>
      <w:bookmarkEnd w:id="154"/>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1</w:t>
      </w:r>
    </w:p>
    <w:p>
      <w:pPr>
        <w:jc w:val="center"/>
        <w:rPr>
          <w:rFonts w:ascii="宋体" w:hAnsi="宋体" w:eastAsia="宋体"/>
          <w:b/>
          <w:color w:val="000000" w:themeColor="text1"/>
          <w:sz w:val="28"/>
          <w:szCs w:val="22"/>
          <w14:textFill>
            <w14:solidFill>
              <w14:schemeClr w14:val="tx1"/>
            </w14:solidFill>
          </w14:textFill>
        </w:rPr>
      </w:pPr>
      <w:bookmarkStart w:id="155" w:name="_Toc290401063"/>
      <w:bookmarkStart w:id="156" w:name="_Toc278876641"/>
      <w:bookmarkStart w:id="157" w:name="_Toc533251966"/>
      <w:bookmarkStart w:id="158" w:name="_Toc283368335"/>
      <w:r>
        <w:rPr>
          <w:rFonts w:hint="eastAsia" w:ascii="宋体" w:hAnsi="宋体" w:eastAsia="宋体" w:cs="黑体"/>
          <w:b/>
          <w:color w:val="000000" w:themeColor="text1"/>
          <w:sz w:val="28"/>
          <w:szCs w:val="22"/>
          <w:lang w:bidi="ar"/>
          <w14:textFill>
            <w14:solidFill>
              <w14:schemeClr w14:val="tx1"/>
            </w14:solidFill>
          </w14:textFill>
        </w:rPr>
        <w:t>投标函</w:t>
      </w:r>
      <w:bookmarkEnd w:id="155"/>
      <w:bookmarkEnd w:id="156"/>
      <w:bookmarkEnd w:id="157"/>
      <w:bookmarkEnd w:id="158"/>
    </w:p>
    <w:p>
      <w:pPr>
        <w:tabs>
          <w:tab w:val="left" w:pos="720"/>
        </w:tabs>
        <w:spacing w:line="360" w:lineRule="auto"/>
        <w:ind w:right="3"/>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致：中国重汽集团济南商用车制造公司              </w:t>
      </w:r>
    </w:p>
    <w:p>
      <w:pPr>
        <w:spacing w:before="156" w:beforeLines="50"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本人宣布同意如下：</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1、所附《开标一览表》规定的</w:t>
      </w:r>
      <w:r>
        <w:rPr>
          <w:rFonts w:hint="eastAsia" w:ascii="宋体" w:hAnsi="宋体" w:eastAsia="宋体" w:cs="宋体"/>
          <w:color w:val="000000" w:themeColor="text1"/>
          <w:sz w:val="24"/>
          <w:szCs w:val="22"/>
          <w:u w:val="single"/>
          <w:lang w:bidi="ar"/>
          <w14:textFill>
            <w14:solidFill>
              <w14:schemeClr w14:val="tx1"/>
            </w14:solidFill>
          </w14:textFill>
        </w:rPr>
        <w:t xml:space="preserve">            项目</w:t>
      </w:r>
      <w:r>
        <w:rPr>
          <w:rFonts w:hint="eastAsia" w:ascii="宋体" w:hAnsi="宋体" w:eastAsia="宋体" w:cs="宋体"/>
          <w:color w:val="000000" w:themeColor="text1"/>
          <w:sz w:val="24"/>
          <w:szCs w:val="22"/>
          <w:lang w:bidi="ar"/>
          <w14:textFill>
            <w14:solidFill>
              <w14:schemeClr w14:val="tx1"/>
            </w14:solidFill>
          </w14:textFill>
        </w:rPr>
        <w:t>投标总价为：________________（人民币），____________________（大写）。</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4、我方的投标自投标截止之日起有效期为</w:t>
      </w:r>
      <w:r>
        <w:rPr>
          <w:rFonts w:ascii="宋体" w:hAnsi="宋体" w:eastAsia="宋体" w:cs="宋体"/>
          <w:color w:val="000000" w:themeColor="text1"/>
          <w:sz w:val="24"/>
          <w:szCs w:val="22"/>
          <w:lang w:bidi="ar"/>
          <w14:textFill>
            <w14:solidFill>
              <w14:schemeClr w14:val="tx1"/>
            </w14:solidFill>
          </w14:textFill>
        </w:rPr>
        <w:t>3</w:t>
      </w:r>
      <w:r>
        <w:rPr>
          <w:rFonts w:hint="eastAsia" w:ascii="宋体" w:hAnsi="宋体" w:eastAsia="宋体" w:cs="宋体"/>
          <w:color w:val="000000" w:themeColor="text1"/>
          <w:sz w:val="24"/>
          <w:szCs w:val="22"/>
          <w:lang w:bidi="ar"/>
          <w14:textFill>
            <w14:solidFill>
              <w14:schemeClr w14:val="tx1"/>
            </w14:solidFill>
          </w14:textFill>
        </w:rPr>
        <w:t>0天。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6、与本投标有关的一切正式往来通讯请寄：</w:t>
      </w:r>
    </w:p>
    <w:p>
      <w:pPr>
        <w:tabs>
          <w:tab w:val="left" w:pos="720"/>
        </w:tabs>
        <w:spacing w:line="360" w:lineRule="auto"/>
        <w:ind w:right="3" w:firstLine="2640" w:firstLineChars="11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投    标    人：          （公章）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法定代表人或授权委托人： （签字或盖章）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日       期：         年      月      日</w:t>
      </w:r>
    </w:p>
    <w:p>
      <w:pP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2</w:t>
      </w:r>
    </w:p>
    <w:p>
      <w:pPr>
        <w:jc w:val="center"/>
        <w:rPr>
          <w:rFonts w:ascii="宋体" w:hAnsi="宋体" w:eastAsia="宋体" w:cs="黑体"/>
          <w:b/>
          <w:color w:val="000000" w:themeColor="text1"/>
          <w:sz w:val="28"/>
          <w:szCs w:val="28"/>
          <w14:textFill>
            <w14:solidFill>
              <w14:schemeClr w14:val="tx1"/>
            </w14:solidFill>
          </w14:textFill>
        </w:rPr>
      </w:pPr>
      <w:r>
        <w:rPr>
          <w:rFonts w:hint="eastAsia" w:ascii="宋体" w:hAnsi="宋体" w:eastAsia="宋体" w:cs="黑体"/>
          <w:b/>
          <w:color w:val="000000" w:themeColor="text1"/>
          <w:sz w:val="28"/>
          <w:szCs w:val="28"/>
          <w:lang w:bidi="ar"/>
          <w14:textFill>
            <w14:solidFill>
              <w14:schemeClr w14:val="tx1"/>
            </w14:solidFill>
          </w14:textFill>
        </w:rPr>
        <w:t>法定代表人授权委托书</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中国重汽集团济南商用车制造公司：</w:t>
      </w:r>
    </w:p>
    <w:p>
      <w:pPr>
        <w:spacing w:line="360" w:lineRule="auto"/>
        <w:ind w:firstLine="480" w:firstLineChars="200"/>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我公司法定代表人授权委托为其代理人，参加贵公司于</w:t>
      </w:r>
    </w:p>
    <w:p>
      <w:pPr>
        <w:spacing w:line="360" w:lineRule="auto"/>
        <w:ind w:firstLine="720" w:firstLineChars="3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    月     日组织的项目采购活动，并全权代表我公司处理活动中的一切事宜。</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本授权书自年月日签字生效，特此声明。</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竞标人名称（加盖公章）： 日    期：</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法定代表人（签字或印章）： 身份证号：</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lang w:bidi="ar"/>
          <w14:textFill>
            <w14:solidFill>
              <w14:schemeClr w14:val="tx1"/>
            </w14:solidFill>
          </w14:textFill>
        </w:rPr>
        <w:t>附</w:t>
      </w:r>
      <w:r>
        <w:rPr>
          <w:rFonts w:hint="eastAsia" w:ascii="宋体" w:hAnsi="宋体" w:eastAsia="宋体" w:cs="宋体"/>
          <w:color w:val="000000" w:themeColor="text1"/>
          <w:sz w:val="24"/>
          <w:szCs w:val="22"/>
          <w:lang w:bidi="ar"/>
          <w14:textFill>
            <w14:solidFill>
              <w14:schemeClr w14:val="tx1"/>
            </w14:solidFill>
          </w14:textFill>
        </w:rPr>
        <w:t xml:space="preserve">  授权代理人情况（附加盖竞标人公章的代理人身份证复印件）：</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姓名：    性别：</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年龄：    职务：</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联系电话：    手机：</w:t>
      </w:r>
    </w:p>
    <w:p>
      <w:pPr>
        <w:spacing w:line="360" w:lineRule="auto"/>
        <w:ind w:firstLine="480" w:firstLineChars="200"/>
        <w:jc w:val="left"/>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详细通信地址：</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jc w:val="left"/>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说明：</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1、如法定代表人参加竞标的，竞标文件中不需提供法定代表人授权委托书，但必须提供法定代表人身份证复印件。</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2、如委托代理人参加竞标的，竞标文件中必须提供法定代表人授权委托书和委托代理人的身份证复印件。</w:t>
      </w:r>
    </w:p>
    <w:p>
      <w:pP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bookmarkStart w:id="159" w:name="_Toc386297882"/>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3</w:t>
      </w:r>
    </w:p>
    <w:p>
      <w:pPr>
        <w:jc w:val="center"/>
        <w:rPr>
          <w:rFonts w:ascii="宋体" w:hAnsi="宋体" w:eastAsia="宋体"/>
          <w:color w:val="000000" w:themeColor="text1"/>
          <w:sz w:val="32"/>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竞标人资格证明文件</w:t>
      </w:r>
      <w:bookmarkEnd w:id="159"/>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中国重汽集团济南商用车制造公司：</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贵公司组织的 </w:t>
      </w:r>
      <w:r>
        <w:rPr>
          <w:rFonts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项目谈判采购活动，我公司愿意参加，并证明提交的下列文件、证明和陈述均是准确的、真实的。若与真实情况不符，我公司愿意承担由此而产生的一切后果。</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工商营业执照副本复印件（加盖公章）。</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竞标人认为有必要提供的其他证明文件（加盖公章）。</w:t>
      </w: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highlight w:val="green"/>
          <w:lang w:bidi="ar"/>
          <w14:textFill>
            <w14:solidFill>
              <w14:schemeClr w14:val="tx1"/>
            </w14:solidFill>
          </w14:textFill>
        </w:rPr>
      </w:pPr>
    </w:p>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竞标人名称：（加盖公章）</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法定代表人或其代理人：</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（签</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字）</w:t>
      </w:r>
      <w:r>
        <w:rPr>
          <w:rFonts w:ascii="宋体" w:hAnsi="宋体" w:eastAsia="宋体" w:cs="Times New Roman"/>
          <w:color w:val="000000" w:themeColor="text1"/>
          <w:sz w:val="24"/>
          <w:lang w:bidi="ar"/>
          <w14:textFill>
            <w14:solidFill>
              <w14:schemeClr w14:val="tx1"/>
            </w14:solidFill>
          </w14:textFill>
        </w:rPr>
        <w:t xml:space="preserve">     </w:t>
      </w:r>
    </w:p>
    <w:p>
      <w:pPr>
        <w:spacing w:line="360" w:lineRule="auto"/>
        <w:rPr>
          <w:rFonts w:ascii="宋体" w:hAnsi="宋体" w:eastAsia="宋体" w:cs="黑体"/>
          <w:color w:val="000000" w:themeColor="text1"/>
          <w:sz w:val="30"/>
          <w:szCs w:val="22"/>
          <w:highlight w:val="green"/>
          <w14:textFill>
            <w14:solidFill>
              <w14:schemeClr w14:val="tx1"/>
            </w14:solidFill>
          </w14:textFill>
        </w:rPr>
      </w:pPr>
    </w:p>
    <w:p>
      <w:pPr>
        <w:widowControl/>
        <w:jc w:val="left"/>
        <w:rPr>
          <w:rFonts w:ascii="宋体" w:hAnsi="宋体" w:eastAsia="宋体"/>
          <w:b/>
          <w:color w:val="000000" w:themeColor="text1"/>
          <w:sz w:val="28"/>
          <w:szCs w:val="22"/>
          <w14:textFill>
            <w14:solidFill>
              <w14:schemeClr w14:val="tx1"/>
            </w14:solidFill>
          </w14:textFill>
        </w:rPr>
      </w:pPr>
      <w:r>
        <w:rPr>
          <w:rFonts w:hint="eastAsia" w:ascii="宋体" w:hAnsi="宋体" w:eastAsia="宋体" w:cs="Times New Roman"/>
          <w:color w:val="000000" w:themeColor="text1"/>
          <w:sz w:val="24"/>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4</w:t>
      </w:r>
    </w:p>
    <w:p>
      <w:pPr>
        <w:widowControl/>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开标一览表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价格单位：元</w:t>
      </w:r>
    </w:p>
    <w:tbl>
      <w:tblPr>
        <w:tblStyle w:val="25"/>
        <w:tblW w:w="8520" w:type="dxa"/>
        <w:tblInd w:w="123" w:type="dxa"/>
        <w:tblLayout w:type="fixed"/>
        <w:tblCellMar>
          <w:top w:w="0" w:type="dxa"/>
          <w:left w:w="108" w:type="dxa"/>
          <w:bottom w:w="0" w:type="dxa"/>
          <w:right w:w="108" w:type="dxa"/>
        </w:tblCellMar>
      </w:tblPr>
      <w:tblGrid>
        <w:gridCol w:w="1422"/>
        <w:gridCol w:w="3260"/>
        <w:gridCol w:w="1276"/>
        <w:gridCol w:w="1134"/>
        <w:gridCol w:w="1428"/>
      </w:tblGrid>
      <w:tr>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序号</w:t>
            </w:r>
          </w:p>
        </w:tc>
        <w:tc>
          <w:tcPr>
            <w:tcW w:w="3260" w:type="dxa"/>
            <w:tcBorders>
              <w:top w:val="single" w:color="000000" w:sz="12"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名称</w:t>
            </w:r>
          </w:p>
        </w:tc>
        <w:tc>
          <w:tcPr>
            <w:tcW w:w="1276"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未税价</w:t>
            </w:r>
          </w:p>
        </w:tc>
        <w:tc>
          <w:tcPr>
            <w:tcW w:w="1134"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税率</w:t>
            </w:r>
          </w:p>
        </w:tc>
        <w:tc>
          <w:tcPr>
            <w:tcW w:w="1428" w:type="dxa"/>
            <w:tcBorders>
              <w:top w:val="single" w:color="000000" w:sz="12" w:space="0"/>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价税合计</w:t>
            </w: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8520" w:type="dxa"/>
            <w:gridSpan w:val="5"/>
            <w:tcBorders>
              <w:top w:val="single" w:color="000000" w:sz="8" w:space="0"/>
              <w:left w:val="single" w:color="000000" w:sz="12" w:space="0"/>
              <w:bottom w:val="single" w:color="000000" w:sz="8" w:space="0"/>
              <w:right w:val="single" w:color="000000" w:sz="12" w:space="0"/>
            </w:tcBorders>
            <w:shd w:val="clear" w:color="auto" w:fill="auto"/>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人民币（大写）：</w:t>
            </w:r>
          </w:p>
        </w:tc>
      </w:tr>
    </w:tbl>
    <w:p>
      <w:pPr>
        <w:pStyle w:val="2"/>
        <w:spacing w:before="48"/>
        <w:ind w:left="400" w:hanging="400"/>
        <w:rPr>
          <w:rFonts w:ascii="宋体" w:hAnsi="宋体"/>
          <w:color w:val="000000" w:themeColor="text1"/>
          <w:sz w:val="24"/>
          <w:szCs w:val="24"/>
          <w14:textFill>
            <w14:solidFill>
              <w14:schemeClr w14:val="tx1"/>
            </w14:solidFill>
          </w14:textFill>
        </w:rPr>
      </w:pPr>
    </w:p>
    <w:p>
      <w:pPr>
        <w:pStyle w:val="2"/>
        <w:spacing w:before="48"/>
        <w:ind w:left="400" w:hanging="400"/>
        <w:rPr>
          <w:rFonts w:ascii="宋体" w:hAnsi="宋体" w:cs="宋体"/>
          <w:color w:val="000000" w:themeColor="text1"/>
          <w:spacing w:val="-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1、开标一览表中“投标总价”是指提供服务的全部费用的报价。 </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2、投标人严格按照规定的格式填写。</w:t>
      </w:r>
    </w:p>
    <w:p>
      <w:pPr>
        <w:rPr>
          <w:rFonts w:ascii="宋体" w:hAnsi="宋体" w:eastAsia="宋体" w:cs="宋体"/>
          <w:color w:val="000000" w:themeColor="text1"/>
          <w:sz w:val="24"/>
          <w:highlight w:val="green"/>
          <w14:textFill>
            <w14:solidFill>
              <w14:schemeClr w14:val="tx1"/>
            </w14:solidFill>
          </w14:textFill>
        </w:rPr>
      </w:pPr>
    </w:p>
    <w:p>
      <w:pPr>
        <w:spacing w:before="2"/>
        <w:rPr>
          <w:rFonts w:ascii="宋体" w:hAnsi="宋体" w:eastAsia="宋体" w:cs="宋体"/>
          <w:color w:val="000000" w:themeColor="text1"/>
          <w:highlight w:val="green"/>
          <w14:textFill>
            <w14:solidFill>
              <w14:schemeClr w14:val="tx1"/>
            </w14:solidFill>
          </w14:textFill>
        </w:rPr>
      </w:pPr>
    </w:p>
    <w:p>
      <w:pPr>
        <w:pStyle w:val="2"/>
        <w:spacing w:before="48"/>
        <w:ind w:left="400" w:hanging="4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5</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投标价格分解表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   元</w:t>
      </w:r>
    </w:p>
    <w:tbl>
      <w:tblPr>
        <w:tblStyle w:val="25"/>
        <w:tblW w:w="9215" w:type="dxa"/>
        <w:tblInd w:w="-28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8"/>
        <w:gridCol w:w="1134"/>
        <w:gridCol w:w="1276"/>
        <w:gridCol w:w="719"/>
        <w:gridCol w:w="840"/>
        <w:gridCol w:w="1276"/>
        <w:gridCol w:w="1418"/>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未税单价</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税率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数量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未税总价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价税合计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7"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Times New Roman" w:eastAsia="宋体" w:cs="宋体"/>
                <w:sz w:val="24"/>
              </w:rPr>
            </w:pPr>
            <w:r>
              <w:rPr>
                <w:rFonts w:hint="eastAsia" w:ascii="宋体" w:hAnsi="Times New Roman" w:eastAsia="宋体" w:cs="宋体"/>
                <w:sz w:val="24"/>
                <w:lang w:bidi="ar"/>
              </w:rPr>
              <w:t>总价：</w:t>
            </w:r>
          </w:p>
        </w:tc>
        <w:tc>
          <w:tcPr>
            <w:tcW w:w="66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r>
              <w:rPr>
                <w:rFonts w:hint="eastAsia" w:ascii="宋体" w:hAnsi="Times New Roman" w:eastAsia="宋体" w:cs="宋体"/>
                <w:sz w:val="24"/>
                <w:lang w:bidi="ar"/>
              </w:rPr>
              <w:t>小写：</w:t>
            </w:r>
          </w:p>
          <w:p>
            <w:pPr>
              <w:widowControl/>
              <w:rPr>
                <w:rFonts w:ascii="宋体" w:hAnsi="Times New Roman" w:eastAsia="宋体" w:cs="宋体"/>
                <w:sz w:val="24"/>
              </w:rPr>
            </w:pPr>
            <w:r>
              <w:rPr>
                <w:rFonts w:hint="eastAsia" w:ascii="宋体" w:hAnsi="Times New Roman" w:eastAsia="宋体" w:cs="宋体"/>
                <w:sz w:val="24"/>
                <w:lang w:bidi="ar"/>
              </w:rPr>
              <w:t>大写：</w:t>
            </w:r>
          </w:p>
        </w:tc>
      </w:tr>
    </w:tbl>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6</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商务条款偏离表</w:t>
      </w:r>
    </w:p>
    <w:p>
      <w:pPr>
        <w:rPr>
          <w:rFonts w:ascii="宋体" w:hAnsi="宋体" w:eastAsia="宋体"/>
          <w:b/>
          <w:color w:val="000000" w:themeColor="text1"/>
          <w:sz w:val="22"/>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投标人名称：                   投标人代表签字：            日期：</w:t>
      </w:r>
    </w:p>
    <w:p>
      <w:pPr>
        <w:rPr>
          <w:rFonts w:ascii="宋体" w:hAnsi="宋体" w:eastAsia="宋体" w:cs="黑体"/>
          <w:b/>
          <w:color w:val="000000" w:themeColor="text1"/>
          <w:sz w:val="28"/>
          <w:szCs w:val="22"/>
          <w:highlight w:val="green"/>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7</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技术规格、参数偏离表</w:t>
      </w:r>
    </w:p>
    <w:p>
      <w:pPr>
        <w:rPr>
          <w:rFonts w:ascii="宋体" w:hAnsi="宋体" w:eastAsia="宋体" w:cs="宋体"/>
          <w:color w:val="000000" w:themeColor="text1"/>
          <w:sz w:val="24"/>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投标人代表签字：</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日期：</w:t>
      </w:r>
    </w:p>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cs="宋体"/>
          <w:color w:val="000000" w:themeColor="text1"/>
          <w:sz w:val="24"/>
          <w:szCs w:val="22"/>
          <w14:textFill>
            <w14:solidFill>
              <w14:schemeClr w14:val="tx1"/>
            </w14:solidFill>
          </w14:textFill>
        </w:rPr>
      </w:pPr>
    </w:p>
    <w:p>
      <w:pPr>
        <w:pStyle w:val="15"/>
        <w:widowControl/>
        <w:spacing w:line="360" w:lineRule="auto"/>
        <w:ind w:left="820" w:hanging="400"/>
        <w:jc w:val="center"/>
        <w:rPr>
          <w:rFonts w:hint="default" w:hAnsi="宋体"/>
          <w:color w:val="000000" w:themeColor="text1"/>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8</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项目实施方案</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bidi="ar"/>
          <w14:textFill>
            <w14:solidFill>
              <w14:schemeClr w14:val="tx1"/>
            </w14:solidFill>
          </w14:textFill>
        </w:rPr>
        <w:t>1、招标文件技术规范书要求完整实施方案，包括项目具体实施内容、实施计划、项目实施效果、项目成员组成、培训安排、项目实施保障等。</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kern w:val="0"/>
          <w:sz w:val="24"/>
          <w:szCs w:val="22"/>
          <w:lang w:bidi="ar"/>
          <w14:textFill>
            <w14:solidFill>
              <w14:schemeClr w14:val="tx1"/>
            </w14:solidFill>
          </w14:textFill>
        </w:rPr>
        <w:t>2、</w:t>
      </w:r>
      <w:r>
        <w:rPr>
          <w:rFonts w:hint="eastAsia" w:ascii="宋体" w:hAnsi="宋体" w:eastAsia="宋体" w:cs="宋体"/>
          <w:color w:val="000000" w:themeColor="text1"/>
          <w:kern w:val="0"/>
          <w:sz w:val="24"/>
          <w:szCs w:val="22"/>
          <w:lang w:val="zh-CN" w:bidi="ar"/>
          <w14:textFill>
            <w14:solidFill>
              <w14:schemeClr w14:val="tx1"/>
            </w14:solidFill>
          </w14:textFill>
        </w:rPr>
        <w:t>实施方案不提供，按无效投标处理。</w:t>
      </w: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注：投标人应根据上述内容、要求自行编制</w:t>
      </w:r>
    </w:p>
    <w:p>
      <w:pPr>
        <w:ind w:left="900"/>
        <w:rPr>
          <w:rFonts w:ascii="宋体" w:hAnsi="宋体" w:eastAsia="宋体" w:cs="宋体"/>
          <w:color w:val="000000" w:themeColor="text1"/>
          <w:sz w:val="24"/>
          <w:szCs w:val="22"/>
          <w14:textFill>
            <w14:solidFill>
              <w14:schemeClr w14:val="tx1"/>
            </w14:solidFill>
          </w14:textFill>
        </w:rPr>
      </w:pPr>
    </w:p>
    <w:p>
      <w:pPr>
        <w:ind w:left="900"/>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pStyle w:val="2"/>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hint="eastAsia" w:ascii="宋体" w:hAnsi="宋体" w:eastAsia="宋体" w:cs="Times New Roman"/>
          <w:b/>
          <w:color w:val="000000" w:themeColor="text1"/>
          <w:sz w:val="28"/>
          <w:szCs w:val="22"/>
          <w:lang w:bidi="ar"/>
          <w14:textFill>
            <w14:solidFill>
              <w14:schemeClr w14:val="tx1"/>
            </w14:solidFill>
          </w14:textFill>
        </w:rPr>
        <w:t>9</w:t>
      </w:r>
    </w:p>
    <w:p>
      <w:pPr>
        <w:jc w:val="center"/>
        <w:rPr>
          <w:rFonts w:ascii="宋体" w:hAnsi="宋体" w:eastAsia="宋体" w:cs="Times New Roman"/>
          <w:b/>
          <w:color w:val="000000" w:themeColor="text1"/>
          <w:sz w:val="28"/>
          <w:szCs w:val="22"/>
          <w:lang w:bidi="ar"/>
          <w14:textFill>
            <w14:solidFill>
              <w14:schemeClr w14:val="tx1"/>
            </w14:solidFill>
          </w14:textFill>
        </w:rPr>
      </w:pPr>
    </w:p>
    <w:p>
      <w:pPr>
        <w:jc w:val="cente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b/>
          <w:color w:val="000000" w:themeColor="text1"/>
          <w:sz w:val="28"/>
          <w:szCs w:val="22"/>
          <w:lang w:bidi="ar"/>
          <w14:textFill>
            <w14:solidFill>
              <w14:schemeClr w14:val="tx1"/>
            </w14:solidFill>
          </w14:textFill>
        </w:rPr>
        <w:t xml:space="preserve">  </w:t>
      </w:r>
      <w:r>
        <w:rPr>
          <w:rFonts w:hint="eastAsia" w:ascii="宋体" w:hAnsi="宋体" w:eastAsia="宋体" w:cs="黑体"/>
          <w:b/>
          <w:color w:val="000000" w:themeColor="text1"/>
          <w:sz w:val="28"/>
          <w:szCs w:val="22"/>
          <w:lang w:bidi="ar"/>
          <w14:textFill>
            <w14:solidFill>
              <w14:schemeClr w14:val="tx1"/>
            </w14:solidFill>
          </w14:textFill>
        </w:rPr>
        <w:t>投标报名表</w:t>
      </w:r>
    </w:p>
    <w:p>
      <w:pPr>
        <w:ind w:firstLine="120" w:firstLineChars="50"/>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公章：</w:t>
      </w:r>
    </w:p>
    <w:tbl>
      <w:tblPr>
        <w:tblStyle w:val="2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投标单位</w:t>
            </w:r>
          </w:p>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月</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日</w:t>
            </w:r>
          </w:p>
        </w:tc>
      </w:tr>
    </w:tbl>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注：请投标单位认真填写并加盖公章，并于规定时间前回传邮箱并打电话确认。</w:t>
      </w:r>
    </w:p>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p>
    <w:p>
      <w:pPr>
        <w:ind w:left="470" w:right="69" w:rightChars="33" w:hanging="470" w:hangingChars="196"/>
        <w:rPr>
          <w:rFonts w:ascii="宋体" w:hAnsi="宋体" w:eastAsia="宋体" w:cs="宋体"/>
          <w:color w:val="000000" w:themeColor="text1"/>
          <w:sz w:val="24"/>
          <w:szCs w:val="22"/>
          <w:highlight w:val="green"/>
          <w:lang w:bidi="ar"/>
          <w14:textFill>
            <w14:solidFill>
              <w14:schemeClr w14:val="tx1"/>
            </w14:solidFill>
          </w14:textFill>
        </w:rPr>
      </w:pPr>
    </w:p>
    <w:p>
      <w:pPr>
        <w:ind w:right="69" w:rightChars="33"/>
        <w:rPr>
          <w:rFonts w:ascii="宋体" w:hAnsi="宋体" w:eastAsia="宋体" w:cs="宋体"/>
          <w:color w:val="000000" w:themeColor="text1"/>
          <w:sz w:val="24"/>
          <w:szCs w:val="22"/>
          <w:highlight w:val="green"/>
          <w14:textFill>
            <w14:solidFill>
              <w14:schemeClr w14:val="tx1"/>
            </w14:solidFill>
          </w14:textFill>
        </w:rPr>
      </w:pPr>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Book Antiqua">
    <w:altName w:val="Georgia"/>
    <w:panose1 w:val="02040602050305030304"/>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华文细黑">
    <w:altName w:val="Noto Serif CJK SC"/>
    <w:panose1 w:val="02010600040101010101"/>
    <w:charset w:val="86"/>
    <w:family w:val="auto"/>
    <w:pitch w:val="default"/>
    <w:sig w:usb0="00000000" w:usb1="00000000" w:usb2="00000010" w:usb3="00000000" w:csb0="0004009F" w:csb1="00000000"/>
  </w:font>
  <w:font w:name="Noto Serif CJK SC">
    <w:panose1 w:val="02020400000000000000"/>
    <w:charset w:val="86"/>
    <w:family w:val="auto"/>
    <w:pitch w:val="default"/>
    <w:sig w:usb0="30000083" w:usb1="2BDF3C10" w:usb2="00000016" w:usb3="00000000" w:csb0="602E0107"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A9A5ACF"/>
    <w:multiLevelType w:val="singleLevel"/>
    <w:tmpl w:val="DA9A5ACF"/>
    <w:lvl w:ilvl="0" w:tentative="0">
      <w:start w:val="5"/>
      <w:numFmt w:val="decimal"/>
      <w:suff w:val="nothing"/>
      <w:lvlText w:val="%1、"/>
      <w:lvlJc w:val="left"/>
    </w:lvl>
  </w:abstractNum>
  <w:abstractNum w:abstractNumId="2">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7F782F9"/>
    <w:multiLevelType w:val="singleLevel"/>
    <w:tmpl w:val="F7F782F9"/>
    <w:lvl w:ilvl="0" w:tentative="0">
      <w:start w:val="1"/>
      <w:numFmt w:val="bullet"/>
      <w:lvlText w:val=""/>
      <w:lvlJc w:val="left"/>
      <w:pPr>
        <w:ind w:left="420" w:hanging="420"/>
      </w:pPr>
      <w:rPr>
        <w:rFonts w:hint="default" w:ascii="Wingdings" w:hAnsi="Wingdings"/>
        <w:sz w:val="24"/>
        <w:szCs w:val="24"/>
      </w:rPr>
    </w:lvl>
  </w:abstractNum>
  <w:abstractNum w:abstractNumId="4">
    <w:nsid w:val="00000008"/>
    <w:multiLevelType w:val="multilevel"/>
    <w:tmpl w:val="00000008"/>
    <w:lvl w:ilvl="0" w:tentative="0">
      <w:start w:val="1"/>
      <w:numFmt w:val="decimal"/>
      <w:pStyle w:val="68"/>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5">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737F42F"/>
    <w:multiLevelType w:val="multilevel"/>
    <w:tmpl w:val="0737F42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5C08C0"/>
    <w:multiLevelType w:val="multilevel"/>
    <w:tmpl w:val="125C08C0"/>
    <w:lvl w:ilvl="0" w:tentative="0">
      <w:start w:val="1"/>
      <w:numFmt w:val="bullet"/>
      <w:pStyle w:val="83"/>
      <w:lvlText w:val=""/>
      <w:lvlPicBulletId w:val="0"/>
      <w:lvlJc w:val="left"/>
      <w:pPr>
        <w:tabs>
          <w:tab w:val="left" w:pos="839"/>
        </w:tabs>
        <w:ind w:left="839" w:hanging="421"/>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8">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9">
    <w:nsid w:val="2BF96AB8"/>
    <w:multiLevelType w:val="singleLevel"/>
    <w:tmpl w:val="2BF96AB8"/>
    <w:lvl w:ilvl="0" w:tentative="0">
      <w:start w:val="2"/>
      <w:numFmt w:val="decimal"/>
      <w:suff w:val="nothing"/>
      <w:lvlText w:val="%1）"/>
      <w:lvlJc w:val="left"/>
    </w:lvl>
  </w:abstractNum>
  <w:abstractNum w:abstractNumId="10">
    <w:nsid w:val="306B2294"/>
    <w:multiLevelType w:val="multilevel"/>
    <w:tmpl w:val="306B2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316982"/>
    <w:multiLevelType w:val="multilevel"/>
    <w:tmpl w:val="31316982"/>
    <w:lvl w:ilvl="0" w:tentative="0">
      <w:start w:val="1"/>
      <w:numFmt w:val="bullet"/>
      <w:lvlText w:val=""/>
      <w:lvlJc w:val="left"/>
      <w:pPr>
        <w:tabs>
          <w:tab w:val="left" w:pos="0"/>
        </w:tabs>
        <w:ind w:left="8358"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2">
    <w:nsid w:val="35693114"/>
    <w:multiLevelType w:val="multilevel"/>
    <w:tmpl w:val="35693114"/>
    <w:lvl w:ilvl="0" w:tentative="0">
      <w:start w:val="1"/>
      <w:numFmt w:val="decimal"/>
      <w:lvlText w:val="%1、"/>
      <w:lvlJc w:val="left"/>
      <w:pPr>
        <w:ind w:left="360" w:hanging="360"/>
      </w:pPr>
      <w:rPr>
        <w:rFonts w:hint="default" w:ascii="Calibri" w:hAnsi="Calibr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502B3A03"/>
    <w:multiLevelType w:val="multilevel"/>
    <w:tmpl w:val="502B3A03"/>
    <w:lvl w:ilvl="0" w:tentative="0">
      <w:start w:val="1"/>
      <w:numFmt w:val="decimal"/>
      <w:lvlText w:val="%1．"/>
      <w:lvlJc w:val="left"/>
      <w:pPr>
        <w:tabs>
          <w:tab w:val="left" w:pos="-196"/>
        </w:tabs>
        <w:ind w:left="644" w:hanging="360"/>
      </w:pPr>
      <w:rPr>
        <w:rFonts w:cs="Times New Roman"/>
      </w:rPr>
    </w:lvl>
    <w:lvl w:ilvl="1" w:tentative="0">
      <w:start w:val="1"/>
      <w:numFmt w:val="lowerLetter"/>
      <w:lvlText w:val="%2)"/>
      <w:lvlJc w:val="left"/>
      <w:pPr>
        <w:tabs>
          <w:tab w:val="left" w:pos="-196"/>
        </w:tabs>
        <w:ind w:left="1124" w:hanging="420"/>
      </w:pPr>
    </w:lvl>
    <w:lvl w:ilvl="2" w:tentative="0">
      <w:start w:val="1"/>
      <w:numFmt w:val="lowerRoman"/>
      <w:lvlText w:val="%3."/>
      <w:lvlJc w:val="right"/>
      <w:pPr>
        <w:tabs>
          <w:tab w:val="left" w:pos="-196"/>
        </w:tabs>
        <w:ind w:left="1544" w:hanging="420"/>
      </w:pPr>
    </w:lvl>
    <w:lvl w:ilvl="3" w:tentative="0">
      <w:start w:val="1"/>
      <w:numFmt w:val="decimal"/>
      <w:lvlText w:val="%4."/>
      <w:lvlJc w:val="left"/>
      <w:pPr>
        <w:tabs>
          <w:tab w:val="left" w:pos="-196"/>
        </w:tabs>
        <w:ind w:left="1964" w:hanging="420"/>
      </w:pPr>
    </w:lvl>
    <w:lvl w:ilvl="4" w:tentative="0">
      <w:start w:val="1"/>
      <w:numFmt w:val="lowerLetter"/>
      <w:lvlText w:val="%5)"/>
      <w:lvlJc w:val="left"/>
      <w:pPr>
        <w:tabs>
          <w:tab w:val="left" w:pos="-196"/>
        </w:tabs>
        <w:ind w:left="2384" w:hanging="420"/>
      </w:pPr>
    </w:lvl>
    <w:lvl w:ilvl="5" w:tentative="0">
      <w:start w:val="1"/>
      <w:numFmt w:val="lowerRoman"/>
      <w:lvlText w:val="%6."/>
      <w:lvlJc w:val="right"/>
      <w:pPr>
        <w:tabs>
          <w:tab w:val="left" w:pos="-196"/>
        </w:tabs>
        <w:ind w:left="2804" w:hanging="420"/>
      </w:pPr>
    </w:lvl>
    <w:lvl w:ilvl="6" w:tentative="0">
      <w:start w:val="1"/>
      <w:numFmt w:val="decimal"/>
      <w:lvlText w:val="%7."/>
      <w:lvlJc w:val="left"/>
      <w:pPr>
        <w:tabs>
          <w:tab w:val="left" w:pos="-196"/>
        </w:tabs>
        <w:ind w:left="3224" w:hanging="420"/>
      </w:pPr>
    </w:lvl>
    <w:lvl w:ilvl="7" w:tentative="0">
      <w:start w:val="1"/>
      <w:numFmt w:val="lowerLetter"/>
      <w:lvlText w:val="%8)"/>
      <w:lvlJc w:val="left"/>
      <w:pPr>
        <w:tabs>
          <w:tab w:val="left" w:pos="-196"/>
        </w:tabs>
        <w:ind w:left="3644" w:hanging="420"/>
      </w:pPr>
    </w:lvl>
    <w:lvl w:ilvl="8" w:tentative="0">
      <w:start w:val="1"/>
      <w:numFmt w:val="lowerRoman"/>
      <w:lvlText w:val="%9."/>
      <w:lvlJc w:val="right"/>
      <w:pPr>
        <w:tabs>
          <w:tab w:val="left" w:pos="-196"/>
        </w:tabs>
        <w:ind w:left="4064" w:hanging="420"/>
      </w:pPr>
    </w:lvl>
  </w:abstractNum>
  <w:abstractNum w:abstractNumId="15">
    <w:nsid w:val="5A29D1C2"/>
    <w:multiLevelType w:val="multilevel"/>
    <w:tmpl w:val="5A29D1C2"/>
    <w:lvl w:ilvl="0" w:tentative="0">
      <w:start w:val="1"/>
      <w:numFmt w:val="decimal"/>
      <w:pStyle w:val="32"/>
      <w:isLgl/>
      <w:suff w:val="space"/>
      <w:lvlText w:val="%1"/>
      <w:lvlJc w:val="left"/>
      <w:pPr>
        <w:ind w:left="210" w:firstLine="0"/>
      </w:pPr>
    </w:lvl>
    <w:lvl w:ilvl="1" w:tentative="0">
      <w:start w:val="1"/>
      <w:numFmt w:val="decimal"/>
      <w:pStyle w:val="64"/>
      <w:isLgl/>
      <w:suff w:val="space"/>
      <w:lvlText w:val="%1.%2"/>
      <w:lvlJc w:val="left"/>
      <w:pPr>
        <w:ind w:left="567" w:firstLine="0"/>
      </w:pPr>
    </w:lvl>
    <w:lvl w:ilvl="2" w:tentative="0">
      <w:start w:val="1"/>
      <w:numFmt w:val="decimal"/>
      <w:pStyle w:val="45"/>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6">
    <w:nsid w:val="5D124BBC"/>
    <w:multiLevelType w:val="singleLevel"/>
    <w:tmpl w:val="5D124BBC"/>
    <w:lvl w:ilvl="0" w:tentative="0">
      <w:start w:val="1"/>
      <w:numFmt w:val="decimal"/>
      <w:suff w:val="nothing"/>
      <w:lvlText w:val="%1、"/>
      <w:lvlJc w:val="left"/>
    </w:lvl>
  </w:abstractNum>
  <w:abstractNum w:abstractNumId="17">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8">
    <w:nsid w:val="7830C845"/>
    <w:multiLevelType w:val="multilevel"/>
    <w:tmpl w:val="7830C845"/>
    <w:lvl w:ilvl="0" w:tentative="0">
      <w:start w:val="1"/>
      <w:numFmt w:val="decimal"/>
      <w:pStyle w:val="41"/>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15"/>
  </w:num>
  <w:num w:numId="2">
    <w:abstractNumId w:val="18"/>
  </w:num>
  <w:num w:numId="3">
    <w:abstractNumId w:val="4"/>
  </w:num>
  <w:num w:numId="4">
    <w:abstractNumId w:val="7"/>
  </w:num>
  <w:num w:numId="5">
    <w:abstractNumId w:val="1"/>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5"/>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16"/>
  </w:num>
  <w:num w:numId="26">
    <w:abstractNumId w:val="3"/>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DYzYzFiNzhjMzMzMWQyMDQyN2ZlZmI3ZWRmZDYifQ=="/>
  </w:docVars>
  <w:rsids>
    <w:rsidRoot w:val="63E20E43"/>
    <w:rsid w:val="00001514"/>
    <w:rsid w:val="0000222F"/>
    <w:rsid w:val="00002508"/>
    <w:rsid w:val="000028DF"/>
    <w:rsid w:val="00007B8B"/>
    <w:rsid w:val="0001055C"/>
    <w:rsid w:val="00010CDD"/>
    <w:rsid w:val="00014F73"/>
    <w:rsid w:val="000153A2"/>
    <w:rsid w:val="0001566B"/>
    <w:rsid w:val="0002276A"/>
    <w:rsid w:val="000245A4"/>
    <w:rsid w:val="000266FB"/>
    <w:rsid w:val="00026C54"/>
    <w:rsid w:val="00027D96"/>
    <w:rsid w:val="00033A35"/>
    <w:rsid w:val="0003448E"/>
    <w:rsid w:val="00041517"/>
    <w:rsid w:val="00041BFC"/>
    <w:rsid w:val="00043E36"/>
    <w:rsid w:val="0004420B"/>
    <w:rsid w:val="00045049"/>
    <w:rsid w:val="00045EF8"/>
    <w:rsid w:val="000506A6"/>
    <w:rsid w:val="00050C03"/>
    <w:rsid w:val="00050CB7"/>
    <w:rsid w:val="00057E47"/>
    <w:rsid w:val="00061587"/>
    <w:rsid w:val="000658C4"/>
    <w:rsid w:val="0006648F"/>
    <w:rsid w:val="00067671"/>
    <w:rsid w:val="00071CA6"/>
    <w:rsid w:val="000750F2"/>
    <w:rsid w:val="000866E5"/>
    <w:rsid w:val="00090235"/>
    <w:rsid w:val="00090A62"/>
    <w:rsid w:val="00095494"/>
    <w:rsid w:val="00095499"/>
    <w:rsid w:val="000A2ACD"/>
    <w:rsid w:val="000A5D43"/>
    <w:rsid w:val="000A6FD2"/>
    <w:rsid w:val="000B0D4D"/>
    <w:rsid w:val="000C0F9F"/>
    <w:rsid w:val="000C347D"/>
    <w:rsid w:val="000C44A5"/>
    <w:rsid w:val="000C47AF"/>
    <w:rsid w:val="000D1652"/>
    <w:rsid w:val="000D39EB"/>
    <w:rsid w:val="000E1318"/>
    <w:rsid w:val="000E286C"/>
    <w:rsid w:val="000E3A36"/>
    <w:rsid w:val="000E3B8A"/>
    <w:rsid w:val="000E65CB"/>
    <w:rsid w:val="000F5A88"/>
    <w:rsid w:val="000F6DFD"/>
    <w:rsid w:val="00100ED1"/>
    <w:rsid w:val="001050C7"/>
    <w:rsid w:val="00115ADA"/>
    <w:rsid w:val="00116135"/>
    <w:rsid w:val="001171BE"/>
    <w:rsid w:val="00117BF6"/>
    <w:rsid w:val="00120326"/>
    <w:rsid w:val="00124A48"/>
    <w:rsid w:val="0013289D"/>
    <w:rsid w:val="0013294C"/>
    <w:rsid w:val="00140945"/>
    <w:rsid w:val="00140B20"/>
    <w:rsid w:val="0015002F"/>
    <w:rsid w:val="00150986"/>
    <w:rsid w:val="00151249"/>
    <w:rsid w:val="001517A7"/>
    <w:rsid w:val="0015205B"/>
    <w:rsid w:val="00163D71"/>
    <w:rsid w:val="00172790"/>
    <w:rsid w:val="001729B5"/>
    <w:rsid w:val="00175D8A"/>
    <w:rsid w:val="00181E53"/>
    <w:rsid w:val="00182D43"/>
    <w:rsid w:val="00183807"/>
    <w:rsid w:val="00184C62"/>
    <w:rsid w:val="00190482"/>
    <w:rsid w:val="00193837"/>
    <w:rsid w:val="00193A41"/>
    <w:rsid w:val="00194B7A"/>
    <w:rsid w:val="00195DD5"/>
    <w:rsid w:val="001968E0"/>
    <w:rsid w:val="001A022C"/>
    <w:rsid w:val="001A33DD"/>
    <w:rsid w:val="001A3677"/>
    <w:rsid w:val="001A4817"/>
    <w:rsid w:val="001A51B3"/>
    <w:rsid w:val="001A52D7"/>
    <w:rsid w:val="001A7207"/>
    <w:rsid w:val="001B2A93"/>
    <w:rsid w:val="001B4E22"/>
    <w:rsid w:val="001B673F"/>
    <w:rsid w:val="001B7D4C"/>
    <w:rsid w:val="001C0D37"/>
    <w:rsid w:val="001C11AF"/>
    <w:rsid w:val="001C2B73"/>
    <w:rsid w:val="001C4616"/>
    <w:rsid w:val="001C490F"/>
    <w:rsid w:val="001D3998"/>
    <w:rsid w:val="001E1E18"/>
    <w:rsid w:val="001E328C"/>
    <w:rsid w:val="001E38ED"/>
    <w:rsid w:val="001E39F0"/>
    <w:rsid w:val="001E3BA2"/>
    <w:rsid w:val="001E67F9"/>
    <w:rsid w:val="001F6B8F"/>
    <w:rsid w:val="00200734"/>
    <w:rsid w:val="00200870"/>
    <w:rsid w:val="00202096"/>
    <w:rsid w:val="0020334D"/>
    <w:rsid w:val="002121FA"/>
    <w:rsid w:val="002126C1"/>
    <w:rsid w:val="00213FBF"/>
    <w:rsid w:val="0022112F"/>
    <w:rsid w:val="00221F83"/>
    <w:rsid w:val="0022239E"/>
    <w:rsid w:val="0022692A"/>
    <w:rsid w:val="0022710F"/>
    <w:rsid w:val="00232018"/>
    <w:rsid w:val="00233F79"/>
    <w:rsid w:val="002360FE"/>
    <w:rsid w:val="00241C5D"/>
    <w:rsid w:val="00244138"/>
    <w:rsid w:val="00245773"/>
    <w:rsid w:val="00245D7F"/>
    <w:rsid w:val="002465E6"/>
    <w:rsid w:val="00247D33"/>
    <w:rsid w:val="00250CD5"/>
    <w:rsid w:val="002539E0"/>
    <w:rsid w:val="00254D04"/>
    <w:rsid w:val="002574E7"/>
    <w:rsid w:val="0026107C"/>
    <w:rsid w:val="00261BAF"/>
    <w:rsid w:val="00261D02"/>
    <w:rsid w:val="002630FB"/>
    <w:rsid w:val="00272BB5"/>
    <w:rsid w:val="00274F0D"/>
    <w:rsid w:val="002813D4"/>
    <w:rsid w:val="00284E7F"/>
    <w:rsid w:val="00287A8E"/>
    <w:rsid w:val="002900F7"/>
    <w:rsid w:val="0029108D"/>
    <w:rsid w:val="00291CCB"/>
    <w:rsid w:val="0029349E"/>
    <w:rsid w:val="002966EC"/>
    <w:rsid w:val="00297E92"/>
    <w:rsid w:val="002A148F"/>
    <w:rsid w:val="002A3963"/>
    <w:rsid w:val="002A50D2"/>
    <w:rsid w:val="002A69E0"/>
    <w:rsid w:val="002B44E9"/>
    <w:rsid w:val="002B6EB3"/>
    <w:rsid w:val="002B7FB5"/>
    <w:rsid w:val="002C17EA"/>
    <w:rsid w:val="002C246D"/>
    <w:rsid w:val="002C355B"/>
    <w:rsid w:val="002C587E"/>
    <w:rsid w:val="002D026D"/>
    <w:rsid w:val="002D383C"/>
    <w:rsid w:val="002D3B7E"/>
    <w:rsid w:val="002D499D"/>
    <w:rsid w:val="002D6746"/>
    <w:rsid w:val="002E650F"/>
    <w:rsid w:val="002E6E86"/>
    <w:rsid w:val="002F2B65"/>
    <w:rsid w:val="002F5912"/>
    <w:rsid w:val="002F6427"/>
    <w:rsid w:val="002F7A85"/>
    <w:rsid w:val="00304CC6"/>
    <w:rsid w:val="003060FE"/>
    <w:rsid w:val="00306D58"/>
    <w:rsid w:val="00306FF6"/>
    <w:rsid w:val="00307A8B"/>
    <w:rsid w:val="00314CAE"/>
    <w:rsid w:val="00321D63"/>
    <w:rsid w:val="00321D99"/>
    <w:rsid w:val="00322F88"/>
    <w:rsid w:val="00324CD5"/>
    <w:rsid w:val="00326A97"/>
    <w:rsid w:val="003311DD"/>
    <w:rsid w:val="003312F4"/>
    <w:rsid w:val="00337B49"/>
    <w:rsid w:val="003414E2"/>
    <w:rsid w:val="003420FD"/>
    <w:rsid w:val="0034250E"/>
    <w:rsid w:val="00346BA4"/>
    <w:rsid w:val="003507A2"/>
    <w:rsid w:val="0035717F"/>
    <w:rsid w:val="003573BA"/>
    <w:rsid w:val="00357C93"/>
    <w:rsid w:val="00357DFB"/>
    <w:rsid w:val="003625CB"/>
    <w:rsid w:val="00366560"/>
    <w:rsid w:val="00366C5D"/>
    <w:rsid w:val="003670C0"/>
    <w:rsid w:val="00367E9F"/>
    <w:rsid w:val="003705D2"/>
    <w:rsid w:val="00370E55"/>
    <w:rsid w:val="00370EA5"/>
    <w:rsid w:val="00371D22"/>
    <w:rsid w:val="00374264"/>
    <w:rsid w:val="00374E53"/>
    <w:rsid w:val="00376955"/>
    <w:rsid w:val="00380A6D"/>
    <w:rsid w:val="00383159"/>
    <w:rsid w:val="00383C2E"/>
    <w:rsid w:val="00385AAB"/>
    <w:rsid w:val="0038743F"/>
    <w:rsid w:val="00390771"/>
    <w:rsid w:val="003913B8"/>
    <w:rsid w:val="00392998"/>
    <w:rsid w:val="003A0AA3"/>
    <w:rsid w:val="003B1FB7"/>
    <w:rsid w:val="003B21DC"/>
    <w:rsid w:val="003B3EB4"/>
    <w:rsid w:val="003B5995"/>
    <w:rsid w:val="003B7324"/>
    <w:rsid w:val="003C0843"/>
    <w:rsid w:val="003C10BC"/>
    <w:rsid w:val="003C43C9"/>
    <w:rsid w:val="003C4628"/>
    <w:rsid w:val="003C5B6E"/>
    <w:rsid w:val="003C6DAE"/>
    <w:rsid w:val="003C78B2"/>
    <w:rsid w:val="003D086C"/>
    <w:rsid w:val="003D40E4"/>
    <w:rsid w:val="003D5553"/>
    <w:rsid w:val="003E0AB4"/>
    <w:rsid w:val="003E3C27"/>
    <w:rsid w:val="003E65A8"/>
    <w:rsid w:val="003F46C8"/>
    <w:rsid w:val="003F5167"/>
    <w:rsid w:val="003F750C"/>
    <w:rsid w:val="00404274"/>
    <w:rsid w:val="00406BE2"/>
    <w:rsid w:val="0040728F"/>
    <w:rsid w:val="00407F8F"/>
    <w:rsid w:val="0041285E"/>
    <w:rsid w:val="00415B42"/>
    <w:rsid w:val="00420C57"/>
    <w:rsid w:val="004244A2"/>
    <w:rsid w:val="00426CFC"/>
    <w:rsid w:val="00436C93"/>
    <w:rsid w:val="0043752C"/>
    <w:rsid w:val="0044252A"/>
    <w:rsid w:val="0044489B"/>
    <w:rsid w:val="00445982"/>
    <w:rsid w:val="0044680F"/>
    <w:rsid w:val="00446B22"/>
    <w:rsid w:val="00446EFD"/>
    <w:rsid w:val="004600FD"/>
    <w:rsid w:val="00460F5D"/>
    <w:rsid w:val="00473DEC"/>
    <w:rsid w:val="00474293"/>
    <w:rsid w:val="00474C61"/>
    <w:rsid w:val="00474EB0"/>
    <w:rsid w:val="00476364"/>
    <w:rsid w:val="004822EB"/>
    <w:rsid w:val="0048444D"/>
    <w:rsid w:val="004848C9"/>
    <w:rsid w:val="0049101A"/>
    <w:rsid w:val="0049664D"/>
    <w:rsid w:val="004A120D"/>
    <w:rsid w:val="004A25F0"/>
    <w:rsid w:val="004A3E19"/>
    <w:rsid w:val="004A43BC"/>
    <w:rsid w:val="004A576D"/>
    <w:rsid w:val="004A6994"/>
    <w:rsid w:val="004A7BF9"/>
    <w:rsid w:val="004B159C"/>
    <w:rsid w:val="004B423F"/>
    <w:rsid w:val="004B5D0A"/>
    <w:rsid w:val="004B7B70"/>
    <w:rsid w:val="004C2847"/>
    <w:rsid w:val="004D2317"/>
    <w:rsid w:val="004D3DEC"/>
    <w:rsid w:val="004D7511"/>
    <w:rsid w:val="004F3A9F"/>
    <w:rsid w:val="004F7D82"/>
    <w:rsid w:val="00503EA9"/>
    <w:rsid w:val="0050454A"/>
    <w:rsid w:val="00504C24"/>
    <w:rsid w:val="005112B4"/>
    <w:rsid w:val="00511DC1"/>
    <w:rsid w:val="0051615F"/>
    <w:rsid w:val="005164E5"/>
    <w:rsid w:val="00517210"/>
    <w:rsid w:val="005177BB"/>
    <w:rsid w:val="00520475"/>
    <w:rsid w:val="005205CB"/>
    <w:rsid w:val="005213A0"/>
    <w:rsid w:val="0052269B"/>
    <w:rsid w:val="00523C4A"/>
    <w:rsid w:val="00525A24"/>
    <w:rsid w:val="005261CB"/>
    <w:rsid w:val="00530FAC"/>
    <w:rsid w:val="00532048"/>
    <w:rsid w:val="00534A17"/>
    <w:rsid w:val="00534C7F"/>
    <w:rsid w:val="005404F0"/>
    <w:rsid w:val="005427C6"/>
    <w:rsid w:val="00544054"/>
    <w:rsid w:val="00544A62"/>
    <w:rsid w:val="005451E8"/>
    <w:rsid w:val="00545F19"/>
    <w:rsid w:val="0055122E"/>
    <w:rsid w:val="00555B7B"/>
    <w:rsid w:val="0055647D"/>
    <w:rsid w:val="00563A16"/>
    <w:rsid w:val="0056606B"/>
    <w:rsid w:val="00573288"/>
    <w:rsid w:val="005803DB"/>
    <w:rsid w:val="00581877"/>
    <w:rsid w:val="0059024A"/>
    <w:rsid w:val="005910A0"/>
    <w:rsid w:val="00597C00"/>
    <w:rsid w:val="005A09BD"/>
    <w:rsid w:val="005A0A2D"/>
    <w:rsid w:val="005A320C"/>
    <w:rsid w:val="005A775A"/>
    <w:rsid w:val="005B19CC"/>
    <w:rsid w:val="005B6888"/>
    <w:rsid w:val="005C00A1"/>
    <w:rsid w:val="005C52F6"/>
    <w:rsid w:val="005C5F86"/>
    <w:rsid w:val="005C71FD"/>
    <w:rsid w:val="005D0C81"/>
    <w:rsid w:val="005D197E"/>
    <w:rsid w:val="005D40DE"/>
    <w:rsid w:val="005D4254"/>
    <w:rsid w:val="005D45B1"/>
    <w:rsid w:val="005D593C"/>
    <w:rsid w:val="005E1294"/>
    <w:rsid w:val="005E2827"/>
    <w:rsid w:val="005E3CE6"/>
    <w:rsid w:val="005E4178"/>
    <w:rsid w:val="005E5245"/>
    <w:rsid w:val="005F1097"/>
    <w:rsid w:val="005F1288"/>
    <w:rsid w:val="005F1B37"/>
    <w:rsid w:val="005F3A70"/>
    <w:rsid w:val="005F6B7F"/>
    <w:rsid w:val="006013D7"/>
    <w:rsid w:val="00610A87"/>
    <w:rsid w:val="00614A5C"/>
    <w:rsid w:val="00614FC5"/>
    <w:rsid w:val="006175FB"/>
    <w:rsid w:val="006201FE"/>
    <w:rsid w:val="00621CCB"/>
    <w:rsid w:val="00622D54"/>
    <w:rsid w:val="0062450B"/>
    <w:rsid w:val="0062793D"/>
    <w:rsid w:val="0063241F"/>
    <w:rsid w:val="006342F2"/>
    <w:rsid w:val="00634D47"/>
    <w:rsid w:val="00634F18"/>
    <w:rsid w:val="00635753"/>
    <w:rsid w:val="00642746"/>
    <w:rsid w:val="00645310"/>
    <w:rsid w:val="006464D1"/>
    <w:rsid w:val="00646BF3"/>
    <w:rsid w:val="006475AF"/>
    <w:rsid w:val="006477AF"/>
    <w:rsid w:val="00650502"/>
    <w:rsid w:val="00651205"/>
    <w:rsid w:val="00651922"/>
    <w:rsid w:val="0065742A"/>
    <w:rsid w:val="00660607"/>
    <w:rsid w:val="00666FEF"/>
    <w:rsid w:val="00674148"/>
    <w:rsid w:val="00676A8D"/>
    <w:rsid w:val="00676E92"/>
    <w:rsid w:val="0067723E"/>
    <w:rsid w:val="0068062B"/>
    <w:rsid w:val="0068133B"/>
    <w:rsid w:val="0068223C"/>
    <w:rsid w:val="00682CE9"/>
    <w:rsid w:val="00687FEE"/>
    <w:rsid w:val="0069251F"/>
    <w:rsid w:val="00693DF4"/>
    <w:rsid w:val="00695D33"/>
    <w:rsid w:val="00696A5A"/>
    <w:rsid w:val="0069723C"/>
    <w:rsid w:val="006A34D0"/>
    <w:rsid w:val="006A3DBF"/>
    <w:rsid w:val="006A4097"/>
    <w:rsid w:val="006A4836"/>
    <w:rsid w:val="006A5ED8"/>
    <w:rsid w:val="006A6EB8"/>
    <w:rsid w:val="006A704E"/>
    <w:rsid w:val="006B2556"/>
    <w:rsid w:val="006B46EF"/>
    <w:rsid w:val="006B4833"/>
    <w:rsid w:val="006B5D9D"/>
    <w:rsid w:val="006B756F"/>
    <w:rsid w:val="006C086B"/>
    <w:rsid w:val="006C225E"/>
    <w:rsid w:val="006C26D7"/>
    <w:rsid w:val="006C4CC4"/>
    <w:rsid w:val="006C7A09"/>
    <w:rsid w:val="006D206E"/>
    <w:rsid w:val="006D39CD"/>
    <w:rsid w:val="006D4BEA"/>
    <w:rsid w:val="006D5212"/>
    <w:rsid w:val="006E1614"/>
    <w:rsid w:val="006F17AB"/>
    <w:rsid w:val="006F5A63"/>
    <w:rsid w:val="006F6691"/>
    <w:rsid w:val="00701470"/>
    <w:rsid w:val="00703107"/>
    <w:rsid w:val="00703BD6"/>
    <w:rsid w:val="00705A3B"/>
    <w:rsid w:val="00706A4A"/>
    <w:rsid w:val="007114CC"/>
    <w:rsid w:val="00715B30"/>
    <w:rsid w:val="00720805"/>
    <w:rsid w:val="00721CDC"/>
    <w:rsid w:val="00722774"/>
    <w:rsid w:val="00724CAB"/>
    <w:rsid w:val="00731964"/>
    <w:rsid w:val="00732929"/>
    <w:rsid w:val="00736A85"/>
    <w:rsid w:val="007411B0"/>
    <w:rsid w:val="00742451"/>
    <w:rsid w:val="007446D7"/>
    <w:rsid w:val="00744E0D"/>
    <w:rsid w:val="00750064"/>
    <w:rsid w:val="007500E9"/>
    <w:rsid w:val="00751D2B"/>
    <w:rsid w:val="007533D0"/>
    <w:rsid w:val="00753A3F"/>
    <w:rsid w:val="007602A5"/>
    <w:rsid w:val="00761550"/>
    <w:rsid w:val="007615A8"/>
    <w:rsid w:val="00766D76"/>
    <w:rsid w:val="00766DA3"/>
    <w:rsid w:val="0076751F"/>
    <w:rsid w:val="00767635"/>
    <w:rsid w:val="00770A39"/>
    <w:rsid w:val="00771861"/>
    <w:rsid w:val="007718CF"/>
    <w:rsid w:val="00771F77"/>
    <w:rsid w:val="00774A53"/>
    <w:rsid w:val="0077603C"/>
    <w:rsid w:val="00781964"/>
    <w:rsid w:val="0078585A"/>
    <w:rsid w:val="00785FC6"/>
    <w:rsid w:val="007924BF"/>
    <w:rsid w:val="00796CBF"/>
    <w:rsid w:val="007A235D"/>
    <w:rsid w:val="007A544E"/>
    <w:rsid w:val="007A5712"/>
    <w:rsid w:val="007B23B5"/>
    <w:rsid w:val="007B2774"/>
    <w:rsid w:val="007B2909"/>
    <w:rsid w:val="007B438F"/>
    <w:rsid w:val="007B4E3F"/>
    <w:rsid w:val="007C0DFF"/>
    <w:rsid w:val="007C6431"/>
    <w:rsid w:val="007D2369"/>
    <w:rsid w:val="007D506B"/>
    <w:rsid w:val="007E0295"/>
    <w:rsid w:val="007E30F3"/>
    <w:rsid w:val="007E47CD"/>
    <w:rsid w:val="007E4FC7"/>
    <w:rsid w:val="007E7F6F"/>
    <w:rsid w:val="007F3F00"/>
    <w:rsid w:val="007F40BA"/>
    <w:rsid w:val="007F711A"/>
    <w:rsid w:val="00801175"/>
    <w:rsid w:val="008038A7"/>
    <w:rsid w:val="00803E32"/>
    <w:rsid w:val="00804D42"/>
    <w:rsid w:val="00805B19"/>
    <w:rsid w:val="0081070C"/>
    <w:rsid w:val="00812DDA"/>
    <w:rsid w:val="008139DD"/>
    <w:rsid w:val="00814486"/>
    <w:rsid w:val="00816FAE"/>
    <w:rsid w:val="00817A0B"/>
    <w:rsid w:val="00821F5B"/>
    <w:rsid w:val="00823685"/>
    <w:rsid w:val="00826EBC"/>
    <w:rsid w:val="00833885"/>
    <w:rsid w:val="008350F7"/>
    <w:rsid w:val="0083731B"/>
    <w:rsid w:val="008379C1"/>
    <w:rsid w:val="00840B40"/>
    <w:rsid w:val="00842430"/>
    <w:rsid w:val="00846E99"/>
    <w:rsid w:val="00851703"/>
    <w:rsid w:val="008526DF"/>
    <w:rsid w:val="008541B7"/>
    <w:rsid w:val="00855206"/>
    <w:rsid w:val="00855E8F"/>
    <w:rsid w:val="00857391"/>
    <w:rsid w:val="00861700"/>
    <w:rsid w:val="008638DC"/>
    <w:rsid w:val="00864710"/>
    <w:rsid w:val="008706D6"/>
    <w:rsid w:val="00872FE5"/>
    <w:rsid w:val="00877251"/>
    <w:rsid w:val="0088048E"/>
    <w:rsid w:val="00881B78"/>
    <w:rsid w:val="00882B37"/>
    <w:rsid w:val="00890958"/>
    <w:rsid w:val="00891A8E"/>
    <w:rsid w:val="00893563"/>
    <w:rsid w:val="008951E0"/>
    <w:rsid w:val="00897C65"/>
    <w:rsid w:val="008A2632"/>
    <w:rsid w:val="008A532D"/>
    <w:rsid w:val="008A6662"/>
    <w:rsid w:val="008A732B"/>
    <w:rsid w:val="008B1FDE"/>
    <w:rsid w:val="008B2A1C"/>
    <w:rsid w:val="008B494A"/>
    <w:rsid w:val="008B4A9D"/>
    <w:rsid w:val="008B5507"/>
    <w:rsid w:val="008B6504"/>
    <w:rsid w:val="008C0703"/>
    <w:rsid w:val="008C2B9D"/>
    <w:rsid w:val="008C4B0B"/>
    <w:rsid w:val="008C71EB"/>
    <w:rsid w:val="008D5803"/>
    <w:rsid w:val="008D6C46"/>
    <w:rsid w:val="008D7BE8"/>
    <w:rsid w:val="008E02B6"/>
    <w:rsid w:val="008E051F"/>
    <w:rsid w:val="008E079B"/>
    <w:rsid w:val="008E3978"/>
    <w:rsid w:val="008F3E53"/>
    <w:rsid w:val="008F6596"/>
    <w:rsid w:val="00903696"/>
    <w:rsid w:val="00910757"/>
    <w:rsid w:val="00911AEE"/>
    <w:rsid w:val="0091564B"/>
    <w:rsid w:val="0092083A"/>
    <w:rsid w:val="00927F3D"/>
    <w:rsid w:val="00940A5F"/>
    <w:rsid w:val="00943A19"/>
    <w:rsid w:val="009443E7"/>
    <w:rsid w:val="00950547"/>
    <w:rsid w:val="00950DD3"/>
    <w:rsid w:val="00951CEA"/>
    <w:rsid w:val="009560BE"/>
    <w:rsid w:val="009610B0"/>
    <w:rsid w:val="00970D24"/>
    <w:rsid w:val="00970FFD"/>
    <w:rsid w:val="00971326"/>
    <w:rsid w:val="00971795"/>
    <w:rsid w:val="00976221"/>
    <w:rsid w:val="00977256"/>
    <w:rsid w:val="00981722"/>
    <w:rsid w:val="00981F1D"/>
    <w:rsid w:val="00984D59"/>
    <w:rsid w:val="009864AF"/>
    <w:rsid w:val="009868DD"/>
    <w:rsid w:val="009876BF"/>
    <w:rsid w:val="00990E21"/>
    <w:rsid w:val="0099151D"/>
    <w:rsid w:val="009916E0"/>
    <w:rsid w:val="00991BE8"/>
    <w:rsid w:val="009927E0"/>
    <w:rsid w:val="00994160"/>
    <w:rsid w:val="0099484A"/>
    <w:rsid w:val="00996ED1"/>
    <w:rsid w:val="00997777"/>
    <w:rsid w:val="009A3399"/>
    <w:rsid w:val="009A47DD"/>
    <w:rsid w:val="009A4D3C"/>
    <w:rsid w:val="009A517F"/>
    <w:rsid w:val="009A7585"/>
    <w:rsid w:val="009A78D5"/>
    <w:rsid w:val="009B04F7"/>
    <w:rsid w:val="009B06D2"/>
    <w:rsid w:val="009B145F"/>
    <w:rsid w:val="009B3AEC"/>
    <w:rsid w:val="009B47EA"/>
    <w:rsid w:val="009B5555"/>
    <w:rsid w:val="009B7B5A"/>
    <w:rsid w:val="009C27B1"/>
    <w:rsid w:val="009C500E"/>
    <w:rsid w:val="009C7CAE"/>
    <w:rsid w:val="009D7F9E"/>
    <w:rsid w:val="009E4612"/>
    <w:rsid w:val="009E536D"/>
    <w:rsid w:val="009F2117"/>
    <w:rsid w:val="009F2679"/>
    <w:rsid w:val="009F3D2F"/>
    <w:rsid w:val="009F47A1"/>
    <w:rsid w:val="009F7C1C"/>
    <w:rsid w:val="00A03ED7"/>
    <w:rsid w:val="00A042A9"/>
    <w:rsid w:val="00A04364"/>
    <w:rsid w:val="00A0795F"/>
    <w:rsid w:val="00A104E8"/>
    <w:rsid w:val="00A13E43"/>
    <w:rsid w:val="00A13F10"/>
    <w:rsid w:val="00A15CF5"/>
    <w:rsid w:val="00A15D12"/>
    <w:rsid w:val="00A15D41"/>
    <w:rsid w:val="00A16EFE"/>
    <w:rsid w:val="00A204A6"/>
    <w:rsid w:val="00A23575"/>
    <w:rsid w:val="00A24385"/>
    <w:rsid w:val="00A26AC5"/>
    <w:rsid w:val="00A30F16"/>
    <w:rsid w:val="00A36E23"/>
    <w:rsid w:val="00A403DA"/>
    <w:rsid w:val="00A40C10"/>
    <w:rsid w:val="00A40CC1"/>
    <w:rsid w:val="00A41313"/>
    <w:rsid w:val="00A451D3"/>
    <w:rsid w:val="00A478F5"/>
    <w:rsid w:val="00A501EE"/>
    <w:rsid w:val="00A533D1"/>
    <w:rsid w:val="00A60E29"/>
    <w:rsid w:val="00A6275E"/>
    <w:rsid w:val="00A67267"/>
    <w:rsid w:val="00A70104"/>
    <w:rsid w:val="00A7081D"/>
    <w:rsid w:val="00A7126E"/>
    <w:rsid w:val="00A71E69"/>
    <w:rsid w:val="00A72B4A"/>
    <w:rsid w:val="00A74BE5"/>
    <w:rsid w:val="00A80B8F"/>
    <w:rsid w:val="00A81C7E"/>
    <w:rsid w:val="00A82E3F"/>
    <w:rsid w:val="00A900BB"/>
    <w:rsid w:val="00A926AC"/>
    <w:rsid w:val="00A92A1E"/>
    <w:rsid w:val="00A93AE2"/>
    <w:rsid w:val="00A9611E"/>
    <w:rsid w:val="00AA36FC"/>
    <w:rsid w:val="00AA39C1"/>
    <w:rsid w:val="00AA41B4"/>
    <w:rsid w:val="00AA520C"/>
    <w:rsid w:val="00AA5F7F"/>
    <w:rsid w:val="00AA7608"/>
    <w:rsid w:val="00AB1487"/>
    <w:rsid w:val="00AB4106"/>
    <w:rsid w:val="00AC4F45"/>
    <w:rsid w:val="00AC7AF6"/>
    <w:rsid w:val="00AD13BF"/>
    <w:rsid w:val="00AD1C50"/>
    <w:rsid w:val="00AD269A"/>
    <w:rsid w:val="00AD36E2"/>
    <w:rsid w:val="00AD49AD"/>
    <w:rsid w:val="00AD6A90"/>
    <w:rsid w:val="00AD73DB"/>
    <w:rsid w:val="00AE0FD2"/>
    <w:rsid w:val="00AE7972"/>
    <w:rsid w:val="00AF48E9"/>
    <w:rsid w:val="00AF6829"/>
    <w:rsid w:val="00AF731E"/>
    <w:rsid w:val="00B02B92"/>
    <w:rsid w:val="00B12176"/>
    <w:rsid w:val="00B15163"/>
    <w:rsid w:val="00B20830"/>
    <w:rsid w:val="00B22821"/>
    <w:rsid w:val="00B2287E"/>
    <w:rsid w:val="00B30D4C"/>
    <w:rsid w:val="00B31266"/>
    <w:rsid w:val="00B366C6"/>
    <w:rsid w:val="00B439DD"/>
    <w:rsid w:val="00B46E95"/>
    <w:rsid w:val="00B47D57"/>
    <w:rsid w:val="00B51E3A"/>
    <w:rsid w:val="00B51E4A"/>
    <w:rsid w:val="00B56E7E"/>
    <w:rsid w:val="00B613D0"/>
    <w:rsid w:val="00B65D5B"/>
    <w:rsid w:val="00B66501"/>
    <w:rsid w:val="00B67149"/>
    <w:rsid w:val="00B67152"/>
    <w:rsid w:val="00B67CE0"/>
    <w:rsid w:val="00B71B21"/>
    <w:rsid w:val="00B74458"/>
    <w:rsid w:val="00B77F3E"/>
    <w:rsid w:val="00B85678"/>
    <w:rsid w:val="00B870B1"/>
    <w:rsid w:val="00B9019A"/>
    <w:rsid w:val="00B94E9E"/>
    <w:rsid w:val="00B966CA"/>
    <w:rsid w:val="00BA12FF"/>
    <w:rsid w:val="00BA43B3"/>
    <w:rsid w:val="00BB484E"/>
    <w:rsid w:val="00BC0078"/>
    <w:rsid w:val="00BC1425"/>
    <w:rsid w:val="00BC33F8"/>
    <w:rsid w:val="00BC4F0E"/>
    <w:rsid w:val="00BD366E"/>
    <w:rsid w:val="00BD753D"/>
    <w:rsid w:val="00BD760B"/>
    <w:rsid w:val="00BD7CDA"/>
    <w:rsid w:val="00BE0866"/>
    <w:rsid w:val="00BE0E8C"/>
    <w:rsid w:val="00BE2484"/>
    <w:rsid w:val="00BE50C5"/>
    <w:rsid w:val="00BE5A37"/>
    <w:rsid w:val="00BE6817"/>
    <w:rsid w:val="00BF5D4D"/>
    <w:rsid w:val="00BF7E1E"/>
    <w:rsid w:val="00C02980"/>
    <w:rsid w:val="00C034EF"/>
    <w:rsid w:val="00C03C26"/>
    <w:rsid w:val="00C06ABC"/>
    <w:rsid w:val="00C1153B"/>
    <w:rsid w:val="00C16858"/>
    <w:rsid w:val="00C1719F"/>
    <w:rsid w:val="00C17DCB"/>
    <w:rsid w:val="00C21F4C"/>
    <w:rsid w:val="00C23594"/>
    <w:rsid w:val="00C26595"/>
    <w:rsid w:val="00C26C84"/>
    <w:rsid w:val="00C3440D"/>
    <w:rsid w:val="00C35211"/>
    <w:rsid w:val="00C3615F"/>
    <w:rsid w:val="00C370B5"/>
    <w:rsid w:val="00C4110C"/>
    <w:rsid w:val="00C42EA0"/>
    <w:rsid w:val="00C43002"/>
    <w:rsid w:val="00C43158"/>
    <w:rsid w:val="00C44C40"/>
    <w:rsid w:val="00C52EA9"/>
    <w:rsid w:val="00C5717E"/>
    <w:rsid w:val="00C63641"/>
    <w:rsid w:val="00C64359"/>
    <w:rsid w:val="00C65A46"/>
    <w:rsid w:val="00C65ADC"/>
    <w:rsid w:val="00C67E1A"/>
    <w:rsid w:val="00C67E96"/>
    <w:rsid w:val="00C67F92"/>
    <w:rsid w:val="00C70788"/>
    <w:rsid w:val="00C74E48"/>
    <w:rsid w:val="00C7523D"/>
    <w:rsid w:val="00C76A35"/>
    <w:rsid w:val="00C76F16"/>
    <w:rsid w:val="00C82E5C"/>
    <w:rsid w:val="00C84183"/>
    <w:rsid w:val="00C87293"/>
    <w:rsid w:val="00C87DAF"/>
    <w:rsid w:val="00C9249E"/>
    <w:rsid w:val="00C93E3B"/>
    <w:rsid w:val="00C95D20"/>
    <w:rsid w:val="00CA0B26"/>
    <w:rsid w:val="00CA3606"/>
    <w:rsid w:val="00CA45F9"/>
    <w:rsid w:val="00CA56A7"/>
    <w:rsid w:val="00CA6624"/>
    <w:rsid w:val="00CA6CFE"/>
    <w:rsid w:val="00CA7D75"/>
    <w:rsid w:val="00CB21E4"/>
    <w:rsid w:val="00CB282E"/>
    <w:rsid w:val="00CB2B39"/>
    <w:rsid w:val="00CB5BC2"/>
    <w:rsid w:val="00CB6C6A"/>
    <w:rsid w:val="00CC2F8E"/>
    <w:rsid w:val="00CC60D1"/>
    <w:rsid w:val="00CC61E1"/>
    <w:rsid w:val="00CC6DB2"/>
    <w:rsid w:val="00CC7717"/>
    <w:rsid w:val="00CD11F2"/>
    <w:rsid w:val="00CD134E"/>
    <w:rsid w:val="00CD3D35"/>
    <w:rsid w:val="00CD6AB7"/>
    <w:rsid w:val="00CE16F7"/>
    <w:rsid w:val="00CE1D85"/>
    <w:rsid w:val="00CE5AA5"/>
    <w:rsid w:val="00CE7445"/>
    <w:rsid w:val="00CF0248"/>
    <w:rsid w:val="00CF1A66"/>
    <w:rsid w:val="00CF3FC1"/>
    <w:rsid w:val="00CF47F0"/>
    <w:rsid w:val="00CF5016"/>
    <w:rsid w:val="00CF5DFB"/>
    <w:rsid w:val="00CF680C"/>
    <w:rsid w:val="00CF78B2"/>
    <w:rsid w:val="00D022A8"/>
    <w:rsid w:val="00D02ACC"/>
    <w:rsid w:val="00D039D1"/>
    <w:rsid w:val="00D123DA"/>
    <w:rsid w:val="00D21FB4"/>
    <w:rsid w:val="00D22DB2"/>
    <w:rsid w:val="00D24C03"/>
    <w:rsid w:val="00D2650E"/>
    <w:rsid w:val="00D27494"/>
    <w:rsid w:val="00D3030D"/>
    <w:rsid w:val="00D3158F"/>
    <w:rsid w:val="00D32EE2"/>
    <w:rsid w:val="00D348C9"/>
    <w:rsid w:val="00D362C0"/>
    <w:rsid w:val="00D362C5"/>
    <w:rsid w:val="00D36BC9"/>
    <w:rsid w:val="00D40375"/>
    <w:rsid w:val="00D4482E"/>
    <w:rsid w:val="00D56264"/>
    <w:rsid w:val="00D57945"/>
    <w:rsid w:val="00D63CF1"/>
    <w:rsid w:val="00D65368"/>
    <w:rsid w:val="00D65A3C"/>
    <w:rsid w:val="00D70A70"/>
    <w:rsid w:val="00D70C9C"/>
    <w:rsid w:val="00D74E30"/>
    <w:rsid w:val="00D84500"/>
    <w:rsid w:val="00D86762"/>
    <w:rsid w:val="00D86F60"/>
    <w:rsid w:val="00D914BF"/>
    <w:rsid w:val="00D935DD"/>
    <w:rsid w:val="00D94784"/>
    <w:rsid w:val="00D95994"/>
    <w:rsid w:val="00D967A4"/>
    <w:rsid w:val="00DA0A4A"/>
    <w:rsid w:val="00DA1D75"/>
    <w:rsid w:val="00DA2713"/>
    <w:rsid w:val="00DA30BE"/>
    <w:rsid w:val="00DA6075"/>
    <w:rsid w:val="00DA6C44"/>
    <w:rsid w:val="00DB45F2"/>
    <w:rsid w:val="00DB4A17"/>
    <w:rsid w:val="00DB5982"/>
    <w:rsid w:val="00DC037E"/>
    <w:rsid w:val="00DC0A2C"/>
    <w:rsid w:val="00DC0BCF"/>
    <w:rsid w:val="00DC36DD"/>
    <w:rsid w:val="00DC42E9"/>
    <w:rsid w:val="00DC7E39"/>
    <w:rsid w:val="00DC7FBF"/>
    <w:rsid w:val="00DD1D43"/>
    <w:rsid w:val="00DD1FCB"/>
    <w:rsid w:val="00DD66A9"/>
    <w:rsid w:val="00DE197C"/>
    <w:rsid w:val="00DE2939"/>
    <w:rsid w:val="00DE2A96"/>
    <w:rsid w:val="00DE5087"/>
    <w:rsid w:val="00DE7FE7"/>
    <w:rsid w:val="00DF2CA8"/>
    <w:rsid w:val="00DF6288"/>
    <w:rsid w:val="00E0015C"/>
    <w:rsid w:val="00E04975"/>
    <w:rsid w:val="00E144B2"/>
    <w:rsid w:val="00E14C5A"/>
    <w:rsid w:val="00E1608E"/>
    <w:rsid w:val="00E163C3"/>
    <w:rsid w:val="00E25B16"/>
    <w:rsid w:val="00E2670D"/>
    <w:rsid w:val="00E30A15"/>
    <w:rsid w:val="00E31F81"/>
    <w:rsid w:val="00E35500"/>
    <w:rsid w:val="00E367B1"/>
    <w:rsid w:val="00E377EA"/>
    <w:rsid w:val="00E40D20"/>
    <w:rsid w:val="00E4299C"/>
    <w:rsid w:val="00E43403"/>
    <w:rsid w:val="00E449D2"/>
    <w:rsid w:val="00E4742B"/>
    <w:rsid w:val="00E5149E"/>
    <w:rsid w:val="00E52E09"/>
    <w:rsid w:val="00E61FEF"/>
    <w:rsid w:val="00E6376A"/>
    <w:rsid w:val="00E6663F"/>
    <w:rsid w:val="00E667B3"/>
    <w:rsid w:val="00E66E3B"/>
    <w:rsid w:val="00E67855"/>
    <w:rsid w:val="00E70D6D"/>
    <w:rsid w:val="00E72A81"/>
    <w:rsid w:val="00E72FB4"/>
    <w:rsid w:val="00E8071D"/>
    <w:rsid w:val="00E82375"/>
    <w:rsid w:val="00E83199"/>
    <w:rsid w:val="00E84E89"/>
    <w:rsid w:val="00E8611E"/>
    <w:rsid w:val="00E87A32"/>
    <w:rsid w:val="00E926DA"/>
    <w:rsid w:val="00E941D9"/>
    <w:rsid w:val="00E95D35"/>
    <w:rsid w:val="00E969EF"/>
    <w:rsid w:val="00EA4F80"/>
    <w:rsid w:val="00EA5EAB"/>
    <w:rsid w:val="00EA63AB"/>
    <w:rsid w:val="00EB29D2"/>
    <w:rsid w:val="00EB486B"/>
    <w:rsid w:val="00EB4D83"/>
    <w:rsid w:val="00EB57D1"/>
    <w:rsid w:val="00EC56A6"/>
    <w:rsid w:val="00EC5A26"/>
    <w:rsid w:val="00ED1C48"/>
    <w:rsid w:val="00ED606A"/>
    <w:rsid w:val="00ED672E"/>
    <w:rsid w:val="00EE0C57"/>
    <w:rsid w:val="00EE2A6B"/>
    <w:rsid w:val="00EE32B7"/>
    <w:rsid w:val="00EE4879"/>
    <w:rsid w:val="00EF2FA1"/>
    <w:rsid w:val="00EF4865"/>
    <w:rsid w:val="00F00A9A"/>
    <w:rsid w:val="00F00F30"/>
    <w:rsid w:val="00F012DF"/>
    <w:rsid w:val="00F02C7E"/>
    <w:rsid w:val="00F051C8"/>
    <w:rsid w:val="00F06821"/>
    <w:rsid w:val="00F10ACF"/>
    <w:rsid w:val="00F12E23"/>
    <w:rsid w:val="00F14381"/>
    <w:rsid w:val="00F163DD"/>
    <w:rsid w:val="00F305C1"/>
    <w:rsid w:val="00F321D3"/>
    <w:rsid w:val="00F44E88"/>
    <w:rsid w:val="00F472C4"/>
    <w:rsid w:val="00F47DD9"/>
    <w:rsid w:val="00F5033F"/>
    <w:rsid w:val="00F5191D"/>
    <w:rsid w:val="00F5206E"/>
    <w:rsid w:val="00F536C5"/>
    <w:rsid w:val="00F60475"/>
    <w:rsid w:val="00F62C5B"/>
    <w:rsid w:val="00F640C8"/>
    <w:rsid w:val="00F73A5D"/>
    <w:rsid w:val="00F74DA7"/>
    <w:rsid w:val="00F80D7C"/>
    <w:rsid w:val="00F82A8A"/>
    <w:rsid w:val="00F844B5"/>
    <w:rsid w:val="00F868BE"/>
    <w:rsid w:val="00F87CA3"/>
    <w:rsid w:val="00F936F2"/>
    <w:rsid w:val="00F93A2F"/>
    <w:rsid w:val="00F96561"/>
    <w:rsid w:val="00FA3065"/>
    <w:rsid w:val="00FA4A11"/>
    <w:rsid w:val="00FA713C"/>
    <w:rsid w:val="00FB5F41"/>
    <w:rsid w:val="00FC68C1"/>
    <w:rsid w:val="00FD0F13"/>
    <w:rsid w:val="00FD202B"/>
    <w:rsid w:val="00FD6742"/>
    <w:rsid w:val="00FD67BC"/>
    <w:rsid w:val="00FE140F"/>
    <w:rsid w:val="00FE5E79"/>
    <w:rsid w:val="00FE5FA3"/>
    <w:rsid w:val="00FE6FE1"/>
    <w:rsid w:val="00FF17A4"/>
    <w:rsid w:val="00FF1E54"/>
    <w:rsid w:val="00FF243B"/>
    <w:rsid w:val="00FF6966"/>
    <w:rsid w:val="025B71F3"/>
    <w:rsid w:val="035311C5"/>
    <w:rsid w:val="045B70AB"/>
    <w:rsid w:val="054331DC"/>
    <w:rsid w:val="059B7CC5"/>
    <w:rsid w:val="061A4CDA"/>
    <w:rsid w:val="06380871"/>
    <w:rsid w:val="06435D82"/>
    <w:rsid w:val="07170C73"/>
    <w:rsid w:val="07851F1E"/>
    <w:rsid w:val="0B7B46D3"/>
    <w:rsid w:val="0CB63A18"/>
    <w:rsid w:val="0CCF4ADA"/>
    <w:rsid w:val="0DA22480"/>
    <w:rsid w:val="0ECC1623"/>
    <w:rsid w:val="102313C5"/>
    <w:rsid w:val="10C571AA"/>
    <w:rsid w:val="10C761F4"/>
    <w:rsid w:val="111C3209"/>
    <w:rsid w:val="123D67DB"/>
    <w:rsid w:val="130A3B1C"/>
    <w:rsid w:val="141554C8"/>
    <w:rsid w:val="14547046"/>
    <w:rsid w:val="15552AAA"/>
    <w:rsid w:val="179901BE"/>
    <w:rsid w:val="17D86E26"/>
    <w:rsid w:val="18A10CB8"/>
    <w:rsid w:val="18D931DE"/>
    <w:rsid w:val="19CA03F8"/>
    <w:rsid w:val="1BFD5F95"/>
    <w:rsid w:val="1C3B1336"/>
    <w:rsid w:val="1C7D5D9F"/>
    <w:rsid w:val="1DAB47A7"/>
    <w:rsid w:val="1E820701"/>
    <w:rsid w:val="1ED26C3C"/>
    <w:rsid w:val="253F67FF"/>
    <w:rsid w:val="260427C2"/>
    <w:rsid w:val="279C2D6A"/>
    <w:rsid w:val="27E8425A"/>
    <w:rsid w:val="29E11C7D"/>
    <w:rsid w:val="2BAE55EB"/>
    <w:rsid w:val="2C477B8B"/>
    <w:rsid w:val="2C930923"/>
    <w:rsid w:val="2D0C6E1A"/>
    <w:rsid w:val="2D1336B0"/>
    <w:rsid w:val="2DA336ED"/>
    <w:rsid w:val="2E8C7A02"/>
    <w:rsid w:val="305D4027"/>
    <w:rsid w:val="32EB35EC"/>
    <w:rsid w:val="33A361F5"/>
    <w:rsid w:val="358B38E3"/>
    <w:rsid w:val="35B035EF"/>
    <w:rsid w:val="35C63B41"/>
    <w:rsid w:val="35CB1A33"/>
    <w:rsid w:val="3651018A"/>
    <w:rsid w:val="37930FED"/>
    <w:rsid w:val="38EE7F12"/>
    <w:rsid w:val="39763B16"/>
    <w:rsid w:val="3A4F3D76"/>
    <w:rsid w:val="3ACD5E04"/>
    <w:rsid w:val="3CC52D38"/>
    <w:rsid w:val="3CED6733"/>
    <w:rsid w:val="3FEF2B56"/>
    <w:rsid w:val="42DC6204"/>
    <w:rsid w:val="43AE4C45"/>
    <w:rsid w:val="45F97D6C"/>
    <w:rsid w:val="46A734D1"/>
    <w:rsid w:val="4706436D"/>
    <w:rsid w:val="47A65E5C"/>
    <w:rsid w:val="47CD6E0B"/>
    <w:rsid w:val="4A0600C1"/>
    <w:rsid w:val="4A994B32"/>
    <w:rsid w:val="4B6411E0"/>
    <w:rsid w:val="4E0D6D8D"/>
    <w:rsid w:val="4E8F13F8"/>
    <w:rsid w:val="4F057732"/>
    <w:rsid w:val="4F131F60"/>
    <w:rsid w:val="4F1C771E"/>
    <w:rsid w:val="50B253F4"/>
    <w:rsid w:val="54F21698"/>
    <w:rsid w:val="55920C67"/>
    <w:rsid w:val="55E71B19"/>
    <w:rsid w:val="55FB5435"/>
    <w:rsid w:val="57D52FED"/>
    <w:rsid w:val="592D12F8"/>
    <w:rsid w:val="59F760A3"/>
    <w:rsid w:val="5DD907D0"/>
    <w:rsid w:val="5EFFAFF8"/>
    <w:rsid w:val="5F1A4814"/>
    <w:rsid w:val="5FB05672"/>
    <w:rsid w:val="60C434A5"/>
    <w:rsid w:val="622F2927"/>
    <w:rsid w:val="627303D8"/>
    <w:rsid w:val="62C16722"/>
    <w:rsid w:val="63B16F8C"/>
    <w:rsid w:val="63E20E43"/>
    <w:rsid w:val="641759A5"/>
    <w:rsid w:val="642077EB"/>
    <w:rsid w:val="64C1221D"/>
    <w:rsid w:val="666038FD"/>
    <w:rsid w:val="667F4925"/>
    <w:rsid w:val="695A024B"/>
    <w:rsid w:val="6B2F6147"/>
    <w:rsid w:val="6C6E605A"/>
    <w:rsid w:val="6F9B59F7"/>
    <w:rsid w:val="70453BB5"/>
    <w:rsid w:val="71F020F7"/>
    <w:rsid w:val="73024D9A"/>
    <w:rsid w:val="73A81E18"/>
    <w:rsid w:val="74DF2B4B"/>
    <w:rsid w:val="75135143"/>
    <w:rsid w:val="75A612C3"/>
    <w:rsid w:val="762211AF"/>
    <w:rsid w:val="768A4C36"/>
    <w:rsid w:val="76912D80"/>
    <w:rsid w:val="77E81434"/>
    <w:rsid w:val="77F51A1C"/>
    <w:rsid w:val="78106289"/>
    <w:rsid w:val="78EC6E95"/>
    <w:rsid w:val="79697E4E"/>
    <w:rsid w:val="79D61667"/>
    <w:rsid w:val="7ABC4A73"/>
    <w:rsid w:val="7C497749"/>
    <w:rsid w:val="7CE61BE9"/>
    <w:rsid w:val="7D4551F4"/>
    <w:rsid w:val="7FF975B7"/>
    <w:rsid w:val="E77B98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kern w:val="44"/>
      <w:sz w:val="44"/>
    </w:rPr>
  </w:style>
  <w:style w:type="paragraph" w:styleId="4">
    <w:name w:val="heading 2"/>
    <w:basedOn w:val="1"/>
    <w:next w:val="1"/>
    <w:link w:val="48"/>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9"/>
    <w:semiHidden/>
    <w:unhideWhenUsed/>
    <w:qFormat/>
    <w:uiPriority w:val="0"/>
    <w:pPr>
      <w:keepNext/>
      <w:keepLines/>
      <w:spacing w:before="260" w:after="260" w:line="413" w:lineRule="auto"/>
      <w:outlineLvl w:val="2"/>
    </w:pPr>
    <w:rPr>
      <w:b/>
      <w:sz w:val="32"/>
    </w:rPr>
  </w:style>
  <w:style w:type="paragraph" w:styleId="6">
    <w:name w:val="heading 4"/>
    <w:basedOn w:val="1"/>
    <w:next w:val="1"/>
    <w:link w:val="50"/>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43"/>
    <w:unhideWhenUsed/>
    <w:qFormat/>
    <w:uiPriority w:val="0"/>
    <w:pPr>
      <w:keepNext/>
      <w:keepLines/>
      <w:spacing w:before="280" w:after="290" w:line="372" w:lineRule="auto"/>
      <w:outlineLvl w:val="4"/>
    </w:pPr>
    <w:rPr>
      <w:b/>
      <w:sz w:val="28"/>
    </w:rPr>
  </w:style>
  <w:style w:type="paragraph" w:styleId="8">
    <w:name w:val="heading 6"/>
    <w:basedOn w:val="1"/>
    <w:next w:val="1"/>
    <w:link w:val="34"/>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3"/>
    <w:semiHidden/>
    <w:unhideWhenUsed/>
    <w:qFormat/>
    <w:uiPriority w:val="0"/>
    <w:pPr>
      <w:keepNext/>
      <w:keepLines/>
      <w:spacing w:before="240" w:after="64" w:line="317" w:lineRule="auto"/>
      <w:outlineLvl w:val="6"/>
    </w:pPr>
    <w:rPr>
      <w:b/>
      <w:sz w:val="24"/>
    </w:rPr>
  </w:style>
  <w:style w:type="paragraph" w:styleId="10">
    <w:name w:val="heading 8"/>
    <w:basedOn w:val="1"/>
    <w:next w:val="1"/>
    <w:link w:val="38"/>
    <w:semiHidden/>
    <w:unhideWhenUsed/>
    <w:qFormat/>
    <w:uiPriority w:val="0"/>
    <w:pPr>
      <w:keepNext/>
      <w:keepLines/>
      <w:spacing w:before="240" w:after="64" w:line="317" w:lineRule="auto"/>
      <w:outlineLvl w:val="7"/>
    </w:pPr>
    <w:rPr>
      <w:rFonts w:ascii="Arial" w:hAnsi="Arial" w:eastAsia="黑体"/>
      <w:sz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2"/>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1">
    <w:name w:val="Normal Indent"/>
    <w:basedOn w:val="1"/>
    <w:qFormat/>
    <w:uiPriority w:val="0"/>
    <w:pPr>
      <w:spacing w:before="120" w:after="120"/>
      <w:ind w:firstLine="200" w:firstLineChars="200"/>
    </w:pPr>
    <w:rPr>
      <w:rFonts w:ascii="宋体" w:hAnsi="宋体"/>
      <w:kern w:val="0"/>
      <w:sz w:val="24"/>
      <w:szCs w:val="20"/>
    </w:rPr>
  </w:style>
  <w:style w:type="paragraph" w:styleId="12">
    <w:name w:val="Document Map"/>
    <w:basedOn w:val="1"/>
    <w:link w:val="55"/>
    <w:qFormat/>
    <w:uiPriority w:val="0"/>
    <w:pPr>
      <w:shd w:val="clear" w:color="auto" w:fill="000080"/>
    </w:pPr>
  </w:style>
  <w:style w:type="paragraph" w:styleId="13">
    <w:name w:val="annotation text"/>
    <w:basedOn w:val="1"/>
    <w:link w:val="54"/>
    <w:qFormat/>
    <w:uiPriority w:val="99"/>
    <w:pPr>
      <w:jc w:val="left"/>
    </w:pPr>
  </w:style>
  <w:style w:type="paragraph" w:styleId="14">
    <w:name w:val="toc 3"/>
    <w:basedOn w:val="1"/>
    <w:next w:val="1"/>
    <w:qFormat/>
    <w:uiPriority w:val="39"/>
    <w:pPr>
      <w:ind w:left="420"/>
      <w:jc w:val="left"/>
    </w:pPr>
    <w:rPr>
      <w:rFonts w:ascii="Calibri" w:hAnsi="Calibri" w:eastAsia="宋体" w:cs="Times New Roman"/>
      <w:i/>
      <w:sz w:val="20"/>
      <w:szCs w:val="20"/>
    </w:rPr>
  </w:style>
  <w:style w:type="paragraph" w:styleId="15">
    <w:name w:val="Plain Text"/>
    <w:basedOn w:val="1"/>
    <w:link w:val="44"/>
    <w:qFormat/>
    <w:uiPriority w:val="0"/>
    <w:rPr>
      <w:rFonts w:hint="eastAsia" w:ascii="宋体" w:hAnsi="Courier New" w:eastAsia="宋体" w:cs="Times New Roman"/>
      <w:szCs w:val="21"/>
    </w:rPr>
  </w:style>
  <w:style w:type="paragraph" w:styleId="16">
    <w:name w:val="Balloon Text"/>
    <w:basedOn w:val="1"/>
    <w:link w:val="40"/>
    <w:qFormat/>
    <w:uiPriority w:val="0"/>
    <w:rPr>
      <w:sz w:val="18"/>
    </w:rPr>
  </w:style>
  <w:style w:type="paragraph" w:styleId="17">
    <w:name w:val="footer"/>
    <w:basedOn w:val="1"/>
    <w:link w:val="51"/>
    <w:qFormat/>
    <w:uiPriority w:val="0"/>
    <w:pPr>
      <w:tabs>
        <w:tab w:val="center" w:pos="4153"/>
        <w:tab w:val="right" w:pos="8306"/>
      </w:tabs>
      <w:snapToGrid w:val="0"/>
      <w:jc w:val="left"/>
    </w:pPr>
    <w:rPr>
      <w:sz w:val="18"/>
    </w:rPr>
  </w:style>
  <w:style w:type="paragraph" w:styleId="18">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Calibri" w:hAnsi="Calibri" w:eastAsia="宋体" w:cs="Times New Roman"/>
      <w:b/>
      <w:caps/>
      <w:sz w:val="20"/>
      <w:szCs w:val="20"/>
    </w:rPr>
  </w:style>
  <w:style w:type="paragraph" w:styleId="20">
    <w:name w:val="footnote text"/>
    <w:basedOn w:val="1"/>
    <w:link w:val="36"/>
    <w:qFormat/>
    <w:uiPriority w:val="0"/>
    <w:pPr>
      <w:snapToGrid w:val="0"/>
      <w:jc w:val="left"/>
    </w:pPr>
    <w:rPr>
      <w:sz w:val="18"/>
    </w:rPr>
  </w:style>
  <w:style w:type="paragraph" w:styleId="21">
    <w:name w:val="toc 2"/>
    <w:basedOn w:val="1"/>
    <w:next w:val="1"/>
    <w:qFormat/>
    <w:uiPriority w:val="39"/>
    <w:pPr>
      <w:ind w:left="210"/>
      <w:jc w:val="left"/>
    </w:pPr>
    <w:rPr>
      <w:rFonts w:ascii="Calibri" w:hAnsi="Calibri" w:eastAsia="宋体" w:cs="Times New Roman"/>
      <w:smallCaps/>
      <w:sz w:val="20"/>
      <w:szCs w:val="20"/>
    </w:rPr>
  </w:style>
  <w:style w:type="paragraph" w:styleId="22">
    <w:name w:val="Normal (Web)"/>
    <w:basedOn w:val="1"/>
    <w:link w:val="75"/>
    <w:qFormat/>
    <w:uiPriority w:val="99"/>
    <w:rPr>
      <w:rFonts w:ascii="Calibri" w:hAnsi="Calibri" w:eastAsia="宋体" w:cs="Times New Roman"/>
      <w:sz w:val="24"/>
      <w:szCs w:val="22"/>
    </w:rPr>
  </w:style>
  <w:style w:type="paragraph" w:styleId="23">
    <w:name w:val="Title"/>
    <w:basedOn w:val="1"/>
    <w:link w:val="35"/>
    <w:qFormat/>
    <w:uiPriority w:val="0"/>
    <w:pPr>
      <w:spacing w:before="240" w:after="60"/>
      <w:jc w:val="center"/>
      <w:outlineLvl w:val="0"/>
    </w:pPr>
    <w:rPr>
      <w:rFonts w:ascii="Arial" w:hAnsi="Arial"/>
      <w:b/>
      <w:sz w:val="32"/>
    </w:rPr>
  </w:style>
  <w:style w:type="paragraph" w:styleId="24">
    <w:name w:val="annotation subject"/>
    <w:basedOn w:val="13"/>
    <w:next w:val="13"/>
    <w:link w:val="56"/>
    <w:qFormat/>
    <w:uiPriority w:val="0"/>
    <w:rPr>
      <w:b/>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qFormat/>
    <w:uiPriority w:val="99"/>
    <w:rPr>
      <w:sz w:val="21"/>
      <w:szCs w:val="21"/>
    </w:rPr>
  </w:style>
  <w:style w:type="character" w:styleId="31">
    <w:name w:val="footnote reference"/>
    <w:basedOn w:val="27"/>
    <w:qFormat/>
    <w:uiPriority w:val="0"/>
    <w:rPr>
      <w:vertAlign w:val="superscript"/>
    </w:rPr>
  </w:style>
  <w:style w:type="paragraph" w:customStyle="1" w:styleId="32">
    <w:name w:val="文档标题1"/>
    <w:basedOn w:val="3"/>
    <w:next w:val="33"/>
    <w:qFormat/>
    <w:uiPriority w:val="99"/>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3">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34">
    <w:name w:val="标题 6 字符"/>
    <w:basedOn w:val="27"/>
    <w:link w:val="8"/>
    <w:qFormat/>
    <w:uiPriority w:val="0"/>
    <w:rPr>
      <w:rFonts w:ascii="Arial" w:hAnsi="Arial" w:eastAsia="黑体" w:cs="Times New Roman"/>
      <w:b/>
      <w:kern w:val="2"/>
      <w:sz w:val="24"/>
      <w:szCs w:val="24"/>
    </w:rPr>
  </w:style>
  <w:style w:type="character" w:customStyle="1" w:styleId="35">
    <w:name w:val="标题 字符"/>
    <w:basedOn w:val="27"/>
    <w:link w:val="23"/>
    <w:qFormat/>
    <w:uiPriority w:val="0"/>
    <w:rPr>
      <w:rFonts w:hint="default" w:ascii="Arial" w:hAnsi="Arial" w:eastAsia="宋体" w:cs="Times New Roman"/>
      <w:b/>
      <w:kern w:val="2"/>
      <w:sz w:val="32"/>
      <w:szCs w:val="24"/>
    </w:rPr>
  </w:style>
  <w:style w:type="character" w:customStyle="1" w:styleId="36">
    <w:name w:val="脚注文本 字符"/>
    <w:basedOn w:val="27"/>
    <w:link w:val="20"/>
    <w:qFormat/>
    <w:uiPriority w:val="0"/>
    <w:rPr>
      <w:rFonts w:hint="default" w:ascii="Calibri" w:hAnsi="Calibri" w:eastAsia="宋体" w:cs="Times New Roman"/>
      <w:kern w:val="2"/>
      <w:sz w:val="18"/>
      <w:szCs w:val="24"/>
    </w:rPr>
  </w:style>
  <w:style w:type="character" w:customStyle="1" w:styleId="37">
    <w:name w:val="标题 1 字符"/>
    <w:basedOn w:val="27"/>
    <w:link w:val="3"/>
    <w:qFormat/>
    <w:uiPriority w:val="0"/>
    <w:rPr>
      <w:rFonts w:hint="default" w:ascii="Calibri" w:hAnsi="Calibri" w:eastAsia="宋体" w:cs="Times New Roman"/>
      <w:b/>
      <w:kern w:val="44"/>
      <w:sz w:val="44"/>
      <w:szCs w:val="24"/>
    </w:rPr>
  </w:style>
  <w:style w:type="character" w:customStyle="1" w:styleId="38">
    <w:name w:val="标题 8 字符"/>
    <w:basedOn w:val="27"/>
    <w:link w:val="10"/>
    <w:qFormat/>
    <w:uiPriority w:val="0"/>
    <w:rPr>
      <w:rFonts w:hint="default" w:ascii="Arial" w:hAnsi="Arial" w:eastAsia="黑体" w:cs="Times New Roman"/>
      <w:kern w:val="2"/>
      <w:sz w:val="24"/>
      <w:szCs w:val="24"/>
    </w:rPr>
  </w:style>
  <w:style w:type="paragraph" w:customStyle="1" w:styleId="39">
    <w:name w:val="样式 标题 2 + 宋体 五号 非加粗 黑色"/>
    <w:basedOn w:val="4"/>
    <w:qFormat/>
    <w:uiPriority w:val="0"/>
    <w:pPr>
      <w:spacing w:line="416" w:lineRule="atLeast"/>
      <w:jc w:val="left"/>
    </w:pPr>
    <w:rPr>
      <w:rFonts w:cs="Times New Roman"/>
      <w:color w:val="000000"/>
      <w:kern w:val="0"/>
      <w:sz w:val="21"/>
      <w:szCs w:val="32"/>
    </w:rPr>
  </w:style>
  <w:style w:type="character" w:customStyle="1" w:styleId="40">
    <w:name w:val="批注框文本 字符"/>
    <w:basedOn w:val="27"/>
    <w:link w:val="16"/>
    <w:qFormat/>
    <w:uiPriority w:val="0"/>
    <w:rPr>
      <w:rFonts w:hint="default" w:ascii="Calibri" w:hAnsi="Calibri" w:eastAsia="宋体" w:cs="Times New Roman"/>
      <w:kern w:val="2"/>
      <w:sz w:val="18"/>
      <w:szCs w:val="24"/>
    </w:rPr>
  </w:style>
  <w:style w:type="paragraph" w:customStyle="1" w:styleId="41">
    <w:name w:val="文档正文一级标题"/>
    <w:basedOn w:val="33"/>
    <w:qFormat/>
    <w:uiPriority w:val="0"/>
    <w:pPr>
      <w:numPr>
        <w:ilvl w:val="0"/>
        <w:numId w:val="2"/>
      </w:numPr>
      <w:ind w:firstLine="0" w:firstLineChars="0"/>
    </w:pPr>
  </w:style>
  <w:style w:type="character" w:customStyle="1" w:styleId="42">
    <w:name w:val="页眉 字符"/>
    <w:basedOn w:val="27"/>
    <w:link w:val="18"/>
    <w:qFormat/>
    <w:uiPriority w:val="0"/>
    <w:rPr>
      <w:rFonts w:hint="default" w:ascii="Calibri" w:hAnsi="Calibri" w:eastAsia="宋体" w:cs="Times New Roman"/>
      <w:kern w:val="2"/>
      <w:sz w:val="18"/>
      <w:szCs w:val="24"/>
    </w:rPr>
  </w:style>
  <w:style w:type="character" w:customStyle="1" w:styleId="43">
    <w:name w:val="标题 5 字符"/>
    <w:basedOn w:val="27"/>
    <w:link w:val="7"/>
    <w:qFormat/>
    <w:uiPriority w:val="0"/>
    <w:rPr>
      <w:rFonts w:hint="default" w:ascii="Calibri" w:hAnsi="Calibri" w:eastAsia="宋体" w:cs="Times New Roman"/>
      <w:b/>
      <w:kern w:val="2"/>
      <w:sz w:val="28"/>
      <w:szCs w:val="24"/>
    </w:rPr>
  </w:style>
  <w:style w:type="character" w:customStyle="1" w:styleId="44">
    <w:name w:val="纯文本 字符"/>
    <w:basedOn w:val="27"/>
    <w:link w:val="15"/>
    <w:qFormat/>
    <w:uiPriority w:val="0"/>
    <w:rPr>
      <w:rFonts w:hint="eastAsia" w:ascii="宋体" w:hAnsi="Courier New" w:eastAsia="宋体" w:cs="宋体"/>
      <w:kern w:val="2"/>
      <w:sz w:val="21"/>
      <w:szCs w:val="21"/>
    </w:rPr>
  </w:style>
  <w:style w:type="paragraph" w:customStyle="1" w:styleId="45">
    <w:name w:val="文档标题3"/>
    <w:basedOn w:val="5"/>
    <w:next w:val="33"/>
    <w:qFormat/>
    <w:uiPriority w:val="99"/>
    <w:pPr>
      <w:numPr>
        <w:ilvl w:val="2"/>
        <w:numId w:val="1"/>
      </w:num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46">
    <w:name w:val="apple-converted-space"/>
    <w:basedOn w:val="27"/>
    <w:qFormat/>
    <w:uiPriority w:val="0"/>
  </w:style>
  <w:style w:type="character" w:customStyle="1" w:styleId="47">
    <w:name w:val="apple-style-span"/>
    <w:basedOn w:val="27"/>
    <w:qFormat/>
    <w:uiPriority w:val="0"/>
  </w:style>
  <w:style w:type="character" w:customStyle="1" w:styleId="48">
    <w:name w:val="标题 2 字符"/>
    <w:basedOn w:val="27"/>
    <w:link w:val="4"/>
    <w:qFormat/>
    <w:uiPriority w:val="0"/>
    <w:rPr>
      <w:rFonts w:hint="default" w:ascii="Arial" w:hAnsi="Arial" w:eastAsia="黑体" w:cs="Times New Roman"/>
      <w:b/>
      <w:kern w:val="2"/>
      <w:sz w:val="32"/>
      <w:szCs w:val="24"/>
    </w:rPr>
  </w:style>
  <w:style w:type="character" w:customStyle="1" w:styleId="49">
    <w:name w:val="标题 3 字符"/>
    <w:basedOn w:val="27"/>
    <w:link w:val="5"/>
    <w:qFormat/>
    <w:uiPriority w:val="0"/>
    <w:rPr>
      <w:rFonts w:hint="default" w:ascii="Calibri" w:hAnsi="Calibri" w:eastAsia="宋体" w:cs="Times New Roman"/>
      <w:b/>
      <w:kern w:val="2"/>
      <w:sz w:val="32"/>
      <w:szCs w:val="24"/>
    </w:rPr>
  </w:style>
  <w:style w:type="character" w:customStyle="1" w:styleId="50">
    <w:name w:val="标题 4 字符"/>
    <w:basedOn w:val="27"/>
    <w:link w:val="6"/>
    <w:qFormat/>
    <w:uiPriority w:val="0"/>
    <w:rPr>
      <w:rFonts w:hint="default" w:ascii="Arial" w:hAnsi="Arial" w:eastAsia="黑体" w:cs="Times New Roman"/>
      <w:b/>
      <w:kern w:val="2"/>
      <w:sz w:val="28"/>
      <w:szCs w:val="24"/>
    </w:rPr>
  </w:style>
  <w:style w:type="character" w:customStyle="1" w:styleId="51">
    <w:name w:val="页脚 字符"/>
    <w:basedOn w:val="27"/>
    <w:link w:val="17"/>
    <w:qFormat/>
    <w:uiPriority w:val="0"/>
    <w:rPr>
      <w:rFonts w:hint="default" w:ascii="Calibri" w:hAnsi="Calibri" w:eastAsia="宋体" w:cs="Times New Roman"/>
      <w:kern w:val="2"/>
      <w:sz w:val="18"/>
      <w:szCs w:val="24"/>
    </w:rPr>
  </w:style>
  <w:style w:type="character" w:customStyle="1" w:styleId="52">
    <w:name w:val="正文文本 字符"/>
    <w:basedOn w:val="27"/>
    <w:link w:val="2"/>
    <w:qFormat/>
    <w:uiPriority w:val="0"/>
    <w:rPr>
      <w:rFonts w:hint="default" w:ascii="Book Antiqua" w:hAnsi="Book Antiqua" w:eastAsia="Book Antiqua" w:cs="Book Antiqua"/>
    </w:rPr>
  </w:style>
  <w:style w:type="character" w:customStyle="1" w:styleId="53">
    <w:name w:val="标题 7 字符"/>
    <w:basedOn w:val="27"/>
    <w:link w:val="9"/>
    <w:qFormat/>
    <w:uiPriority w:val="0"/>
    <w:rPr>
      <w:rFonts w:hint="default" w:ascii="Calibri" w:hAnsi="Calibri" w:eastAsia="宋体" w:cs="Times New Roman"/>
      <w:b/>
      <w:kern w:val="2"/>
      <w:sz w:val="24"/>
      <w:szCs w:val="24"/>
    </w:rPr>
  </w:style>
  <w:style w:type="character" w:customStyle="1" w:styleId="54">
    <w:name w:val="批注文字 字符"/>
    <w:basedOn w:val="27"/>
    <w:link w:val="13"/>
    <w:qFormat/>
    <w:uiPriority w:val="99"/>
    <w:rPr>
      <w:rFonts w:hint="default" w:ascii="Calibri" w:hAnsi="Calibri" w:eastAsia="宋体" w:cs="Times New Roman"/>
      <w:kern w:val="2"/>
      <w:sz w:val="21"/>
      <w:szCs w:val="24"/>
    </w:rPr>
  </w:style>
  <w:style w:type="character" w:customStyle="1" w:styleId="55">
    <w:name w:val="文档结构图 字符"/>
    <w:basedOn w:val="27"/>
    <w:link w:val="12"/>
    <w:qFormat/>
    <w:uiPriority w:val="0"/>
    <w:rPr>
      <w:rFonts w:hint="default" w:ascii="Calibri" w:hAnsi="Calibri" w:eastAsia="宋体" w:cs="Times New Roman"/>
      <w:kern w:val="2"/>
      <w:sz w:val="21"/>
      <w:szCs w:val="24"/>
      <w:shd w:val="clear" w:color="auto" w:fill="000080"/>
    </w:rPr>
  </w:style>
  <w:style w:type="character" w:customStyle="1" w:styleId="56">
    <w:name w:val="批注主题 字符"/>
    <w:basedOn w:val="54"/>
    <w:link w:val="24"/>
    <w:qFormat/>
    <w:uiPriority w:val="0"/>
    <w:rPr>
      <w:rFonts w:hint="default" w:ascii="Calibri" w:hAnsi="Calibri" w:eastAsia="宋体" w:cs="Times New Roman"/>
      <w:b/>
      <w:kern w:val="2"/>
      <w:sz w:val="21"/>
      <w:szCs w:val="24"/>
    </w:rPr>
  </w:style>
  <w:style w:type="paragraph" w:customStyle="1" w:styleId="57">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character" w:customStyle="1" w:styleId="58">
    <w:name w:val="tlid-translation"/>
    <w:basedOn w:val="27"/>
    <w:qFormat/>
    <w:uiPriority w:val="0"/>
  </w:style>
  <w:style w:type="character" w:customStyle="1" w:styleId="59">
    <w:name w:val="无间隔 字符"/>
    <w:basedOn w:val="27"/>
    <w:qFormat/>
    <w:uiPriority w:val="0"/>
    <w:rPr>
      <w:sz w:val="22"/>
      <w:szCs w:val="22"/>
    </w:rPr>
  </w:style>
  <w:style w:type="character" w:customStyle="1" w:styleId="60">
    <w:name w:val="style61"/>
    <w:basedOn w:val="27"/>
    <w:qFormat/>
    <w:uiPriority w:val="0"/>
  </w:style>
  <w:style w:type="paragraph" w:customStyle="1" w:styleId="61">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62">
    <w:name w:val="COFCO_1.1 Char"/>
    <w:basedOn w:val="27"/>
    <w:qFormat/>
    <w:uiPriority w:val="0"/>
    <w:rPr>
      <w:rFonts w:hint="eastAsia" w:ascii="华文细黑" w:hAnsi="华文细黑" w:eastAsia="华文细黑" w:cs="宋体"/>
      <w:b/>
      <w:color w:val="000000"/>
      <w:sz w:val="24"/>
      <w:szCs w:val="22"/>
    </w:rPr>
  </w:style>
  <w:style w:type="character" w:customStyle="1" w:styleId="63">
    <w:name w:val="正文文本 Char"/>
    <w:basedOn w:val="27"/>
    <w:qFormat/>
    <w:uiPriority w:val="0"/>
    <w:rPr>
      <w:kern w:val="2"/>
      <w:sz w:val="21"/>
      <w:szCs w:val="22"/>
    </w:rPr>
  </w:style>
  <w:style w:type="paragraph" w:customStyle="1" w:styleId="64">
    <w:name w:val="文档标题2"/>
    <w:basedOn w:val="4"/>
    <w:next w:val="33"/>
    <w:link w:val="66"/>
    <w:qFormat/>
    <w:uiPriority w:val="0"/>
    <w:pPr>
      <w:numPr>
        <w:ilvl w:val="1"/>
        <w:numId w:val="1"/>
      </w:numPr>
      <w:spacing w:before="0" w:after="0" w:line="360" w:lineRule="auto"/>
      <w:jc w:val="left"/>
    </w:pPr>
    <w:rPr>
      <w:rFonts w:ascii="Times New Roman" w:hAnsi="Times New Roman" w:eastAsia="宋体" w:cs="Times New Roman"/>
      <w:sz w:val="28"/>
      <w:szCs w:val="32"/>
    </w:rPr>
  </w:style>
  <w:style w:type="paragraph" w:customStyle="1" w:styleId="65">
    <w:name w:val="Table Paragraph"/>
    <w:basedOn w:val="1"/>
    <w:qFormat/>
    <w:uiPriority w:val="1"/>
    <w:rPr>
      <w:rFonts w:ascii="Calibri" w:hAnsi="Calibri" w:eastAsia="宋体" w:cs="Times New Roman"/>
      <w:szCs w:val="22"/>
    </w:rPr>
  </w:style>
  <w:style w:type="character" w:customStyle="1" w:styleId="66">
    <w:name w:val="文档标题2 Char"/>
    <w:basedOn w:val="27"/>
    <w:link w:val="64"/>
    <w:qFormat/>
    <w:uiPriority w:val="0"/>
    <w:rPr>
      <w:b/>
      <w:kern w:val="2"/>
      <w:sz w:val="28"/>
      <w:szCs w:val="32"/>
    </w:rPr>
  </w:style>
  <w:style w:type="paragraph" w:styleId="67">
    <w:name w:val="List Paragraph"/>
    <w:basedOn w:val="1"/>
    <w:qFormat/>
    <w:uiPriority w:val="34"/>
    <w:pPr>
      <w:ind w:firstLine="420" w:firstLineChars="200"/>
    </w:pPr>
  </w:style>
  <w:style w:type="paragraph" w:customStyle="1" w:styleId="68">
    <w:name w:val="潍柴文档正文一级标题"/>
    <w:basedOn w:val="1"/>
    <w:qFormat/>
    <w:uiPriority w:val="0"/>
    <w:pPr>
      <w:numPr>
        <w:ilvl w:val="0"/>
        <w:numId w:val="3"/>
      </w:numPr>
      <w:spacing w:line="360" w:lineRule="auto"/>
    </w:pPr>
    <w:rPr>
      <w:rFonts w:ascii="Times New Roman" w:hAnsi="Times New Roman" w:eastAsia="宋体" w:cs="Times New Roman"/>
      <w:sz w:val="24"/>
      <w:szCs w:val="22"/>
    </w:rPr>
  </w:style>
  <w:style w:type="paragraph" w:customStyle="1" w:styleId="69">
    <w:name w:val="正文360首行缩进"/>
    <w:basedOn w:val="1"/>
    <w:link w:val="70"/>
    <w:qFormat/>
    <w:uiPriority w:val="0"/>
    <w:pPr>
      <w:widowControl/>
      <w:spacing w:before="120" w:line="300" w:lineRule="auto"/>
      <w:ind w:firstLine="200" w:firstLineChars="200"/>
      <w:jc w:val="left"/>
    </w:pPr>
    <w:rPr>
      <w:rFonts w:ascii="Times New Roman" w:hAnsi="Times New Roman" w:eastAsia="宋体" w:cs="Times New Roman"/>
      <w:sz w:val="24"/>
      <w:szCs w:val="20"/>
    </w:rPr>
  </w:style>
  <w:style w:type="character" w:customStyle="1" w:styleId="70">
    <w:name w:val="正文360首行缩进 Char"/>
    <w:basedOn w:val="27"/>
    <w:link w:val="69"/>
    <w:qFormat/>
    <w:uiPriority w:val="0"/>
    <w:rPr>
      <w:kern w:val="2"/>
      <w:sz w:val="24"/>
    </w:rPr>
  </w:style>
  <w:style w:type="paragraph" w:customStyle="1" w:styleId="71">
    <w:name w:val="标准文本"/>
    <w:basedOn w:val="1"/>
    <w:qFormat/>
    <w:uiPriority w:val="0"/>
    <w:pPr>
      <w:spacing w:line="360" w:lineRule="auto"/>
      <w:ind w:firstLine="420" w:firstLineChars="200"/>
    </w:pPr>
    <w:rPr>
      <w:rFonts w:ascii="Calibri" w:hAnsi="Calibri" w:eastAsia="宋体" w:cs="Times New Roman"/>
    </w:rPr>
  </w:style>
  <w:style w:type="character" w:customStyle="1" w:styleId="72">
    <w:name w:val="纯文本 Char1"/>
    <w:qFormat/>
    <w:uiPriority w:val="0"/>
    <w:rPr>
      <w:rFonts w:ascii="宋体" w:hAnsi="Courier New" w:eastAsia="宋体"/>
      <w:kern w:val="2"/>
      <w:sz w:val="21"/>
      <w:lang w:val="en-US" w:eastAsia="zh-CN" w:bidi="ar-SA"/>
    </w:rPr>
  </w:style>
  <w:style w:type="paragraph" w:customStyle="1" w:styleId="73">
    <w:name w:val="Table Heading"/>
    <w:basedOn w:val="1"/>
    <w:qFormat/>
    <w:uiPriority w:val="0"/>
    <w:pPr>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74">
    <w:name w:val="Table Text"/>
    <w:basedOn w:val="1"/>
    <w:qFormat/>
    <w:uiPriority w:val="0"/>
    <w:pPr>
      <w:topLinePunct/>
      <w:adjustRightInd w:val="0"/>
      <w:snapToGrid w:val="0"/>
      <w:spacing w:before="80" w:after="80" w:line="240" w:lineRule="atLeast"/>
      <w:jc w:val="left"/>
    </w:pPr>
    <w:rPr>
      <w:rFonts w:hint="eastAsia" w:ascii="Times New Roman" w:hAnsi="Times New Roman" w:eastAsia="宋体" w:cs="Arial"/>
      <w:snapToGrid w:val="0"/>
      <w:kern w:val="0"/>
      <w:szCs w:val="21"/>
    </w:rPr>
  </w:style>
  <w:style w:type="character" w:customStyle="1" w:styleId="75">
    <w:name w:val="普通(网站) 字符"/>
    <w:link w:val="22"/>
    <w:qFormat/>
    <w:uiPriority w:val="99"/>
    <w:rPr>
      <w:rFonts w:ascii="Calibri" w:hAnsi="Calibri"/>
      <w:kern w:val="2"/>
      <w:sz w:val="24"/>
      <w:szCs w:val="22"/>
    </w:rPr>
  </w:style>
  <w:style w:type="paragraph" w:customStyle="1" w:styleId="76">
    <w:name w:val="正文内容"/>
    <w:basedOn w:val="1"/>
    <w:next w:val="22"/>
    <w:qFormat/>
    <w:uiPriority w:val="0"/>
    <w:pPr>
      <w:spacing w:line="360" w:lineRule="auto"/>
      <w:ind w:firstLine="200" w:firstLineChars="200"/>
    </w:pPr>
    <w:rPr>
      <w:rFonts w:ascii="Times New Roman" w:hAnsi="Times New Roman" w:eastAsia="宋体" w:cs="Times New Roman"/>
      <w:sz w:val="24"/>
    </w:rPr>
  </w:style>
  <w:style w:type="paragraph" w:customStyle="1" w:styleId="77">
    <w:name w:val="正文首行缩进（安全）"/>
    <w:basedOn w:val="1"/>
    <w:next w:val="1"/>
    <w:qFormat/>
    <w:locked/>
    <w:uiPriority w:val="0"/>
    <w:pPr>
      <w:widowControl/>
      <w:spacing w:line="360" w:lineRule="auto"/>
      <w:ind w:firstLine="480" w:firstLineChars="200"/>
      <w:jc w:val="left"/>
    </w:pPr>
    <w:rPr>
      <w:rFonts w:ascii="Arial" w:hAnsi="Arial" w:eastAsia="宋体" w:cs="Times New Roman"/>
      <w:kern w:val="0"/>
      <w:sz w:val="24"/>
      <w:szCs w:val="21"/>
    </w:rPr>
  </w:style>
  <w:style w:type="paragraph" w:customStyle="1" w:styleId="78">
    <w:name w:val="潍柴文档正文"/>
    <w:basedOn w:val="1"/>
    <w:link w:val="79"/>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9">
    <w:name w:val="潍柴文档正文 Char"/>
    <w:link w:val="78"/>
    <w:qFormat/>
    <w:uiPriority w:val="0"/>
    <w:rPr>
      <w:kern w:val="2"/>
      <w:sz w:val="24"/>
      <w:szCs w:val="22"/>
    </w:rPr>
  </w:style>
  <w:style w:type="paragraph" w:customStyle="1" w:styleId="80">
    <w:name w:val="正文（自定义）"/>
    <w:basedOn w:val="1"/>
    <w:qFormat/>
    <w:uiPriority w:val="0"/>
    <w:pPr>
      <w:spacing w:line="360" w:lineRule="auto"/>
    </w:pPr>
    <w:rPr>
      <w:rFonts w:ascii="Arial" w:hAnsi="Arial" w:cs="Times New Roman"/>
    </w:rPr>
  </w:style>
  <w:style w:type="paragraph" w:customStyle="1" w:styleId="81">
    <w:name w:val="!正文"/>
    <w:basedOn w:val="1"/>
    <w:qFormat/>
    <w:uiPriority w:val="0"/>
    <w:pPr>
      <w:spacing w:line="360" w:lineRule="auto"/>
      <w:ind w:firstLine="480" w:firstLineChars="200"/>
    </w:pPr>
  </w:style>
  <w:style w:type="paragraph" w:customStyle="1" w:styleId="82">
    <w:name w:val="一级项目符号"/>
    <w:basedOn w:val="1"/>
    <w:qFormat/>
    <w:uiPriority w:val="0"/>
    <w:pPr>
      <w:spacing w:line="360" w:lineRule="auto"/>
      <w:ind w:left="838" w:hanging="420"/>
    </w:pPr>
    <w:rPr>
      <w:rFonts w:cs="Arial"/>
      <w:color w:val="000000"/>
    </w:rPr>
  </w:style>
  <w:style w:type="paragraph" w:customStyle="1" w:styleId="83">
    <w:name w:val="二级项目符号"/>
    <w:basedOn w:val="1"/>
    <w:qFormat/>
    <w:uiPriority w:val="99"/>
    <w:pPr>
      <w:numPr>
        <w:ilvl w:val="0"/>
        <w:numId w:val="4"/>
      </w:numPr>
      <w:tabs>
        <w:tab w:val="clear" w:pos="839"/>
      </w:tabs>
      <w:spacing w:line="360" w:lineRule="auto"/>
      <w:ind w:left="1333" w:hanging="482"/>
    </w:pPr>
    <w:rPr>
      <w:rFonts w:ascii="Times New Roman" w:hAnsi="Times New Roman" w:cs="Times New Roman"/>
      <w:color w:val="000000"/>
    </w:rPr>
  </w:style>
  <w:style w:type="character" w:customStyle="1" w:styleId="84">
    <w:name w:val="high-light-bg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43</Pages>
  <Words>3273</Words>
  <Characters>18660</Characters>
  <Lines>155</Lines>
  <Paragraphs>43</Paragraphs>
  <TotalTime>11</TotalTime>
  <ScaleCrop>false</ScaleCrop>
  <LinksUpToDate>false</LinksUpToDate>
  <CharactersWithSpaces>21890</CharactersWithSpaces>
  <Application>WPS Office WWO_dingtalk_20221031101348-1857be321c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2022-10-29T02:57:00Z</dcterms:created>
  <dc:creator>陈茂圣</dc:creator>
  <cp:lastModifiedBy>JonMMx 2000</cp:lastModifiedBy>
  <cp:lastPrinted>2022-01-04T02:09:00Z</cp:lastPrinted>
  <dcterms:modified xsi:type="dcterms:W3CDTF">2023-07-01T14:21:41Z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A6B39536794846F6ADA8570A21D1FE68</vt:lpwstr>
  </property>
</Properties>
</file>