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rPr>
          <w:b/>
          <w:sz w:val="32"/>
          <w:lang w:val="en-US"/>
        </w:rPr>
      </w:pPr>
    </w:p>
    <w:p>
      <w:pPr>
        <w:spacing w:before="40"/>
        <w:ind w:left="141"/>
        <w:jc w:val="center"/>
        <w:rPr>
          <w:b/>
          <w:w w:val="98"/>
          <w:sz w:val="32"/>
        </w:rPr>
      </w:pPr>
      <w:r>
        <w:rPr>
          <w:rFonts w:hint="eastAsia"/>
          <w:b/>
          <w:sz w:val="32"/>
          <w:lang w:val="en-US"/>
        </w:rPr>
        <w:t>2022年</w:t>
      </w:r>
      <w:r>
        <w:rPr>
          <w:rFonts w:hint="eastAsia"/>
          <w:b/>
          <w:sz w:val="32"/>
          <w:lang w:val="en-US" w:eastAsia="zh-CN"/>
        </w:rPr>
        <w:t>4</w:t>
      </w:r>
      <w:r>
        <w:rPr>
          <w:b/>
          <w:sz w:val="32"/>
        </w:rPr>
        <w:t>月重点排污单位信息公开表</w:t>
      </w:r>
      <w:r>
        <w:rPr>
          <w:b/>
          <w:w w:val="98"/>
          <w:sz w:val="32"/>
        </w:rPr>
        <w:t xml:space="preserve"> </w:t>
      </w:r>
    </w:p>
    <w:p>
      <w:pPr>
        <w:pStyle w:val="3"/>
        <w:tabs>
          <w:tab w:val="left" w:pos="7169"/>
        </w:tabs>
        <w:spacing w:before="280"/>
        <w:ind w:left="164"/>
        <w:jc w:val="center"/>
        <w:rPr>
          <w:spacing w:val="-38"/>
          <w:sz w:val="18"/>
          <w:szCs w:val="18"/>
        </w:rPr>
      </w:pPr>
      <w:r>
        <w:rPr>
          <w:rFonts w:hint="eastAsia"/>
          <w:spacing w:val="-1"/>
        </w:rPr>
        <w:t xml:space="preserve"> </w:t>
      </w:r>
      <w:r>
        <w:rPr>
          <w:spacing w:val="-1"/>
        </w:rPr>
        <w:t xml:space="preserve">                                                                          </w:t>
      </w:r>
      <w:r>
        <w:rPr>
          <w:spacing w:val="-1"/>
          <w:sz w:val="18"/>
          <w:szCs w:val="18"/>
        </w:rPr>
        <w:t>公开时间</w:t>
      </w:r>
      <w:r>
        <w:rPr>
          <w:sz w:val="18"/>
          <w:szCs w:val="18"/>
        </w:rPr>
        <w:t>：202</w:t>
      </w:r>
      <w:r>
        <w:rPr>
          <w:sz w:val="18"/>
          <w:szCs w:val="18"/>
          <w:lang w:val="en-US"/>
        </w:rPr>
        <w:t xml:space="preserve">3 </w:t>
      </w:r>
      <w:r>
        <w:rPr>
          <w:spacing w:val="-38"/>
          <w:sz w:val="18"/>
          <w:szCs w:val="18"/>
        </w:rPr>
        <w:t>年</w:t>
      </w:r>
      <w:r>
        <w:rPr>
          <w:rFonts w:hint="eastAsia"/>
          <w:spacing w:val="-38"/>
          <w:sz w:val="18"/>
          <w:szCs w:val="18"/>
        </w:rPr>
        <w:t xml:space="preserve"> </w:t>
      </w:r>
      <w:r>
        <w:rPr>
          <w:spacing w:val="-38"/>
          <w:sz w:val="18"/>
          <w:szCs w:val="18"/>
        </w:rPr>
        <w:t xml:space="preserve"> </w:t>
      </w:r>
      <w:r>
        <w:rPr>
          <w:rFonts w:hint="eastAsia"/>
          <w:spacing w:val="-38"/>
          <w:sz w:val="18"/>
          <w:szCs w:val="18"/>
          <w:lang w:val="en-US" w:eastAsia="zh-CN"/>
        </w:rPr>
        <w:t>5</w:t>
      </w:r>
      <w:r>
        <w:rPr>
          <w:spacing w:val="-38"/>
          <w:sz w:val="18"/>
          <w:szCs w:val="18"/>
        </w:rPr>
        <w:t>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1418"/>
        <w:gridCol w:w="2976"/>
        <w:gridCol w:w="426"/>
        <w:gridCol w:w="1417"/>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55" w:type="dxa"/>
            <w:vMerge w:val="restart"/>
            <w:vAlign w:val="center"/>
          </w:tcPr>
          <w:p>
            <w:pPr>
              <w:pStyle w:val="11"/>
              <w:jc w:val="center"/>
              <w:rPr>
                <w:rFonts w:ascii="黑体" w:hAnsi="黑体" w:eastAsia="黑体"/>
                <w:spacing w:val="-1"/>
                <w:w w:val="95"/>
                <w:lang w:val="en-US"/>
              </w:rPr>
            </w:pPr>
            <w:r>
              <w:rPr>
                <w:rFonts w:ascii="黑体" w:hAnsi="黑体" w:eastAsia="黑体"/>
                <w:spacing w:val="-1"/>
                <w:w w:val="95"/>
                <w:lang w:val="en-US"/>
              </w:rPr>
              <w:t>基础</w:t>
            </w:r>
          </w:p>
          <w:p>
            <w:pPr>
              <w:pStyle w:val="11"/>
              <w:jc w:val="center"/>
            </w:pPr>
            <w:r>
              <w:rPr>
                <w:rFonts w:ascii="黑体" w:hAnsi="黑体" w:eastAsia="黑体"/>
                <w:spacing w:val="-1"/>
                <w:w w:val="95"/>
                <w:lang w:val="en-US"/>
              </w:rPr>
              <w:t>信息</w:t>
            </w:r>
          </w:p>
        </w:tc>
        <w:tc>
          <w:tcPr>
            <w:tcW w:w="1417" w:type="dxa"/>
            <w:vAlign w:val="center"/>
          </w:tcPr>
          <w:p>
            <w:pPr>
              <w:pStyle w:val="11"/>
              <w:jc w:val="center"/>
              <w:rPr>
                <w:rFonts w:ascii="黑体" w:hAnsi="黑体" w:eastAsia="黑体"/>
                <w:spacing w:val="-1"/>
                <w:w w:val="95"/>
              </w:rPr>
            </w:pPr>
            <w:r>
              <w:rPr>
                <w:rFonts w:ascii="黑体" w:hAnsi="黑体" w:eastAsia="黑体"/>
                <w:spacing w:val="-1"/>
                <w:w w:val="95"/>
              </w:rPr>
              <w:t>单位名称</w:t>
            </w:r>
          </w:p>
        </w:tc>
        <w:tc>
          <w:tcPr>
            <w:tcW w:w="4394" w:type="dxa"/>
            <w:gridSpan w:val="2"/>
            <w:vAlign w:val="center"/>
          </w:tcPr>
          <w:p>
            <w:pPr>
              <w:pStyle w:val="11"/>
              <w:jc w:val="center"/>
              <w:rPr>
                <w:spacing w:val="-1"/>
                <w:sz w:val="18"/>
                <w:szCs w:val="18"/>
              </w:rPr>
            </w:pPr>
            <w:r>
              <w:rPr>
                <w:rFonts w:hint="eastAsia"/>
                <w:spacing w:val="-1"/>
                <w:sz w:val="18"/>
                <w:szCs w:val="18"/>
              </w:rPr>
              <w:t>重汽（济南）传动轴有限公司</w:t>
            </w:r>
          </w:p>
        </w:tc>
        <w:tc>
          <w:tcPr>
            <w:tcW w:w="1843" w:type="dxa"/>
            <w:gridSpan w:val="2"/>
            <w:vAlign w:val="center"/>
          </w:tcPr>
          <w:p>
            <w:pPr>
              <w:pStyle w:val="11"/>
              <w:jc w:val="center"/>
              <w:rPr>
                <w:rFonts w:ascii="黑体" w:hAnsi="黑体" w:eastAsia="黑体"/>
                <w:spacing w:val="-1"/>
                <w:w w:val="95"/>
              </w:rPr>
            </w:pPr>
            <w:r>
              <w:rPr>
                <w:rFonts w:ascii="黑体" w:hAnsi="黑体" w:eastAsia="黑体"/>
                <w:spacing w:val="-1"/>
                <w:w w:val="95"/>
              </w:rPr>
              <w:t>统一信用代码</w:t>
            </w:r>
          </w:p>
        </w:tc>
        <w:tc>
          <w:tcPr>
            <w:tcW w:w="4253" w:type="dxa"/>
            <w:gridSpan w:val="2"/>
            <w:vAlign w:val="center"/>
          </w:tcPr>
          <w:p>
            <w:pPr>
              <w:pStyle w:val="11"/>
              <w:jc w:val="center"/>
              <w:rPr>
                <w:spacing w:val="-1"/>
                <w:sz w:val="18"/>
                <w:szCs w:val="18"/>
              </w:rPr>
            </w:pPr>
            <w:r>
              <w:rPr>
                <w:rFonts w:hint="eastAsia"/>
                <w:spacing w:val="-1"/>
                <w:sz w:val="18"/>
                <w:szCs w:val="18"/>
              </w:rPr>
              <w:t>91370181MA3REL3Y80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pStyle w:val="3"/>
              <w:tabs>
                <w:tab w:val="left" w:pos="7169"/>
              </w:tabs>
              <w:spacing w:before="280"/>
              <w:jc w:val="center"/>
            </w:pPr>
          </w:p>
        </w:tc>
        <w:tc>
          <w:tcPr>
            <w:tcW w:w="1417" w:type="dxa"/>
            <w:vAlign w:val="center"/>
          </w:tcPr>
          <w:p>
            <w:pPr>
              <w:pStyle w:val="11"/>
              <w:spacing w:before="15"/>
              <w:ind w:right="158"/>
              <w:jc w:val="center"/>
              <w:rPr>
                <w:rFonts w:ascii="黑体" w:hAnsi="黑体" w:eastAsia="黑体"/>
              </w:rPr>
            </w:pPr>
            <w:r>
              <w:rPr>
                <w:rFonts w:hint="eastAsia" w:ascii="黑体" w:hAnsi="黑体" w:eastAsia="黑体"/>
                <w:spacing w:val="-1"/>
                <w:w w:val="95"/>
                <w:lang w:val="en-US"/>
              </w:rPr>
              <w:t>单位</w:t>
            </w:r>
            <w:r>
              <w:rPr>
                <w:rFonts w:ascii="黑体" w:hAnsi="黑体" w:eastAsia="黑体"/>
                <w:spacing w:val="-1"/>
                <w:w w:val="95"/>
              </w:rPr>
              <w:t>负责人</w:t>
            </w:r>
          </w:p>
        </w:tc>
        <w:tc>
          <w:tcPr>
            <w:tcW w:w="4394" w:type="dxa"/>
            <w:gridSpan w:val="2"/>
            <w:vAlign w:val="center"/>
          </w:tcPr>
          <w:p>
            <w:pPr>
              <w:pStyle w:val="11"/>
              <w:spacing w:before="171"/>
              <w:ind w:left="546" w:right="434"/>
              <w:jc w:val="center"/>
              <w:rPr>
                <w:rFonts w:hint="eastAsia" w:eastAsia="宋体"/>
                <w:spacing w:val="-1"/>
                <w:sz w:val="18"/>
                <w:szCs w:val="18"/>
                <w:lang w:val="en-US" w:eastAsia="zh-CN"/>
              </w:rPr>
            </w:pPr>
            <w:r>
              <w:rPr>
                <w:rFonts w:hint="eastAsia"/>
                <w:spacing w:val="-1"/>
                <w:sz w:val="18"/>
                <w:szCs w:val="18"/>
                <w:lang w:val="en-US" w:eastAsia="zh-CN"/>
              </w:rPr>
              <w:t>桂亮</w:t>
            </w:r>
          </w:p>
        </w:tc>
        <w:tc>
          <w:tcPr>
            <w:tcW w:w="1843" w:type="dxa"/>
            <w:gridSpan w:val="2"/>
            <w:vAlign w:val="center"/>
          </w:tcPr>
          <w:p>
            <w:pPr>
              <w:pStyle w:val="11"/>
              <w:spacing w:before="171"/>
              <w:ind w:left="106"/>
              <w:jc w:val="center"/>
              <w:rPr>
                <w:rFonts w:ascii="黑体" w:hAnsi="黑体" w:eastAsia="黑体"/>
                <w:spacing w:val="-1"/>
                <w:w w:val="95"/>
              </w:rPr>
            </w:pPr>
            <w:r>
              <w:rPr>
                <w:rFonts w:ascii="黑体" w:hAnsi="黑体" w:eastAsia="黑体"/>
                <w:spacing w:val="-1"/>
                <w:w w:val="95"/>
              </w:rPr>
              <w:t>联系电话</w:t>
            </w:r>
          </w:p>
        </w:tc>
        <w:tc>
          <w:tcPr>
            <w:tcW w:w="4253" w:type="dxa"/>
            <w:gridSpan w:val="2"/>
            <w:vAlign w:val="center"/>
          </w:tcPr>
          <w:p>
            <w:pPr>
              <w:pStyle w:val="11"/>
              <w:spacing w:before="171"/>
              <w:jc w:val="center"/>
              <w:rPr>
                <w:spacing w:val="-1"/>
                <w:sz w:val="18"/>
                <w:szCs w:val="18"/>
              </w:rPr>
            </w:pPr>
            <w:r>
              <w:rPr>
                <w:spacing w:val="-1"/>
                <w:sz w:val="18"/>
                <w:szCs w:val="18"/>
              </w:rPr>
              <w:t>58069701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55" w:type="dxa"/>
            <w:vMerge w:val="continue"/>
          </w:tcPr>
          <w:p>
            <w:pPr>
              <w:pStyle w:val="3"/>
              <w:tabs>
                <w:tab w:val="left" w:pos="7169"/>
              </w:tabs>
              <w:spacing w:before="280"/>
              <w:jc w:val="center"/>
            </w:pPr>
          </w:p>
        </w:tc>
        <w:tc>
          <w:tcPr>
            <w:tcW w:w="1417" w:type="dxa"/>
            <w:vAlign w:val="center"/>
          </w:tcPr>
          <w:p>
            <w:pPr>
              <w:pStyle w:val="11"/>
              <w:spacing w:before="15"/>
              <w:jc w:val="center"/>
              <w:rPr>
                <w:rFonts w:ascii="黑体" w:hAnsi="黑体" w:eastAsia="黑体"/>
                <w:spacing w:val="-1"/>
                <w:w w:val="95"/>
              </w:rPr>
            </w:pPr>
            <w:r>
              <w:rPr>
                <w:rFonts w:ascii="黑体" w:hAnsi="黑体" w:eastAsia="黑体"/>
                <w:spacing w:val="-1"/>
                <w:w w:val="95"/>
              </w:rPr>
              <w:t>生产地址</w:t>
            </w:r>
          </w:p>
        </w:tc>
        <w:tc>
          <w:tcPr>
            <w:tcW w:w="10490" w:type="dxa"/>
            <w:gridSpan w:val="6"/>
            <w:vAlign w:val="center"/>
          </w:tcPr>
          <w:p>
            <w:pPr>
              <w:pStyle w:val="11"/>
              <w:spacing w:before="171"/>
              <w:jc w:val="center"/>
              <w:rPr>
                <w:spacing w:val="-1"/>
                <w:sz w:val="18"/>
                <w:szCs w:val="18"/>
              </w:rPr>
            </w:pPr>
            <w:r>
              <w:rPr>
                <w:rFonts w:hint="eastAsia"/>
                <w:spacing w:val="-1"/>
                <w:sz w:val="18"/>
                <w:szCs w:val="18"/>
              </w:rPr>
              <w:t>济</w:t>
            </w:r>
            <w:r>
              <w:rPr>
                <w:spacing w:val="-1"/>
                <w:sz w:val="18"/>
                <w:szCs w:val="18"/>
              </w:rPr>
              <w:t>南市章丘区圣井街道潘王路西重汽工业园北三厂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pStyle w:val="3"/>
              <w:tabs>
                <w:tab w:val="left" w:pos="7169"/>
              </w:tabs>
              <w:spacing w:before="280"/>
              <w:jc w:val="center"/>
            </w:pPr>
          </w:p>
        </w:tc>
        <w:tc>
          <w:tcPr>
            <w:tcW w:w="1417" w:type="dxa"/>
            <w:vAlign w:val="center"/>
          </w:tcPr>
          <w:p>
            <w:pPr>
              <w:pStyle w:val="11"/>
              <w:jc w:val="center"/>
              <w:rPr>
                <w:rFonts w:ascii="黑体" w:hAnsi="黑体" w:eastAsia="黑体"/>
                <w:spacing w:val="-1"/>
                <w:w w:val="95"/>
              </w:rPr>
            </w:pPr>
            <w:r>
              <w:rPr>
                <w:rFonts w:ascii="黑体" w:hAnsi="黑体" w:eastAsia="黑体"/>
                <w:spacing w:val="-1"/>
                <w:w w:val="95"/>
              </w:rPr>
              <w:t>产品及企业规模简介</w:t>
            </w:r>
          </w:p>
        </w:tc>
        <w:tc>
          <w:tcPr>
            <w:tcW w:w="10490" w:type="dxa"/>
            <w:gridSpan w:val="6"/>
            <w:vAlign w:val="center"/>
          </w:tcPr>
          <w:p>
            <w:pPr>
              <w:adjustRightInd w:val="0"/>
              <w:ind w:firstLine="360" w:firstLineChars="200"/>
              <w:rPr>
                <w:rFonts w:hAnsi="Times New Roman"/>
                <w:sz w:val="18"/>
                <w:szCs w:val="18"/>
                <w:lang w:val="en-US" w:bidi="ar-SA"/>
              </w:rPr>
            </w:pPr>
            <w:r>
              <w:rPr>
                <w:rFonts w:hint="eastAsia" w:hAnsi="Times New Roman"/>
                <w:sz w:val="18"/>
                <w:szCs w:val="18"/>
                <w:lang w:val="en-US" w:bidi="ar-SA"/>
              </w:rPr>
              <w:t>重汽（济南）传动轴有限公司位于济南市章丘区明水经济开发区。公司前身为中国重汽（香港）有限公司部件制造部。公司现有大型生产流水线50余条，产品以中重型商用车底盘零部件为主，是集重卡传动轴总成、鞍座总成、转向拉杆总成、平衡轴带轴壳总成、推力杆总成、等速驱动轴总成、转向管柱总成、铸铝零部件、车轮总成、底盘零部件生产为一体的综合性汽车零部件生产企业，年配套能力达40万辆份。</w:t>
            </w:r>
          </w:p>
          <w:p>
            <w:pPr>
              <w:adjustRightInd w:val="0"/>
              <w:ind w:firstLine="360" w:firstLineChars="200"/>
              <w:rPr>
                <w:rFonts w:hAnsi="Times New Roman"/>
                <w:sz w:val="18"/>
                <w:szCs w:val="18"/>
                <w:lang w:val="en-US" w:bidi="ar-SA"/>
              </w:rPr>
            </w:pPr>
            <w:r>
              <w:rPr>
                <w:rFonts w:hAnsi="Times New Roman"/>
                <w:sz w:val="18"/>
                <w:szCs w:val="18"/>
                <w:lang w:val="en-US" w:bidi="ar-SA"/>
              </w:rPr>
              <w:t>其中建设项目环评有：</w:t>
            </w:r>
            <w:r>
              <w:rPr>
                <w:rFonts w:hint="eastAsia" w:hAnsi="Times New Roman"/>
                <w:sz w:val="18"/>
                <w:szCs w:val="18"/>
                <w:lang w:val="en-US" w:bidi="ar-SA"/>
              </w:rPr>
              <w:t>提升零部件技术水平和质量技术改造项目、传动轴厂提升能力搬迁技术改造项目、中国重汽集团济南商用车有限公司无内胎车轮自动化生产线建设和车轮涂装线延长改造项目等</w:t>
            </w:r>
            <w:r>
              <w:rPr>
                <w:rFonts w:hAnsi="Times New Roman"/>
                <w:sz w:val="18"/>
                <w:szCs w:val="18"/>
                <w:lang w:val="en-US" w:bidi="ar-SA"/>
              </w:rPr>
              <w:t>，都已获取</w:t>
            </w:r>
            <w:r>
              <w:rPr>
                <w:rFonts w:hint="eastAsia" w:hAnsi="Times New Roman"/>
                <w:sz w:val="18"/>
                <w:szCs w:val="18"/>
                <w:lang w:val="en-US" w:bidi="ar-SA"/>
              </w:rPr>
              <w:t>章丘区</w:t>
            </w:r>
            <w:r>
              <w:rPr>
                <w:rFonts w:hAnsi="Times New Roman"/>
                <w:sz w:val="18"/>
                <w:szCs w:val="18"/>
                <w:lang w:val="en-US" w:bidi="ar-SA"/>
              </w:rPr>
              <w:t>环保局竣工环境保护验收批复。目前我公司主要</w:t>
            </w:r>
            <w:r>
              <w:rPr>
                <w:rFonts w:hint="eastAsia" w:hAnsi="Times New Roman"/>
                <w:sz w:val="18"/>
                <w:szCs w:val="18"/>
                <w:lang w:val="en-US" w:bidi="ar-SA"/>
              </w:rPr>
              <w:t>从事</w:t>
            </w:r>
            <w:r>
              <w:rPr>
                <w:rFonts w:hAnsi="Times New Roman"/>
                <w:sz w:val="18"/>
                <w:szCs w:val="18"/>
                <w:lang w:val="en-US" w:bidi="ar-SA"/>
              </w:rPr>
              <w:t>汽车</w:t>
            </w:r>
            <w:r>
              <w:rPr>
                <w:rFonts w:hint="eastAsia" w:hAnsi="Times New Roman"/>
                <w:sz w:val="18"/>
                <w:szCs w:val="18"/>
                <w:lang w:val="en-US" w:bidi="ar-SA"/>
              </w:rPr>
              <w:t>零部件及配件制造</w:t>
            </w:r>
            <w:r>
              <w:rPr>
                <w:rFonts w:hAnsi="Times New Roman"/>
                <w:sz w:val="18"/>
                <w:szCs w:val="18"/>
                <w:lang w:val="en-US" w:bidi="ar-SA"/>
              </w:rPr>
              <w:t>。</w:t>
            </w:r>
            <w:r>
              <w:rPr>
                <w:rFonts w:hint="eastAsia" w:hAnsi="Times New Roman"/>
                <w:sz w:val="18"/>
                <w:szCs w:val="18"/>
                <w:lang w:val="en-US" w:bidi="ar-SA"/>
              </w:rPr>
              <w:t>主要产品鞍座、平衡轴、操纵器、制动蹄、推力杆、踏板等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排污</w:t>
            </w:r>
          </w:p>
          <w:p>
            <w:pPr>
              <w:pStyle w:val="11"/>
              <w:spacing w:before="1" w:line="266" w:lineRule="auto"/>
              <w:ind w:right="89"/>
              <w:jc w:val="center"/>
              <w:rPr>
                <w:b/>
              </w:rPr>
            </w:pPr>
            <w:r>
              <w:rPr>
                <w:rFonts w:ascii="黑体" w:hAnsi="黑体" w:eastAsia="黑体"/>
                <w:spacing w:val="-1"/>
                <w:w w:val="95"/>
              </w:rPr>
              <w:t>信息</w:t>
            </w:r>
          </w:p>
        </w:tc>
        <w:tc>
          <w:tcPr>
            <w:tcW w:w="1417" w:type="dxa"/>
            <w:vMerge w:val="restart"/>
            <w:vAlign w:val="center"/>
          </w:tcPr>
          <w:p>
            <w:pPr>
              <w:pStyle w:val="11"/>
              <w:jc w:val="center"/>
              <w:rPr>
                <w:rFonts w:ascii="黑体" w:hAnsi="黑体" w:eastAsia="黑体"/>
                <w:spacing w:val="-1"/>
                <w:w w:val="95"/>
              </w:rPr>
            </w:pPr>
            <w:r>
              <w:rPr>
                <w:rFonts w:ascii="黑体" w:hAnsi="黑体" w:eastAsia="黑体"/>
                <w:spacing w:val="-1"/>
                <w:w w:val="95"/>
              </w:rPr>
              <w:t>水环境</w:t>
            </w:r>
          </w:p>
        </w:tc>
        <w:tc>
          <w:tcPr>
            <w:tcW w:w="1418" w:type="dxa"/>
            <w:vAlign w:val="center"/>
          </w:tcPr>
          <w:p>
            <w:pPr>
              <w:pStyle w:val="11"/>
              <w:spacing w:line="266" w:lineRule="auto"/>
              <w:ind w:right="147"/>
              <w:jc w:val="center"/>
              <w:rPr>
                <w:rFonts w:ascii="黑体" w:hAnsi="黑体" w:eastAsia="黑体"/>
                <w:b/>
                <w:spacing w:val="-1"/>
                <w:w w:val="95"/>
              </w:rPr>
            </w:pPr>
            <w:r>
              <w:rPr>
                <w:rFonts w:hint="eastAsia" w:ascii="黑体" w:hAnsi="黑体" w:eastAsia="黑体"/>
                <w:b/>
                <w:spacing w:val="-1"/>
                <w:w w:val="95"/>
              </w:rPr>
              <w:t>主要污染物名称</w:t>
            </w:r>
          </w:p>
        </w:tc>
        <w:tc>
          <w:tcPr>
            <w:tcW w:w="3402" w:type="dxa"/>
            <w:gridSpan w:val="2"/>
            <w:vAlign w:val="center"/>
          </w:tcPr>
          <w:p>
            <w:pPr>
              <w:pStyle w:val="11"/>
              <w:spacing w:before="17" w:line="266" w:lineRule="auto"/>
              <w:ind w:left="107" w:right="97"/>
              <w:jc w:val="center"/>
              <w:rPr>
                <w:rFonts w:hAnsi="Times New Roman"/>
                <w:sz w:val="18"/>
                <w:szCs w:val="18"/>
                <w:lang w:val="en-US" w:bidi="ar-SA"/>
              </w:rPr>
            </w:pPr>
            <w:r>
              <w:rPr>
                <w:rFonts w:hint="eastAsia"/>
                <w:spacing w:val="-1"/>
                <w:sz w:val="18"/>
                <w:szCs w:val="18"/>
              </w:rPr>
              <w:t>废水主要</w:t>
            </w:r>
            <w:r>
              <w:rPr>
                <w:spacing w:val="-1"/>
                <w:sz w:val="18"/>
                <w:szCs w:val="18"/>
              </w:rPr>
              <w:t>来源于</w:t>
            </w:r>
            <w:r>
              <w:rPr>
                <w:rFonts w:hint="eastAsia"/>
                <w:spacing w:val="-1"/>
                <w:sz w:val="18"/>
                <w:szCs w:val="18"/>
              </w:rPr>
              <w:t>传动轴公司厂区</w:t>
            </w:r>
            <w:r>
              <w:rPr>
                <w:spacing w:val="-1"/>
                <w:sz w:val="18"/>
                <w:szCs w:val="18"/>
              </w:rPr>
              <w:t>生活污水和经预处理达到《污水排入城镇下水道水质标准》的工业废水</w:t>
            </w:r>
          </w:p>
        </w:tc>
        <w:tc>
          <w:tcPr>
            <w:tcW w:w="1417"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排放方式</w:t>
            </w:r>
          </w:p>
        </w:tc>
        <w:tc>
          <w:tcPr>
            <w:tcW w:w="4253" w:type="dxa"/>
            <w:gridSpan w:val="2"/>
            <w:vAlign w:val="center"/>
          </w:tcPr>
          <w:p>
            <w:pPr>
              <w:pStyle w:val="11"/>
              <w:spacing w:before="17" w:line="266" w:lineRule="auto"/>
              <w:ind w:right="97"/>
              <w:rPr>
                <w:rFonts w:hAnsi="Times New Roman"/>
                <w:sz w:val="18"/>
                <w:szCs w:val="18"/>
                <w:lang w:val="en-US" w:bidi="ar-SA"/>
              </w:rPr>
            </w:pPr>
            <w:r>
              <w:rPr>
                <w:rFonts w:hint="eastAsia"/>
                <w:spacing w:val="-1"/>
                <w:sz w:val="18"/>
                <w:szCs w:val="18"/>
              </w:rPr>
              <w:t>废水经综合</w:t>
            </w:r>
            <w:r>
              <w:rPr>
                <w:spacing w:val="-1"/>
                <w:sz w:val="18"/>
                <w:szCs w:val="18"/>
              </w:rPr>
              <w:t>污水处理</w:t>
            </w:r>
            <w:r>
              <w:rPr>
                <w:rFonts w:hint="eastAsia"/>
                <w:spacing w:val="-1"/>
                <w:sz w:val="18"/>
                <w:szCs w:val="18"/>
              </w:rPr>
              <w:t>站</w:t>
            </w:r>
            <w:r>
              <w:rPr>
                <w:spacing w:val="-1"/>
                <w:sz w:val="18"/>
                <w:szCs w:val="18"/>
              </w:rPr>
              <w:t>处理后达标排入光大水务运营有限公司</w:t>
            </w:r>
            <w:r>
              <w:rPr>
                <w:rFonts w:hint="eastAsia"/>
                <w:spacing w:val="-1"/>
                <w:sz w:val="18"/>
                <w:szCs w:val="18"/>
              </w:rPr>
              <w:t>章丘第三污水处理厂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pStyle w:val="11"/>
              <w:spacing w:before="1" w:line="266" w:lineRule="auto"/>
              <w:ind w:right="89"/>
              <w:rPr>
                <w:b/>
              </w:rPr>
            </w:pPr>
          </w:p>
        </w:tc>
        <w:tc>
          <w:tcPr>
            <w:tcW w:w="1417" w:type="dxa"/>
            <w:vMerge w:val="continue"/>
            <w:vAlign w:val="center"/>
          </w:tcPr>
          <w:p>
            <w:pPr>
              <w:pStyle w:val="11"/>
              <w:jc w:val="center"/>
              <w:rPr>
                <w:b/>
              </w:rPr>
            </w:pPr>
          </w:p>
        </w:tc>
        <w:tc>
          <w:tcPr>
            <w:tcW w:w="1418" w:type="dxa"/>
            <w:vAlign w:val="center"/>
          </w:tcPr>
          <w:p>
            <w:pPr>
              <w:pStyle w:val="11"/>
              <w:spacing w:before="15"/>
              <w:jc w:val="center"/>
              <w:rPr>
                <w:rFonts w:ascii="黑体" w:hAnsi="黑体" w:eastAsia="黑体"/>
                <w:spacing w:val="-1"/>
                <w:w w:val="95"/>
              </w:rPr>
            </w:pPr>
            <w:r>
              <w:rPr>
                <w:rFonts w:hint="eastAsia" w:ascii="黑体" w:hAnsi="黑体" w:eastAsia="黑体"/>
                <w:b/>
                <w:spacing w:val="-1"/>
                <w:w w:val="95"/>
              </w:rPr>
              <w:t>排放口数量和分布情况</w:t>
            </w:r>
          </w:p>
        </w:tc>
        <w:tc>
          <w:tcPr>
            <w:tcW w:w="3402" w:type="dxa"/>
            <w:gridSpan w:val="2"/>
            <w:vAlign w:val="center"/>
          </w:tcPr>
          <w:p>
            <w:pPr>
              <w:pStyle w:val="11"/>
              <w:spacing w:before="17" w:line="266" w:lineRule="auto"/>
              <w:ind w:left="107" w:right="97"/>
              <w:jc w:val="center"/>
              <w:rPr>
                <w:spacing w:val="-1"/>
                <w:sz w:val="18"/>
                <w:szCs w:val="18"/>
              </w:rPr>
            </w:pPr>
            <w:r>
              <w:rPr>
                <w:spacing w:val="-1"/>
                <w:sz w:val="18"/>
                <w:szCs w:val="18"/>
              </w:rPr>
              <w:t>废水</w:t>
            </w:r>
            <w:r>
              <w:rPr>
                <w:rFonts w:hint="eastAsia"/>
                <w:spacing w:val="-1"/>
                <w:sz w:val="18"/>
                <w:szCs w:val="18"/>
              </w:rPr>
              <w:t>总</w:t>
            </w:r>
            <w:r>
              <w:rPr>
                <w:spacing w:val="-1"/>
                <w:sz w:val="18"/>
                <w:szCs w:val="18"/>
              </w:rPr>
              <w:t>排放口一个,</w:t>
            </w:r>
            <w:r>
              <w:rPr>
                <w:rFonts w:hint="eastAsia"/>
                <w:spacing w:val="-1"/>
                <w:sz w:val="18"/>
                <w:szCs w:val="18"/>
              </w:rPr>
              <w:t>位于</w:t>
            </w:r>
            <w:r>
              <w:rPr>
                <w:spacing w:val="-1"/>
                <w:sz w:val="18"/>
                <w:szCs w:val="18"/>
              </w:rPr>
              <w:t>厂区西北角</w:t>
            </w:r>
          </w:p>
        </w:tc>
        <w:tc>
          <w:tcPr>
            <w:tcW w:w="1417" w:type="dxa"/>
            <w:vAlign w:val="center"/>
          </w:tcPr>
          <w:p>
            <w:pPr>
              <w:pStyle w:val="11"/>
              <w:spacing w:before="15"/>
              <w:jc w:val="center"/>
              <w:rPr>
                <w:rFonts w:ascii="黑体" w:hAnsi="黑体" w:eastAsia="黑体"/>
                <w:spacing w:val="-1"/>
                <w:w w:val="95"/>
              </w:rPr>
            </w:pPr>
            <w:r>
              <w:rPr>
                <w:rFonts w:ascii="黑体" w:hAnsi="黑体" w:eastAsia="黑体"/>
                <w:b/>
                <w:spacing w:val="-1"/>
                <w:w w:val="95"/>
              </w:rPr>
              <w:t>超标情况</w:t>
            </w:r>
          </w:p>
        </w:tc>
        <w:tc>
          <w:tcPr>
            <w:tcW w:w="4253"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pStyle w:val="11"/>
              <w:spacing w:before="1" w:line="266" w:lineRule="auto"/>
              <w:ind w:right="89"/>
              <w:rPr>
                <w:b/>
              </w:rPr>
            </w:pPr>
          </w:p>
        </w:tc>
        <w:tc>
          <w:tcPr>
            <w:tcW w:w="1417" w:type="dxa"/>
            <w:vMerge w:val="continue"/>
            <w:vAlign w:val="center"/>
          </w:tcPr>
          <w:p>
            <w:pPr>
              <w:pStyle w:val="11"/>
              <w:jc w:val="center"/>
              <w:rPr>
                <w:b/>
              </w:rPr>
            </w:pPr>
          </w:p>
        </w:tc>
        <w:tc>
          <w:tcPr>
            <w:tcW w:w="1418"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b/>
                <w:spacing w:val="-1"/>
                <w:w w:val="95"/>
              </w:rPr>
              <w:t>执行的污染物排放标准</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污水排入城镇下水道水质标准GB/T 31962-2015</w:t>
            </w:r>
          </w:p>
        </w:tc>
        <w:tc>
          <w:tcPr>
            <w:tcW w:w="1417"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202</w:t>
            </w:r>
            <w:r>
              <w:rPr>
                <w:rFonts w:hint="eastAsia" w:ascii="黑体" w:hAnsi="黑体" w:eastAsia="黑体"/>
                <w:b/>
                <w:spacing w:val="-1"/>
                <w:w w:val="95"/>
              </w:rPr>
              <w:t>2</w:t>
            </w:r>
            <w:r>
              <w:rPr>
                <w:rFonts w:ascii="黑体" w:hAnsi="黑体" w:eastAsia="黑体"/>
                <w:b/>
                <w:spacing w:val="-1"/>
                <w:w w:val="95"/>
              </w:rPr>
              <w:t>年11</w:t>
            </w:r>
            <w:r>
              <w:rPr>
                <w:rFonts w:hint="eastAsia" w:ascii="黑体" w:hAnsi="黑体" w:eastAsia="黑体"/>
                <w:b/>
                <w:spacing w:val="-1"/>
                <w:w w:val="95"/>
              </w:rPr>
              <w:t>月</w:t>
            </w:r>
            <w:r>
              <w:rPr>
                <w:rFonts w:ascii="黑体" w:hAnsi="黑体" w:eastAsia="黑体"/>
                <w:b/>
                <w:spacing w:val="-1"/>
                <w:w w:val="95"/>
              </w:rPr>
              <w:t>排放浓度</w:t>
            </w:r>
          </w:p>
        </w:tc>
        <w:tc>
          <w:tcPr>
            <w:tcW w:w="4253" w:type="dxa"/>
            <w:gridSpan w:val="2"/>
            <w:vAlign w:val="center"/>
          </w:tcPr>
          <w:p>
            <w:pPr>
              <w:pStyle w:val="11"/>
              <w:spacing w:line="266" w:lineRule="auto"/>
              <w:ind w:right="-29"/>
              <w:rPr>
                <w:spacing w:val="-1"/>
                <w:sz w:val="18"/>
                <w:szCs w:val="18"/>
              </w:rPr>
            </w:pPr>
            <w:r>
              <w:rPr>
                <w:rFonts w:hint="eastAsia"/>
                <w:spacing w:val="-1"/>
                <w:sz w:val="18"/>
                <w:szCs w:val="18"/>
              </w:rPr>
              <w:t>化学需氧量（</w:t>
            </w:r>
            <w:r>
              <w:rPr>
                <w:spacing w:val="-1"/>
                <w:sz w:val="18"/>
                <w:szCs w:val="18"/>
              </w:rPr>
              <w:t>COD）38mg/L；</w:t>
            </w:r>
          </w:p>
          <w:p>
            <w:pPr>
              <w:pStyle w:val="11"/>
              <w:spacing w:line="266" w:lineRule="auto"/>
              <w:ind w:right="-29"/>
              <w:rPr>
                <w:spacing w:val="-1"/>
                <w:sz w:val="18"/>
                <w:szCs w:val="18"/>
              </w:rPr>
            </w:pPr>
            <w:r>
              <w:rPr>
                <w:rFonts w:hint="eastAsia"/>
                <w:spacing w:val="-1"/>
                <w:sz w:val="18"/>
                <w:szCs w:val="18"/>
              </w:rPr>
              <w:t>五日生化需氧量（</w:t>
            </w:r>
            <w:r>
              <w:rPr>
                <w:spacing w:val="-1"/>
                <w:sz w:val="18"/>
                <w:szCs w:val="18"/>
              </w:rPr>
              <w:t>BOD）9.5mg/L；</w:t>
            </w:r>
          </w:p>
          <w:p>
            <w:pPr>
              <w:pStyle w:val="11"/>
              <w:spacing w:line="266" w:lineRule="auto"/>
              <w:ind w:right="-29"/>
              <w:rPr>
                <w:spacing w:val="-1"/>
                <w:sz w:val="18"/>
                <w:szCs w:val="18"/>
              </w:rPr>
            </w:pPr>
            <w:r>
              <w:rPr>
                <w:rFonts w:hint="eastAsia"/>
                <w:spacing w:val="-1"/>
                <w:sz w:val="18"/>
                <w:szCs w:val="18"/>
              </w:rPr>
              <w:t>悬浮物（</w:t>
            </w:r>
            <w:r>
              <w:rPr>
                <w:spacing w:val="-1"/>
                <w:sz w:val="18"/>
                <w:szCs w:val="18"/>
              </w:rPr>
              <w:t>SS）8mg/L；</w:t>
            </w:r>
            <w:r>
              <w:rPr>
                <w:rFonts w:hint="eastAsia"/>
                <w:spacing w:val="-1"/>
                <w:sz w:val="18"/>
                <w:szCs w:val="18"/>
              </w:rPr>
              <w:t>氨氮（</w:t>
            </w:r>
            <w:r>
              <w:rPr>
                <w:spacing w:val="-1"/>
                <w:sz w:val="18"/>
                <w:szCs w:val="18"/>
              </w:rPr>
              <w:t>NH3-N）0.156 mg/L；</w:t>
            </w:r>
          </w:p>
          <w:p>
            <w:pPr>
              <w:pStyle w:val="11"/>
              <w:spacing w:line="266" w:lineRule="auto"/>
              <w:ind w:right="-29"/>
              <w:rPr>
                <w:spacing w:val="-1"/>
                <w:sz w:val="18"/>
                <w:szCs w:val="18"/>
              </w:rPr>
            </w:pPr>
            <w:r>
              <w:rPr>
                <w:spacing w:val="-1"/>
                <w:sz w:val="18"/>
                <w:szCs w:val="18"/>
              </w:rPr>
              <w:t>PH 值 ：8.1 mg/L；</w:t>
            </w:r>
            <w:r>
              <w:rPr>
                <w:rFonts w:hint="eastAsia"/>
                <w:spacing w:val="-1"/>
                <w:sz w:val="18"/>
                <w:szCs w:val="18"/>
              </w:rPr>
              <w:t xml:space="preserve"> 石油类</w:t>
            </w:r>
            <w:r>
              <w:rPr>
                <w:spacing w:val="-1"/>
                <w:sz w:val="18"/>
                <w:szCs w:val="18"/>
              </w:rPr>
              <w:t xml:space="preserve"> 0.24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pStyle w:val="11"/>
              <w:spacing w:before="1" w:line="266" w:lineRule="auto"/>
              <w:ind w:right="89"/>
              <w:rPr>
                <w:b/>
              </w:rPr>
            </w:pPr>
          </w:p>
        </w:tc>
        <w:tc>
          <w:tcPr>
            <w:tcW w:w="1417" w:type="dxa"/>
            <w:vMerge w:val="restart"/>
            <w:vAlign w:val="center"/>
          </w:tcPr>
          <w:p>
            <w:pPr>
              <w:pStyle w:val="11"/>
              <w:jc w:val="center"/>
              <w:rPr>
                <w:rFonts w:ascii="黑体" w:hAnsi="黑体" w:eastAsia="黑体"/>
                <w:spacing w:val="-1"/>
                <w:w w:val="95"/>
              </w:rPr>
            </w:pPr>
            <w:r>
              <w:rPr>
                <w:rFonts w:hint="eastAsia" w:ascii="黑体" w:hAnsi="黑体" w:eastAsia="黑体"/>
                <w:spacing w:val="-1"/>
                <w:w w:val="95"/>
              </w:rPr>
              <w:t>大气</w:t>
            </w:r>
          </w:p>
          <w:p>
            <w:pPr>
              <w:pStyle w:val="11"/>
              <w:jc w:val="center"/>
              <w:rPr>
                <w:b/>
              </w:rPr>
            </w:pPr>
            <w:r>
              <w:rPr>
                <w:rFonts w:ascii="黑体" w:hAnsi="黑体" w:eastAsia="黑体"/>
                <w:spacing w:val="-1"/>
                <w:w w:val="95"/>
              </w:rPr>
              <w:t>环境</w:t>
            </w:r>
          </w:p>
        </w:tc>
        <w:tc>
          <w:tcPr>
            <w:tcW w:w="1418"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主要污染物名称</w:t>
            </w:r>
          </w:p>
        </w:tc>
        <w:tc>
          <w:tcPr>
            <w:tcW w:w="3402" w:type="dxa"/>
            <w:gridSpan w:val="2"/>
            <w:vAlign w:val="center"/>
          </w:tcPr>
          <w:p>
            <w:pPr>
              <w:pStyle w:val="11"/>
              <w:spacing w:before="17" w:line="266" w:lineRule="auto"/>
              <w:ind w:left="107" w:right="97"/>
              <w:rPr>
                <w:spacing w:val="-1"/>
                <w:sz w:val="18"/>
                <w:szCs w:val="18"/>
              </w:rPr>
            </w:pPr>
            <w:r>
              <w:rPr>
                <w:rFonts w:hint="eastAsia"/>
                <w:spacing w:val="-1"/>
                <w:sz w:val="18"/>
                <w:szCs w:val="18"/>
              </w:rPr>
              <w:t>颗粒物，苯，甲苯，二甲苯，VOCs</w:t>
            </w:r>
          </w:p>
          <w:p>
            <w:pPr>
              <w:pStyle w:val="11"/>
              <w:spacing w:before="17" w:line="266" w:lineRule="auto"/>
              <w:ind w:left="107" w:right="97"/>
              <w:rPr>
                <w:spacing w:val="-1"/>
                <w:sz w:val="18"/>
                <w:szCs w:val="18"/>
              </w:rPr>
            </w:pPr>
            <w:r>
              <w:rPr>
                <w:spacing w:val="-1"/>
                <w:sz w:val="18"/>
                <w:szCs w:val="18"/>
              </w:rPr>
              <w:t>非甲烷总烃</w:t>
            </w:r>
            <w:r>
              <w:rPr>
                <w:rFonts w:hint="eastAsia"/>
                <w:spacing w:val="-1"/>
                <w:sz w:val="18"/>
                <w:szCs w:val="18"/>
              </w:rPr>
              <w:t>.氮氧化物，二氧化硫</w:t>
            </w:r>
          </w:p>
        </w:tc>
        <w:tc>
          <w:tcPr>
            <w:tcW w:w="1417"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方式</w:t>
            </w:r>
          </w:p>
        </w:tc>
        <w:tc>
          <w:tcPr>
            <w:tcW w:w="4253" w:type="dxa"/>
            <w:gridSpan w:val="2"/>
            <w:vAlign w:val="center"/>
          </w:tcPr>
          <w:p>
            <w:pPr>
              <w:adjustRightInd w:val="0"/>
              <w:rPr>
                <w:spacing w:val="-1"/>
                <w:sz w:val="18"/>
                <w:szCs w:val="18"/>
              </w:rPr>
            </w:pPr>
            <w:r>
              <w:rPr>
                <w:rFonts w:hint="eastAsia"/>
                <w:spacing w:val="-1"/>
                <w:sz w:val="18"/>
                <w:szCs w:val="18"/>
              </w:rPr>
              <w:t>颗粒物经袋式除尘器收集处置过滤和滤筒除尘后由排气筒达标排放；喷漆废气经预处理+活性炭吸附+脱附+催化燃烧的处理工艺处理后由排气筒达标排放至大气环境。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pStyle w:val="11"/>
              <w:spacing w:before="1" w:line="266" w:lineRule="auto"/>
              <w:ind w:right="89"/>
              <w:rPr>
                <w:b/>
              </w:rPr>
            </w:pPr>
          </w:p>
        </w:tc>
        <w:tc>
          <w:tcPr>
            <w:tcW w:w="1417" w:type="dxa"/>
            <w:vMerge w:val="continue"/>
            <w:vAlign w:val="center"/>
          </w:tcPr>
          <w:p>
            <w:pPr>
              <w:pStyle w:val="11"/>
              <w:spacing w:before="15"/>
              <w:jc w:val="center"/>
              <w:rPr>
                <w:b/>
                <w:sz w:val="21"/>
                <w:szCs w:val="21"/>
              </w:rPr>
            </w:pPr>
          </w:p>
        </w:tc>
        <w:tc>
          <w:tcPr>
            <w:tcW w:w="1418" w:type="dxa"/>
            <w:vAlign w:val="center"/>
          </w:tcPr>
          <w:p>
            <w:pPr>
              <w:pStyle w:val="11"/>
              <w:spacing w:before="15"/>
              <w:jc w:val="center"/>
              <w:rPr>
                <w:rFonts w:ascii="黑体" w:hAnsi="黑体" w:eastAsia="黑体"/>
                <w:spacing w:val="-1"/>
                <w:w w:val="95"/>
              </w:rPr>
            </w:pPr>
            <w:r>
              <w:rPr>
                <w:rFonts w:hint="eastAsia" w:ascii="黑体" w:hAnsi="黑体" w:eastAsia="黑体"/>
                <w:spacing w:val="-1"/>
                <w:w w:val="95"/>
              </w:rPr>
              <w:t>排放口数量和分布情况</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厂区共</w:t>
            </w:r>
            <w:r>
              <w:rPr>
                <w:rFonts w:hint="eastAsia"/>
                <w:spacing w:val="-1"/>
                <w:sz w:val="18"/>
                <w:szCs w:val="18"/>
                <w:lang w:val="en-US" w:eastAsia="zh-CN"/>
              </w:rPr>
              <w:t>107</w:t>
            </w:r>
            <w:r>
              <w:rPr>
                <w:rFonts w:hint="eastAsia"/>
                <w:spacing w:val="-1"/>
                <w:sz w:val="18"/>
                <w:szCs w:val="18"/>
              </w:rPr>
              <w:t>根排气筒，主要分布于厂区各生产线。</w:t>
            </w:r>
          </w:p>
        </w:tc>
        <w:tc>
          <w:tcPr>
            <w:tcW w:w="1417"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超标</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情况</w:t>
            </w:r>
          </w:p>
        </w:tc>
        <w:tc>
          <w:tcPr>
            <w:tcW w:w="4253"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pStyle w:val="11"/>
              <w:spacing w:before="1" w:line="266" w:lineRule="auto"/>
              <w:ind w:right="89"/>
              <w:rPr>
                <w:b/>
              </w:rPr>
            </w:pPr>
          </w:p>
        </w:tc>
        <w:tc>
          <w:tcPr>
            <w:tcW w:w="1417" w:type="dxa"/>
            <w:vMerge w:val="continue"/>
            <w:vAlign w:val="center"/>
          </w:tcPr>
          <w:p>
            <w:pPr>
              <w:pStyle w:val="11"/>
              <w:rPr>
                <w:b/>
              </w:rPr>
            </w:pPr>
          </w:p>
        </w:tc>
        <w:tc>
          <w:tcPr>
            <w:tcW w:w="1418" w:type="dxa"/>
            <w:vAlign w:val="center"/>
          </w:tcPr>
          <w:p>
            <w:pPr>
              <w:pStyle w:val="11"/>
              <w:spacing w:line="278" w:lineRule="auto"/>
              <w:ind w:right="244"/>
              <w:jc w:val="center"/>
              <w:rPr>
                <w:rFonts w:ascii="黑体" w:hAnsi="黑体" w:eastAsia="黑体"/>
                <w:spacing w:val="-1"/>
                <w:w w:val="95"/>
              </w:rPr>
            </w:pPr>
            <w:r>
              <w:rPr>
                <w:rFonts w:hint="eastAsia" w:ascii="黑体" w:hAnsi="黑体" w:eastAsia="黑体"/>
                <w:spacing w:val="-1"/>
                <w:w w:val="95"/>
              </w:rPr>
              <w:t>执行的污染物排放标准</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区域性大气污染物综合排放标准 DB37/2376-2019,山东省区域性大气污染物综合排放标准DB/37 2376-2019，挥发性有机物排放标准第五部分;表面涂装行业DB37/2801.5-2018,山东省锅炉大气污染物排放标准DB37/2374-2018,恶臭污染物排放标准GB 14554-93,大气污染物综合排放标准 GB 16297-1996,大气污染物综合排放标准 GB16297-1996</w:t>
            </w:r>
          </w:p>
        </w:tc>
        <w:tc>
          <w:tcPr>
            <w:tcW w:w="1417"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排放浓度</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（2022年实测）</w:t>
            </w:r>
          </w:p>
        </w:tc>
        <w:tc>
          <w:tcPr>
            <w:tcW w:w="4253" w:type="dxa"/>
            <w:gridSpan w:val="2"/>
          </w:tcPr>
          <w:p>
            <w:pPr>
              <w:pStyle w:val="11"/>
              <w:spacing w:line="278" w:lineRule="auto"/>
              <w:ind w:right="335"/>
              <w:rPr>
                <w:spacing w:val="-1"/>
                <w:sz w:val="18"/>
                <w:szCs w:val="18"/>
              </w:rPr>
            </w:pPr>
            <w:r>
              <w:rPr>
                <w:spacing w:val="-1"/>
                <w:sz w:val="18"/>
                <w:szCs w:val="18"/>
              </w:rPr>
              <w:t>202</w:t>
            </w:r>
            <w:r>
              <w:rPr>
                <w:rFonts w:hint="eastAsia"/>
                <w:spacing w:val="-1"/>
                <w:sz w:val="18"/>
                <w:szCs w:val="18"/>
              </w:rPr>
              <w:t>2</w:t>
            </w:r>
            <w:r>
              <w:rPr>
                <w:spacing w:val="-1"/>
                <w:sz w:val="18"/>
                <w:szCs w:val="18"/>
              </w:rPr>
              <w:t>年实测浓度：颗粒物排放浓度（mg/m3）：</w:t>
            </w:r>
          </w:p>
          <w:p>
            <w:pPr>
              <w:pStyle w:val="11"/>
              <w:spacing w:line="278" w:lineRule="auto"/>
              <w:rPr>
                <w:spacing w:val="-1"/>
                <w:sz w:val="18"/>
                <w:szCs w:val="18"/>
                <w:lang w:val="en-US"/>
              </w:rPr>
            </w:pPr>
            <w:r>
              <w:rPr>
                <w:rFonts w:hint="eastAsia"/>
                <w:spacing w:val="-1"/>
                <w:sz w:val="18"/>
                <w:szCs w:val="18"/>
              </w:rPr>
              <w:t xml:space="preserve"> </w:t>
            </w:r>
            <w:r>
              <w:rPr>
                <w:rFonts w:hint="eastAsia"/>
                <w:spacing w:val="-1"/>
                <w:sz w:val="18"/>
                <w:szCs w:val="18"/>
                <w:lang w:val="en-US"/>
              </w:rPr>
              <w:t>DA086 (1.3) DA077 (6.8)  DA043(2.3)  DA091 (8.2)  DA003 (5.7)  DA004 (5.6)   DA001 (6.1) DA002 (5.7)  DA005 (7.6)  DA063 (8.0) DA061(3.2)  DA064 (1.1)  DA059 (9.1)  DA068 (1.8)  DA057 (4.0)  DA090 (2.4)  DA085 (1.8) DA045 (1.4)  DA044(4.4) DA036 (3.3)  DA035 (3.5)  DA047(3.3)  DA039 (3.7)  DA049(6.8)  DA050 (7.8) DA006 (5.9) DA035(3.4) DA040 (4.9)  DA055(3.6)  DA041 (8.4)  DA042 (6.8)  DA037 (7.6)  DA054 (6.3) DA052 (4.5) DA032 (4.6)  DA050(8.8)  DA033(2.5) DA048 ( 5.6)  DA007(3.1) DA008 (2.1)  DA022(1.5) DA072 (3.5)  DA025 (3.8)  DA026 (3.5)  DA031 (2.8) DA013 (3.8) DA014(3.9)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pStyle w:val="11"/>
              <w:spacing w:before="1" w:line="266" w:lineRule="auto"/>
              <w:ind w:right="89"/>
              <w:rPr>
                <w:b/>
              </w:rPr>
            </w:pPr>
          </w:p>
        </w:tc>
        <w:tc>
          <w:tcPr>
            <w:tcW w:w="1417" w:type="dxa"/>
            <w:vMerge w:val="continue"/>
            <w:vAlign w:val="center"/>
          </w:tcPr>
          <w:p>
            <w:pPr>
              <w:pStyle w:val="11"/>
              <w:rPr>
                <w:b/>
              </w:rPr>
            </w:pPr>
          </w:p>
        </w:tc>
        <w:tc>
          <w:tcPr>
            <w:tcW w:w="1418"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主要污染物名称</w:t>
            </w:r>
          </w:p>
        </w:tc>
        <w:tc>
          <w:tcPr>
            <w:tcW w:w="3402" w:type="dxa"/>
            <w:gridSpan w:val="2"/>
            <w:vAlign w:val="center"/>
          </w:tcPr>
          <w:p>
            <w:pPr>
              <w:pStyle w:val="11"/>
              <w:spacing w:line="266" w:lineRule="auto"/>
              <w:ind w:right="45"/>
              <w:jc w:val="center"/>
            </w:pPr>
            <w:r>
              <w:rPr>
                <w:rFonts w:hAnsi="Times New Roman"/>
                <w:sz w:val="18"/>
                <w:szCs w:val="18"/>
                <w:lang w:val="en-US" w:bidi="ar-SA"/>
              </w:rPr>
              <w:t>土壤环境污染</w:t>
            </w:r>
            <w:r>
              <w:rPr>
                <w:rFonts w:hint="eastAsia" w:hAnsi="Times New Roman"/>
                <w:sz w:val="18"/>
                <w:szCs w:val="18"/>
                <w:lang w:val="en-US" w:bidi="ar-SA"/>
              </w:rPr>
              <w:t>风险</w:t>
            </w:r>
            <w:r>
              <w:rPr>
                <w:rFonts w:hAnsi="Times New Roman"/>
                <w:sz w:val="18"/>
                <w:szCs w:val="18"/>
                <w:lang w:val="en-US" w:bidi="ar-SA"/>
              </w:rPr>
              <w:t>来源于公司生产工艺产生的危险废物</w:t>
            </w:r>
          </w:p>
        </w:tc>
        <w:tc>
          <w:tcPr>
            <w:tcW w:w="1417" w:type="dxa"/>
            <w:vAlign w:val="center"/>
          </w:tcPr>
          <w:p>
            <w:pPr>
              <w:pStyle w:val="11"/>
              <w:spacing w:before="1"/>
              <w:ind w:right="145"/>
              <w:jc w:val="center"/>
              <w:rPr>
                <w:rFonts w:ascii="黑体" w:hAnsi="黑体" w:eastAsia="黑体"/>
                <w:spacing w:val="-1"/>
                <w:w w:val="95"/>
              </w:rPr>
            </w:pPr>
            <w:r>
              <w:rPr>
                <w:rFonts w:ascii="黑体" w:hAnsi="黑体" w:eastAsia="黑体"/>
                <w:spacing w:val="-1"/>
                <w:w w:val="95"/>
              </w:rPr>
              <w:t>排放</w:t>
            </w:r>
          </w:p>
          <w:p>
            <w:pPr>
              <w:pStyle w:val="11"/>
              <w:spacing w:before="1"/>
              <w:ind w:right="145"/>
              <w:jc w:val="center"/>
              <w:rPr>
                <w:rFonts w:ascii="黑体" w:hAnsi="黑体" w:eastAsia="黑体"/>
                <w:spacing w:val="-1"/>
                <w:w w:val="95"/>
              </w:rPr>
            </w:pPr>
            <w:r>
              <w:rPr>
                <w:rFonts w:ascii="黑体" w:hAnsi="黑体" w:eastAsia="黑体"/>
                <w:spacing w:val="-1"/>
                <w:w w:val="95"/>
              </w:rPr>
              <w:t>方式</w:t>
            </w:r>
          </w:p>
        </w:tc>
        <w:tc>
          <w:tcPr>
            <w:tcW w:w="4253" w:type="dxa"/>
            <w:gridSpan w:val="2"/>
          </w:tcPr>
          <w:p>
            <w:pPr>
              <w:widowControl/>
              <w:rPr>
                <w:rFonts w:hAnsi="Times New Roman"/>
                <w:sz w:val="18"/>
                <w:szCs w:val="18"/>
                <w:lang w:val="en-US" w:bidi="ar-SA"/>
              </w:rPr>
            </w:pPr>
            <w:r>
              <w:rPr>
                <w:rFonts w:hAnsi="Times New Roman"/>
                <w:sz w:val="18"/>
                <w:szCs w:val="18"/>
                <w:lang w:val="en-US" w:bidi="ar-SA"/>
              </w:rPr>
              <w:t>危险废物</w:t>
            </w:r>
            <w:r>
              <w:rPr>
                <w:rFonts w:hint="eastAsia" w:hAnsi="Times New Roman"/>
                <w:sz w:val="18"/>
                <w:szCs w:val="18"/>
                <w:lang w:val="en-US" w:bidi="ar-SA"/>
              </w:rPr>
              <w:t>密闭</w:t>
            </w:r>
            <w:r>
              <w:rPr>
                <w:rFonts w:hAnsi="Times New Roman"/>
                <w:sz w:val="18"/>
                <w:szCs w:val="18"/>
                <w:lang w:val="en-US" w:bidi="ar-SA"/>
              </w:rPr>
              <w:t>储存于危废仓库，与山东平福环境服务有限公司、</w:t>
            </w:r>
            <w:r>
              <w:rPr>
                <w:rFonts w:hint="eastAsia" w:hAnsi="Times New Roman"/>
                <w:sz w:val="18"/>
                <w:szCs w:val="18"/>
                <w:lang w:val="en-US" w:bidi="ar-SA"/>
              </w:rPr>
              <w:t>山东晏鼎环保科技有限公司、山东中再生环境科技有限公司</w:t>
            </w:r>
            <w:r>
              <w:rPr>
                <w:rFonts w:hAnsi="Times New Roman"/>
                <w:sz w:val="18"/>
                <w:szCs w:val="18"/>
                <w:lang w:val="en-US" w:bidi="ar-SA"/>
              </w:rPr>
              <w:t>签订合同办理转移申请后进行合法转移处置</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pStyle w:val="11"/>
              <w:spacing w:before="1" w:line="266" w:lineRule="auto"/>
              <w:ind w:right="89"/>
              <w:rPr>
                <w:b/>
              </w:rPr>
            </w:pPr>
          </w:p>
        </w:tc>
        <w:tc>
          <w:tcPr>
            <w:tcW w:w="1417" w:type="dxa"/>
            <w:vMerge w:val="restart"/>
            <w:vAlign w:val="center"/>
          </w:tcPr>
          <w:p>
            <w:pPr>
              <w:pStyle w:val="11"/>
              <w:rPr>
                <w:b/>
              </w:rPr>
            </w:pPr>
          </w:p>
        </w:tc>
        <w:tc>
          <w:tcPr>
            <w:tcW w:w="1418"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危险废物代码及产生工艺</w:t>
            </w:r>
          </w:p>
        </w:tc>
        <w:tc>
          <w:tcPr>
            <w:tcW w:w="9072" w:type="dxa"/>
            <w:gridSpan w:val="5"/>
          </w:tcPr>
          <w:p>
            <w:pPr>
              <w:pStyle w:val="11"/>
              <w:spacing w:before="10" w:line="266" w:lineRule="auto"/>
              <w:ind w:right="129"/>
              <w:rPr>
                <w:rFonts w:hAnsi="Times New Roman"/>
                <w:sz w:val="18"/>
                <w:szCs w:val="18"/>
                <w:lang w:val="en-US" w:bidi="ar-SA"/>
              </w:rPr>
            </w:pPr>
            <w:r>
              <w:rPr>
                <w:rFonts w:hAnsi="Times New Roman"/>
                <w:sz w:val="18"/>
                <w:szCs w:val="18"/>
                <w:lang w:val="en-US" w:bidi="ar-SA"/>
              </w:rPr>
              <w:t>废切削液 900-006-09：</w:t>
            </w:r>
            <w:r>
              <w:rPr>
                <w:rFonts w:hint="eastAsia" w:hAnsi="Times New Roman"/>
                <w:sz w:val="18"/>
                <w:szCs w:val="18"/>
                <w:lang w:val="en-US" w:bidi="ar-SA"/>
              </w:rPr>
              <w:t>机加工；废</w:t>
            </w:r>
            <w:r>
              <w:rPr>
                <w:rFonts w:hAnsi="Times New Roman"/>
                <w:sz w:val="18"/>
                <w:szCs w:val="18"/>
                <w:lang w:val="en-US" w:bidi="ar-SA"/>
              </w:rPr>
              <w:t>漆渣 900-252-12：喷漆线</w:t>
            </w:r>
            <w:r>
              <w:rPr>
                <w:rFonts w:hint="eastAsia" w:hAnsi="Times New Roman"/>
                <w:sz w:val="18"/>
                <w:szCs w:val="18"/>
                <w:lang w:val="en-US" w:bidi="ar-SA"/>
              </w:rPr>
              <w:t>；</w:t>
            </w:r>
            <w:r>
              <w:rPr>
                <w:rFonts w:hAnsi="Times New Roman"/>
                <w:sz w:val="18"/>
                <w:szCs w:val="18"/>
                <w:lang w:val="en-US" w:bidi="ar-SA"/>
              </w:rPr>
              <w:t xml:space="preserve"> </w:t>
            </w:r>
          </w:p>
          <w:p>
            <w:pPr>
              <w:pStyle w:val="11"/>
              <w:spacing w:before="30" w:line="266" w:lineRule="auto"/>
              <w:ind w:right="76"/>
              <w:rPr>
                <w:rFonts w:hAnsi="Times New Roman"/>
                <w:sz w:val="18"/>
                <w:szCs w:val="18"/>
                <w:lang w:val="en-US" w:bidi="ar-SA"/>
              </w:rPr>
            </w:pPr>
            <w:r>
              <w:rPr>
                <w:rFonts w:hAnsi="Times New Roman"/>
                <w:sz w:val="18"/>
                <w:szCs w:val="18"/>
                <w:lang w:val="en-US" w:bidi="ar-SA"/>
              </w:rPr>
              <w:t>废活性炭、废过滤棉</w:t>
            </w:r>
            <w:r>
              <w:rPr>
                <w:rFonts w:hint="eastAsia" w:hAnsi="Times New Roman"/>
                <w:sz w:val="18"/>
                <w:szCs w:val="18"/>
                <w:lang w:val="en-US" w:bidi="ar-SA"/>
              </w:rPr>
              <w:t>;</w:t>
            </w:r>
            <w:r>
              <w:rPr>
                <w:rFonts w:hAnsi="Times New Roman"/>
                <w:sz w:val="18"/>
                <w:szCs w:val="18"/>
                <w:lang w:val="en-US" w:bidi="ar-SA"/>
              </w:rPr>
              <w:t>900-041-49 喷漆线</w:t>
            </w:r>
            <w:r>
              <w:rPr>
                <w:rFonts w:hint="eastAsia" w:hAnsi="Times New Roman"/>
                <w:sz w:val="18"/>
                <w:szCs w:val="18"/>
                <w:lang w:val="en-US" w:bidi="ar-SA"/>
              </w:rPr>
              <w:t>；  废沸石 300-041-49：喷漆；废油漆桶 900-041-49;喷漆；  废磷化渣 336-064-17：喷漆；  废活性炭 900-041-49;喷漆；  废矿物油 900-249-08; 机加工 废污泥 336-064-17 污水处理；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55" w:type="dxa"/>
            <w:vAlign w:val="center"/>
          </w:tcPr>
          <w:p>
            <w:pPr>
              <w:pStyle w:val="11"/>
              <w:spacing w:before="1" w:line="266" w:lineRule="auto"/>
              <w:ind w:right="89"/>
              <w:rPr>
                <w:b/>
              </w:rPr>
            </w:pPr>
          </w:p>
        </w:tc>
        <w:tc>
          <w:tcPr>
            <w:tcW w:w="1417" w:type="dxa"/>
            <w:vMerge w:val="continue"/>
            <w:vAlign w:val="center"/>
          </w:tcPr>
          <w:p>
            <w:pPr>
              <w:pStyle w:val="11"/>
              <w:rPr>
                <w:b/>
              </w:rPr>
            </w:pPr>
          </w:p>
        </w:tc>
        <w:tc>
          <w:tcPr>
            <w:tcW w:w="1418" w:type="dxa"/>
            <w:vAlign w:val="center"/>
          </w:tcPr>
          <w:p>
            <w:pPr>
              <w:pStyle w:val="11"/>
              <w:spacing w:before="10"/>
              <w:jc w:val="center"/>
              <w:rPr>
                <w:rFonts w:ascii="黑体" w:hAnsi="黑体" w:eastAsia="黑体"/>
                <w:spacing w:val="-1"/>
                <w:w w:val="95"/>
              </w:rPr>
            </w:pPr>
            <w:r>
              <w:rPr>
                <w:rFonts w:ascii="黑体" w:hAnsi="黑体" w:eastAsia="黑体"/>
                <w:spacing w:val="-1"/>
                <w:w w:val="95"/>
              </w:rPr>
              <w:t>危险废物贮存情况</w:t>
            </w:r>
          </w:p>
        </w:tc>
        <w:tc>
          <w:tcPr>
            <w:tcW w:w="9072" w:type="dxa"/>
            <w:gridSpan w:val="5"/>
            <w:vAlign w:val="center"/>
          </w:tcPr>
          <w:p>
            <w:pPr>
              <w:pStyle w:val="11"/>
              <w:spacing w:before="10"/>
              <w:ind w:left="108"/>
              <w:jc w:val="center"/>
              <w:rPr>
                <w:rFonts w:hAnsi="Times New Roman"/>
                <w:sz w:val="18"/>
                <w:szCs w:val="18"/>
                <w:lang w:val="en-US" w:bidi="ar-SA"/>
              </w:rPr>
            </w:pPr>
            <w:r>
              <w:rPr>
                <w:rFonts w:hAnsi="Times New Roman"/>
                <w:sz w:val="18"/>
                <w:szCs w:val="18"/>
                <w:lang w:val="en-US" w:bidi="ar-SA"/>
              </w:rPr>
              <w:t>建有符合标准的危废仓库，按照《工业危险废物产生单位规范化管理指标》进行管理</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11"/>
              <w:spacing w:before="1" w:line="266" w:lineRule="auto"/>
              <w:ind w:right="89"/>
              <w:rPr>
                <w:b/>
              </w:rPr>
            </w:pPr>
          </w:p>
        </w:tc>
        <w:tc>
          <w:tcPr>
            <w:tcW w:w="1417" w:type="dxa"/>
            <w:vAlign w:val="center"/>
          </w:tcPr>
          <w:p>
            <w:pPr>
              <w:pStyle w:val="11"/>
              <w:rPr>
                <w:b/>
              </w:rPr>
            </w:pPr>
          </w:p>
        </w:tc>
        <w:tc>
          <w:tcPr>
            <w:tcW w:w="1418"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危险废物内部处置及外单位转移处置情况</w:t>
            </w:r>
          </w:p>
        </w:tc>
        <w:tc>
          <w:tcPr>
            <w:tcW w:w="9072" w:type="dxa"/>
            <w:gridSpan w:val="5"/>
          </w:tcPr>
          <w:p>
            <w:pPr>
              <w:pStyle w:val="11"/>
              <w:spacing w:before="10"/>
              <w:ind w:left="108"/>
              <w:rPr>
                <w:rFonts w:hAnsi="Times New Roman"/>
                <w:sz w:val="18"/>
                <w:szCs w:val="18"/>
                <w:lang w:val="en-US" w:bidi="ar-SA"/>
              </w:rPr>
            </w:pPr>
            <w:r>
              <w:rPr>
                <w:rFonts w:hAnsi="Times New Roman"/>
                <w:sz w:val="18"/>
                <w:szCs w:val="18"/>
                <w:lang w:val="en-US" w:bidi="ar-SA"/>
              </w:rPr>
              <w:t>202</w:t>
            </w:r>
            <w:r>
              <w:rPr>
                <w:rFonts w:hint="eastAsia" w:hAnsi="Times New Roman"/>
                <w:sz w:val="18"/>
                <w:szCs w:val="18"/>
                <w:lang w:val="en-US" w:eastAsia="zh-CN" w:bidi="ar-SA"/>
              </w:rPr>
              <w:t>3</w:t>
            </w:r>
            <w:r>
              <w:rPr>
                <w:rFonts w:hAnsi="Times New Roman"/>
                <w:sz w:val="18"/>
                <w:szCs w:val="18"/>
                <w:lang w:val="en-US" w:bidi="ar-SA"/>
              </w:rPr>
              <w:t xml:space="preserve"> 年</w:t>
            </w:r>
            <w:r>
              <w:rPr>
                <w:rFonts w:hint="eastAsia" w:hAnsi="Times New Roman"/>
                <w:sz w:val="18"/>
                <w:szCs w:val="18"/>
                <w:lang w:val="en-US" w:eastAsia="zh-CN" w:bidi="ar-SA"/>
              </w:rPr>
              <w:t>4</w:t>
            </w:r>
            <w:r>
              <w:rPr>
                <w:rFonts w:hAnsi="Times New Roman"/>
                <w:sz w:val="18"/>
                <w:szCs w:val="18"/>
                <w:lang w:val="en-US" w:bidi="ar-SA"/>
              </w:rPr>
              <w:t>月产生危险废物：</w:t>
            </w:r>
            <w:r>
              <w:rPr>
                <w:rFonts w:hint="eastAsia" w:hAnsi="Times New Roman"/>
                <w:sz w:val="18"/>
                <w:szCs w:val="18"/>
                <w:lang w:val="en-US" w:eastAsia="zh-CN" w:bidi="ar-SA"/>
              </w:rPr>
              <w:t>磨床废弃物4.98吨</w:t>
            </w:r>
            <w:r>
              <w:rPr>
                <w:rFonts w:hAnsi="Times New Roman"/>
                <w:sz w:val="18"/>
                <w:szCs w:val="18"/>
                <w:lang w:val="en-US" w:bidi="ar-SA"/>
              </w:rPr>
              <w:t>；废切削液 0</w:t>
            </w:r>
            <w:r>
              <w:rPr>
                <w:rFonts w:hint="eastAsia" w:hAnsi="Times New Roman"/>
                <w:sz w:val="18"/>
                <w:szCs w:val="18"/>
                <w:lang w:val="en-US" w:bidi="ar-SA"/>
              </w:rPr>
              <w:t xml:space="preserve"> </w:t>
            </w:r>
            <w:r>
              <w:rPr>
                <w:rFonts w:hAnsi="Times New Roman"/>
                <w:sz w:val="18"/>
                <w:szCs w:val="18"/>
                <w:lang w:val="en-US" w:bidi="ar-SA"/>
              </w:rPr>
              <w:t>吨；</w:t>
            </w:r>
            <w:r>
              <w:rPr>
                <w:rFonts w:hint="eastAsia" w:hAnsi="Times New Roman"/>
                <w:sz w:val="18"/>
                <w:szCs w:val="18"/>
                <w:lang w:val="en-US" w:eastAsia="zh-CN" w:bidi="ar-SA"/>
              </w:rPr>
              <w:t>铝灰3.5吨、</w:t>
            </w:r>
            <w:r>
              <w:rPr>
                <w:rFonts w:hAnsi="Times New Roman"/>
                <w:sz w:val="18"/>
                <w:szCs w:val="18"/>
                <w:lang w:val="en-US" w:bidi="ar-SA"/>
              </w:rPr>
              <w:t xml:space="preserve">漆渣 </w:t>
            </w:r>
            <w:r>
              <w:rPr>
                <w:rFonts w:hint="eastAsia" w:hAnsi="Times New Roman"/>
                <w:sz w:val="18"/>
                <w:szCs w:val="18"/>
                <w:lang w:val="en-US" w:eastAsia="zh-CN" w:bidi="ar-SA"/>
              </w:rPr>
              <w:t>11</w:t>
            </w:r>
            <w:r>
              <w:rPr>
                <w:rFonts w:hAnsi="Times New Roman"/>
                <w:sz w:val="18"/>
                <w:szCs w:val="18"/>
                <w:lang w:val="en-US" w:bidi="ar-SA"/>
              </w:rPr>
              <w:t xml:space="preserve">吨；喷漆废水预处理污泥 </w:t>
            </w:r>
            <w:r>
              <w:rPr>
                <w:rFonts w:hint="eastAsia" w:hAnsi="Times New Roman"/>
                <w:sz w:val="18"/>
                <w:szCs w:val="18"/>
                <w:lang w:val="en-US" w:bidi="ar-SA"/>
              </w:rPr>
              <w:t>0</w:t>
            </w:r>
            <w:r>
              <w:rPr>
                <w:rFonts w:hAnsi="Times New Roman"/>
                <w:sz w:val="18"/>
                <w:szCs w:val="18"/>
                <w:lang w:val="en-US" w:bidi="ar-SA"/>
              </w:rPr>
              <w:t xml:space="preserve"> 吨；废活性炭</w:t>
            </w:r>
            <w:r>
              <w:rPr>
                <w:rFonts w:hint="eastAsia" w:hAnsi="Times New Roman"/>
                <w:sz w:val="18"/>
                <w:szCs w:val="18"/>
                <w:lang w:val="en-US" w:eastAsia="zh-CN" w:bidi="ar-SA"/>
              </w:rPr>
              <w:t>1吨、</w:t>
            </w:r>
            <w:r>
              <w:rPr>
                <w:rFonts w:hint="eastAsia" w:hAnsi="Times New Roman"/>
                <w:sz w:val="18"/>
                <w:szCs w:val="18"/>
                <w:lang w:val="en-US" w:bidi="ar-SA"/>
              </w:rPr>
              <w:t xml:space="preserve">废过滤棉 </w:t>
            </w:r>
            <w:r>
              <w:rPr>
                <w:rFonts w:hint="eastAsia" w:hAnsi="Times New Roman"/>
                <w:sz w:val="18"/>
                <w:szCs w:val="18"/>
                <w:lang w:val="en-US" w:eastAsia="zh-CN" w:bidi="ar-SA"/>
              </w:rPr>
              <w:t>6.1</w:t>
            </w:r>
            <w:r>
              <w:rPr>
                <w:rFonts w:hAnsi="Times New Roman"/>
                <w:sz w:val="18"/>
                <w:szCs w:val="18"/>
                <w:lang w:val="en-US" w:bidi="ar-SA"/>
              </w:rPr>
              <w:t>吨；废桶</w:t>
            </w:r>
            <w:r>
              <w:rPr>
                <w:rFonts w:hint="eastAsia" w:hAnsi="Times New Roman"/>
                <w:sz w:val="18"/>
                <w:szCs w:val="18"/>
                <w:lang w:val="en-US" w:eastAsia="zh-CN" w:bidi="ar-SA"/>
              </w:rPr>
              <w:t>6.1</w:t>
            </w:r>
            <w:r>
              <w:rPr>
                <w:rFonts w:hAnsi="Times New Roman"/>
                <w:sz w:val="18"/>
                <w:szCs w:val="18"/>
                <w:lang w:val="en-US" w:bidi="ar-SA"/>
              </w:rPr>
              <w:t>吨；</w:t>
            </w:r>
            <w:r>
              <w:rPr>
                <w:rFonts w:hint="eastAsia" w:hAnsi="Times New Roman"/>
                <w:sz w:val="18"/>
                <w:szCs w:val="18"/>
                <w:lang w:val="en-US" w:eastAsia="zh-CN" w:bidi="ar-SA"/>
              </w:rPr>
              <w:t>是呀是废液0.00315吨</w:t>
            </w:r>
            <w:r>
              <w:rPr>
                <w:rFonts w:hAnsi="Times New Roman"/>
                <w:sz w:val="18"/>
                <w:szCs w:val="18"/>
                <w:lang w:val="en-US" w:bidi="ar-SA"/>
              </w:rPr>
              <w:t xml:space="preserve">。 </w:t>
            </w:r>
          </w:p>
          <w:p>
            <w:pPr>
              <w:pStyle w:val="11"/>
              <w:spacing w:before="30"/>
              <w:ind w:left="108"/>
              <w:rPr>
                <w:rFonts w:hAnsi="Times New Roman"/>
                <w:sz w:val="18"/>
                <w:szCs w:val="18"/>
                <w:lang w:val="en-US" w:bidi="ar-SA"/>
              </w:rPr>
            </w:pPr>
            <w:r>
              <w:rPr>
                <w:rFonts w:hAnsi="Times New Roman"/>
                <w:sz w:val="18"/>
                <w:szCs w:val="18"/>
                <w:lang w:val="en-US" w:bidi="ar-SA"/>
              </w:rPr>
              <w:t>202年</w:t>
            </w:r>
            <w:r>
              <w:rPr>
                <w:rFonts w:hint="eastAsia" w:hAnsi="Times New Roman"/>
                <w:sz w:val="18"/>
                <w:szCs w:val="18"/>
                <w:lang w:val="en-US" w:eastAsia="zh-CN" w:bidi="ar-SA"/>
              </w:rPr>
              <w:t>4</w:t>
            </w:r>
            <w:r>
              <w:rPr>
                <w:rFonts w:hAnsi="Times New Roman"/>
                <w:sz w:val="18"/>
                <w:szCs w:val="18"/>
                <w:lang w:val="en-US" w:bidi="ar-SA"/>
              </w:rPr>
              <w:t>月外单位转移危险废物：</w:t>
            </w:r>
            <w:r>
              <w:rPr>
                <w:rFonts w:hint="eastAsia" w:hAnsi="Times New Roman"/>
                <w:sz w:val="18"/>
                <w:szCs w:val="18"/>
                <w:lang w:val="en-US" w:eastAsia="zh-CN" w:bidi="ar-SA"/>
              </w:rPr>
              <w:t>磨床废弃物4.98吨</w:t>
            </w:r>
            <w:r>
              <w:rPr>
                <w:rFonts w:hAnsi="Times New Roman"/>
                <w:sz w:val="18"/>
                <w:szCs w:val="18"/>
                <w:lang w:val="en-US" w:bidi="ar-SA"/>
              </w:rPr>
              <w:t xml:space="preserve">；漆渣 </w:t>
            </w:r>
            <w:r>
              <w:rPr>
                <w:rFonts w:hint="eastAsia" w:hAnsi="Times New Roman"/>
                <w:sz w:val="18"/>
                <w:szCs w:val="18"/>
                <w:lang w:val="en-US" w:eastAsia="zh-CN" w:bidi="ar-SA"/>
              </w:rPr>
              <w:t>11</w:t>
            </w:r>
            <w:r>
              <w:rPr>
                <w:rFonts w:hAnsi="Times New Roman"/>
                <w:sz w:val="18"/>
                <w:szCs w:val="18"/>
                <w:lang w:val="en-US" w:bidi="ar-SA"/>
              </w:rPr>
              <w:t xml:space="preserve">吨；喷漆废水预处理污泥 </w:t>
            </w:r>
            <w:r>
              <w:rPr>
                <w:rFonts w:hint="eastAsia" w:hAnsi="Times New Roman"/>
                <w:sz w:val="18"/>
                <w:szCs w:val="18"/>
                <w:lang w:val="en-US" w:bidi="ar-SA"/>
              </w:rPr>
              <w:t>0</w:t>
            </w:r>
            <w:r>
              <w:rPr>
                <w:rFonts w:hAnsi="Times New Roman"/>
                <w:sz w:val="18"/>
                <w:szCs w:val="18"/>
                <w:lang w:val="en-US" w:bidi="ar-SA"/>
              </w:rPr>
              <w:t>吨；废活性炭</w:t>
            </w:r>
            <w:r>
              <w:rPr>
                <w:rFonts w:hint="eastAsia" w:hAnsi="Times New Roman"/>
                <w:sz w:val="18"/>
                <w:szCs w:val="18"/>
                <w:lang w:val="en-US" w:eastAsia="zh-CN" w:bidi="ar-SA"/>
              </w:rPr>
              <w:t>2</w:t>
            </w:r>
            <w:r>
              <w:rPr>
                <w:rFonts w:hint="eastAsia" w:hAnsi="Times New Roman"/>
                <w:sz w:val="18"/>
                <w:szCs w:val="18"/>
                <w:lang w:val="en-US" w:bidi="ar-SA"/>
              </w:rPr>
              <w:t>吨 、废过滤棉</w:t>
            </w:r>
            <w:r>
              <w:rPr>
                <w:rFonts w:hint="eastAsia" w:hAnsi="Times New Roman"/>
                <w:sz w:val="18"/>
                <w:szCs w:val="18"/>
                <w:lang w:val="en-US" w:eastAsia="zh-CN" w:bidi="ar-SA"/>
              </w:rPr>
              <w:t>6.1</w:t>
            </w:r>
            <w:r>
              <w:rPr>
                <w:rFonts w:hint="eastAsia" w:hAnsi="Times New Roman"/>
                <w:sz w:val="18"/>
                <w:szCs w:val="18"/>
                <w:lang w:val="en-US" w:bidi="ar-SA"/>
              </w:rPr>
              <w:t xml:space="preserve"> </w:t>
            </w:r>
            <w:r>
              <w:rPr>
                <w:rFonts w:hAnsi="Times New Roman"/>
                <w:sz w:val="18"/>
                <w:szCs w:val="18"/>
                <w:lang w:val="en-US" w:bidi="ar-SA"/>
              </w:rPr>
              <w:t>吨；废桶</w:t>
            </w:r>
            <w:r>
              <w:rPr>
                <w:rFonts w:hint="eastAsia" w:hAnsi="Times New Roman"/>
                <w:sz w:val="18"/>
                <w:szCs w:val="18"/>
                <w:lang w:val="en-US" w:eastAsia="zh-CN" w:bidi="ar-SA"/>
              </w:rPr>
              <w:t>8.01</w:t>
            </w:r>
            <w:r>
              <w:rPr>
                <w:rFonts w:hAnsi="Times New Roman"/>
                <w:sz w:val="18"/>
                <w:szCs w:val="18"/>
                <w:lang w:val="en-US" w:bidi="ar-SA"/>
              </w:rPr>
              <w:t>吨；</w:t>
            </w:r>
            <w:r>
              <w:rPr>
                <w:rFonts w:hint="eastAsia" w:hAnsi="Times New Roman"/>
                <w:sz w:val="18"/>
                <w:szCs w:val="18"/>
                <w:lang w:val="en-US" w:eastAsia="zh-CN" w:bidi="ar-SA"/>
              </w:rPr>
              <w:t>实验室废液</w:t>
            </w:r>
            <w:r>
              <w:rPr>
                <w:rFonts w:hAnsi="Times New Roman"/>
                <w:sz w:val="18"/>
                <w:szCs w:val="18"/>
                <w:lang w:val="en-US" w:bidi="ar-SA"/>
              </w:rPr>
              <w:t xml:space="preserve"> 0 吨；</w:t>
            </w:r>
          </w:p>
          <w:p>
            <w:pPr>
              <w:pStyle w:val="11"/>
              <w:spacing w:before="30"/>
              <w:ind w:left="108"/>
              <w:rPr>
                <w:rFonts w:hAnsi="Times New Roman"/>
                <w:sz w:val="18"/>
                <w:szCs w:val="18"/>
                <w:lang w:val="en-US" w:bidi="ar-SA"/>
              </w:rPr>
            </w:pPr>
            <w:r>
              <w:rPr>
                <w:rFonts w:hint="eastAsia" w:hAnsi="Times New Roman"/>
                <w:sz w:val="18"/>
                <w:szCs w:val="18"/>
                <w:lang w:val="en-US" w:bidi="ar-SA"/>
              </w:rPr>
              <w:t>由山东平福环境服务有限公司</w:t>
            </w:r>
            <w:r>
              <w:rPr>
                <w:rFonts w:hint="eastAsia" w:hAnsi="Times New Roman"/>
                <w:sz w:val="18"/>
                <w:szCs w:val="18"/>
                <w:lang w:val="en-US" w:eastAsia="zh-CN" w:bidi="ar-SA"/>
              </w:rPr>
              <w:t>、</w:t>
            </w:r>
            <w:r>
              <w:rPr>
                <w:rFonts w:hint="eastAsia" w:hAnsi="Times New Roman"/>
                <w:sz w:val="18"/>
                <w:szCs w:val="18"/>
                <w:lang w:val="en-US" w:bidi="ar-SA"/>
              </w:rPr>
              <w:t>山东中再生环境科技有限公司</w:t>
            </w:r>
            <w:r>
              <w:rPr>
                <w:rFonts w:hint="eastAsia" w:hAnsi="Times New Roman"/>
                <w:sz w:val="18"/>
                <w:szCs w:val="18"/>
                <w:lang w:val="en-US" w:eastAsia="zh-CN" w:bidi="ar-SA"/>
              </w:rPr>
              <w:t>、</w:t>
            </w:r>
            <w:bookmarkStart w:id="0" w:name="_GoBack"/>
            <w:bookmarkEnd w:id="0"/>
            <w:r>
              <w:rPr>
                <w:rFonts w:hint="eastAsia" w:hAnsi="Times New Roman"/>
                <w:sz w:val="18"/>
                <w:szCs w:val="18"/>
                <w:lang w:val="en-US" w:bidi="ar-SA"/>
              </w:rPr>
              <w:t>山东晏鼎环保科技有限公司处置</w:t>
            </w:r>
            <w:r>
              <w:rPr>
                <w:rFonts w:hAnsi="Times New Roman"/>
                <w:sz w:val="18"/>
                <w:szCs w:val="18"/>
                <w:lang w:val="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防治污染设施</w:t>
            </w:r>
          </w:p>
        </w:tc>
        <w:tc>
          <w:tcPr>
            <w:tcW w:w="6237" w:type="dxa"/>
            <w:gridSpan w:val="4"/>
            <w:vAlign w:val="center"/>
          </w:tcPr>
          <w:p>
            <w:pPr>
              <w:pStyle w:val="11"/>
              <w:spacing w:before="10" w:line="281" w:lineRule="exact"/>
              <w:ind w:left="542"/>
              <w:jc w:val="center"/>
              <w:rPr>
                <w:rFonts w:ascii="黑体" w:hAnsi="黑体" w:eastAsia="黑体"/>
                <w:spacing w:val="-1"/>
                <w:w w:val="95"/>
              </w:rPr>
            </w:pPr>
            <w:r>
              <w:rPr>
                <w:rFonts w:ascii="黑体" w:hAnsi="黑体" w:eastAsia="黑体"/>
                <w:spacing w:val="-1"/>
                <w:w w:val="95"/>
              </w:rPr>
              <w:t>污染设施名称</w:t>
            </w:r>
          </w:p>
        </w:tc>
        <w:tc>
          <w:tcPr>
            <w:tcW w:w="5670" w:type="dxa"/>
            <w:gridSpan w:val="3"/>
            <w:vAlign w:val="center"/>
          </w:tcPr>
          <w:p>
            <w:pPr>
              <w:pStyle w:val="11"/>
              <w:spacing w:line="281" w:lineRule="exact"/>
              <w:jc w:val="center"/>
              <w:rPr>
                <w:rFonts w:ascii="黑体" w:hAnsi="黑体" w:eastAsia="黑体"/>
                <w:spacing w:val="-1"/>
                <w:w w:val="95"/>
              </w:rPr>
            </w:pPr>
            <w:r>
              <w:rPr>
                <w:rFonts w:ascii="黑体" w:hAnsi="黑体" w:eastAsia="黑体"/>
                <w:spacing w:val="-1"/>
                <w:w w:val="95"/>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pStyle w:val="11"/>
              <w:spacing w:before="1" w:line="266" w:lineRule="auto"/>
              <w:ind w:right="89"/>
              <w:rPr>
                <w:b/>
              </w:rPr>
            </w:pPr>
          </w:p>
        </w:tc>
        <w:tc>
          <w:tcPr>
            <w:tcW w:w="6237" w:type="dxa"/>
            <w:gridSpan w:val="4"/>
          </w:tcPr>
          <w:p>
            <w:pPr>
              <w:pStyle w:val="11"/>
              <w:spacing w:before="12" w:line="281" w:lineRule="exact"/>
              <w:ind w:right="-15"/>
              <w:jc w:val="center"/>
              <w:rPr>
                <w:rFonts w:hAnsi="Times New Roman"/>
                <w:sz w:val="18"/>
                <w:szCs w:val="18"/>
                <w:lang w:val="en-US" w:bidi="ar-SA"/>
              </w:rPr>
            </w:pPr>
            <w:r>
              <w:rPr>
                <w:rFonts w:hint="eastAsia" w:hAnsi="Times New Roman"/>
                <w:sz w:val="18"/>
                <w:szCs w:val="18"/>
                <w:lang w:val="en-US" w:bidi="ar-SA"/>
              </w:rPr>
              <w:t>喷漆废水预</w:t>
            </w:r>
            <w:r>
              <w:rPr>
                <w:rFonts w:hAnsi="Times New Roman"/>
                <w:sz w:val="18"/>
                <w:szCs w:val="18"/>
                <w:lang w:val="en-US" w:bidi="ar-SA"/>
              </w:rPr>
              <w:t>处理站</w:t>
            </w:r>
          </w:p>
        </w:tc>
        <w:tc>
          <w:tcPr>
            <w:tcW w:w="5670" w:type="dxa"/>
            <w:gridSpan w:val="3"/>
          </w:tcPr>
          <w:p>
            <w:pPr>
              <w:pStyle w:val="11"/>
              <w:spacing w:before="12" w:line="281" w:lineRule="exact"/>
              <w:ind w:left="108"/>
              <w:jc w:val="center"/>
              <w:rPr>
                <w:rFonts w:hAnsi="Times New Roman"/>
                <w:sz w:val="18"/>
                <w:szCs w:val="18"/>
                <w:lang w:val="en-US" w:bidi="ar-SA"/>
              </w:rPr>
            </w:pPr>
            <w:r>
              <w:rPr>
                <w:rFonts w:hAnsi="Times New Roman"/>
                <w:sz w:val="18"/>
                <w:szCs w:val="18"/>
                <w:lang w:val="en-US" w:bidi="ar-SA"/>
              </w:rPr>
              <w:t>运行正常，排入综合污水处理站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pStyle w:val="11"/>
              <w:spacing w:before="1" w:line="266" w:lineRule="auto"/>
              <w:ind w:right="89"/>
              <w:rPr>
                <w:b/>
              </w:rPr>
            </w:pPr>
          </w:p>
        </w:tc>
        <w:tc>
          <w:tcPr>
            <w:tcW w:w="6237" w:type="dxa"/>
            <w:gridSpan w:val="4"/>
          </w:tcPr>
          <w:p>
            <w:pPr>
              <w:pStyle w:val="11"/>
              <w:spacing w:before="10" w:line="281" w:lineRule="exact"/>
              <w:ind w:left="434"/>
              <w:jc w:val="center"/>
              <w:rPr>
                <w:rFonts w:hAnsi="Times New Roman"/>
                <w:sz w:val="18"/>
                <w:szCs w:val="18"/>
                <w:lang w:val="en-US" w:bidi="ar-SA"/>
              </w:rPr>
            </w:pPr>
            <w:r>
              <w:rPr>
                <w:rFonts w:hAnsi="Times New Roman"/>
                <w:sz w:val="18"/>
                <w:szCs w:val="18"/>
                <w:lang w:val="en-US" w:bidi="ar-SA"/>
              </w:rPr>
              <w:t>综合污水处理站</w:t>
            </w:r>
          </w:p>
        </w:tc>
        <w:tc>
          <w:tcPr>
            <w:tcW w:w="5670" w:type="dxa"/>
            <w:gridSpan w:val="3"/>
          </w:tcPr>
          <w:p>
            <w:pPr>
              <w:pStyle w:val="11"/>
              <w:spacing w:before="10" w:line="281" w:lineRule="exact"/>
              <w:ind w:left="108"/>
              <w:jc w:val="center"/>
              <w:rPr>
                <w:rFonts w:hAnsi="Times New Roman"/>
                <w:sz w:val="18"/>
                <w:szCs w:val="18"/>
                <w:lang w:val="en-US" w:bidi="ar-SA"/>
              </w:rPr>
            </w:pPr>
            <w:r>
              <w:rPr>
                <w:rFonts w:hAnsi="Times New Roman"/>
                <w:sz w:val="18"/>
                <w:szCs w:val="18"/>
                <w:lang w:val="en-US" w:bidi="ar-SA"/>
              </w:rPr>
              <w:t>运行正常，达标排放到光大水务（章丘）运营有限公司三厂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555" w:type="dxa"/>
            <w:vAlign w:val="center"/>
          </w:tcPr>
          <w:p>
            <w:pPr>
              <w:pStyle w:val="11"/>
              <w:spacing w:before="1" w:line="266" w:lineRule="auto"/>
              <w:ind w:right="89"/>
              <w:rPr>
                <w:rFonts w:ascii="黑体" w:hAnsi="黑体" w:eastAsia="黑体"/>
                <w:spacing w:val="-1"/>
                <w:w w:val="95"/>
              </w:rPr>
            </w:pPr>
            <w:r>
              <w:rPr>
                <w:rFonts w:ascii="黑体" w:hAnsi="黑体" w:eastAsia="黑体"/>
                <w:spacing w:val="-1"/>
                <w:w w:val="95"/>
              </w:rPr>
              <w:t>建设项目环境影响评价其他环保行政许可</w:t>
            </w:r>
          </w:p>
          <w:p>
            <w:pPr>
              <w:pStyle w:val="11"/>
              <w:spacing w:before="1" w:line="266" w:lineRule="auto"/>
              <w:ind w:right="89"/>
              <w:rPr>
                <w:rFonts w:ascii="黑体" w:hAnsi="黑体" w:eastAsia="黑体"/>
                <w:spacing w:val="-1"/>
                <w:w w:val="95"/>
              </w:rPr>
            </w:pPr>
            <w:r>
              <w:rPr>
                <w:rFonts w:ascii="黑体" w:hAnsi="黑体" w:eastAsia="黑体"/>
                <w:spacing w:val="-1"/>
                <w:w w:val="95"/>
              </w:rPr>
              <w:t>情况</w:t>
            </w:r>
          </w:p>
        </w:tc>
        <w:tc>
          <w:tcPr>
            <w:tcW w:w="2835" w:type="dxa"/>
            <w:gridSpan w:val="2"/>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建设项目环境影响评价情况</w:t>
            </w:r>
          </w:p>
        </w:tc>
        <w:tc>
          <w:tcPr>
            <w:tcW w:w="3402" w:type="dxa"/>
            <w:gridSpan w:val="2"/>
            <w:vAlign w:val="center"/>
          </w:tcPr>
          <w:p>
            <w:pPr>
              <w:pStyle w:val="11"/>
              <w:spacing w:before="2"/>
              <w:rPr>
                <w:rFonts w:hAnsi="Times New Roman"/>
                <w:sz w:val="18"/>
                <w:szCs w:val="18"/>
                <w:lang w:val="en-US" w:bidi="ar-SA"/>
              </w:rPr>
            </w:pPr>
            <w:r>
              <w:rPr>
                <w:rFonts w:hint="eastAsia" w:hAnsi="Times New Roman"/>
                <w:sz w:val="18"/>
                <w:szCs w:val="18"/>
                <w:lang w:val="en-US" w:bidi="ar-SA"/>
              </w:rPr>
              <w:t>《传动轴厂提升能力搬迁技术改造项目》（章环建检【2017】25号）</w:t>
            </w:r>
          </w:p>
          <w:p>
            <w:pPr>
              <w:pStyle w:val="11"/>
              <w:spacing w:line="279" w:lineRule="exact"/>
              <w:ind w:left="108"/>
              <w:rPr>
                <w:rFonts w:hAnsi="Times New Roman"/>
                <w:sz w:val="18"/>
                <w:szCs w:val="18"/>
                <w:lang w:val="en-US" w:bidi="ar-SA"/>
              </w:rPr>
            </w:pPr>
            <w:r>
              <w:rPr>
                <w:rFonts w:hint="eastAsia" w:hAnsi="Times New Roman"/>
                <w:sz w:val="18"/>
                <w:szCs w:val="18"/>
                <w:lang w:val="en-US" w:bidi="ar-SA"/>
              </w:rPr>
              <w:t>《精密铸造厂提升能力搬迁技术改造项目》（章环建检【2017】28号</w:t>
            </w:r>
            <w:r>
              <w:rPr>
                <w:rFonts w:hAnsi="Times New Roman"/>
                <w:sz w:val="18"/>
                <w:szCs w:val="18"/>
                <w:lang w:val="en-US" w:bidi="ar-SA"/>
              </w:rPr>
              <w:t>）</w:t>
            </w:r>
          </w:p>
          <w:p>
            <w:pPr>
              <w:pStyle w:val="11"/>
              <w:spacing w:line="279" w:lineRule="exact"/>
              <w:ind w:left="108"/>
              <w:rPr>
                <w:color w:val="000000" w:themeColor="text1"/>
                <w14:textFill>
                  <w14:solidFill>
                    <w14:schemeClr w14:val="tx1"/>
                  </w14:solidFill>
                </w14:textFill>
              </w:rPr>
            </w:pPr>
            <w:r>
              <w:rPr>
                <w:rFonts w:hint="eastAsia" w:hAnsi="Times New Roman"/>
                <w:sz w:val="18"/>
                <w:szCs w:val="18"/>
                <w:lang w:val="en-US" w:bidi="ar-SA"/>
              </w:rPr>
              <w:t>《提升零部件技术水平和质量技术改造项目》（章环建检【2016】4号）</w:t>
            </w:r>
          </w:p>
        </w:tc>
        <w:tc>
          <w:tcPr>
            <w:tcW w:w="2976" w:type="dxa"/>
            <w:gridSpan w:val="2"/>
            <w:vAlign w:val="center"/>
          </w:tcPr>
          <w:p>
            <w:pPr>
              <w:pStyle w:val="11"/>
              <w:spacing w:line="266" w:lineRule="auto"/>
              <w:ind w:right="193"/>
              <w:jc w:val="center"/>
              <w:rPr>
                <w:b/>
              </w:rPr>
            </w:pPr>
            <w:r>
              <w:rPr>
                <w:rFonts w:ascii="黑体" w:hAnsi="黑体" w:eastAsia="黑体"/>
                <w:spacing w:val="-1"/>
                <w:w w:val="95"/>
              </w:rPr>
              <w:t>其他环境保护行政许可情况</w:t>
            </w:r>
          </w:p>
        </w:tc>
        <w:tc>
          <w:tcPr>
            <w:tcW w:w="2694" w:type="dxa"/>
          </w:tcPr>
          <w:p>
            <w:pPr>
              <w:pStyle w:val="11"/>
            </w:pPr>
          </w:p>
          <w:p>
            <w:pPr>
              <w:pStyle w:val="11"/>
            </w:pPr>
          </w:p>
          <w:p>
            <w:pPr>
              <w:pStyle w:val="11"/>
            </w:pPr>
          </w:p>
          <w:p>
            <w:pPr>
              <w:pStyle w:val="11"/>
            </w:pPr>
          </w:p>
          <w:p>
            <w:pPr>
              <w:pStyle w:val="11"/>
              <w:spacing w:before="5"/>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突发环境事件应急预案基本简</w:t>
            </w:r>
            <w:r>
              <w:rPr>
                <w:rFonts w:hint="eastAsia" w:ascii="黑体" w:hAnsi="黑体" w:eastAsia="黑体"/>
                <w:spacing w:val="-1"/>
                <w:w w:val="95"/>
              </w:rPr>
              <w:t xml:space="preserve"> </w:t>
            </w:r>
            <w:r>
              <w:rPr>
                <w:rFonts w:ascii="黑体" w:hAnsi="黑体" w:eastAsia="黑体"/>
                <w:spacing w:val="-1"/>
                <w:w w:val="95"/>
              </w:rPr>
              <w:t xml:space="preserve">介 </w:t>
            </w:r>
          </w:p>
        </w:tc>
        <w:tc>
          <w:tcPr>
            <w:tcW w:w="11907" w:type="dxa"/>
            <w:gridSpan w:val="7"/>
          </w:tcPr>
          <w:p>
            <w:pPr>
              <w:widowControl/>
              <w:rPr>
                <w:rFonts w:hAnsi="Times New Roman"/>
                <w:sz w:val="18"/>
                <w:szCs w:val="18"/>
                <w:lang w:val="en-US" w:bidi="ar-SA"/>
              </w:rPr>
            </w:pPr>
            <w:r>
              <w:rPr>
                <w:rFonts w:hint="eastAsia" w:hAnsi="Times New Roman"/>
                <w:sz w:val="18"/>
                <w:szCs w:val="18"/>
                <w:lang w:val="en-US" w:bidi="ar-SA"/>
              </w:rPr>
              <w:t>开展深入广泛的《中华人民共和国固体废物污染防治法》的宣传教育活动。 202</w:t>
            </w:r>
            <w:r>
              <w:rPr>
                <w:rFonts w:hAnsi="Times New Roman"/>
                <w:sz w:val="18"/>
                <w:szCs w:val="18"/>
                <w:lang w:val="en-US" w:bidi="ar-SA"/>
              </w:rPr>
              <w:t>2</w:t>
            </w:r>
            <w:r>
              <w:rPr>
                <w:rFonts w:hint="eastAsia" w:hAnsi="Times New Roman"/>
                <w:sz w:val="18"/>
                <w:szCs w:val="18"/>
                <w:lang w:val="en-US" w:bidi="ar-SA"/>
              </w:rPr>
              <w:t>年6月对危废管理人员进行了培训，202</w:t>
            </w:r>
            <w:r>
              <w:rPr>
                <w:rFonts w:hAnsi="Times New Roman"/>
                <w:sz w:val="18"/>
                <w:szCs w:val="18"/>
                <w:lang w:val="en-US" w:bidi="ar-SA"/>
              </w:rPr>
              <w:t>2</w:t>
            </w:r>
            <w:r>
              <w:rPr>
                <w:rFonts w:hint="eastAsia" w:hAnsi="Times New Roman"/>
                <w:sz w:val="18"/>
                <w:szCs w:val="18"/>
                <w:lang w:val="en-US" w:bidi="ar-SA"/>
              </w:rPr>
              <w:t>年</w:t>
            </w:r>
            <w:r>
              <w:rPr>
                <w:rFonts w:hAnsi="Times New Roman"/>
                <w:sz w:val="18"/>
                <w:szCs w:val="18"/>
                <w:lang w:val="en-US" w:bidi="ar-SA"/>
              </w:rPr>
              <w:t>6</w:t>
            </w:r>
            <w:r>
              <w:rPr>
                <w:rFonts w:hint="eastAsia" w:hAnsi="Times New Roman"/>
                <w:sz w:val="18"/>
                <w:szCs w:val="18"/>
                <w:lang w:val="en-US" w:bidi="ar-SA"/>
              </w:rPr>
              <w:t xml:space="preserve">月进行了应急预案的演练；对全体职工传达最新环保知识，并将这一工作纳入日常环保宣传工作之中。 </w:t>
            </w:r>
          </w:p>
          <w:p>
            <w:pPr>
              <w:pStyle w:val="11"/>
              <w:spacing w:before="10" w:line="266" w:lineRule="auto"/>
              <w:ind w:right="-15"/>
              <w:rPr>
                <w:rFonts w:hAnsi="Times New Roman"/>
                <w:sz w:val="18"/>
                <w:szCs w:val="18"/>
                <w:lang w:val="en-US" w:bidi="ar-SA"/>
              </w:rPr>
            </w:pPr>
            <w:r>
              <w:rPr>
                <w:rFonts w:hAnsi="Times New Roman"/>
                <w:sz w:val="18"/>
                <w:szCs w:val="18"/>
                <w:lang w:val="en-US" w:bidi="ar-SA"/>
              </w:rPr>
              <w:t>确立并调整了应急指挥体系，组建了应急队伍。成立了突发环境事件应急救援工作领导小组，设立突发环境事件应急组织机构，由突发环境事件应急指挥部、各应急救援组构成。设</w:t>
            </w:r>
            <w:r>
              <w:rPr>
                <w:rFonts w:hint="eastAsia" w:hAnsi="Times New Roman"/>
                <w:sz w:val="18"/>
                <w:szCs w:val="18"/>
                <w:lang w:val="en-US" w:bidi="ar-SA"/>
              </w:rPr>
              <w:t>现场指挥组、调度协调组、物资供应组、现场处置组、警戒保卫组</w:t>
            </w:r>
            <w:r>
              <w:rPr>
                <w:rFonts w:hAnsi="Times New Roman"/>
                <w:sz w:val="18"/>
                <w:szCs w:val="18"/>
                <w:lang w:val="en-US" w:bidi="ar-SA"/>
              </w:rPr>
              <w:t xml:space="preserve">等 </w:t>
            </w:r>
            <w:r>
              <w:rPr>
                <w:rFonts w:hint="eastAsia" w:hAnsi="Times New Roman"/>
                <w:sz w:val="18"/>
                <w:szCs w:val="18"/>
                <w:lang w:val="en-US" w:bidi="ar-SA"/>
              </w:rPr>
              <w:t>5</w:t>
            </w:r>
            <w:r>
              <w:rPr>
                <w:rFonts w:hAnsi="Times New Roman"/>
                <w:sz w:val="18"/>
                <w:szCs w:val="18"/>
                <w:lang w:val="en-US" w:bidi="ar-SA"/>
              </w:rPr>
              <w:t>个工作组。建立了应急响应程序，确立了应急响应分级处置的程序建立了现场处置措施，细化了各种应急情况应急处置措施。</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突发环境事件应急预案备案文件于2020年11月6日收讫，济南市生态环境局章丘分局予以备案登记。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环境自行监测方案</w:t>
            </w:r>
          </w:p>
          <w:p>
            <w:pPr>
              <w:pStyle w:val="11"/>
              <w:spacing w:before="197" w:line="266" w:lineRule="auto"/>
              <w:ind w:right="84"/>
              <w:jc w:val="both"/>
              <w:rPr>
                <w:rFonts w:ascii="黑体" w:hAnsi="黑体" w:eastAsia="黑体"/>
                <w:spacing w:val="-1"/>
                <w:w w:val="95"/>
              </w:rPr>
            </w:pPr>
            <w:r>
              <w:rPr>
                <w:rFonts w:ascii="黑体" w:hAnsi="黑体" w:eastAsia="黑体"/>
                <w:spacing w:val="-1"/>
                <w:w w:val="95"/>
              </w:rPr>
              <w:t xml:space="preserve">（市控重点排污单位填报） </w:t>
            </w:r>
          </w:p>
        </w:tc>
        <w:tc>
          <w:tcPr>
            <w:tcW w:w="11907" w:type="dxa"/>
            <w:gridSpan w:val="7"/>
          </w:tcPr>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与第三方资质单位签订监测合同，开展重点企业自行监测工作。自行监测内容分为废水、废气、噪声： </w:t>
            </w:r>
          </w:p>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废水：PH 值、化学需氧量和氨氮安装自动监控设施，实时进行监测，石油类、悬浮 </w:t>
            </w:r>
            <w:r>
              <w:rPr>
                <w:rFonts w:hint="eastAsia" w:hAnsi="Times New Roman"/>
                <w:sz w:val="18"/>
                <w:szCs w:val="18"/>
                <w:lang w:val="en-US" w:bidi="ar-SA"/>
              </w:rPr>
              <w:t xml:space="preserve">物、五日生化需氧量、阴离子表面活性剂每月进行监测。在线监控的污染物指标每季度进行对比监测。 </w:t>
            </w:r>
            <w:r>
              <w:rPr>
                <w:rFonts w:hAnsi="Times New Roman"/>
                <w:sz w:val="18"/>
                <w:szCs w:val="18"/>
                <w:lang w:val="en-US" w:bidi="ar-SA"/>
              </w:rPr>
              <w:t xml:space="preserve"> </w:t>
            </w:r>
          </w:p>
          <w:p>
            <w:pPr>
              <w:pStyle w:val="11"/>
              <w:spacing w:before="10" w:line="266" w:lineRule="auto"/>
              <w:ind w:right="-15"/>
              <w:rPr>
                <w:rFonts w:hint="default" w:hAnsi="Times New Roman" w:eastAsia="宋体"/>
                <w:sz w:val="18"/>
                <w:szCs w:val="18"/>
                <w:lang w:val="en-US" w:eastAsia="zh-CN" w:bidi="ar-SA"/>
              </w:rPr>
            </w:pPr>
            <w:r>
              <w:rPr>
                <w:rFonts w:hAnsi="Times New Roman"/>
                <w:sz w:val="18"/>
                <w:szCs w:val="18"/>
                <w:lang w:val="en-US" w:bidi="ar-SA"/>
              </w:rPr>
              <w:t>废气检测</w:t>
            </w:r>
            <w:r>
              <w:rPr>
                <w:rFonts w:hint="eastAsia" w:hAnsi="Times New Roman"/>
                <w:sz w:val="18"/>
                <w:szCs w:val="18"/>
                <w:lang w:val="en-US" w:bidi="ar-SA"/>
              </w:rPr>
              <w:t>;烟尘</w:t>
            </w:r>
            <w:r>
              <w:rPr>
                <w:rFonts w:hAnsi="Times New Roman"/>
                <w:sz w:val="18"/>
                <w:szCs w:val="18"/>
                <w:lang w:val="en-US" w:bidi="ar-SA"/>
              </w:rPr>
              <w:t>颗粒物</w:t>
            </w:r>
            <w:r>
              <w:rPr>
                <w:rFonts w:hint="eastAsia" w:hAnsi="Times New Roman"/>
                <w:sz w:val="18"/>
                <w:szCs w:val="18"/>
                <w:lang w:val="en-US" w:eastAsia="zh-CN" w:bidi="ar-SA"/>
              </w:rPr>
              <w:t>、二氧化硫、氮氧化物</w:t>
            </w:r>
            <w:r>
              <w:rPr>
                <w:rFonts w:hAnsi="Times New Roman"/>
                <w:sz w:val="18"/>
                <w:szCs w:val="18"/>
                <w:lang w:val="en-US" w:bidi="ar-SA"/>
              </w:rPr>
              <w:t>每年一次进行监测，</w:t>
            </w:r>
            <w:r>
              <w:rPr>
                <w:rFonts w:hint="eastAsia" w:hAnsi="Times New Roman"/>
                <w:sz w:val="18"/>
                <w:szCs w:val="18"/>
                <w:lang w:val="en-US" w:bidi="ar-SA"/>
              </w:rPr>
              <w:t>喷漆废气</w:t>
            </w:r>
            <w:r>
              <w:rPr>
                <w:rFonts w:hAnsi="Times New Roman"/>
                <w:sz w:val="18"/>
                <w:szCs w:val="18"/>
                <w:lang w:val="en-US" w:bidi="ar-SA"/>
              </w:rPr>
              <w:t>、甲苯、</w:t>
            </w:r>
            <w:r>
              <w:rPr>
                <w:rFonts w:hint="eastAsia" w:hAnsi="Times New Roman"/>
                <w:sz w:val="18"/>
                <w:szCs w:val="18"/>
                <w:lang w:val="en-US" w:bidi="ar-SA"/>
              </w:rPr>
              <w:t>苯、</w:t>
            </w:r>
            <w:r>
              <w:rPr>
                <w:rFonts w:hAnsi="Times New Roman"/>
                <w:sz w:val="18"/>
                <w:szCs w:val="18"/>
                <w:lang w:val="en-US" w:bidi="ar-SA"/>
              </w:rPr>
              <w:t>二甲苯</w:t>
            </w:r>
            <w:r>
              <w:rPr>
                <w:rFonts w:hint="eastAsia" w:hAnsi="Times New Roman"/>
                <w:sz w:val="18"/>
                <w:szCs w:val="18"/>
                <w:lang w:val="en-US" w:bidi="ar-SA"/>
              </w:rPr>
              <w:t>、颗粒物</w:t>
            </w:r>
            <w:r>
              <w:rPr>
                <w:rFonts w:hAnsi="Times New Roman"/>
                <w:sz w:val="18"/>
                <w:szCs w:val="18"/>
                <w:lang w:val="en-US" w:bidi="ar-SA"/>
              </w:rPr>
              <w:t>每季度</w:t>
            </w:r>
            <w:r>
              <w:rPr>
                <w:rFonts w:hint="eastAsia" w:hAnsi="Times New Roman"/>
                <w:sz w:val="18"/>
                <w:szCs w:val="18"/>
                <w:lang w:val="en-US" w:bidi="ar-SA"/>
              </w:rPr>
              <w:t>进行</w:t>
            </w:r>
            <w:r>
              <w:rPr>
                <w:rFonts w:hAnsi="Times New Roman"/>
                <w:sz w:val="18"/>
                <w:szCs w:val="18"/>
                <w:lang w:val="en-US" w:bidi="ar-SA"/>
              </w:rPr>
              <w:t>一次</w:t>
            </w:r>
            <w:r>
              <w:rPr>
                <w:rFonts w:hint="eastAsia" w:hAnsi="Times New Roman"/>
                <w:sz w:val="18"/>
                <w:szCs w:val="18"/>
                <w:lang w:val="en-US" w:bidi="ar-SA"/>
              </w:rPr>
              <w:t>监测，挥发性有机物</w:t>
            </w:r>
            <w:r>
              <w:rPr>
                <w:rFonts w:hint="eastAsia" w:hAnsi="Times New Roman"/>
                <w:sz w:val="18"/>
                <w:szCs w:val="18"/>
                <w:lang w:val="en-US" w:eastAsia="zh-CN" w:bidi="ar-SA"/>
              </w:rPr>
              <w:t>实时在线监测。</w:t>
            </w:r>
          </w:p>
          <w:p>
            <w:pPr>
              <w:pStyle w:val="11"/>
              <w:spacing w:before="10" w:line="266" w:lineRule="auto"/>
              <w:ind w:right="-15"/>
              <w:rPr>
                <w:rFonts w:hAnsi="Times New Roman"/>
                <w:sz w:val="18"/>
                <w:szCs w:val="18"/>
                <w:lang w:val="en-US" w:bidi="ar-SA"/>
              </w:rPr>
            </w:pPr>
            <w:r>
              <w:rPr>
                <w:rFonts w:hAnsi="Times New Roman"/>
                <w:sz w:val="18"/>
                <w:szCs w:val="18"/>
                <w:lang w:val="en-US" w:bidi="ar-SA"/>
              </w:rPr>
              <w:t>噪声检测每</w:t>
            </w:r>
            <w:r>
              <w:rPr>
                <w:rFonts w:hint="eastAsia" w:hAnsi="Times New Roman"/>
                <w:sz w:val="18"/>
                <w:szCs w:val="18"/>
                <w:lang w:val="en-US" w:eastAsia="zh-CN" w:bidi="ar-SA"/>
              </w:rPr>
              <w:t>季度</w:t>
            </w:r>
            <w:r>
              <w:rPr>
                <w:rFonts w:hAnsi="Times New Roman"/>
                <w:sz w:val="18"/>
                <w:szCs w:val="18"/>
                <w:lang w:val="en-US" w:bidi="ar-SA"/>
              </w:rPr>
              <w:t xml:space="preserve">一次。 </w:t>
            </w:r>
            <w:r>
              <w:rPr>
                <w:rFonts w:hint="eastAsia" w:hAnsi="Times New Roman"/>
                <w:sz w:val="18"/>
                <w:szCs w:val="18"/>
                <w:lang w:val="en-US" w:eastAsia="zh-CN" w:bidi="ar-SA"/>
              </w:rPr>
              <w:t>（华安检测集团有限公司）</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一套</w:t>
            </w:r>
            <w:r>
              <w:rPr>
                <w:rFonts w:hAnsi="Times New Roman"/>
                <w:sz w:val="18"/>
                <w:szCs w:val="18"/>
                <w:lang w:val="en-US" w:bidi="ar-SA"/>
              </w:rPr>
              <w:t>污水在线监测设施，检测项目（COD、氨氮、pH 值</w:t>
            </w:r>
            <w:r>
              <w:rPr>
                <w:rFonts w:hint="eastAsia" w:hAnsi="Times New Roman"/>
                <w:sz w:val="18"/>
                <w:szCs w:val="18"/>
                <w:lang w:val="en-US" w:bidi="ar-SA"/>
              </w:rPr>
              <w:t>、总磷、流量</w:t>
            </w:r>
            <w:r>
              <w:rPr>
                <w:rFonts w:hAnsi="Times New Roman"/>
                <w:sz w:val="18"/>
                <w:szCs w:val="18"/>
                <w:lang w:val="en-US" w:bidi="ar-SA"/>
              </w:rPr>
              <w:t xml:space="preserve">）； </w:t>
            </w:r>
            <w:r>
              <w:rPr>
                <w:rFonts w:hint="eastAsia" w:hAnsi="Times New Roman"/>
                <w:sz w:val="18"/>
                <w:szCs w:val="18"/>
                <w:lang w:val="en-US" w:eastAsia="zh-CN" w:bidi="ar-SA"/>
              </w:rPr>
              <w:t>4</w:t>
            </w:r>
            <w:r>
              <w:rPr>
                <w:rFonts w:hint="eastAsia" w:hAnsi="Times New Roman"/>
                <w:sz w:val="18"/>
                <w:szCs w:val="18"/>
                <w:lang w:val="en-US" w:bidi="ar-SA"/>
              </w:rPr>
              <w:t>套</w:t>
            </w:r>
            <w:r>
              <w:rPr>
                <w:rFonts w:hAnsi="Times New Roman"/>
                <w:sz w:val="18"/>
                <w:szCs w:val="18"/>
                <w:lang w:val="en-US" w:bidi="ar-SA"/>
              </w:rPr>
              <w:t>VOCs 废气在线监测设施，检测项目（非甲烷总烃）；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55" w:type="dxa"/>
          </w:tcPr>
          <w:p>
            <w:pPr>
              <w:pStyle w:val="11"/>
              <w:spacing w:before="175" w:line="266" w:lineRule="auto"/>
              <w:ind w:left="203" w:right="84"/>
              <w:jc w:val="center"/>
              <w:rPr>
                <w:rFonts w:ascii="黑体" w:hAnsi="黑体" w:eastAsia="黑体"/>
                <w:spacing w:val="-1"/>
                <w:w w:val="95"/>
              </w:rPr>
            </w:pPr>
            <w:r>
              <w:rPr>
                <w:rFonts w:ascii="黑体" w:hAnsi="黑体" w:eastAsia="黑体"/>
                <w:spacing w:val="-1"/>
                <w:w w:val="95"/>
              </w:rPr>
              <w:t>其</w:t>
            </w:r>
            <w:r>
              <w:rPr>
                <w:rFonts w:hint="eastAsia" w:ascii="黑体" w:hAnsi="黑体" w:eastAsia="黑体"/>
                <w:spacing w:val="-1"/>
                <w:w w:val="95"/>
              </w:rPr>
              <w:t xml:space="preserve"> </w:t>
            </w:r>
            <w:r>
              <w:rPr>
                <w:rFonts w:ascii="黑体" w:hAnsi="黑体" w:eastAsia="黑体"/>
                <w:spacing w:val="-1"/>
                <w:w w:val="95"/>
              </w:rPr>
              <w:t>他环</w:t>
            </w:r>
            <w:r>
              <w:rPr>
                <w:rFonts w:hint="eastAsia" w:ascii="黑体" w:hAnsi="黑体" w:eastAsia="黑体"/>
                <w:spacing w:val="-1"/>
                <w:w w:val="95"/>
              </w:rPr>
              <w:t xml:space="preserve"> </w:t>
            </w:r>
            <w:r>
              <w:rPr>
                <w:rFonts w:ascii="黑体" w:hAnsi="黑体" w:eastAsia="黑体"/>
                <w:spacing w:val="-1"/>
                <w:w w:val="95"/>
              </w:rPr>
              <w:t>境信</w:t>
            </w:r>
            <w:r>
              <w:rPr>
                <w:rFonts w:hint="eastAsia" w:ascii="黑体" w:hAnsi="黑体" w:eastAsia="黑体"/>
                <w:spacing w:val="-1"/>
                <w:w w:val="95"/>
              </w:rPr>
              <w:t xml:space="preserve"> </w:t>
            </w:r>
            <w:r>
              <w:rPr>
                <w:rFonts w:ascii="黑体" w:hAnsi="黑体" w:eastAsia="黑体"/>
                <w:spacing w:val="-1"/>
                <w:w w:val="95"/>
              </w:rPr>
              <w:t>息</w:t>
            </w:r>
          </w:p>
        </w:tc>
        <w:tc>
          <w:tcPr>
            <w:tcW w:w="11907" w:type="dxa"/>
            <w:gridSpan w:val="7"/>
          </w:tcPr>
          <w:p>
            <w:pPr>
              <w:pStyle w:val="11"/>
            </w:pPr>
          </w:p>
          <w:p>
            <w:pPr>
              <w:pStyle w:val="11"/>
              <w:rPr>
                <w:sz w:val="16"/>
              </w:rPr>
            </w:pPr>
          </w:p>
          <w:p>
            <w:pPr>
              <w:pStyle w:val="11"/>
              <w:spacing w:before="1"/>
              <w:ind w:left="121"/>
              <w:jc w:val="center"/>
              <w:rPr>
                <w:b/>
              </w:rPr>
            </w:pPr>
            <w:r>
              <w:rPr>
                <w:b/>
                <w:w w:val="99"/>
              </w:rPr>
              <w:t xml:space="preserve"> </w:t>
            </w:r>
          </w:p>
        </w:tc>
      </w:tr>
    </w:tbl>
    <w:p/>
    <w:sectPr>
      <w:pgSz w:w="16840" w:h="11910" w:orient="landscape"/>
      <w:pgMar w:top="1418" w:right="1418" w:bottom="1418" w:left="141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ODE3MDljNTk4NDE3NGFjNzFlYWE1ZTllZTRjNmUifQ=="/>
  </w:docVars>
  <w:rsids>
    <w:rsidRoot w:val="00DC0004"/>
    <w:rsid w:val="000E506B"/>
    <w:rsid w:val="00120675"/>
    <w:rsid w:val="001246C5"/>
    <w:rsid w:val="00256D92"/>
    <w:rsid w:val="002C7CA8"/>
    <w:rsid w:val="00354A76"/>
    <w:rsid w:val="00356452"/>
    <w:rsid w:val="00375760"/>
    <w:rsid w:val="003D03A8"/>
    <w:rsid w:val="003E19F2"/>
    <w:rsid w:val="004111CD"/>
    <w:rsid w:val="00425F8F"/>
    <w:rsid w:val="004307A3"/>
    <w:rsid w:val="004D6B6C"/>
    <w:rsid w:val="00542575"/>
    <w:rsid w:val="00593287"/>
    <w:rsid w:val="005C40E0"/>
    <w:rsid w:val="005C5F9A"/>
    <w:rsid w:val="005C6ACC"/>
    <w:rsid w:val="005E7F81"/>
    <w:rsid w:val="00677855"/>
    <w:rsid w:val="006C33FA"/>
    <w:rsid w:val="006C5526"/>
    <w:rsid w:val="006F4724"/>
    <w:rsid w:val="00751124"/>
    <w:rsid w:val="0076048A"/>
    <w:rsid w:val="007A541C"/>
    <w:rsid w:val="00880280"/>
    <w:rsid w:val="00881E76"/>
    <w:rsid w:val="009505D6"/>
    <w:rsid w:val="009A0BC9"/>
    <w:rsid w:val="009B53A3"/>
    <w:rsid w:val="00A67821"/>
    <w:rsid w:val="00B300F6"/>
    <w:rsid w:val="00B35D47"/>
    <w:rsid w:val="00C3001E"/>
    <w:rsid w:val="00C35F0D"/>
    <w:rsid w:val="00C664B4"/>
    <w:rsid w:val="00CA7462"/>
    <w:rsid w:val="00CD36B6"/>
    <w:rsid w:val="00D50DD3"/>
    <w:rsid w:val="00D52987"/>
    <w:rsid w:val="00D702E7"/>
    <w:rsid w:val="00D72222"/>
    <w:rsid w:val="00DA4BEC"/>
    <w:rsid w:val="00DC0004"/>
    <w:rsid w:val="00DD3675"/>
    <w:rsid w:val="00DE652B"/>
    <w:rsid w:val="00E73A93"/>
    <w:rsid w:val="00E742A2"/>
    <w:rsid w:val="00EB06C2"/>
    <w:rsid w:val="00EF791A"/>
    <w:rsid w:val="00F3321E"/>
    <w:rsid w:val="00F33CF6"/>
    <w:rsid w:val="00F639CD"/>
    <w:rsid w:val="00FB6D2A"/>
    <w:rsid w:val="00FF15F7"/>
    <w:rsid w:val="00FF46E8"/>
    <w:rsid w:val="016505B0"/>
    <w:rsid w:val="03634CF7"/>
    <w:rsid w:val="0499472A"/>
    <w:rsid w:val="0560375C"/>
    <w:rsid w:val="05BF6471"/>
    <w:rsid w:val="07D33802"/>
    <w:rsid w:val="0AA40279"/>
    <w:rsid w:val="0B7C61A0"/>
    <w:rsid w:val="0BC267A7"/>
    <w:rsid w:val="0CCA2932"/>
    <w:rsid w:val="0D0A3D49"/>
    <w:rsid w:val="0DC51B42"/>
    <w:rsid w:val="0F2307EE"/>
    <w:rsid w:val="0FDD7C8A"/>
    <w:rsid w:val="102E6CA7"/>
    <w:rsid w:val="103141BB"/>
    <w:rsid w:val="10DD519F"/>
    <w:rsid w:val="132A0982"/>
    <w:rsid w:val="139D1BB7"/>
    <w:rsid w:val="13C108C6"/>
    <w:rsid w:val="15311626"/>
    <w:rsid w:val="154579A4"/>
    <w:rsid w:val="15F8032E"/>
    <w:rsid w:val="162C4F37"/>
    <w:rsid w:val="17DE0D04"/>
    <w:rsid w:val="197D623D"/>
    <w:rsid w:val="1B4904BA"/>
    <w:rsid w:val="1B6B6636"/>
    <w:rsid w:val="1BA77C77"/>
    <w:rsid w:val="1BBC0057"/>
    <w:rsid w:val="1C69029D"/>
    <w:rsid w:val="1D4E4EA4"/>
    <w:rsid w:val="1F3A4716"/>
    <w:rsid w:val="1F7732D5"/>
    <w:rsid w:val="21033805"/>
    <w:rsid w:val="223D5896"/>
    <w:rsid w:val="251178A0"/>
    <w:rsid w:val="26816824"/>
    <w:rsid w:val="27A31034"/>
    <w:rsid w:val="27E070F5"/>
    <w:rsid w:val="28807DE2"/>
    <w:rsid w:val="2949072C"/>
    <w:rsid w:val="29C230EF"/>
    <w:rsid w:val="2AA450FF"/>
    <w:rsid w:val="2B651AEC"/>
    <w:rsid w:val="2D91660E"/>
    <w:rsid w:val="2E00644A"/>
    <w:rsid w:val="2E121069"/>
    <w:rsid w:val="2E204A87"/>
    <w:rsid w:val="2EFA41D4"/>
    <w:rsid w:val="30090A9C"/>
    <w:rsid w:val="32AE766A"/>
    <w:rsid w:val="355737D2"/>
    <w:rsid w:val="35C2216D"/>
    <w:rsid w:val="380A6249"/>
    <w:rsid w:val="3823299C"/>
    <w:rsid w:val="393B056C"/>
    <w:rsid w:val="39883F6D"/>
    <w:rsid w:val="3B8155D7"/>
    <w:rsid w:val="3BCB351D"/>
    <w:rsid w:val="3CA40C2F"/>
    <w:rsid w:val="3CAD470B"/>
    <w:rsid w:val="3D87538C"/>
    <w:rsid w:val="404E5042"/>
    <w:rsid w:val="42057AC0"/>
    <w:rsid w:val="440F6F8F"/>
    <w:rsid w:val="457A79E8"/>
    <w:rsid w:val="498D6A0F"/>
    <w:rsid w:val="4CA035FE"/>
    <w:rsid w:val="4EE7618A"/>
    <w:rsid w:val="4FB25E54"/>
    <w:rsid w:val="556E1102"/>
    <w:rsid w:val="556E6FD0"/>
    <w:rsid w:val="56DC6BBD"/>
    <w:rsid w:val="57691CEC"/>
    <w:rsid w:val="5BDE519A"/>
    <w:rsid w:val="5ED65E9E"/>
    <w:rsid w:val="5F625A9F"/>
    <w:rsid w:val="5F73502D"/>
    <w:rsid w:val="6032304D"/>
    <w:rsid w:val="63A552C2"/>
    <w:rsid w:val="650D3001"/>
    <w:rsid w:val="65212AA9"/>
    <w:rsid w:val="68A64603"/>
    <w:rsid w:val="695F671E"/>
    <w:rsid w:val="6A332BD4"/>
    <w:rsid w:val="6C6420CA"/>
    <w:rsid w:val="6DF73C6F"/>
    <w:rsid w:val="6F5E1C9F"/>
    <w:rsid w:val="6F996223"/>
    <w:rsid w:val="6FC97B45"/>
    <w:rsid w:val="703E3F6D"/>
    <w:rsid w:val="7089584F"/>
    <w:rsid w:val="71CF7BA0"/>
    <w:rsid w:val="71E256C0"/>
    <w:rsid w:val="720466D2"/>
    <w:rsid w:val="72681A58"/>
    <w:rsid w:val="72BB4478"/>
    <w:rsid w:val="73520CA4"/>
    <w:rsid w:val="73602D7B"/>
    <w:rsid w:val="737A1F1E"/>
    <w:rsid w:val="75011414"/>
    <w:rsid w:val="75530B22"/>
    <w:rsid w:val="76DC2D7F"/>
    <w:rsid w:val="78715DC8"/>
    <w:rsid w:val="796321AA"/>
    <w:rsid w:val="79AE12B3"/>
    <w:rsid w:val="7A613F58"/>
    <w:rsid w:val="7B536E6B"/>
    <w:rsid w:val="7C001096"/>
    <w:rsid w:val="7CFE387D"/>
    <w:rsid w:val="7D064AA2"/>
    <w:rsid w:val="7D3049CD"/>
    <w:rsid w:val="7D856F8A"/>
    <w:rsid w:val="7E9C79A6"/>
    <w:rsid w:val="7F11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rPr>
      <w:rFonts w:ascii="Calibri" w:hAnsi="Calibri"/>
      <w:sz w:val="21"/>
    </w:rPr>
  </w:style>
  <w:style w:type="paragraph" w:styleId="3">
    <w:name w:val="Body Text"/>
    <w:basedOn w:val="1"/>
    <w:qFormat/>
    <w:uiPriority w:val="1"/>
    <w:pPr>
      <w:spacing w:before="5"/>
    </w:p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5"/>
    <w:uiPriority w:val="0"/>
    <w:rPr>
      <w:rFonts w:ascii="宋体" w:hAnsi="宋体" w:cs="宋体"/>
      <w:sz w:val="18"/>
      <w:szCs w:val="18"/>
      <w:lang w:val="zh-CN" w:bidi="zh-CN"/>
    </w:rPr>
  </w:style>
  <w:style w:type="character" w:customStyle="1" w:styleId="13">
    <w:name w:val="页脚 字符"/>
    <w:basedOn w:val="8"/>
    <w:link w:val="4"/>
    <w:uiPriority w:val="0"/>
    <w:rPr>
      <w:rFonts w:ascii="宋体" w:hAnsi="宋体" w:cs="宋体"/>
      <w:sz w:val="18"/>
      <w:szCs w:val="18"/>
      <w:lang w:val="zh-CN" w:bidi="zh-CN"/>
    </w:rPr>
  </w:style>
  <w:style w:type="character" w:customStyle="1" w:styleId="14">
    <w:name w:val="文档结构图 字符"/>
    <w:basedOn w:val="8"/>
    <w:link w:val="2"/>
    <w:semiHidden/>
    <w:qFormat/>
    <w:uiPriority w:val="99"/>
    <w:rPr>
      <w:rFonts w:ascii="Calibri" w:hAnsi="Calibri" w:cs="宋体"/>
      <w:sz w:val="21"/>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76E0-C6CD-4542-9F5D-91B314EB2679}">
  <ds:schemaRefs/>
</ds:datastoreItem>
</file>

<file path=docProps/app.xml><?xml version="1.0" encoding="utf-8"?>
<Properties xmlns="http://schemas.openxmlformats.org/officeDocument/2006/extended-properties" xmlns:vt="http://schemas.openxmlformats.org/officeDocument/2006/docPropsVTypes">
  <Template>Normal</Template>
  <Pages>3</Pages>
  <Words>2298</Words>
  <Characters>3021</Characters>
  <Lines>26</Lines>
  <Paragraphs>7</Paragraphs>
  <TotalTime>0</TotalTime>
  <ScaleCrop>false</ScaleCrop>
  <LinksUpToDate>false</LinksUpToDate>
  <CharactersWithSpaces>3284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2022-09-15T02:03:00Z</dcterms:created>
  <dc:creator>PGOS</dc:creator>
  <cp:lastModifiedBy>Administrator</cp:lastModifiedBy>
  <cp:lastPrinted>2022-02-07T02:49:00Z</cp:lastPrinted>
  <dcterms:modified xsi:type="dcterms:W3CDTF">2023-06-29T07:14:51Z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2052-11.1.0.12980</vt:lpwstr>
  </property>
  <property fmtid="{D5CDD505-2E9C-101B-9397-08002B2CF9AE}" pid="6" name="ICV">
    <vt:lpwstr>FFBAEE17EC4B4959B42A32A7A0AA49A9</vt:lpwstr>
  </property>
</Properties>
</file>