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eastAsia="zh-CN"/>
        </w:rPr>
        <w:t>炉料清理机项目</w:t>
      </w: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附：技术标书</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设备采购合同</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hint="eastAsia" w:ascii="华文仿宋" w:hAnsi="华文仿宋" w:eastAsia="华文仿宋"/>
          <w:b/>
          <w:bCs/>
          <w:sz w:val="32"/>
          <w:szCs w:val="28"/>
        </w:rPr>
      </w:pPr>
    </w:p>
    <w:p>
      <w:pPr>
        <w:spacing w:line="860" w:lineRule="exact"/>
        <w:rPr>
          <w:rFonts w:hint="eastAsia" w:ascii="华文仿宋" w:hAnsi="华文仿宋" w:eastAsia="华文仿宋"/>
          <w:b/>
          <w:bCs/>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19</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43</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本表是对“投标须知”正文的具体补充和修改，如有不一致，以“前附表”为准。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color w:val="000000"/>
                <w:sz w:val="24"/>
                <w:szCs w:val="24"/>
                <w:u w:val="single"/>
              </w:rPr>
              <w:t>中国重汽集团济南动力有限</w:t>
            </w:r>
            <w:r>
              <w:rPr>
                <w:rFonts w:hint="eastAsia" w:ascii="宋体" w:hAnsi="宋体" w:eastAsia="宋体" w:cs="宋体"/>
                <w:color w:val="000000"/>
                <w:sz w:val="24"/>
                <w:szCs w:val="24"/>
                <w:highlight w:val="none"/>
                <w:u w:val="single"/>
              </w:rPr>
              <w:t>公司</w:t>
            </w:r>
            <w:r>
              <w:rPr>
                <w:rFonts w:hint="eastAsia" w:ascii="宋体" w:hAnsi="宋体" w:eastAsia="宋体" w:cs="宋体"/>
                <w:b/>
                <w:bCs/>
                <w:sz w:val="24"/>
                <w:szCs w:val="24"/>
                <w:highlight w:val="none"/>
                <w:u w:val="single"/>
                <w:lang w:val="en-US" w:eastAsia="zh-CN"/>
              </w:rPr>
              <w:t>济南成型厂</w:t>
            </w:r>
            <w:r>
              <w:rPr>
                <w:rFonts w:hint="eastAsia" w:ascii="宋体" w:hAnsi="宋体" w:eastAsia="宋体" w:cs="宋体"/>
                <w:b/>
                <w:bCs/>
                <w:sz w:val="24"/>
                <w:szCs w:val="24"/>
                <w:highlight w:val="none"/>
                <w:u w:val="single"/>
                <w:lang w:eastAsia="zh-CN"/>
              </w:rPr>
              <w:t>炉料清理及设备更新技改</w:t>
            </w:r>
            <w:r>
              <w:rPr>
                <w:rFonts w:hint="eastAsia" w:ascii="宋体" w:hAnsi="宋体" w:eastAsia="宋体" w:cs="宋体"/>
                <w:b/>
                <w:bCs/>
                <w:sz w:val="24"/>
                <w:szCs w:val="24"/>
                <w:highlight w:val="none"/>
                <w:u w:val="single"/>
              </w:rPr>
              <w:t>项目</w:t>
            </w:r>
            <w:r>
              <w:rPr>
                <w:rFonts w:hint="eastAsia" w:ascii="宋体" w:hAnsi="宋体" w:eastAsia="宋体" w:cs="宋体"/>
                <w:b/>
                <w:bCs/>
                <w:sz w:val="24"/>
                <w:szCs w:val="24"/>
                <w:highlight w:val="none"/>
                <w:u w:val="single"/>
                <w:lang w:eastAsia="zh-CN"/>
              </w:rPr>
              <w:t>新增炉料清理机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项目编号：</w:t>
            </w:r>
            <w:r>
              <w:rPr>
                <w:rFonts w:hint="eastAsia" w:ascii="宋体" w:hAnsi="宋体" w:eastAsia="宋体" w:cs="宋体"/>
                <w:i w:val="0"/>
                <w:iCs w:val="0"/>
                <w:caps w:val="0"/>
                <w:color w:val="000000"/>
                <w:spacing w:val="0"/>
                <w:sz w:val="24"/>
                <w:szCs w:val="24"/>
                <w:highlight w:val="none"/>
                <w:u w:val="single"/>
                <w:shd w:val="clear"/>
              </w:rPr>
              <w:t>CGZX2023040217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u w:val="single"/>
                <w:lang w:eastAsia="zh-CN"/>
              </w:rPr>
              <w:t>新增炉料清理机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世纪大道66</w:t>
            </w:r>
            <w:r>
              <w:rPr>
                <w:rFonts w:hint="eastAsia" w:ascii="宋体" w:hAnsi="宋体" w:eastAsia="宋体" w:cs="宋体"/>
                <w:sz w:val="24"/>
                <w:szCs w:val="24"/>
                <w:highlight w:val="none"/>
                <w:u w:val="single"/>
              </w:rPr>
              <w:t>77号</w:t>
            </w:r>
            <w:r>
              <w:rPr>
                <w:rFonts w:hint="eastAsia" w:ascii="宋体" w:hAnsi="宋体" w:eastAsia="宋体" w:cs="宋体"/>
                <w:sz w:val="24"/>
                <w:szCs w:val="24"/>
                <w:highlight w:val="none"/>
              </w:rPr>
              <w:t xml:space="preserve"> </w:t>
            </w:r>
          </w:p>
          <w:p>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lang w:eastAsia="zh-CN"/>
              </w:rPr>
              <w:t>侯天立</w:t>
            </w:r>
            <w:r>
              <w:rPr>
                <w:rFonts w:hint="eastAsia" w:ascii="宋体" w:hAnsi="宋体" w:eastAsia="宋体" w:cs="宋体"/>
                <w:b/>
                <w:snapToGrid w:val="0"/>
                <w:kern w:val="0"/>
                <w:sz w:val="24"/>
                <w:szCs w:val="24"/>
                <w:highlight w:val="none"/>
                <w:lang w:val="en-US" w:eastAsia="zh-CN"/>
              </w:rPr>
              <w:t xml:space="preserve"> </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 w:val="0"/>
                <w:bCs/>
                <w:snapToGrid w:val="0"/>
                <w:kern w:val="0"/>
                <w:sz w:val="24"/>
                <w:szCs w:val="24"/>
                <w:highlight w:val="none"/>
                <w:lang w:val="en-US" w:eastAsia="zh-CN"/>
              </w:rPr>
              <w:t xml:space="preserve">19861891372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请务必报含税价和不含税价并写明税率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rPr>
              <w:t>1.拟</w:t>
            </w:r>
            <w:r>
              <w:rPr>
                <w:rFonts w:hint="eastAsia" w:hAnsi="宋体" w:eastAsia="宋体" w:cs="宋体"/>
                <w:color w:val="000000"/>
                <w:sz w:val="24"/>
                <w:szCs w:val="24"/>
                <w:lang w:val="en-US" w:eastAsia="zh-CN"/>
              </w:rPr>
              <w:t>投</w:t>
            </w:r>
            <w:r>
              <w:rPr>
                <w:rFonts w:hint="eastAsia" w:ascii="宋体" w:hAnsi="宋体" w:eastAsia="宋体" w:cs="宋体"/>
                <w:color w:val="000000"/>
                <w:sz w:val="24"/>
                <w:szCs w:val="24"/>
              </w:rPr>
              <w:t>标人必须是在中华人民共和国境内注册的独立法人机构，具有独立承担民事责任能力；注册资金不少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none"/>
                <w:u w:val="single"/>
                <w:lang w:val="en-US" w:eastAsia="zh-CN"/>
              </w:rPr>
              <w:t>500</w:t>
            </w:r>
            <w:r>
              <w:rPr>
                <w:rFonts w:hint="eastAsia" w:ascii="宋体" w:hAnsi="宋体" w:eastAsia="宋体" w:cs="宋体"/>
                <w:b/>
                <w:bCs/>
                <w:color w:val="000000"/>
                <w:sz w:val="24"/>
                <w:szCs w:val="24"/>
                <w:highlight w:val="none"/>
                <w:u w:val="single"/>
              </w:rPr>
              <w:t>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b/>
                <w:color w:val="000000"/>
                <w:sz w:val="24"/>
                <w:szCs w:val="24"/>
                <w:highlight w:val="none"/>
                <w:u w:val="single"/>
              </w:rPr>
              <w:t>三年以上</w:t>
            </w:r>
            <w:r>
              <w:rPr>
                <w:rFonts w:hint="eastAsia" w:ascii="宋体" w:hAnsi="宋体" w:eastAsia="宋体" w:cs="宋体"/>
                <w:color w:val="000000"/>
                <w:sz w:val="24"/>
                <w:szCs w:val="24"/>
                <w:highlight w:val="none"/>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2.拟投标人应提供三证合一的营业执照</w:t>
            </w:r>
            <w:r>
              <w:rPr>
                <w:rFonts w:hint="eastAsia" w:ascii="宋体" w:hAnsi="宋体" w:eastAsia="宋体" w:cs="宋体"/>
                <w:b/>
                <w:sz w:val="24"/>
                <w:szCs w:val="24"/>
                <w:highlight w:val="none"/>
              </w:rPr>
              <w:t>副本原件和扫描件（需盖章）</w:t>
            </w:r>
            <w:r>
              <w:rPr>
                <w:rFonts w:hint="eastAsia" w:ascii="宋体" w:hAnsi="宋体" w:eastAsia="宋体" w:cs="宋体"/>
                <w:color w:val="000000"/>
                <w:sz w:val="24"/>
                <w:szCs w:val="24"/>
                <w:highlight w:val="none"/>
              </w:rPr>
              <w:t>；</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3.拟投标人应提供法定代表人资格证明文件；</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4.拟投标人在工商行政管理局的《国家企业信用信息公示系统》中查询不存在不良记录；</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none"/>
              </w:rPr>
              <w:t>2019年1月1日至今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8.投标人三年内无违法及重大违规情况；</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pPr>
              <w:pStyle w:val="17"/>
              <w:spacing w:line="240" w:lineRule="auto"/>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10.投标人最近半年纳税正常；</w:t>
            </w:r>
          </w:p>
          <w:p>
            <w:pPr>
              <w:pStyle w:val="17"/>
              <w:spacing w:line="240" w:lineRule="auto"/>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11.投标人信用证明材料（中国人民银行信用代码证+征信报告）未显示异常；</w:t>
            </w:r>
          </w:p>
          <w:p>
            <w:pPr>
              <w:pStyle w:val="17"/>
              <w:ind w:firstLine="480" w:firstLineChars="200"/>
              <w:rPr>
                <w:rFonts w:hint="eastAsia" w:hAnsi="宋体" w:eastAsia="宋体" w:cstheme="minorBidi"/>
                <w:color w:val="000000"/>
                <w:kern w:val="2"/>
                <w:sz w:val="24"/>
                <w:szCs w:val="24"/>
                <w:highlight w:val="none"/>
                <w:lang w:val="en-US" w:eastAsia="zh-CN" w:bidi="ar-SA"/>
              </w:rPr>
            </w:pPr>
            <w:r>
              <w:rPr>
                <w:rFonts w:hint="eastAsia" w:hAnsi="宋体" w:eastAsia="宋体" w:cs="宋体"/>
                <w:color w:val="000000"/>
                <w:sz w:val="24"/>
                <w:szCs w:val="24"/>
                <w:highlight w:val="none"/>
                <w:lang w:val="en-US" w:eastAsia="zh-CN"/>
              </w:rPr>
              <w:t>12.</w:t>
            </w:r>
            <w:r>
              <w:rPr>
                <w:rFonts w:hint="eastAsia" w:ascii="宋体" w:hAnsi="宋体" w:eastAsia="宋体" w:cstheme="minorBidi"/>
                <w:color w:val="000000"/>
                <w:kern w:val="2"/>
                <w:sz w:val="24"/>
                <w:szCs w:val="24"/>
                <w:highlight w:val="none"/>
                <w:lang w:val="en-US" w:eastAsia="zh-CN" w:bidi="ar-SA"/>
              </w:rPr>
              <w:t>供方的直接或间接股东、法定代表人、董事、监事、高管非重汽员工及其亲属</w:t>
            </w:r>
            <w:r>
              <w:rPr>
                <w:rFonts w:hint="eastAsia" w:hAnsi="宋体" w:eastAsia="宋体" w:cstheme="minorBidi"/>
                <w:color w:val="000000"/>
                <w:kern w:val="2"/>
                <w:sz w:val="24"/>
                <w:szCs w:val="24"/>
                <w:highlight w:val="none"/>
                <w:lang w:val="en-US" w:eastAsia="zh-CN" w:bidi="ar-SA"/>
              </w:rPr>
              <w:t>；</w:t>
            </w:r>
          </w:p>
          <w:p>
            <w:pPr>
              <w:pStyle w:val="17"/>
              <w:ind w:firstLine="480" w:firstLineChars="200"/>
              <w:rPr>
                <w:rFonts w:ascii="宋体" w:hAnsi="宋体" w:eastAsia="宋体" w:cs="宋体"/>
                <w:sz w:val="24"/>
                <w:szCs w:val="24"/>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hAnsi="宋体" w:eastAsia="宋体" w:cs="宋体"/>
                <w:color w:val="000000"/>
                <w:sz w:val="24"/>
                <w:szCs w:val="24"/>
                <w:highlight w:val="none"/>
              </w:rPr>
              <w:t>如为代理商投标，需获得生产厂家正式授权，提供授权书原件，保证提供原厂售后服务并提供承诺书原件。</w:t>
            </w:r>
          </w:p>
        </w:tc>
      </w:tr>
    </w:tbl>
    <w:p>
      <w:pPr>
        <w:jc w:val="center"/>
        <w:rPr>
          <w:rFonts w:hint="eastAsia" w:ascii="宋体" w:hAnsi="宋体" w:eastAsia="宋体" w:cs="宋体"/>
          <w:b/>
          <w:bCs/>
          <w:sz w:val="24"/>
          <w:szCs w:val="24"/>
        </w:rPr>
        <w:sectPr>
          <w:headerReference r:id="rId7" w:type="default"/>
          <w:footerReference r:id="rId8" w:type="default"/>
          <w:pgSz w:w="11907" w:h="16840"/>
          <w:pgMar w:top="1304" w:right="1418" w:bottom="1304" w:left="1418" w:header="724" w:footer="851" w:gutter="0"/>
          <w:pgNumType w:fmt="decimal" w:start="1"/>
          <w:cols w:space="720" w:num="1"/>
          <w:docGrid w:linePitch="290" w:charSpace="-3931"/>
        </w:sect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发标时间：</w:t>
            </w:r>
            <w:r>
              <w:rPr>
                <w:rFonts w:hint="eastAsia" w:ascii="宋体" w:hAnsi="宋体" w:eastAsia="宋体" w:cs="宋体"/>
                <w:bCs/>
                <w:color w:val="auto"/>
                <w:sz w:val="24"/>
                <w:szCs w:val="24"/>
                <w:highlight w:val="none"/>
              </w:rPr>
              <w:t>2023年</w:t>
            </w:r>
            <w:r>
              <w:rPr>
                <w:rFonts w:hint="eastAsia" w:ascii="宋体" w:hAnsi="宋体" w:eastAsia="宋体" w:cs="宋体"/>
                <w:bCs/>
                <w:color w:val="auto"/>
                <w:sz w:val="24"/>
                <w:szCs w:val="24"/>
                <w:highlight w:val="none"/>
                <w:u w:val="single"/>
                <w:lang w:val="en-US" w:eastAsia="zh-CN"/>
              </w:rPr>
              <w:t xml:space="preserve"> 4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24 </w:t>
            </w:r>
            <w:r>
              <w:rPr>
                <w:rFonts w:hint="eastAsia" w:ascii="宋体" w:hAnsi="宋体" w:eastAsia="宋体" w:cs="宋体"/>
                <w:bCs/>
                <w:color w:val="auto"/>
                <w:sz w:val="24"/>
                <w:szCs w:val="24"/>
                <w:highlight w:val="none"/>
              </w:rPr>
              <w:t>日</w:t>
            </w:r>
            <w:r>
              <w:rPr>
                <w:rFonts w:hint="eastAsia" w:ascii="宋体" w:hAnsi="宋体" w:eastAsia="宋体" w:cs="宋体"/>
                <w:bCs/>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420" w:lineRule="exact"/>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发标方式：</w:t>
            </w:r>
            <w:r>
              <w:rPr>
                <w:rFonts w:hint="eastAsia" w:ascii="宋体" w:hAnsi="宋体" w:eastAsia="宋体" w:cs="Times New Roman"/>
                <w:color w:val="auto"/>
                <w:sz w:val="24"/>
                <w:szCs w:val="24"/>
                <w:highlight w:val="none"/>
              </w:rPr>
              <w:t>中国重汽官网→快讯中心→通知公告栏公布。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如果投标人对招标文件商务、技术部分有疑问，请各投标人在本答疑环节提出。</w:t>
            </w:r>
          </w:p>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提交疑问时间：</w:t>
            </w:r>
            <w:r>
              <w:rPr>
                <w:rFonts w:hint="eastAsia" w:ascii="宋体" w:hAnsi="宋体" w:eastAsia="宋体" w:cs="宋体"/>
                <w:bCs/>
                <w:color w:val="auto"/>
                <w:sz w:val="24"/>
                <w:szCs w:val="24"/>
                <w:highlight w:val="none"/>
              </w:rPr>
              <w:t>2023年</w:t>
            </w:r>
            <w:r>
              <w:rPr>
                <w:rFonts w:hint="eastAsia" w:ascii="宋体" w:hAnsi="宋体" w:eastAsia="宋体" w:cs="宋体"/>
                <w:bCs/>
                <w:color w:val="auto"/>
                <w:sz w:val="24"/>
                <w:szCs w:val="24"/>
                <w:highlight w:val="none"/>
                <w:u w:val="single"/>
                <w:lang w:val="en-US" w:eastAsia="zh-CN"/>
              </w:rPr>
              <w:t xml:space="preserve"> 5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10 </w:t>
            </w:r>
            <w:r>
              <w:rPr>
                <w:rFonts w:hint="eastAsia" w:ascii="宋体" w:hAnsi="宋体" w:eastAsia="宋体" w:cs="宋体"/>
                <w:bCs/>
                <w:color w:val="auto"/>
                <w:sz w:val="24"/>
                <w:szCs w:val="24"/>
                <w:highlight w:val="none"/>
              </w:rPr>
              <w:t>日17:00前；</w:t>
            </w:r>
          </w:p>
          <w:p>
            <w:pPr>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提交疑问方式</w:t>
            </w:r>
            <w:r>
              <w:rPr>
                <w:rFonts w:hint="eastAsia" w:ascii="宋体" w:hAnsi="宋体" w:eastAsia="宋体" w:cs="宋体"/>
                <w:color w:val="auto"/>
                <w:sz w:val="24"/>
                <w:szCs w:val="24"/>
                <w:highlight w:val="none"/>
              </w:rPr>
              <w:t>：将答疑问题以word文件格式发邮件至</w:t>
            </w:r>
            <w:r>
              <w:rPr>
                <w:rFonts w:hint="eastAsia" w:ascii="宋体" w:hAnsi="宋体" w:eastAsia="宋体" w:cs="宋体"/>
                <w:color w:val="auto"/>
                <w:sz w:val="24"/>
                <w:szCs w:val="24"/>
                <w:highlight w:val="none"/>
                <w:lang w:val="en-US" w:eastAsia="zh-CN"/>
              </w:rPr>
              <w:t>houtianli@sinotruk.com</w:t>
            </w:r>
            <w:r>
              <w:rPr>
                <w:rFonts w:hint="eastAsia" w:ascii="宋体" w:hAnsi="宋体" w:eastAsia="宋体" w:cs="宋体"/>
                <w:color w:val="auto"/>
                <w:sz w:val="24"/>
                <w:szCs w:val="24"/>
                <w:highlight w:val="none"/>
              </w:rPr>
              <w:t>并电话联系工作人员查收（</w:t>
            </w:r>
            <w:r>
              <w:rPr>
                <w:rFonts w:hint="eastAsia" w:ascii="宋体" w:hAnsi="宋体" w:eastAsia="宋体" w:cs="宋体"/>
                <w:color w:val="auto"/>
                <w:sz w:val="24"/>
                <w:szCs w:val="24"/>
                <w:highlight w:val="none"/>
                <w:lang w:val="en-US" w:eastAsia="zh-CN"/>
              </w:rPr>
              <w:t>侯天立；联系方式：19861891372</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邮件名格式为：XXX公司（五个字以内公司简称）XX项目答疑文件。</w:t>
            </w:r>
          </w:p>
          <w:p>
            <w:pPr>
              <w:ind w:firstLine="482" w:firstLineChars="200"/>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同时必须在邮件中以文字方式提供投标单位全称、投标授权人姓名、联系方式（固定电话、手机、电子邮箱）。</w:t>
            </w:r>
          </w:p>
          <w:p>
            <w:pPr>
              <w:snapToGrid w:val="0"/>
              <w:ind w:firstLine="480" w:firstLineChars="200"/>
              <w:rPr>
                <w:rFonts w:ascii="宋体" w:hAnsi="宋体" w:eastAsia="宋体" w:cs="宋体"/>
                <w:color w:val="auto"/>
                <w:sz w:val="24"/>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领取答疑、澄清和修改文件时间：2023年</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rPr>
              <w:t>日17:00前；</w:t>
            </w:r>
          </w:p>
          <w:p>
            <w:pPr>
              <w:shd w:val="clear"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答疑、澄清和修改文件方式：招标人将以电子邮件的方式将招标文件的答疑澄清文件发送至</w:t>
            </w:r>
            <w:r>
              <w:rPr>
                <w:rFonts w:hint="eastAsia" w:ascii="宋体" w:hAnsi="宋体" w:eastAsia="宋体" w:cs="宋体"/>
                <w:color w:val="auto"/>
                <w:sz w:val="24"/>
                <w:szCs w:val="24"/>
                <w:highlight w:val="none"/>
                <w:lang w:val="en-US" w:eastAsia="zh-CN"/>
              </w:rPr>
              <w:t>答疑文件提交</w:t>
            </w:r>
            <w:r>
              <w:rPr>
                <w:rFonts w:hint="eastAsia" w:ascii="宋体" w:hAnsi="宋体" w:eastAsia="宋体" w:cs="宋体"/>
                <w:color w:val="auto"/>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标人在中国重汽的官网</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（附件14）”</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，登录后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color w:val="auto"/>
                <w:highlight w:val="none"/>
                <w:lang w:val="en-US" w:eastAsia="zh-CN"/>
              </w:rPr>
            </w:pPr>
            <w:r>
              <w:rPr>
                <w:rFonts w:hint="eastAsia" w:eastAsia="宋体" w:cs="宋体"/>
                <w:b/>
                <w:bCs/>
                <w:color w:val="auto"/>
                <w:highlight w:val="none"/>
                <w:lang w:val="en-US" w:eastAsia="zh-CN"/>
              </w:rPr>
              <w:t>应标</w:t>
            </w:r>
            <w:r>
              <w:rPr>
                <w:rFonts w:hint="eastAsia" w:eastAsia="宋体" w:cs="宋体"/>
                <w:b/>
                <w:bCs/>
                <w:color w:val="auto"/>
                <w:highlight w:val="none"/>
              </w:rPr>
              <w:t>截止时间：</w:t>
            </w:r>
            <w:r>
              <w:rPr>
                <w:rFonts w:hint="eastAsia" w:eastAsia="宋体" w:cs="宋体"/>
                <w:color w:val="auto"/>
                <w:highlight w:val="none"/>
              </w:rPr>
              <w:t>2023年</w:t>
            </w:r>
            <w:r>
              <w:rPr>
                <w:rFonts w:hint="eastAsia" w:eastAsia="宋体" w:cs="宋体"/>
                <w:color w:val="auto"/>
                <w:highlight w:val="none"/>
                <w:u w:val="single"/>
                <w:lang w:val="en-US" w:eastAsia="zh-CN"/>
              </w:rPr>
              <w:t>5</w:t>
            </w:r>
            <w:r>
              <w:rPr>
                <w:rFonts w:hint="eastAsia" w:eastAsia="宋体" w:cs="宋体"/>
                <w:color w:val="auto"/>
                <w:highlight w:val="none"/>
              </w:rPr>
              <w:t>月</w:t>
            </w:r>
            <w:r>
              <w:rPr>
                <w:rFonts w:hint="eastAsia" w:eastAsia="宋体" w:cs="宋体"/>
                <w:color w:val="auto"/>
                <w:highlight w:val="none"/>
                <w:u w:val="single"/>
                <w:lang w:val="en-US" w:eastAsia="zh-CN"/>
              </w:rPr>
              <w:t>10</w:t>
            </w:r>
            <w:r>
              <w:rPr>
                <w:rFonts w:hint="eastAsia" w:eastAsia="宋体" w:cs="宋体"/>
                <w:color w:val="auto"/>
                <w:highlight w:val="none"/>
              </w:rPr>
              <w:t>日</w:t>
            </w:r>
            <w:r>
              <w:rPr>
                <w:rFonts w:hint="eastAsia" w:eastAsia="宋体" w:cs="宋体"/>
                <w:color w:val="auto"/>
                <w:highlight w:val="none"/>
                <w:lang w:val="en-US" w:eastAsia="zh-CN"/>
              </w:rPr>
              <w:t>17时00分00秒</w:t>
            </w:r>
          </w:p>
          <w:p>
            <w:pPr>
              <w:pStyle w:val="111"/>
              <w:spacing w:line="240" w:lineRule="auto"/>
              <w:ind w:firstLine="482"/>
              <w:rPr>
                <w:rFonts w:hint="default" w:eastAsia="宋体" w:cs="宋体"/>
                <w:color w:val="auto"/>
                <w:highlight w:val="none"/>
                <w:lang w:val="en-US" w:eastAsia="zh-CN"/>
              </w:rPr>
            </w:pPr>
            <w:r>
              <w:rPr>
                <w:rFonts w:hint="eastAsia" w:eastAsia="宋体" w:cs="宋体"/>
                <w:b/>
                <w:bCs/>
                <w:color w:val="auto"/>
                <w:highlight w:val="none"/>
                <w:lang w:val="en-US" w:eastAsia="zh-CN"/>
              </w:rPr>
              <w:t>注：请务必在应标截止时间前完成注册及应标操作，注册审核需2-4日，应标截止时间精确到秒，逾期将无法应标。请自行掌握时间安排，避免无法应标。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rPr>
              <w:t>3.投标文件的组成</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编制</w:t>
            </w:r>
            <w:r>
              <w:rPr>
                <w:rFonts w:hint="eastAsia" w:ascii="宋体" w:hAnsi="宋体" w:eastAsia="宋体" w:cs="宋体"/>
                <w:b/>
                <w:bCs/>
                <w:color w:val="auto"/>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color w:val="auto"/>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color w:val="auto"/>
                <w:sz w:val="24"/>
                <w:szCs w:val="24"/>
                <w:highlight w:val="none"/>
              </w:rPr>
              <w:t>。</w:t>
            </w:r>
          </w:p>
          <w:p>
            <w:pPr>
              <w:ind w:firstLine="482" w:firstLineChars="200"/>
              <w:rPr>
                <w:rFonts w:ascii="宋体" w:hAnsi="宋体" w:eastAsia="宋体" w:cs="宋体"/>
                <w:b/>
                <w:bCs w:val="0"/>
                <w:color w:val="auto"/>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color w:val="auto"/>
                <w:sz w:val="24"/>
                <w:szCs w:val="24"/>
                <w:highlight w:val="none"/>
              </w:rPr>
              <w:t>一个</w:t>
            </w:r>
            <w:r>
              <w:rPr>
                <w:rFonts w:hint="eastAsia" w:ascii="宋体" w:hAnsi="宋体" w:eastAsia="宋体" w:cs="宋体"/>
                <w:bCs/>
                <w:color w:val="auto"/>
                <w:sz w:val="24"/>
                <w:szCs w:val="24"/>
                <w:highlight w:val="none"/>
                <w:lang w:val="en-US" w:eastAsia="zh-CN"/>
              </w:rPr>
              <w:t>文件</w:t>
            </w:r>
            <w:r>
              <w:rPr>
                <w:rFonts w:hint="eastAsia" w:ascii="宋体" w:hAnsi="宋体" w:eastAsia="宋体" w:cs="宋体"/>
                <w:bCs/>
                <w:color w:val="auto"/>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color w:val="auto"/>
                <w:sz w:val="24"/>
                <w:szCs w:val="24"/>
                <w:highlight w:val="none"/>
              </w:rPr>
              <w:t>一个</w:t>
            </w:r>
            <w:r>
              <w:rPr>
                <w:rFonts w:hint="eastAsia" w:ascii="宋体" w:hAnsi="宋体" w:eastAsia="宋体" w:cs="宋体"/>
                <w:bCs/>
                <w:color w:val="auto"/>
                <w:sz w:val="24"/>
                <w:szCs w:val="24"/>
                <w:highlight w:val="none"/>
                <w:lang w:val="en-US" w:eastAsia="zh-CN"/>
              </w:rPr>
              <w:t>文件</w:t>
            </w:r>
            <w:r>
              <w:rPr>
                <w:rFonts w:hint="eastAsia" w:ascii="宋体" w:hAnsi="宋体" w:eastAsia="宋体" w:cs="宋体"/>
                <w:bCs/>
                <w:color w:val="auto"/>
                <w:sz w:val="24"/>
                <w:szCs w:val="24"/>
                <w:highlight w:val="none"/>
              </w:rPr>
              <w:t>（里面是全部技术投标书）</w:t>
            </w:r>
            <w:r>
              <w:rPr>
                <w:rFonts w:hint="eastAsia" w:ascii="宋体" w:hAnsi="宋体" w:eastAsia="宋体" w:cs="宋体"/>
                <w:bCs/>
                <w:color w:val="auto"/>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color w:val="auto"/>
                <w:sz w:val="24"/>
                <w:szCs w:val="24"/>
                <w:highlight w:val="none"/>
              </w:rPr>
              <w:t>一个</w:t>
            </w:r>
            <w:r>
              <w:rPr>
                <w:rFonts w:hint="eastAsia" w:ascii="宋体" w:hAnsi="宋体" w:eastAsia="宋体" w:cs="宋体"/>
                <w:bCs/>
                <w:color w:val="auto"/>
                <w:sz w:val="24"/>
                <w:szCs w:val="24"/>
                <w:highlight w:val="none"/>
                <w:lang w:val="en-US" w:eastAsia="zh-CN"/>
              </w:rPr>
              <w:t>文件</w:t>
            </w:r>
            <w:r>
              <w:rPr>
                <w:rFonts w:hint="eastAsia" w:ascii="宋体" w:hAnsi="宋体" w:eastAsia="宋体" w:cs="宋体"/>
                <w:bCs/>
                <w:color w:val="auto"/>
                <w:sz w:val="24"/>
                <w:szCs w:val="24"/>
                <w:highlight w:val="none"/>
              </w:rPr>
              <w:t>（里面是全部商务投标书），</w:t>
            </w:r>
            <w:r>
              <w:rPr>
                <w:rFonts w:hint="eastAsia" w:ascii="宋体" w:hAnsi="宋体" w:eastAsia="宋体" w:cs="宋体"/>
                <w:b/>
                <w:bCs w:val="0"/>
                <w:color w:val="auto"/>
                <w:sz w:val="24"/>
                <w:szCs w:val="24"/>
                <w:highlight w:val="none"/>
                <w:lang w:val="en-US" w:eastAsia="zh-CN"/>
              </w:rPr>
              <w:t>具体组成等详细要求见招标文件第三部分投标文件编制第三条</w:t>
            </w:r>
            <w:r>
              <w:rPr>
                <w:rFonts w:hint="eastAsia" w:ascii="宋体" w:hAnsi="宋体" w:eastAsia="宋体" w:cs="宋体"/>
                <w:b/>
                <w:bCs w:val="0"/>
                <w:color w:val="auto"/>
                <w:sz w:val="24"/>
                <w:szCs w:val="24"/>
                <w:highlight w:val="none"/>
              </w:rPr>
              <w:t>。</w:t>
            </w:r>
          </w:p>
          <w:p>
            <w:pPr>
              <w:ind w:firstLine="480" w:firstLineChars="200"/>
              <w:rPr>
                <w:rFonts w:ascii="宋体" w:hAnsi="宋体" w:eastAsia="宋体" w:cs="宋体"/>
                <w:color w:val="auto"/>
                <w:sz w:val="24"/>
                <w:szCs w:val="24"/>
                <w:highlight w:val="none"/>
              </w:rPr>
            </w:pPr>
            <w:r>
              <w:rPr>
                <w:rFonts w:hint="eastAsia" w:ascii="宋体" w:hAnsi="宋体" w:eastAsia="宋体" w:cs="宋体"/>
                <w:bCs/>
                <w:color w:val="auto"/>
                <w:sz w:val="24"/>
                <w:szCs w:val="24"/>
                <w:highlight w:val="none"/>
              </w:rPr>
              <w:t>注意不按此要求</w:t>
            </w:r>
            <w:r>
              <w:rPr>
                <w:rFonts w:hint="eastAsia" w:ascii="宋体" w:hAnsi="宋体" w:eastAsia="宋体" w:cs="宋体"/>
                <w:bCs/>
                <w:color w:val="auto"/>
                <w:sz w:val="24"/>
                <w:szCs w:val="24"/>
                <w:highlight w:val="none"/>
                <w:lang w:val="en-US" w:eastAsia="zh-CN"/>
              </w:rPr>
              <w:t>提供投标文件</w:t>
            </w:r>
            <w:r>
              <w:rPr>
                <w:rFonts w:hint="eastAsia" w:ascii="宋体" w:hAnsi="宋体" w:eastAsia="宋体" w:cs="宋体"/>
                <w:bCs/>
                <w:color w:val="auto"/>
                <w:sz w:val="24"/>
                <w:szCs w:val="24"/>
                <w:highlight w:val="none"/>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投标方式：在重汽e采通平台应标成功后，进入“供应商投标”环节，投递盖章扫描版电子标书（包含资质标书、技术标书、商务标书）。</w:t>
            </w:r>
          </w:p>
          <w:p>
            <w:pPr>
              <w:pStyle w:val="17"/>
              <w:rPr>
                <w:rFonts w:hint="eastAsia" w:eastAsia="宋体" w:cs="宋体" w:asciiTheme="minorHAnsi" w:hAnsiTheme="minorHAnsi"/>
                <w:b w:val="0"/>
                <w:bCs/>
                <w:color w:val="auto"/>
                <w:kern w:val="2"/>
                <w:sz w:val="24"/>
                <w:szCs w:val="24"/>
                <w:highlight w:val="none"/>
                <w:lang w:val="en-US" w:eastAsia="zh-CN" w:bidi="ar-SA"/>
              </w:rPr>
            </w:pPr>
            <w:r>
              <w:rPr>
                <w:rFonts w:hint="eastAsia"/>
                <w:b w:val="0"/>
                <w:bCs/>
                <w:color w:val="auto"/>
                <w:highlight w:val="none"/>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纸质标书的份数要求为</w:t>
            </w:r>
            <w:r>
              <w:rPr>
                <w:rFonts w:hint="eastAsia" w:eastAsia="宋体" w:cs="宋体" w:asciiTheme="minorHAnsi" w:hAnsiTheme="minorHAnsi"/>
                <w:b/>
                <w:bCs w:val="0"/>
                <w:color w:val="auto"/>
                <w:kern w:val="2"/>
                <w:sz w:val="24"/>
                <w:szCs w:val="24"/>
                <w:highlight w:val="none"/>
                <w:lang w:val="en-US" w:eastAsia="zh-CN" w:bidi="ar-SA"/>
              </w:rPr>
              <w:t>一式五份，</w:t>
            </w:r>
            <w:r>
              <w:rPr>
                <w:rFonts w:hint="eastAsia" w:ascii="宋体" w:hAnsi="宋体" w:eastAsia="宋体" w:cs="宋体"/>
                <w:b/>
                <w:bCs w:val="0"/>
                <w:color w:val="auto"/>
                <w:kern w:val="2"/>
                <w:sz w:val="24"/>
                <w:szCs w:val="24"/>
                <w:highlight w:val="none"/>
                <w:lang w:val="en-US" w:eastAsia="zh-CN" w:bidi="ar-SA"/>
              </w:rPr>
              <w:t>正本一份，副本</w:t>
            </w:r>
            <w:r>
              <w:rPr>
                <w:rFonts w:hint="eastAsia" w:hAnsi="宋体" w:eastAsia="宋体" w:cs="宋体"/>
                <w:b/>
                <w:bCs w:val="0"/>
                <w:color w:val="auto"/>
                <w:kern w:val="2"/>
                <w:sz w:val="24"/>
                <w:szCs w:val="24"/>
                <w:highlight w:val="none"/>
                <w:lang w:val="en-US" w:eastAsia="zh-CN" w:bidi="ar-SA"/>
              </w:rPr>
              <w:t>四</w:t>
            </w:r>
            <w:r>
              <w:rPr>
                <w:rFonts w:hint="eastAsia" w:ascii="宋体" w:hAnsi="宋体" w:eastAsia="宋体" w:cs="宋体"/>
                <w:b/>
                <w:bCs w:val="0"/>
                <w:color w:val="auto"/>
                <w:kern w:val="2"/>
                <w:sz w:val="24"/>
                <w:szCs w:val="24"/>
                <w:highlight w:val="none"/>
                <w:lang w:val="en-US" w:eastAsia="zh-CN" w:bidi="ar-SA"/>
              </w:rPr>
              <w:t>份</w:t>
            </w:r>
            <w:r>
              <w:rPr>
                <w:rFonts w:hint="eastAsia" w:eastAsia="宋体" w:cs="宋体" w:asciiTheme="minorHAnsi" w:hAnsiTheme="minorHAnsi"/>
                <w:b w:val="0"/>
                <w:bCs/>
                <w:color w:val="auto"/>
                <w:kern w:val="2"/>
                <w:sz w:val="24"/>
                <w:szCs w:val="24"/>
                <w:highlight w:val="none"/>
                <w:lang w:val="en-US" w:eastAsia="zh-CN" w:bidi="ar-SA"/>
              </w:rPr>
              <w:t>，</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eastAsia" w:ascii="宋体" w:hAnsi="宋体" w:eastAsia="宋体" w:cs="Times New Roman"/>
                <w:color w:val="auto"/>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auto"/>
                <w:sz w:val="24"/>
                <w:szCs w:val="24"/>
                <w:highlight w:val="none"/>
              </w:rPr>
              <w:t>山东省济南市</w:t>
            </w:r>
            <w:r>
              <w:rPr>
                <w:rFonts w:hint="eastAsia" w:hAnsi="宋体" w:eastAsia="宋体" w:cs="Times New Roman"/>
                <w:color w:val="auto"/>
                <w:sz w:val="24"/>
                <w:szCs w:val="24"/>
                <w:highlight w:val="none"/>
                <w:lang w:eastAsia="zh-CN"/>
              </w:rPr>
              <w:t>世纪大道</w:t>
            </w:r>
            <w:r>
              <w:rPr>
                <w:rFonts w:hint="eastAsia" w:hAnsi="宋体" w:eastAsia="宋体" w:cs="Times New Roman"/>
                <w:color w:val="auto"/>
                <w:sz w:val="24"/>
                <w:szCs w:val="24"/>
                <w:highlight w:val="none"/>
                <w:lang w:val="en-US" w:eastAsia="zh-CN"/>
              </w:rPr>
              <w:t>66</w:t>
            </w:r>
            <w:r>
              <w:rPr>
                <w:rFonts w:hint="eastAsia" w:ascii="宋体" w:hAnsi="宋体" w:eastAsia="宋体" w:cs="Times New Roman"/>
                <w:color w:val="auto"/>
                <w:sz w:val="24"/>
                <w:szCs w:val="24"/>
                <w:highlight w:val="none"/>
              </w:rPr>
              <w:t>77号</w:t>
            </w:r>
          </w:p>
          <w:p>
            <w:pPr>
              <w:pStyle w:val="17"/>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联系人及联系方式：</w:t>
            </w:r>
            <w:r>
              <w:rPr>
                <w:rFonts w:hint="eastAsia" w:hAnsi="宋体" w:eastAsia="宋体" w:cs="Times New Roman"/>
                <w:color w:val="auto"/>
                <w:sz w:val="24"/>
                <w:szCs w:val="24"/>
                <w:highlight w:val="none"/>
                <w:lang w:eastAsia="zh-CN"/>
              </w:rPr>
              <w:t>侯天立</w:t>
            </w:r>
            <w:r>
              <w:rPr>
                <w:rFonts w:hint="eastAsia" w:ascii="宋体" w:hAnsi="宋体" w:eastAsia="宋体" w:cs="Times New Roman"/>
                <w:color w:val="auto"/>
                <w:sz w:val="24"/>
                <w:szCs w:val="24"/>
                <w:highlight w:val="none"/>
              </w:rPr>
              <w:t>/1</w:t>
            </w:r>
            <w:r>
              <w:rPr>
                <w:rFonts w:hint="eastAsia" w:hAnsi="宋体" w:eastAsia="宋体" w:cs="Times New Roman"/>
                <w:color w:val="auto"/>
                <w:sz w:val="24"/>
                <w:szCs w:val="24"/>
                <w:highlight w:val="none"/>
                <w:lang w:eastAsia="zh-CN"/>
              </w:rPr>
              <w:t>9</w:t>
            </w:r>
            <w:r>
              <w:rPr>
                <w:rFonts w:hint="eastAsia" w:hAnsi="宋体" w:eastAsia="宋体" w:cs="Times New Roman"/>
                <w:color w:val="auto"/>
                <w:sz w:val="24"/>
                <w:szCs w:val="24"/>
                <w:highlight w:val="none"/>
                <w:lang w:val="en-US" w:eastAsia="zh-CN"/>
              </w:rPr>
              <w:t>861891372</w:t>
            </w:r>
          </w:p>
        </w:tc>
      </w:tr>
    </w:tbl>
    <w:p>
      <w:pPr>
        <w:jc w:val="center"/>
        <w:rPr>
          <w:rFonts w:hint="eastAsia" w:ascii="宋体" w:hAnsi="宋体" w:eastAsia="宋体" w:cs="宋体"/>
          <w:sz w:val="24"/>
          <w:szCs w:val="24"/>
          <w:lang w:val="en-US" w:eastAsia="zh-CN"/>
        </w:rPr>
        <w:sectPr>
          <w:footerReference r:id="rId9" w:type="default"/>
          <w:pgSz w:w="11907" w:h="16840"/>
          <w:pgMar w:top="1304" w:right="1418" w:bottom="1304" w:left="1418" w:header="724" w:footer="851" w:gutter="0"/>
          <w:pgNumType w:fmt="decimal" w:start="1"/>
          <w:cols w:space="720" w:num="1"/>
          <w:docGrid w:linePitch="290" w:charSpace="-3931"/>
        </w:sect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lang w:eastAsia="zh-CN"/>
              </w:rPr>
            </w:pPr>
            <w:r>
              <w:rPr>
                <w:rFonts w:hint="eastAsia" w:ascii="宋体" w:hAnsi="宋体" w:eastAsia="宋体" w:cs="宋体"/>
                <w:b/>
                <w:bCs/>
                <w:sz w:val="24"/>
                <w:szCs w:val="24"/>
              </w:rPr>
              <w:t>投标文件递交截止时间：</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年</w:t>
            </w:r>
            <w:r>
              <w:rPr>
                <w:rFonts w:hint="eastAsia"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月</w:t>
            </w:r>
            <w:r>
              <w:rPr>
                <w:rFonts w:hint="eastAsia" w:hAnsi="宋体" w:eastAsia="宋体" w:cs="宋体"/>
                <w:color w:val="auto"/>
                <w:sz w:val="24"/>
                <w:szCs w:val="24"/>
                <w:highlight w:val="none"/>
                <w:u w:val="single"/>
                <w:lang w:val="en-US" w:eastAsia="zh-CN"/>
              </w:rPr>
              <w:t>13</w:t>
            </w:r>
            <w:r>
              <w:rPr>
                <w:rFonts w:hint="eastAsia" w:ascii="宋体" w:hAnsi="宋体" w:eastAsia="宋体" w:cs="宋体"/>
                <w:color w:val="auto"/>
                <w:sz w:val="24"/>
                <w:szCs w:val="24"/>
                <w:highlight w:val="none"/>
              </w:rPr>
              <w:t>日</w:t>
            </w:r>
            <w:r>
              <w:rPr>
                <w:rFonts w:hint="eastAsia" w:ascii="宋体" w:hAnsi="宋体" w:eastAsia="宋体" w:cs="宋体"/>
                <w:color w:val="auto"/>
                <w:kern w:val="0"/>
                <w:sz w:val="24"/>
                <w:szCs w:val="24"/>
                <w:highlight w:val="none"/>
              </w:rPr>
              <w:t>上午9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00</w:t>
            </w:r>
            <w:r>
              <w:rPr>
                <w:rFonts w:hint="eastAsia" w:hAnsi="宋体" w:eastAsia="宋体" w:cs="宋体"/>
                <w:color w:val="auto"/>
                <w:sz w:val="24"/>
                <w:szCs w:val="24"/>
                <w:highlight w:val="none"/>
                <w:lang w:val="en-US" w:eastAsia="zh-CN"/>
              </w:rPr>
              <w:t>:00</w:t>
            </w:r>
            <w:r>
              <w:rPr>
                <w:rFonts w:hint="eastAsia" w:ascii="宋体" w:hAnsi="宋体" w:eastAsia="宋体" w:cs="宋体"/>
                <w:color w:val="auto"/>
                <w:sz w:val="24"/>
                <w:szCs w:val="24"/>
                <w:highlight w:val="none"/>
              </w:rPr>
              <w:t>（北京时间）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eastAsia="宋体" w:cs="Times New Roman" w:asciiTheme="minorHAnsi" w:hAnsiTheme="minorHAnsi"/>
                <w:sz w:val="24"/>
                <w:szCs w:val="28"/>
                <w:highlight w:val="none"/>
              </w:rPr>
            </w:pPr>
            <w:r>
              <w:rPr>
                <w:rFonts w:hint="eastAsia" w:eastAsia="宋体" w:cs="Times New Roman" w:asciiTheme="minorHAnsi" w:hAnsiTheme="minorHAnsi"/>
                <w:b w:val="0"/>
                <w:bCs w:val="0"/>
                <w:sz w:val="24"/>
                <w:szCs w:val="28"/>
                <w:highlight w:val="none"/>
              </w:rPr>
              <w:t>投标保证金的金额：</w:t>
            </w:r>
            <w:r>
              <w:rPr>
                <w:rFonts w:hint="eastAsia" w:eastAsia="宋体" w:cs="Times New Roman" w:asciiTheme="minorHAnsi" w:hAnsiTheme="minorHAnsi"/>
                <w:sz w:val="24"/>
                <w:szCs w:val="28"/>
                <w:highlight w:val="none"/>
              </w:rPr>
              <w:t>人民币</w:t>
            </w:r>
            <w:r>
              <w:rPr>
                <w:rFonts w:hint="eastAsia" w:eastAsia="宋体" w:cs="Times New Roman" w:asciiTheme="minorHAnsi" w:hAnsiTheme="minorHAnsi"/>
                <w:sz w:val="24"/>
                <w:szCs w:val="28"/>
                <w:highlight w:val="none"/>
                <w:lang w:val="en-US" w:eastAsia="zh-CN"/>
              </w:rPr>
              <w:t>20000</w:t>
            </w:r>
            <w:r>
              <w:rPr>
                <w:rFonts w:hint="eastAsia" w:eastAsia="宋体" w:cs="Times New Roman" w:asciiTheme="minorHAnsi" w:hAnsiTheme="minorHAnsi"/>
                <w:sz w:val="24"/>
                <w:szCs w:val="28"/>
                <w:highlight w:val="none"/>
              </w:rPr>
              <w:t>元</w:t>
            </w:r>
          </w:p>
          <w:p>
            <w:pPr>
              <w:ind w:firstLine="480" w:firstLineChars="200"/>
              <w:rPr>
                <w:rFonts w:hint="eastAsia" w:eastAsia="宋体" w:cs="Times New Roman" w:asciiTheme="minorHAnsi" w:hAnsiTheme="minorHAnsi"/>
                <w:color w:val="auto"/>
                <w:kern w:val="2"/>
                <w:sz w:val="24"/>
                <w:szCs w:val="28"/>
                <w:highlight w:val="none"/>
              </w:rPr>
            </w:pPr>
            <w:r>
              <w:rPr>
                <w:rFonts w:hint="eastAsia" w:eastAsia="宋体" w:cs="Times New Roman" w:asciiTheme="minorHAnsi" w:hAnsiTheme="minorHAnsi"/>
                <w:b w:val="0"/>
                <w:bCs w:val="0"/>
                <w:color w:val="auto"/>
                <w:kern w:val="2"/>
                <w:sz w:val="24"/>
                <w:szCs w:val="28"/>
                <w:highlight w:val="none"/>
              </w:rPr>
              <w:t>开户名称：</w:t>
            </w:r>
            <w:r>
              <w:rPr>
                <w:rFonts w:hint="eastAsia" w:eastAsia="宋体" w:cs="Times New Roman" w:asciiTheme="minorHAnsi" w:hAnsiTheme="minorHAnsi"/>
                <w:color w:val="auto"/>
                <w:kern w:val="2"/>
                <w:sz w:val="24"/>
                <w:szCs w:val="28"/>
                <w:highlight w:val="none"/>
              </w:rPr>
              <w:t>中国重汽集团济南动力有限公司</w:t>
            </w:r>
          </w:p>
          <w:p>
            <w:pPr>
              <w:ind w:firstLine="480" w:firstLineChars="200"/>
              <w:rPr>
                <w:rFonts w:hint="eastAsia" w:eastAsia="宋体" w:cs="Times New Roman" w:asciiTheme="minorHAnsi" w:hAnsiTheme="minorHAnsi"/>
                <w:color w:val="auto"/>
                <w:kern w:val="2"/>
                <w:sz w:val="24"/>
                <w:szCs w:val="28"/>
                <w:highlight w:val="none"/>
              </w:rPr>
            </w:pPr>
            <w:r>
              <w:rPr>
                <w:rFonts w:hint="eastAsia" w:eastAsia="宋体" w:cs="Times New Roman" w:asciiTheme="minorHAnsi" w:hAnsiTheme="minorHAnsi"/>
                <w:b w:val="0"/>
                <w:bCs w:val="0"/>
                <w:color w:val="auto"/>
                <w:kern w:val="2"/>
                <w:sz w:val="24"/>
                <w:szCs w:val="28"/>
                <w:highlight w:val="none"/>
              </w:rPr>
              <w:t>开户银行：</w:t>
            </w:r>
            <w:r>
              <w:rPr>
                <w:rFonts w:hint="eastAsia" w:eastAsia="宋体" w:cs="Times New Roman" w:asciiTheme="minorHAnsi" w:hAnsiTheme="minorHAnsi"/>
                <w:i w:val="0"/>
                <w:iCs w:val="0"/>
                <w:caps w:val="0"/>
                <w:color w:val="auto"/>
                <w:spacing w:val="0"/>
                <w:sz w:val="24"/>
                <w:szCs w:val="28"/>
                <w:highlight w:val="none"/>
                <w:shd w:val="clear" w:fill="auto"/>
              </w:rPr>
              <w:t>交通银行股份有限公司山东省分行营业部</w:t>
            </w:r>
          </w:p>
          <w:p>
            <w:pPr>
              <w:ind w:firstLine="480" w:firstLineChars="200"/>
              <w:rPr>
                <w:rFonts w:hint="eastAsia" w:eastAsia="宋体" w:cs="Times New Roman" w:asciiTheme="minorHAnsi" w:hAnsiTheme="minorHAnsi"/>
                <w:color w:val="auto"/>
                <w:kern w:val="2"/>
                <w:sz w:val="24"/>
                <w:szCs w:val="28"/>
                <w:highlight w:val="none"/>
              </w:rPr>
            </w:pPr>
            <w:r>
              <w:rPr>
                <w:rFonts w:hint="eastAsia" w:eastAsia="宋体" w:cs="Times New Roman" w:asciiTheme="minorHAnsi" w:hAnsiTheme="minorHAnsi"/>
                <w:b w:val="0"/>
                <w:bCs w:val="0"/>
                <w:color w:val="auto"/>
                <w:kern w:val="2"/>
                <w:sz w:val="24"/>
                <w:szCs w:val="28"/>
                <w:highlight w:val="none"/>
              </w:rPr>
              <w:t>银行帐号：</w:t>
            </w:r>
            <w:r>
              <w:rPr>
                <w:rFonts w:hint="eastAsia" w:eastAsia="宋体" w:cs="Times New Roman" w:asciiTheme="minorHAnsi" w:hAnsiTheme="minorHAnsi"/>
                <w:i w:val="0"/>
                <w:iCs w:val="0"/>
                <w:caps w:val="0"/>
                <w:color w:val="auto"/>
                <w:spacing w:val="0"/>
                <w:sz w:val="24"/>
                <w:szCs w:val="28"/>
                <w:highlight w:val="none"/>
                <w:shd w:val="clear" w:fill="auto"/>
              </w:rPr>
              <w:t>371899991010003152396</w:t>
            </w:r>
          </w:p>
          <w:p>
            <w:pPr>
              <w:ind w:firstLine="480" w:firstLineChars="200"/>
              <w:rPr>
                <w:rFonts w:hint="eastAsia" w:eastAsia="宋体" w:cs="Times New Roman" w:asciiTheme="minorHAnsi" w:hAnsiTheme="minorHAnsi"/>
                <w:sz w:val="24"/>
                <w:szCs w:val="28"/>
                <w:highlight w:val="none"/>
              </w:rPr>
            </w:pPr>
            <w:r>
              <w:rPr>
                <w:rFonts w:hint="eastAsia" w:eastAsia="宋体" w:cs="Times New Roman" w:asciiTheme="minorHAnsi" w:hAnsiTheme="minorHAnsi"/>
                <w:b w:val="0"/>
                <w:bCs w:val="0"/>
                <w:color w:val="auto"/>
                <w:kern w:val="2"/>
                <w:sz w:val="24"/>
                <w:szCs w:val="28"/>
                <w:highlight w:val="none"/>
              </w:rPr>
              <w:t>开户行联号：</w:t>
            </w:r>
            <w:r>
              <w:rPr>
                <w:rFonts w:hint="eastAsia" w:eastAsia="宋体" w:cs="Times New Roman" w:asciiTheme="minorHAnsi" w:hAnsiTheme="minorHAnsi"/>
                <w:i w:val="0"/>
                <w:iCs w:val="0"/>
                <w:caps w:val="0"/>
                <w:color w:val="auto"/>
                <w:spacing w:val="0"/>
                <w:sz w:val="24"/>
                <w:szCs w:val="28"/>
                <w:highlight w:val="none"/>
                <w:shd w:val="clear" w:fill="auto"/>
              </w:rPr>
              <w:t>301451000025</w:t>
            </w:r>
          </w:p>
          <w:p>
            <w:pPr>
              <w:ind w:firstLine="480" w:firstLineChars="200"/>
              <w:rPr>
                <w:rFonts w:hint="eastAsia" w:eastAsia="宋体" w:cs="Times New Roman" w:asciiTheme="minorHAnsi" w:hAnsiTheme="minorHAnsi"/>
                <w:sz w:val="24"/>
                <w:szCs w:val="28"/>
                <w:highlight w:val="none"/>
              </w:rPr>
            </w:pPr>
            <w:r>
              <w:rPr>
                <w:rFonts w:hint="eastAsia" w:eastAsia="宋体" w:cs="Times New Roman" w:asciiTheme="minorHAnsi" w:hAnsiTheme="minorHAnsi"/>
                <w:sz w:val="24"/>
                <w:szCs w:val="28"/>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color w:val="auto"/>
                <w:sz w:val="24"/>
                <w:szCs w:val="24"/>
                <w:highlight w:val="none"/>
                <w:lang w:eastAsia="zh-CN"/>
              </w:rPr>
            </w:pPr>
            <w:r>
              <w:rPr>
                <w:rFonts w:hint="eastAsia" w:ascii="宋体" w:hAnsi="宋体" w:cs="宋体"/>
                <w:b/>
                <w:bCs/>
                <w:sz w:val="24"/>
                <w:szCs w:val="24"/>
                <w:highlight w:val="none"/>
              </w:rPr>
              <w:t>保证金截止时间：</w:t>
            </w:r>
            <w:r>
              <w:rPr>
                <w:rFonts w:hint="eastAsia" w:ascii="宋体" w:hAnsi="宋体" w:cs="宋体"/>
                <w:color w:val="auto"/>
                <w:sz w:val="24"/>
                <w:szCs w:val="24"/>
                <w:highlight w:val="none"/>
              </w:rPr>
              <w:t>20</w:t>
            </w:r>
            <w:r>
              <w:rPr>
                <w:rFonts w:ascii="宋体" w:hAnsi="宋体" w:cs="宋体"/>
                <w:color w:val="auto"/>
                <w:sz w:val="24"/>
                <w:szCs w:val="24"/>
                <w:highlight w:val="none"/>
              </w:rPr>
              <w:t>23</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rPr>
              <w:t>日1</w:t>
            </w:r>
            <w:r>
              <w:rPr>
                <w:rFonts w:ascii="宋体" w:hAnsi="宋体" w:cs="宋体"/>
                <w:color w:val="auto"/>
                <w:sz w:val="24"/>
                <w:szCs w:val="24"/>
                <w:highlight w:val="none"/>
              </w:rPr>
              <w:t>7</w:t>
            </w:r>
            <w:r>
              <w:rPr>
                <w:rFonts w:hint="eastAsia" w:ascii="宋体" w:hAnsi="宋体" w:cs="宋体"/>
                <w:color w:val="auto"/>
                <w:sz w:val="24"/>
                <w:szCs w:val="24"/>
                <w:highlight w:val="none"/>
              </w:rPr>
              <w:t>：</w:t>
            </w:r>
            <w:r>
              <w:rPr>
                <w:rFonts w:ascii="宋体" w:hAnsi="宋体" w:cs="宋体"/>
                <w:color w:val="auto"/>
                <w:sz w:val="24"/>
                <w:szCs w:val="24"/>
                <w:highlight w:val="none"/>
              </w:rPr>
              <w:t>0</w:t>
            </w:r>
            <w:r>
              <w:rPr>
                <w:rFonts w:hint="eastAsia" w:ascii="宋体" w:hAnsi="宋体" w:cs="宋体"/>
                <w:color w:val="auto"/>
                <w:sz w:val="24"/>
                <w:szCs w:val="24"/>
                <w:highlight w:val="none"/>
              </w:rPr>
              <w:t>0前</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同应标截止时间</w:t>
            </w:r>
            <w:r>
              <w:rPr>
                <w:rFonts w:hint="eastAsia" w:ascii="宋体" w:hAnsi="宋体" w:cs="宋体"/>
                <w:color w:val="auto"/>
                <w:sz w:val="24"/>
                <w:szCs w:val="24"/>
                <w:highlight w:val="none"/>
                <w:lang w:eastAsia="zh-CN"/>
              </w:rPr>
              <w:t>）</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报名时候，请务必在邮件正文中文字描述付款账户、付款账号、开户行名称、开户行行</w:t>
            </w:r>
            <w:r>
              <w:rPr>
                <w:rFonts w:hint="eastAsia" w:ascii="宋体" w:hAnsi="宋体" w:cs="宋体"/>
                <w:sz w:val="24"/>
                <w:szCs w:val="24"/>
                <w:highlight w:val="none"/>
                <w:lang w:val="en-US" w:eastAsia="zh-CN"/>
              </w:rPr>
              <w:t>联</w:t>
            </w:r>
            <w:r>
              <w:rPr>
                <w:rFonts w:hint="eastAsia" w:ascii="宋体" w:hAnsi="宋体" w:cs="宋体"/>
                <w:sz w:val="24"/>
                <w:szCs w:val="24"/>
                <w:highlight w:val="none"/>
              </w:rPr>
              <w:t>号、保证金金额、税号、注册时间，注册资金、法人代表（姓名）、公司地址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对于没有中标的投标单位，投标保证金将于招标人内部完成中标人评审并确认最终中标人后在30工作日内予以原路返还（无息）；对于中标方，投标保证金将在签订合同后30工作日内返还。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年</w:t>
            </w:r>
            <w:r>
              <w:rPr>
                <w:rFonts w:hint="eastAsia"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月</w:t>
            </w:r>
            <w:r>
              <w:rPr>
                <w:rFonts w:hint="eastAsia" w:hAnsi="宋体" w:eastAsia="宋体" w:cs="宋体"/>
                <w:color w:val="auto"/>
                <w:sz w:val="24"/>
                <w:szCs w:val="24"/>
                <w:highlight w:val="none"/>
                <w:u w:val="single"/>
                <w:lang w:val="en-US" w:eastAsia="zh-CN"/>
              </w:rPr>
              <w:t>13</w:t>
            </w:r>
            <w:r>
              <w:rPr>
                <w:rFonts w:hint="eastAsia" w:ascii="宋体" w:hAnsi="宋体" w:eastAsia="宋体" w:cs="宋体"/>
                <w:color w:val="auto"/>
                <w:sz w:val="24"/>
                <w:szCs w:val="24"/>
                <w:highlight w:val="none"/>
              </w:rPr>
              <w:t>日</w:t>
            </w:r>
            <w:r>
              <w:rPr>
                <w:rFonts w:hint="eastAsia" w:ascii="宋体" w:hAnsi="宋体" w:eastAsia="宋体" w:cs="宋体"/>
                <w:color w:val="auto"/>
                <w:kern w:val="0"/>
                <w:sz w:val="24"/>
                <w:szCs w:val="24"/>
                <w:highlight w:val="none"/>
              </w:rPr>
              <w:t>上午9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00</w:t>
            </w:r>
            <w:r>
              <w:rPr>
                <w:rFonts w:hint="eastAsia" w:hAnsi="宋体" w:eastAsia="宋体" w:cs="宋体"/>
                <w:color w:val="auto"/>
                <w:sz w:val="24"/>
                <w:szCs w:val="24"/>
                <w:highlight w:val="none"/>
                <w:lang w:val="en-US" w:eastAsia="zh-CN"/>
              </w:rPr>
              <w:t>:00</w:t>
            </w:r>
            <w:r>
              <w:rPr>
                <w:rFonts w:hint="eastAsia" w:ascii="宋体" w:hAnsi="宋体" w:eastAsia="宋体" w:cs="宋体"/>
                <w:color w:val="auto"/>
                <w:sz w:val="24"/>
                <w:szCs w:val="24"/>
                <w:highlight w:val="none"/>
              </w:rPr>
              <w:t>（北京时间）</w:t>
            </w:r>
            <w:r>
              <w:rPr>
                <w:rFonts w:hint="eastAsia" w:ascii="宋体" w:hAnsi="宋体" w:eastAsia="宋体" w:cs="宋体"/>
                <w:kern w:val="0"/>
                <w:sz w:val="24"/>
                <w:szCs w:val="24"/>
                <w:highlight w:val="none"/>
              </w:rPr>
              <w:t>。</w:t>
            </w:r>
          </w:p>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宋体"/>
                <w:sz w:val="24"/>
                <w:szCs w:val="24"/>
                <w:highlight w:val="none"/>
                <w:lang w:eastAsia="zh-CN"/>
              </w:rPr>
              <w:t>世纪大道</w:t>
            </w:r>
            <w:r>
              <w:rPr>
                <w:rFonts w:hint="eastAsia" w:ascii="宋体" w:hAnsi="宋体" w:eastAsia="宋体" w:cs="宋体"/>
                <w:sz w:val="24"/>
                <w:szCs w:val="24"/>
                <w:highlight w:val="none"/>
                <w:lang w:val="en-US" w:eastAsia="zh-CN"/>
              </w:rPr>
              <w:t>6677号</w:t>
            </w:r>
            <w:r>
              <w:rPr>
                <w:rFonts w:hint="eastAsia" w:ascii="宋体" w:hAnsi="宋体" w:eastAsia="宋体" w:cs="宋体"/>
                <w:sz w:val="24"/>
                <w:szCs w:val="24"/>
                <w:highlight w:val="none"/>
                <w:lang w:eastAsia="zh-CN"/>
              </w:rPr>
              <w:t>济南成型厂</w:t>
            </w:r>
            <w:r>
              <w:rPr>
                <w:rFonts w:hint="eastAsia" w:ascii="宋体" w:hAnsi="宋体" w:eastAsia="宋体" w:cs="宋体"/>
                <w:sz w:val="24"/>
                <w:szCs w:val="24"/>
                <w:highlight w:val="none"/>
              </w:rPr>
              <w:t>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w:t>
            </w:r>
            <w:r>
              <w:rPr>
                <w:rFonts w:hint="eastAsia" w:ascii="宋体" w:hAnsi="宋体" w:eastAsia="宋体" w:cs="宋体"/>
                <w:b/>
                <w:bCs/>
                <w:sz w:val="24"/>
                <w:szCs w:val="24"/>
                <w:highlight w:val="none"/>
                <w:lang w:val="en-US" w:eastAsia="zh-CN"/>
              </w:rPr>
              <w:t>资质标审核→技术标评审→商务标评审。原则上选取</w:t>
            </w:r>
            <w:r>
              <w:rPr>
                <w:rFonts w:hint="eastAsia" w:ascii="宋体" w:hAnsi="宋体" w:eastAsia="宋体" w:cs="Times New Roman"/>
                <w:b/>
                <w:bCs/>
                <w:color w:val="000000"/>
                <w:sz w:val="24"/>
                <w:szCs w:val="24"/>
                <w:highlight w:val="none"/>
                <w:lang w:val="en-US" w:eastAsia="zh-CN"/>
              </w:rPr>
              <w:t>合理最低价中标</w:t>
            </w:r>
            <w:r>
              <w:rPr>
                <w:rFonts w:hint="eastAsia" w:ascii="宋体" w:hAnsi="宋体" w:eastAsia="宋体" w:cs="宋体"/>
                <w:sz w:val="24"/>
                <w:szCs w:val="24"/>
                <w:highlight w:val="none"/>
              </w:rPr>
              <w:t>。具体详见“第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none"/>
                <w:lang w:val="en-US" w:eastAsia="zh-CN"/>
              </w:rPr>
              <w:t>120</w:t>
            </w:r>
            <w:r>
              <w:rPr>
                <w:rFonts w:hint="eastAsia" w:hAnsi="宋体" w:eastAsia="宋体" w:cs="宋体"/>
                <w:color w:val="000000"/>
                <w:sz w:val="24"/>
                <w:szCs w:val="24"/>
                <w:highlight w:val="none"/>
              </w:rPr>
              <w:t>个日历日之内交货至供货地点。</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lang w:val="en-US" w:eastAsia="zh-CN"/>
              </w:rPr>
              <w:t>30</w:t>
            </w:r>
            <w:r>
              <w:rPr>
                <w:rFonts w:hint="eastAsia" w:hAnsi="宋体" w:eastAsia="宋体" w:cs="宋体"/>
                <w:color w:val="000000"/>
                <w:sz w:val="24"/>
                <w:szCs w:val="24"/>
                <w:highlight w:val="none"/>
              </w:rPr>
              <w:t>个日历日之内安装调试完毕。</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val="en-US" w:eastAsia="zh-CN"/>
              </w:rPr>
              <w:t>接续30</w:t>
            </w:r>
            <w:r>
              <w:rPr>
                <w:rFonts w:hint="eastAsia" w:hAnsi="宋体" w:eastAsia="宋体" w:cs="宋体"/>
                <w:color w:val="000000"/>
                <w:sz w:val="24"/>
                <w:szCs w:val="24"/>
                <w:highlight w:val="none"/>
              </w:rPr>
              <w:t>个日历日之内完成终验收。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none"/>
                <w:u w:val="single"/>
                <w:lang w:val="en-US" w:eastAsia="zh-CN"/>
              </w:rPr>
              <w:t>30</w:t>
            </w:r>
            <w:r>
              <w:rPr>
                <w:rFonts w:hint="eastAsia" w:hAnsi="宋体" w:eastAsia="宋体" w:cs="宋体"/>
                <w:color w:val="000000"/>
                <w:sz w:val="24"/>
                <w:szCs w:val="24"/>
                <w:highlight w:val="none"/>
                <w:u w:val="single"/>
              </w:rPr>
              <w:t>个日历日</w:t>
            </w:r>
            <w:r>
              <w:rPr>
                <w:rFonts w:hint="eastAsia" w:hAnsi="宋体" w:eastAsia="宋体" w:cs="宋体"/>
                <w:color w:val="000000"/>
                <w:sz w:val="24"/>
                <w:szCs w:val="24"/>
                <w:highlight w:val="none"/>
              </w:rPr>
              <w:t>的，投标</w:t>
            </w:r>
            <w:r>
              <w:rPr>
                <w:rFonts w:hint="eastAsia" w:hAnsi="宋体" w:eastAsia="宋体" w:cs="宋体"/>
                <w:color w:val="000000"/>
                <w:sz w:val="24"/>
                <w:szCs w:val="24"/>
              </w:rPr>
              <w:t>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b w:val="0"/>
                <w:bCs w:val="0"/>
                <w:color w:val="000000"/>
                <w:sz w:val="24"/>
                <w:szCs w:val="24"/>
              </w:rPr>
              <w:t>中国重汽集团济南动力有限公司</w:t>
            </w:r>
            <w:r>
              <w:rPr>
                <w:rFonts w:hint="eastAsia" w:hAnsi="宋体" w:eastAsia="宋体" w:cs="宋体"/>
                <w:b w:val="0"/>
                <w:bCs w:val="0"/>
                <w:color w:val="000000"/>
                <w:sz w:val="24"/>
                <w:szCs w:val="24"/>
                <w:lang w:eastAsia="zh-CN"/>
              </w:rPr>
              <w:t>济南成型厂</w:t>
            </w:r>
            <w:r>
              <w:rPr>
                <w:rFonts w:hint="eastAsia" w:hAnsi="宋体" w:eastAsia="宋体" w:cs="宋体"/>
                <w:color w:val="000000"/>
                <w:sz w:val="24"/>
                <w:szCs w:val="24"/>
              </w:rPr>
              <w:t>。</w:t>
            </w:r>
          </w:p>
        </w:tc>
      </w:tr>
    </w:tbl>
    <w:p>
      <w:pPr>
        <w:jc w:val="center"/>
        <w:rPr>
          <w:rFonts w:hint="eastAsia" w:ascii="宋体" w:hAnsi="宋体" w:eastAsia="宋体" w:cs="宋体"/>
          <w:sz w:val="24"/>
          <w:szCs w:val="24"/>
        </w:rPr>
        <w:sectPr>
          <w:footerReference r:id="rId10" w:type="default"/>
          <w:pgSz w:w="11907" w:h="16840"/>
          <w:pgMar w:top="1304" w:right="1418" w:bottom="1304" w:left="1418" w:header="724" w:footer="851" w:gutter="0"/>
          <w:pgNumType w:fmt="decimal" w:start="1"/>
          <w:cols w:space="720" w:num="1"/>
          <w:docGrid w:linePitch="290" w:charSpace="-3931"/>
        </w:sect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（1）设备全部到齐，经现场安装调试验收合格交付使用后，卖方提交金额为合同价款90%的收据并附带下列单据，经买方依照财务制度审核无误后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工作日内支付合同价款的90%。</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A：金额为该合同设备价格100%的增值税专用发票（含复印件二份），具体开票信息详见发票信息表，根据表中所列分别开具增值税发票。</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highlight w:val="none"/>
              </w:rPr>
            </w:pPr>
            <w:r>
              <w:rPr>
                <w:rFonts w:hint="eastAsia" w:ascii="宋体" w:hAnsi="宋体" w:eastAsia="宋体" w:cs="宋体"/>
                <w:bCs/>
                <w:sz w:val="24"/>
                <w:szCs w:val="24"/>
                <w:highlight w:val="none"/>
              </w:rPr>
              <w:t>(2)</w:t>
            </w:r>
            <w:r>
              <w:rPr>
                <w:rFonts w:hint="eastAsia" w:ascii="宋体" w:hAnsi="Courier New" w:eastAsia="宋体" w:cs="Times New Roman"/>
                <w:color w:val="000000"/>
                <w:sz w:val="24"/>
                <w:szCs w:val="24"/>
                <w:highlight w:val="none"/>
              </w:rPr>
              <w:t>合同总价款的10%作为本合同约定设备的质量保证金，质量保证金在质量保证期内不计利息。待每套合同设备质量保证期满，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宋体" w:eastAsia="宋体" w:cs="宋体"/>
                <w:b/>
                <w:bCs/>
                <w:color w:val="000000"/>
                <w:kern w:val="2"/>
                <w:sz w:val="24"/>
                <w:szCs w:val="24"/>
                <w:highlight w:val="none"/>
                <w:lang w:val="en-US" w:eastAsia="zh-CN" w:bidi="ar-SA"/>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w:t>
            </w:r>
            <w:r>
              <w:rPr>
                <w:rFonts w:hint="eastAsia" w:ascii="宋体" w:hAnsi="宋体" w:eastAsia="宋体" w:cs="宋体"/>
                <w:sz w:val="24"/>
                <w:szCs w:val="24"/>
              </w:rPr>
              <w:t>项目设计单位以此补充设计施工图纸，中标人最终审核确认。对于提资不准确不全面、不符合招标文件技术要求、提资变更导致的损失由卖方承担，并承担违约责任。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footerReference r:id="rId11" w:type="default"/>
          <w:pgSz w:w="11907" w:h="16840"/>
          <w:pgMar w:top="1304" w:right="1418" w:bottom="1304" w:left="1418" w:header="724" w:footer="851" w:gutter="0"/>
          <w:pgNumType w:fmt="decimal" w:start="1"/>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8" w:leftChars="228" w:hanging="1200" w:hangingChars="500"/>
        <w:rPr>
          <w:rFonts w:ascii="Calibri" w:hAnsi="Calibri" w:eastAsia="宋体" w:cs="Times New Roman"/>
          <w:color w:val="000000"/>
          <w:sz w:val="24"/>
          <w:szCs w:val="24"/>
          <w:highlight w:val="none"/>
          <w:u w:val="single"/>
        </w:rPr>
      </w:pPr>
      <w:r>
        <w:rPr>
          <w:rFonts w:hint="eastAsia" w:ascii="Calibri" w:hAnsi="Calibri" w:eastAsia="宋体" w:cs="Times New Roman"/>
          <w:color w:val="000000"/>
          <w:sz w:val="24"/>
          <w:szCs w:val="24"/>
        </w:rPr>
        <w:t>项目名称：</w:t>
      </w:r>
      <w:bookmarkStart w:id="5" w:name="OLE_LINK1"/>
      <w:r>
        <w:rPr>
          <w:rFonts w:hint="eastAsia" w:ascii="宋体" w:hAnsi="宋体" w:eastAsia="宋体" w:cs="Times New Roman"/>
          <w:color w:val="000000"/>
          <w:sz w:val="24"/>
          <w:szCs w:val="24"/>
          <w:highlight w:val="none"/>
        </w:rPr>
        <w:t>见《投标须知前附表》。</w:t>
      </w:r>
    </w:p>
    <w:bookmarkEnd w:id="5"/>
    <w:p>
      <w:pPr>
        <w:keepNext/>
        <w:keepLines/>
        <w:numPr>
          <w:ilvl w:val="0"/>
          <w:numId w:val="2"/>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招标内容及形式</w:t>
      </w:r>
    </w:p>
    <w:p>
      <w:pPr>
        <w:pStyle w:val="17"/>
        <w:ind w:firstLine="480" w:firstLineChars="200"/>
        <w:rPr>
          <w:highlight w:val="none"/>
        </w:rPr>
      </w:pPr>
      <w:r>
        <w:rPr>
          <w:rFonts w:hint="eastAsia" w:hAnsi="宋体" w:eastAsia="宋体" w:cs="Times New Roman"/>
          <w:color w:val="000000"/>
          <w:sz w:val="24"/>
          <w:szCs w:val="24"/>
          <w:highlight w:val="none"/>
        </w:rPr>
        <w:t>见《投标须知前附表》。</w:t>
      </w:r>
    </w:p>
    <w:p>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b/>
          <w:color w:val="000000"/>
          <w:sz w:val="24"/>
          <w:szCs w:val="24"/>
          <w:highlight w:val="none"/>
        </w:rPr>
        <w:t>对于本项目需着重介绍的注意事项已经通过以下带颜色文档进行标记。</w:t>
      </w:r>
    </w:p>
    <w:p>
      <w:pPr>
        <w:spacing w:line="360" w:lineRule="auto"/>
        <w:ind w:firstLine="480" w:firstLineChars="200"/>
        <w:rPr>
          <w:rFonts w:ascii="宋体" w:hAnsi="Courier New" w:eastAsia="宋体" w:cs="Times New Roman"/>
          <w:b/>
          <w:color w:val="000000"/>
          <w:sz w:val="24"/>
          <w:szCs w:val="24"/>
          <w:highlight w:val="none"/>
        </w:rPr>
      </w:pPr>
      <w:r>
        <w:rPr>
          <w:rFonts w:hint="eastAsia" w:ascii="宋体" w:hAnsi="Courier New" w:eastAsia="宋体" w:cs="Times New Roman"/>
          <w:b/>
          <w:color w:val="000000"/>
          <w:sz w:val="24"/>
          <w:szCs w:val="24"/>
          <w:highlight w:val="none"/>
        </w:rPr>
        <w:t>具体要求详见《技术标书》。</w:t>
      </w:r>
    </w:p>
    <w:p>
      <w:pPr>
        <w:keepNext/>
        <w:keepLines/>
        <w:numPr>
          <w:ilvl w:val="0"/>
          <w:numId w:val="2"/>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交货及付款</w:t>
      </w:r>
      <w:r>
        <w:rPr>
          <w:rFonts w:ascii="Arial" w:hAnsi="Arial" w:eastAsia="宋体" w:cs="Times New Roman"/>
          <w:b/>
          <w:bCs/>
          <w:sz w:val="28"/>
          <w:szCs w:val="36"/>
          <w:highlight w:val="none"/>
        </w:rPr>
        <w:tab/>
      </w:r>
    </w:p>
    <w:p>
      <w:pPr>
        <w:pStyle w:val="17"/>
        <w:ind w:firstLine="480" w:firstLineChars="200"/>
        <w:rPr>
          <w:highlight w:val="none"/>
        </w:rPr>
      </w:pPr>
      <w:r>
        <w:rPr>
          <w:rFonts w:hint="eastAsia" w:eastAsia="宋体" w:cs="Times New Roman"/>
          <w:color w:val="000000"/>
          <w:sz w:val="24"/>
          <w:szCs w:val="24"/>
          <w:highlight w:val="none"/>
        </w:rPr>
        <w:t>交货期、交货地点、交货方式、付款方式及比例</w:t>
      </w:r>
      <w:r>
        <w:rPr>
          <w:rFonts w:hint="eastAsia" w:hAnsi="宋体" w:eastAsia="宋体" w:cs="Times New Roman"/>
          <w:color w:val="000000"/>
          <w:sz w:val="24"/>
          <w:szCs w:val="24"/>
          <w:highlight w:val="none"/>
        </w:rPr>
        <w:t>见《投标须知前附表》第7条。</w:t>
      </w:r>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spacing w:line="360" w:lineRule="auto"/>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w:t>
      </w:r>
      <w:r>
        <w:rPr>
          <w:rFonts w:hint="eastAsia" w:ascii="宋体" w:hAnsi="Courier New" w:eastAsia="宋体" w:cs="Times New Roman"/>
          <w:color w:val="000000"/>
          <w:sz w:val="24"/>
          <w:szCs w:val="24"/>
          <w:highlight w:val="none"/>
        </w:rPr>
        <w:t>标人在中国重汽的官网</w:t>
      </w:r>
      <w:r>
        <w:rPr>
          <w:rFonts w:hint="eastAsia" w:ascii="宋体" w:hAnsi="Courier New" w:eastAsia="宋体" w:cs="Times New Roman"/>
          <w:color w:val="000000"/>
          <w:sz w:val="24"/>
          <w:szCs w:val="24"/>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ascii="宋体" w:hAnsi="Courier New" w:eastAsia="宋体" w:cs="Times New Roman"/>
          <w:b w:val="0"/>
          <w:bCs w:val="0"/>
          <w:color w:val="000000"/>
          <w:sz w:val="24"/>
          <w:szCs w:val="24"/>
          <w:highlight w:val="none"/>
          <w:lang w:val="en-US" w:eastAsia="zh-CN"/>
        </w:rPr>
        <w:t>按照中国重汽e采通“SRM非生产供应商注册手册（附件14）”进行注册</w:t>
      </w:r>
      <w:r>
        <w:rPr>
          <w:rFonts w:hint="eastAsia" w:ascii="宋体" w:hAnsi="Courier New" w:eastAsia="宋体" w:cs="Times New Roman"/>
          <w:color w:val="000000"/>
          <w:sz w:val="24"/>
          <w:szCs w:val="24"/>
          <w:highlight w:val="none"/>
          <w:lang w:val="en-US" w:eastAsia="zh-CN"/>
        </w:rPr>
        <w:t>，进入“供应商应标”，选择对应的项目，点击“</w:t>
      </w:r>
      <w:r>
        <w:rPr>
          <w:rFonts w:hint="eastAsia" w:ascii="宋体" w:hAnsi="Courier New" w:eastAsia="宋体" w:cs="Times New Roman"/>
          <w:b w:val="0"/>
          <w:bCs w:val="0"/>
          <w:color w:val="000000"/>
          <w:sz w:val="24"/>
          <w:szCs w:val="24"/>
          <w:highlight w:val="none"/>
          <w:lang w:val="en-US" w:eastAsia="zh-CN"/>
        </w:rPr>
        <w:t>应标</w:t>
      </w:r>
      <w:r>
        <w:rPr>
          <w:rFonts w:hint="eastAsia" w:ascii="宋体" w:hAnsi="Courier New" w:eastAsia="宋体" w:cs="Times New Roman"/>
          <w:color w:val="000000"/>
          <w:sz w:val="24"/>
          <w:szCs w:val="24"/>
          <w:highlight w:val="none"/>
          <w:lang w:val="en-US" w:eastAsia="zh-CN"/>
        </w:rPr>
        <w:t>”后</w:t>
      </w:r>
      <w:r>
        <w:rPr>
          <w:rFonts w:hint="eastAsia" w:ascii="宋体" w:hAnsi="Courier New" w:eastAsia="宋体" w:cs="Times New Roman"/>
          <w:b w:val="0"/>
          <w:bCs w:val="0"/>
          <w:color w:val="000000"/>
          <w:sz w:val="24"/>
          <w:szCs w:val="24"/>
          <w:highlight w:val="none"/>
        </w:rPr>
        <w:t>按照</w:t>
      </w:r>
      <w:r>
        <w:rPr>
          <w:rFonts w:hint="eastAsia" w:ascii="宋体" w:hAnsi="Courier New" w:eastAsia="宋体" w:cs="Times New Roman"/>
          <w:b w:val="0"/>
          <w:bCs w:val="0"/>
          <w:color w:val="000000"/>
          <w:sz w:val="24"/>
          <w:szCs w:val="24"/>
          <w:highlight w:val="none"/>
          <w:lang w:val="en-US" w:eastAsia="zh-CN"/>
        </w:rPr>
        <w:t>招标文件</w:t>
      </w:r>
      <w:r>
        <w:rPr>
          <w:rFonts w:hint="eastAsia" w:ascii="宋体" w:hAnsi="Courier New" w:eastAsia="宋体" w:cs="Times New Roman"/>
          <w:b w:val="0"/>
          <w:bCs w:val="0"/>
          <w:color w:val="000000"/>
          <w:sz w:val="24"/>
          <w:szCs w:val="24"/>
          <w:highlight w:val="none"/>
        </w:rPr>
        <w:t>第</w:t>
      </w:r>
      <w:r>
        <w:rPr>
          <w:rFonts w:hint="eastAsia" w:ascii="宋体" w:hAnsi="Courier New" w:eastAsia="宋体" w:cs="Times New Roman"/>
          <w:b w:val="0"/>
          <w:bCs w:val="0"/>
          <w:color w:val="000000"/>
          <w:sz w:val="24"/>
          <w:szCs w:val="24"/>
          <w:highlight w:val="none"/>
          <w:lang w:val="en-US" w:eastAsia="zh-CN"/>
        </w:rPr>
        <w:t>三</w:t>
      </w:r>
      <w:r>
        <w:rPr>
          <w:rFonts w:hint="eastAsia" w:ascii="宋体" w:hAnsi="Courier New" w:eastAsia="宋体" w:cs="Times New Roman"/>
          <w:b w:val="0"/>
          <w:bCs w:val="0"/>
          <w:color w:val="000000"/>
          <w:sz w:val="24"/>
          <w:szCs w:val="24"/>
          <w:highlight w:val="none"/>
        </w:rPr>
        <w:t>部分投标文件组成资格证明文件中的1.1-1.</w:t>
      </w:r>
      <w:r>
        <w:rPr>
          <w:rFonts w:hint="eastAsia" w:ascii="宋体" w:hAnsi="Courier New" w:eastAsia="宋体" w:cs="Times New Roman"/>
          <w:b w:val="0"/>
          <w:bCs w:val="0"/>
          <w:color w:val="000000"/>
          <w:sz w:val="24"/>
          <w:szCs w:val="24"/>
          <w:highlight w:val="none"/>
          <w:lang w:val="en-US" w:eastAsia="zh-CN"/>
        </w:rPr>
        <w:t>12准备资料并</w:t>
      </w:r>
      <w:r>
        <w:rPr>
          <w:rFonts w:hint="eastAsia" w:ascii="宋体" w:hAnsi="Courier New" w:eastAsia="宋体" w:cs="Times New Roman"/>
          <w:color w:val="000000"/>
          <w:sz w:val="24"/>
          <w:szCs w:val="24"/>
          <w:highlight w:val="none"/>
          <w:lang w:val="en-US" w:eastAsia="zh-CN"/>
        </w:rPr>
        <w:t>上传，资质审查通过即为报名成功</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投标保证金缴纳的时候，</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不按要求报名的，或因未提供相关信息导致后期无法退回保证金的，需投标单位承担。</w:t>
      </w:r>
    </w:p>
    <w:p>
      <w:pPr>
        <w:keepNext/>
        <w:keepLines/>
        <w:ind w:firstLine="480"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2.投标条</w:t>
      </w:r>
      <w:r>
        <w:rPr>
          <w:rFonts w:hint="eastAsia" w:ascii="Times New Roman" w:hAnsi="Times New Roman" w:eastAsia="宋体" w:cs="Times New Roman"/>
          <w:b/>
          <w:bCs/>
          <w:color w:val="000000"/>
          <w:sz w:val="24"/>
          <w:szCs w:val="24"/>
          <w:highlight w:val="none"/>
        </w:rPr>
        <w:t>件</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highlight w:val="none"/>
        </w:rPr>
        <w:t>2.1拟投</w:t>
      </w:r>
      <w:r>
        <w:rPr>
          <w:rFonts w:hint="eastAsia" w:ascii="宋体" w:hAnsi="Courier New" w:eastAsia="宋体" w:cs="Times New Roman"/>
          <w:color w:val="000000"/>
          <w:sz w:val="24"/>
          <w:szCs w:val="24"/>
          <w:highlight w:val="none"/>
          <w:lang w:val="en-US" w:eastAsia="zh-CN"/>
        </w:rPr>
        <w:t>标</w:t>
      </w:r>
      <w:r>
        <w:rPr>
          <w:rFonts w:hint="eastAsia" w:ascii="宋体" w:hAnsi="Courier New" w:eastAsia="宋体" w:cs="Times New Roman"/>
          <w:color w:val="000000"/>
          <w:sz w:val="24"/>
          <w:szCs w:val="24"/>
          <w:highlight w:val="none"/>
        </w:rPr>
        <w:t>人必须是在中华人民共和国境内注册的独立法人机构，具有独立承担民事责任能力；注册资金不少于</w:t>
      </w:r>
      <w:r>
        <w:rPr>
          <w:rFonts w:hint="eastAsia" w:ascii="宋体" w:hAnsi="Courier New" w:eastAsia="宋体" w:cs="Times New Roman"/>
          <w:b/>
          <w:color w:val="000000"/>
          <w:sz w:val="24"/>
          <w:szCs w:val="24"/>
          <w:highlight w:val="none"/>
          <w:u w:val="single"/>
          <w:lang w:val="en-US" w:eastAsia="zh-CN"/>
        </w:rPr>
        <w:t>5</w:t>
      </w:r>
      <w:r>
        <w:rPr>
          <w:rFonts w:hint="eastAsia" w:ascii="宋体" w:hAnsi="Courier New" w:eastAsia="宋体" w:cs="Times New Roman"/>
          <w:b/>
          <w:color w:val="000000"/>
          <w:sz w:val="24"/>
          <w:szCs w:val="24"/>
          <w:highlight w:val="none"/>
          <w:u w:val="single"/>
        </w:rPr>
        <w:t>00万</w:t>
      </w:r>
      <w:r>
        <w:rPr>
          <w:rFonts w:hint="eastAsia" w:ascii="宋体" w:hAnsi="Courier New" w:eastAsia="宋体" w:cs="Times New Roman"/>
          <w:color w:val="000000"/>
          <w:sz w:val="24"/>
          <w:szCs w:val="24"/>
          <w:highlight w:val="none"/>
        </w:rPr>
        <w:t>人民币（或等值其他货币）；公司成立</w:t>
      </w:r>
      <w:r>
        <w:rPr>
          <w:rFonts w:hint="eastAsia" w:ascii="宋体" w:hAnsi="Courier New" w:eastAsia="宋体" w:cs="Times New Roman"/>
          <w:b/>
          <w:color w:val="000000"/>
          <w:sz w:val="24"/>
          <w:szCs w:val="24"/>
          <w:highlight w:val="none"/>
          <w:u w:val="single"/>
        </w:rPr>
        <w:t>三年以上</w:t>
      </w:r>
      <w:r>
        <w:rPr>
          <w:rFonts w:hint="eastAsia" w:ascii="宋体" w:hAnsi="Courier New" w:eastAsia="宋体" w:cs="Times New Roman"/>
          <w:color w:val="000000"/>
          <w:sz w:val="24"/>
          <w:szCs w:val="24"/>
          <w:highlight w:val="none"/>
        </w:rPr>
        <w:t>（以营业执照成立日期到开标当日满三年为准），且经营范围满足招标人需求；并</w:t>
      </w:r>
      <w:r>
        <w:rPr>
          <w:rFonts w:hint="eastAsia" w:ascii="宋体" w:hAnsi="Courier New" w:eastAsia="宋体" w:cs="Times New Roman"/>
          <w:color w:val="000000"/>
          <w:sz w:val="24"/>
          <w:szCs w:val="24"/>
        </w:rPr>
        <w:t>在人员、设备、资金等方面具有承担本项目的能力；</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2.2拟投标人应提供三证合一的营业执照</w:t>
      </w:r>
      <w:r>
        <w:rPr>
          <w:rFonts w:hint="eastAsia" w:ascii="宋体" w:hAnsi="宋体" w:eastAsia="宋体" w:cs="宋体"/>
          <w:b/>
          <w:sz w:val="24"/>
          <w:szCs w:val="24"/>
        </w:rPr>
        <w:t>副本原件和复印件（需盖章）</w:t>
      </w:r>
      <w:r>
        <w:rPr>
          <w:rFonts w:hint="eastAsia" w:ascii="宋体" w:hAnsi="宋体" w:eastAsia="宋体" w:cs="宋体"/>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2.3拟投标人应提供法定代表人资格证明文件；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2.4拟投标人在工商行政管理局的《国家企业信用信息公示系统》中查询不存在不良记录；</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2.5拟投标人不存在严重违规或被列入招标人“黑名单”的声明；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highlight w:val="none"/>
        </w:rPr>
        <w:t>6拟投标人</w:t>
      </w:r>
      <w:r>
        <w:rPr>
          <w:rFonts w:hint="eastAsia" w:ascii="宋体" w:hAnsi="宋体" w:eastAsia="宋体" w:cs="宋体"/>
          <w:sz w:val="24"/>
          <w:szCs w:val="24"/>
          <w:highlight w:val="none"/>
        </w:rPr>
        <w:t>2019</w:t>
      </w:r>
      <w:r>
        <w:rPr>
          <w:rFonts w:hint="eastAsia" w:hAnsi="宋体" w:eastAsia="宋体" w:cs="宋体"/>
          <w:sz w:val="24"/>
          <w:szCs w:val="24"/>
          <w:highlight w:val="none"/>
        </w:rPr>
        <w:t>年</w:t>
      </w:r>
      <w:r>
        <w:rPr>
          <w:rFonts w:hint="eastAsia" w:ascii="宋体" w:hAnsi="宋体" w:eastAsia="宋体" w:cs="宋体"/>
          <w:sz w:val="24"/>
          <w:szCs w:val="24"/>
          <w:highlight w:val="none"/>
        </w:rPr>
        <w:t>1月1日</w:t>
      </w:r>
      <w:r>
        <w:rPr>
          <w:rFonts w:hint="eastAsia" w:hAnsi="宋体" w:eastAsia="宋体" w:cs="宋体"/>
          <w:sz w:val="24"/>
          <w:szCs w:val="24"/>
          <w:highlight w:val="none"/>
        </w:rPr>
        <w:t>至今</w:t>
      </w:r>
      <w:r>
        <w:rPr>
          <w:rFonts w:hint="eastAsia" w:ascii="宋体" w:hAnsi="宋体" w:eastAsia="宋体" w:cs="Times New Roman"/>
          <w:color w:val="000000"/>
          <w:sz w:val="24"/>
          <w:szCs w:val="24"/>
          <w:highlight w:val="none"/>
        </w:rPr>
        <w:t>经</w:t>
      </w:r>
      <w:r>
        <w:rPr>
          <w:rFonts w:hint="eastAsia" w:ascii="宋体" w:hAnsi="宋体" w:eastAsia="宋体" w:cs="Times New Roman"/>
          <w:b/>
          <w:bCs/>
          <w:color w:val="000000"/>
          <w:sz w:val="24"/>
          <w:szCs w:val="24"/>
          <w:highlight w:val="none"/>
        </w:rPr>
        <w:t>第</w:t>
      </w:r>
      <w:r>
        <w:rPr>
          <w:rFonts w:hint="eastAsia" w:ascii="宋体" w:hAnsi="宋体" w:eastAsia="宋体" w:cs="Times New Roman"/>
          <w:b/>
          <w:bCs/>
          <w:color w:val="000000"/>
          <w:sz w:val="24"/>
          <w:szCs w:val="24"/>
        </w:rPr>
        <w:t>三方机构</w:t>
      </w:r>
      <w:r>
        <w:rPr>
          <w:rFonts w:hint="eastAsia" w:ascii="宋体" w:hAnsi="宋体" w:eastAsia="宋体" w:cs="Times New Roman"/>
          <w:color w:val="000000"/>
          <w:sz w:val="24"/>
          <w:szCs w:val="24"/>
        </w:rPr>
        <w:t>审计的公司财务报表（资产负债表、损益表、现金流量表）未显示异常；</w:t>
      </w:r>
    </w:p>
    <w:p>
      <w:pPr>
        <w:pStyle w:val="17"/>
        <w:spacing w:line="360" w:lineRule="auto"/>
        <w:ind w:firstLine="480" w:firstLineChars="200"/>
        <w:rPr>
          <w:rFonts w:hAnsi="宋体" w:eastAsia="宋体" w:cs="宋体"/>
          <w:kern w:val="0"/>
          <w:sz w:val="24"/>
          <w:szCs w:val="24"/>
          <w:lang w:bidi="ar"/>
        </w:rPr>
      </w:pPr>
      <w:r>
        <w:rPr>
          <w:rFonts w:hint="eastAsia" w:hAnsi="宋体" w:eastAsia="宋体"/>
          <w:color w:val="000000"/>
          <w:kern w:val="0"/>
          <w:sz w:val="24"/>
          <w:szCs w:val="24"/>
        </w:rPr>
        <w:t>2.7</w:t>
      </w:r>
      <w:r>
        <w:rPr>
          <w:rFonts w:hint="eastAsia" w:hAnsi="宋体" w:eastAsia="宋体"/>
          <w:color w:val="000000"/>
          <w:sz w:val="24"/>
          <w:szCs w:val="24"/>
        </w:rPr>
        <w:t>拟投标人有与本次招标内容相同或类似项目业绩，且近3年内无因服务不当而造成重大事故；</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2.8投标人三年内无违法及重大违规情况；</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2.9</w:t>
      </w:r>
      <w:r>
        <w:rPr>
          <w:rFonts w:hAnsi="宋体" w:eastAsia="宋体"/>
          <w:color w:val="000000"/>
          <w:sz w:val="24"/>
          <w:szCs w:val="24"/>
        </w:rPr>
        <w:t>投标人须认可招标人的工作指令，包括节、假日能正常开展工作的要求</w:t>
      </w:r>
      <w:r>
        <w:rPr>
          <w:rFonts w:hint="eastAsia" w:hAnsi="宋体" w:eastAsia="宋体"/>
          <w:color w:val="000000"/>
          <w:sz w:val="24"/>
          <w:szCs w:val="24"/>
        </w:rPr>
        <w:t>；</w:t>
      </w:r>
    </w:p>
    <w:p>
      <w:pPr>
        <w:pStyle w:val="17"/>
        <w:spacing w:line="360" w:lineRule="auto"/>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2.10投标人最近半年纳税正常；</w:t>
      </w:r>
    </w:p>
    <w:p>
      <w:pPr>
        <w:pStyle w:val="17"/>
        <w:spacing w:line="360" w:lineRule="auto"/>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2.11投标人信用证明材料（中国人民银行信用代码证+征信报告）未显示异常；</w:t>
      </w:r>
    </w:p>
    <w:p>
      <w:pPr>
        <w:pStyle w:val="17"/>
        <w:spacing w:line="360" w:lineRule="auto"/>
        <w:ind w:firstLine="480" w:firstLineChars="200"/>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2.12供方的直接或间接股东、法定代表人、董事、监事、高管非重汽员工及其亲属；</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2.1</w:t>
      </w:r>
      <w:r>
        <w:rPr>
          <w:rFonts w:hint="eastAsia" w:hAnsi="宋体" w:eastAsia="宋体"/>
          <w:color w:val="000000"/>
          <w:sz w:val="24"/>
          <w:szCs w:val="24"/>
          <w:lang w:val="en-US" w:eastAsia="zh-CN"/>
        </w:rPr>
        <w:t>3</w:t>
      </w:r>
      <w:r>
        <w:rPr>
          <w:rFonts w:hint="eastAsia" w:hAnsi="宋体" w:eastAsia="宋体"/>
          <w:color w:val="000000"/>
          <w:sz w:val="24"/>
          <w:szCs w:val="24"/>
        </w:rPr>
        <w:t>如为代理商投标，需获得生产厂家正式授权，提供授权书原件，保证提供原厂售后服务并提供承诺书原件。</w:t>
      </w:r>
    </w:p>
    <w:p>
      <w:pPr>
        <w:keepNext/>
        <w:keepLines/>
        <w:ind w:firstLine="480" w:firstLineChars="200"/>
        <w:outlineLvl w:val="2"/>
        <w:rPr>
          <w:rFonts w:ascii="宋体" w:hAnsi="Calibri" w:eastAsia="宋体" w:cs="Times New Roman"/>
          <w:b/>
          <w:bCs/>
          <w:color w:val="000000"/>
          <w:sz w:val="24"/>
          <w:szCs w:val="24"/>
        </w:rPr>
      </w:pPr>
      <w:r>
        <w:rPr>
          <w:rFonts w:hint="eastAsia" w:ascii="Times New Roman" w:hAnsi="Times New Roman" w:eastAsia="宋体" w:cs="Times New Roman"/>
          <w:b/>
          <w:bCs/>
          <w:color w:val="000000"/>
          <w:sz w:val="24"/>
          <w:szCs w:val="24"/>
        </w:rPr>
        <w:t>3</w:t>
      </w:r>
      <w:r>
        <w:rPr>
          <w:rFonts w:hint="eastAsia" w:ascii="宋体" w:hAnsi="宋体" w:eastAsia="宋体" w:cs="Times New Roman"/>
          <w:b/>
          <w:bCs/>
          <w:color w:val="000000"/>
          <w:sz w:val="24"/>
          <w:szCs w:val="24"/>
        </w:rPr>
        <w:t>.报价</w:t>
      </w:r>
    </w:p>
    <w:p>
      <w:pPr>
        <w:pStyle w:val="17"/>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评标流程以及规则详细见通知公告→六、评标规则。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3.2</w:t>
      </w:r>
      <w:r>
        <w:rPr>
          <w:rFonts w:hint="eastAsia" w:ascii="宋体" w:hAnsi="宋体" w:eastAsia="宋体" w:cs="Times New Roman"/>
          <w:b/>
          <w:bCs/>
          <w:color w:val="000000"/>
          <w:sz w:val="24"/>
          <w:szCs w:val="24"/>
          <w:highlight w:val="none"/>
        </w:rPr>
        <w:t>所有设备的报价货币单位为：</w:t>
      </w:r>
      <w:r>
        <w:rPr>
          <w:rFonts w:hint="eastAsia"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rPr>
        <w:t>元（人民币，请务必报含税价和不含税价并写明税率）。</w:t>
      </w:r>
    </w:p>
    <w:p>
      <w:pPr>
        <w:keepNext/>
        <w:keepLines/>
        <w:ind w:firstLine="480" w:firstLineChars="200"/>
        <w:outlineLvl w:val="2"/>
        <w:rPr>
          <w:rFonts w:eastAsia="宋体"/>
          <w:highlight w:val="none"/>
        </w:rPr>
      </w:pPr>
      <w:r>
        <w:rPr>
          <w:rFonts w:hint="eastAsia" w:ascii="宋体" w:hAnsi="宋体" w:eastAsia="宋体" w:cs="Times New Roman"/>
          <w:b/>
          <w:bCs/>
          <w:color w:val="000000"/>
          <w:sz w:val="24"/>
          <w:szCs w:val="24"/>
          <w:highlight w:val="none"/>
        </w:rPr>
        <w:t>4.设备要求：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17"/>
        <w:spacing w:line="360" w:lineRule="auto"/>
        <w:rPr>
          <w:rFonts w:hint="eastAsia" w:hAnsi="宋体" w:eastAsia="宋体"/>
          <w:color w:val="000000"/>
          <w:sz w:val="24"/>
          <w:szCs w:val="24"/>
        </w:rPr>
      </w:pPr>
      <w:r>
        <w:rPr>
          <w:rFonts w:hAnsi="宋体" w:eastAsia="宋体"/>
          <w:color w:val="000000"/>
          <w:sz w:val="24"/>
          <w:szCs w:val="24"/>
        </w:rPr>
        <w:t>—2020）。</w:t>
      </w:r>
    </w:p>
    <w:p>
      <w:pPr>
        <w:keepNext/>
        <w:keepLines/>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hint="eastAsia" w:ascii="Times New Roman" w:hAnsi="Times New Roman" w:eastAsia="宋体" w:cs="Times New Roman"/>
          <w:b/>
          <w:bCs/>
          <w:color w:val="000000"/>
          <w:sz w:val="24"/>
          <w:szCs w:val="24"/>
          <w:lang w:eastAsia="zh-CN"/>
        </w:rPr>
      </w:pPr>
      <w:r>
        <w:rPr>
          <w:rFonts w:hint="eastAsia" w:ascii="宋体" w:hAnsi="宋体" w:eastAsia="宋体" w:cs="Times New Roman"/>
          <w:color w:val="000000"/>
          <w:sz w:val="24"/>
          <w:szCs w:val="24"/>
        </w:rPr>
        <w:t>凡对本次招标提出的询问，均以招标人的书面答复为准</w:t>
      </w:r>
      <w:r>
        <w:rPr>
          <w:rFonts w:hint="eastAsia" w:ascii="宋体" w:hAnsi="宋体" w:eastAsia="宋体" w:cs="Times New Roman"/>
          <w:color w:val="000000"/>
          <w:sz w:val="24"/>
          <w:szCs w:val="24"/>
          <w:lang w:eastAsia="zh-CN"/>
        </w:rPr>
        <w:t>。</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0"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pPr>
        <w:keepNext/>
        <w:keepLines/>
        <w:spacing w:line="420" w:lineRule="exact"/>
        <w:ind w:firstLine="480"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2.发标方式</w:t>
      </w:r>
    </w:p>
    <w:p>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中国重汽官网→快讯中心→通知公告栏公布。</w:t>
      </w:r>
    </w:p>
    <w:p>
      <w:pPr>
        <w:keepNext/>
        <w:keepLines/>
        <w:spacing w:line="420" w:lineRule="exact"/>
        <w:ind w:firstLine="480" w:firstLineChars="200"/>
        <w:outlineLvl w:val="2"/>
        <w:rPr>
          <w:rFonts w:ascii="宋体" w:hAnsi="Times New Roman"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w:t>
      </w:r>
      <w:r>
        <w:rPr>
          <w:rFonts w:hint="eastAsia" w:ascii="宋体" w:hAnsi="宋体" w:eastAsia="宋体" w:cs="Times New Roman"/>
          <w:color w:val="000000"/>
          <w:sz w:val="24"/>
          <w:szCs w:val="24"/>
          <w:highlight w:val="none"/>
          <w:lang w:val="en-US" w:eastAsia="zh-CN"/>
        </w:rPr>
        <w:t>第二条</w:t>
      </w:r>
      <w:r>
        <w:rPr>
          <w:rFonts w:hint="eastAsia" w:ascii="宋体" w:hAnsi="宋体" w:eastAsia="宋体" w:cs="Times New Roman"/>
          <w:color w:val="000000"/>
          <w:sz w:val="24"/>
          <w:szCs w:val="24"/>
          <w:highlight w:val="none"/>
        </w:rPr>
        <w:t>，逾期不受理。</w:t>
      </w:r>
    </w:p>
    <w:p>
      <w:pPr>
        <w:keepNext/>
        <w:keepLines/>
        <w:spacing w:line="420" w:lineRule="exact"/>
        <w:ind w:firstLine="480" w:firstLineChars="200"/>
        <w:outlineLvl w:val="2"/>
        <w:rPr>
          <w:rFonts w:hint="eastAsia"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lang w:val="en-US" w:eastAsia="zh-CN"/>
        </w:rPr>
        <w:t>4</w:t>
      </w:r>
      <w:r>
        <w:rPr>
          <w:rFonts w:hint="eastAsia" w:ascii="宋体" w:hAnsi="宋体" w:eastAsia="宋体" w:cs="Times New Roman"/>
          <w:b/>
          <w:bCs/>
          <w:color w:val="000000"/>
          <w:sz w:val="24"/>
          <w:szCs w:val="24"/>
          <w:highlight w:val="none"/>
        </w:rPr>
        <w:t>.投标报名</w:t>
      </w:r>
    </w:p>
    <w:p>
      <w:pPr>
        <w:keepNext/>
        <w:keepLines/>
        <w:spacing w:line="420" w:lineRule="exact"/>
        <w:ind w:firstLine="482"/>
        <w:outlineLvl w:val="9"/>
        <w:rPr>
          <w:rFonts w:hint="eastAsia" w:eastAsia="宋体" w:cs="Times New Roman"/>
          <w:sz w:val="24"/>
          <w:szCs w:val="24"/>
          <w:highlight w:val="none"/>
        </w:rPr>
      </w:pPr>
      <w:r>
        <w:rPr>
          <w:rFonts w:hint="eastAsia" w:hAnsi="Courier New" w:eastAsia="宋体" w:cs="Times New Roman"/>
          <w:sz w:val="24"/>
          <w:szCs w:val="24"/>
          <w:highlight w:val="none"/>
          <w:lang w:val="en-US" w:eastAsia="zh-CN"/>
        </w:rPr>
        <w:t>4</w:t>
      </w:r>
      <w:r>
        <w:rPr>
          <w:rFonts w:hint="eastAsia" w:hAnsi="Courier New" w:eastAsia="宋体" w:cs="Times New Roman"/>
          <w:sz w:val="24"/>
          <w:szCs w:val="24"/>
          <w:highlight w:val="none"/>
        </w:rPr>
        <w:t>.1</w:t>
      </w:r>
      <w:r>
        <w:rPr>
          <w:rFonts w:hint="eastAsia" w:eastAsia="宋体" w:cs="Times New Roman"/>
          <w:sz w:val="24"/>
          <w:szCs w:val="24"/>
          <w:highlight w:val="none"/>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eastAsia="宋体" w:cs="Times New Roman"/>
          <w:sz w:val="24"/>
          <w:szCs w:val="24"/>
          <w:highlight w:val="none"/>
          <w:lang w:eastAsia="zh-CN"/>
        </w:rPr>
        <w:t>。</w:t>
      </w:r>
    </w:p>
    <w:p>
      <w:pPr>
        <w:pStyle w:val="111"/>
        <w:ind w:firstLine="480"/>
        <w:rPr>
          <w:rFonts w:eastAsia="宋体" w:cs="Times New Roman"/>
          <w:highlight w:val="none"/>
        </w:rPr>
      </w:pPr>
      <w:r>
        <w:rPr>
          <w:rFonts w:hint="eastAsia" w:eastAsia="宋体" w:cs="Times New Roman"/>
          <w:highlight w:val="none"/>
          <w:lang w:val="en-US" w:eastAsia="zh-CN"/>
        </w:rPr>
        <w:t>4</w:t>
      </w:r>
      <w:r>
        <w:rPr>
          <w:rFonts w:hint="eastAsia" w:eastAsia="宋体" w:cs="Times New Roman"/>
          <w:highlight w:val="none"/>
        </w:rPr>
        <w:t>.2招标人银行账户信息如下：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pPr>
              <w:pStyle w:val="111"/>
              <w:ind w:firstLine="480"/>
              <w:rPr>
                <w:rFonts w:eastAsia="宋体" w:cs="Times New Roman"/>
                <w:highlight w:val="none"/>
              </w:rPr>
            </w:pPr>
            <w:r>
              <w:rPr>
                <w:rFonts w:hint="eastAsia" w:eastAsia="宋体" w:cs="Times New Roman"/>
                <w:highlight w:val="none"/>
              </w:rPr>
              <w:t>开户银行：</w:t>
            </w:r>
            <w:r>
              <w:rPr>
                <w:rFonts w:hint="eastAsia" w:ascii="宋体" w:hAnsi="宋体" w:eastAsia="宋体" w:cs="Times New Roman"/>
                <w:i w:val="0"/>
                <w:iCs w:val="0"/>
                <w:caps w:val="0"/>
                <w:color w:val="000000"/>
                <w:spacing w:val="0"/>
                <w:sz w:val="24"/>
                <w:szCs w:val="24"/>
                <w:highlight w:val="none"/>
                <w:shd w:val="clear" w:fill="auto"/>
              </w:rPr>
              <w:t>交通银行股份有限公司山东省分行营业部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pPr>
              <w:pStyle w:val="111"/>
              <w:ind w:firstLine="480"/>
              <w:rPr>
                <w:rFonts w:eastAsia="宋体" w:cs="Times New Roman"/>
                <w:highlight w:val="none"/>
              </w:rPr>
            </w:pPr>
            <w:r>
              <w:rPr>
                <w:rFonts w:hint="eastAsia" w:eastAsia="宋体" w:cs="Times New Roman"/>
                <w:highlight w:val="none"/>
              </w:rPr>
              <w:t>开户名称：中国重汽集团济南动力有限公司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pPr>
              <w:pStyle w:val="111"/>
              <w:ind w:firstLine="480"/>
              <w:rPr>
                <w:rFonts w:eastAsia="宋体" w:cs="Times New Roman"/>
                <w:highlight w:val="none"/>
              </w:rPr>
            </w:pPr>
            <w:r>
              <w:rPr>
                <w:rFonts w:hint="eastAsia" w:eastAsia="宋体" w:cs="Times New Roman"/>
                <w:highlight w:val="none"/>
              </w:rPr>
              <w:t>银行帐号：</w:t>
            </w:r>
            <w:r>
              <w:rPr>
                <w:rFonts w:hint="eastAsia" w:ascii="宋体" w:hAnsi="宋体" w:eastAsia="宋体" w:cs="Times New Roman"/>
                <w:i w:val="0"/>
                <w:iCs w:val="0"/>
                <w:caps w:val="0"/>
                <w:color w:val="000000"/>
                <w:spacing w:val="0"/>
                <w:sz w:val="24"/>
                <w:szCs w:val="24"/>
                <w:highlight w:val="none"/>
                <w:shd w:val="clear" w:fill="auto"/>
              </w:rPr>
              <w:t>371899991010003152396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pPr>
              <w:pStyle w:val="111"/>
              <w:ind w:firstLine="480"/>
              <w:rPr>
                <w:rFonts w:eastAsia="宋体" w:cs="Times New Roman"/>
                <w:highlight w:val="none"/>
              </w:rPr>
            </w:pPr>
            <w:r>
              <w:rPr>
                <w:rFonts w:hint="eastAsia" w:eastAsia="宋体" w:cs="Times New Roman"/>
                <w:highlight w:val="none"/>
              </w:rPr>
              <w:t>开户行联号：</w:t>
            </w:r>
            <w:r>
              <w:rPr>
                <w:rFonts w:hint="eastAsia" w:ascii="宋体" w:hAnsi="宋体" w:eastAsia="宋体" w:cs="Times New Roman"/>
                <w:i w:val="0"/>
                <w:iCs w:val="0"/>
                <w:caps w:val="0"/>
                <w:color w:val="000000"/>
                <w:spacing w:val="0"/>
                <w:sz w:val="24"/>
                <w:szCs w:val="24"/>
                <w:highlight w:val="none"/>
                <w:shd w:val="clear" w:fill="auto"/>
              </w:rPr>
              <w:t>301451000025</w:t>
            </w:r>
          </w:p>
        </w:tc>
      </w:tr>
    </w:tbl>
    <w:p>
      <w:pPr>
        <w:pStyle w:val="111"/>
        <w:ind w:firstLine="480"/>
        <w:rPr>
          <w:rFonts w:eastAsia="宋体" w:cs="Times New Roman"/>
        </w:rPr>
      </w:pPr>
      <w:r>
        <w:rPr>
          <w:rFonts w:hint="eastAsia" w:eastAsia="宋体" w:cs="Times New Roman"/>
        </w:rPr>
        <w:t>转账附言：公司名称+项目名称+投标保证金；</w:t>
      </w:r>
    </w:p>
    <w:p>
      <w:pPr>
        <w:pStyle w:val="111"/>
        <w:ind w:firstLine="480"/>
        <w:rPr>
          <w:rFonts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r>
        <w:rPr>
          <w:rFonts w:hint="eastAsia" w:eastAsia="宋体" w:cs="Times New Roman"/>
          <w:lang w:eastAsia="zh-CN"/>
        </w:rPr>
        <w:t>。</w:t>
      </w:r>
    </w:p>
    <w:p>
      <w:pPr>
        <w:pStyle w:val="111"/>
        <w:ind w:firstLine="480"/>
        <w:rPr>
          <w:rFonts w:hint="eastAsia" w:eastAsia="宋体" w:cs="Times New Roman"/>
          <w:lang w:val="en-US" w:eastAsia="zh-CN"/>
        </w:rPr>
      </w:pP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.3说明</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.3.1 投标人在向招标人出示《投标保证金缴纳凭证》后方可进行投标；</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 发生以下情况时，招标人有权没收保证金：</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.3.2.1 截至开标前3天，投标人无正当理由且未以书面形式递交说明而在投标截止日不来投标的；</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.3.2.2 投标人递送投标文件后，无正当理由放弃投标的；</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.3.2.3若为视频开标，招标过程中澄清函等资料原件未按要求提交的；</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.3.2.4自中标通知书发出之日起30日内，中标人无正当理由不签订合同的；</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4</w:t>
      </w:r>
      <w:r>
        <w:rPr>
          <w:rFonts w:hint="eastAsia" w:ascii="宋体" w:hAnsi="宋体" w:eastAsia="宋体" w:cs="Times New Roman"/>
          <w:color w:val="000000"/>
          <w:sz w:val="24"/>
          <w:szCs w:val="24"/>
        </w:rPr>
        <w:t>.3.2.6投标人有违约违规行为或被投诉、举报的，在调查处理期间，保证金暂不退还，待调查处理结束后按有关规定处理。</w:t>
      </w:r>
    </w:p>
    <w:p>
      <w:pPr>
        <w:pStyle w:val="111"/>
        <w:ind w:firstLine="480"/>
        <w:rPr>
          <w:rFonts w:eastAsia="宋体" w:cs="Times New Roman"/>
          <w:highlight w:val="none"/>
        </w:rPr>
      </w:pPr>
      <w:r>
        <w:rPr>
          <w:rFonts w:hint="eastAsia" w:eastAsia="宋体" w:cs="Times New Roman"/>
          <w:highlight w:val="none"/>
          <w:lang w:val="en-US" w:eastAsia="zh-CN"/>
        </w:rPr>
        <w:t>4</w:t>
      </w:r>
      <w:r>
        <w:rPr>
          <w:rFonts w:hint="eastAsia" w:eastAsia="宋体" w:cs="Times New Roman"/>
          <w:highlight w:val="none"/>
        </w:rPr>
        <w:t>.4投标报名截止时间</w:t>
      </w:r>
    </w:p>
    <w:p>
      <w:pPr>
        <w:pStyle w:val="111"/>
        <w:ind w:firstLine="480"/>
        <w:rPr>
          <w:rFonts w:hint="eastAsia" w:eastAsia="宋体" w:cs="Times New Roman"/>
          <w:highlight w:val="none"/>
          <w:lang w:eastAsia="zh-CN"/>
        </w:rPr>
      </w:pPr>
      <w:r>
        <w:rPr>
          <w:rFonts w:hint="eastAsia" w:eastAsia="宋体" w:cs="Times New Roman"/>
          <w:highlight w:val="none"/>
        </w:rPr>
        <w:t>报名方式：见《投标须知前附表》2.3</w:t>
      </w:r>
      <w:r>
        <w:rPr>
          <w:rFonts w:hint="eastAsia" w:eastAsia="宋体" w:cs="Times New Roman"/>
          <w:highlight w:val="none"/>
          <w:lang w:eastAsia="zh-CN"/>
        </w:rPr>
        <w:t>。</w:t>
      </w:r>
    </w:p>
    <w:p>
      <w:pPr>
        <w:pStyle w:val="111"/>
        <w:ind w:firstLine="480"/>
        <w:rPr>
          <w:rFonts w:eastAsia="宋体" w:cs="Times New Roman"/>
          <w:highlight w:val="none"/>
        </w:rPr>
      </w:pPr>
      <w:r>
        <w:rPr>
          <w:rFonts w:hint="eastAsia" w:eastAsia="宋体" w:cs="Times New Roman"/>
          <w:highlight w:val="none"/>
        </w:rPr>
        <w:t>报名提交资料：均为电子扫描版，用自己公司加文件名称命名就行。</w:t>
      </w:r>
    </w:p>
    <w:p>
      <w:pPr>
        <w:numPr>
          <w:ilvl w:val="0"/>
          <w:numId w:val="3"/>
        </w:numPr>
        <w:spacing w:line="420" w:lineRule="exact"/>
        <w:rPr>
          <w:rFonts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要提交三证合一的营业执照副本、法人授权委托书（含法人及授权人身份信息证明、授权代表联系方式）。</w:t>
      </w:r>
    </w:p>
    <w:p>
      <w:pPr>
        <w:numPr>
          <w:ilvl w:val="0"/>
          <w:numId w:val="3"/>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，要提交三证合一的营业执照副本、法人代表证明文件。</w:t>
      </w:r>
    </w:p>
    <w:p>
      <w:pPr>
        <w:numPr>
          <w:ilvl w:val="0"/>
          <w:numId w:val="3"/>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如果是代理商投标</w:t>
      </w:r>
      <w:r>
        <w:rPr>
          <w:rFonts w:hint="eastAsia" w:ascii="宋体" w:hAnsi="宋体" w:eastAsia="宋体" w:cs="Times New Roman"/>
          <w:color w:val="000000"/>
          <w:sz w:val="24"/>
          <w:szCs w:val="24"/>
          <w:highlight w:val="none"/>
        </w:rPr>
        <w:t>，除上述</w:t>
      </w:r>
      <w:r>
        <w:rPr>
          <w:rFonts w:ascii="宋体" w:hAnsi="宋体" w:eastAsia="宋体" w:cs="Times New Roman"/>
          <w:color w:val="000000"/>
          <w:sz w:val="24"/>
          <w:szCs w:val="24"/>
          <w:highlight w:val="none"/>
        </w:rPr>
        <w:t>a)b)</w:t>
      </w:r>
      <w:r>
        <w:rPr>
          <w:rFonts w:hint="eastAsia" w:ascii="宋体" w:hAnsi="宋体" w:eastAsia="宋体" w:cs="Times New Roman"/>
          <w:color w:val="000000"/>
          <w:sz w:val="24"/>
          <w:szCs w:val="24"/>
          <w:highlight w:val="none"/>
        </w:rPr>
        <w:t>中要求的资料，要另外携带生产商的授权书、原厂售后服务承诺书。</w:t>
      </w:r>
    </w:p>
    <w:p>
      <w:pPr>
        <w:keepNext/>
        <w:keepLines/>
        <w:spacing w:line="420" w:lineRule="exact"/>
        <w:ind w:firstLine="480" w:firstLineChars="200"/>
        <w:outlineLvl w:val="2"/>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lang w:val="en-US" w:eastAsia="zh-CN"/>
        </w:rPr>
        <w:t>5</w:t>
      </w:r>
      <w:r>
        <w:rPr>
          <w:rFonts w:hint="eastAsia" w:ascii="Times New Roman" w:hAnsi="Times New Roman" w:eastAsia="宋体" w:cs="Times New Roman"/>
          <w:b/>
          <w:bCs/>
          <w:color w:val="000000"/>
          <w:sz w:val="24"/>
          <w:szCs w:val="24"/>
          <w:highlight w:val="none"/>
        </w:rPr>
        <w:t>.开标时间</w:t>
      </w:r>
    </w:p>
    <w:p>
      <w:pPr>
        <w:keepNext/>
        <w:keepLines/>
        <w:spacing w:line="420" w:lineRule="exact"/>
        <w:ind w:firstLine="480" w:firstLineChars="200"/>
        <w:outlineLvl w:val="9"/>
        <w:rPr>
          <w:rFonts w:ascii="宋体" w:hAnsi="宋体" w:eastAsia="宋体" w:cs="Times New Roman"/>
          <w:color w:val="000000"/>
          <w:sz w:val="24"/>
          <w:szCs w:val="24"/>
          <w:highlight w:val="none"/>
        </w:rPr>
      </w:pPr>
      <w:r>
        <w:rPr>
          <w:rFonts w:hint="eastAsia" w:ascii="宋体" w:hAnsi="宋体" w:eastAsia="宋体" w:cs="Times New Roman"/>
          <w:b w:val="0"/>
          <w:bCs w:val="0"/>
          <w:color w:val="000000"/>
          <w:sz w:val="24"/>
          <w:szCs w:val="24"/>
          <w:highlight w:val="none"/>
        </w:rPr>
        <w:t>见《投标须知前附表》5.</w:t>
      </w:r>
      <w:r>
        <w:rPr>
          <w:rFonts w:hint="eastAsia" w:ascii="宋体" w:hAnsi="宋体" w:eastAsia="宋体" w:cs="Times New Roman"/>
          <w:b w:val="0"/>
          <w:bCs w:val="0"/>
          <w:color w:val="000000"/>
          <w:sz w:val="24"/>
          <w:szCs w:val="24"/>
          <w:highlight w:val="none"/>
          <w:lang w:val="en-US" w:eastAsia="zh-CN"/>
        </w:rPr>
        <w:t>1</w:t>
      </w:r>
      <w:r>
        <w:rPr>
          <w:rFonts w:hint="eastAsia" w:ascii="宋体" w:hAnsi="宋体" w:eastAsia="宋体" w:cs="Times New Roman"/>
          <w:b w:val="0"/>
          <w:bCs w:val="0"/>
          <w:color w:val="000000"/>
          <w:sz w:val="24"/>
          <w:szCs w:val="24"/>
          <w:highlight w:val="none"/>
        </w:rPr>
        <w:t>，若有变动另行通知</w:t>
      </w:r>
      <w:r>
        <w:rPr>
          <w:rFonts w:hint="eastAsia" w:ascii="宋体" w:hAnsi="宋体" w:eastAsia="宋体" w:cs="Times New Roman"/>
          <w:color w:val="000000"/>
          <w:sz w:val="24"/>
          <w:szCs w:val="24"/>
          <w:highlight w:val="none"/>
        </w:rPr>
        <w:t>。</w:t>
      </w:r>
    </w:p>
    <w:p>
      <w:pPr>
        <w:keepNext/>
        <w:keepLines/>
        <w:spacing w:line="420" w:lineRule="exact"/>
        <w:ind w:firstLine="480"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lang w:val="en-US" w:eastAsia="zh-CN"/>
        </w:rPr>
        <w:t>6</w:t>
      </w:r>
      <w:r>
        <w:rPr>
          <w:rFonts w:hint="eastAsia" w:ascii="Times New Roman" w:hAnsi="Times New Roman" w:eastAsia="宋体" w:cs="Times New Roman"/>
          <w:b/>
          <w:bCs/>
          <w:color w:val="000000"/>
          <w:sz w:val="24"/>
          <w:szCs w:val="24"/>
          <w:highlight w:val="none"/>
        </w:rPr>
        <w:t>.开标方式</w:t>
      </w:r>
    </w:p>
    <w:p>
      <w:pPr>
        <w:spacing w:line="420" w:lineRule="exact"/>
        <w:ind w:firstLine="480" w:firstLineChars="200"/>
        <w:rPr>
          <w:rFonts w:hint="default" w:ascii="宋体" w:hAnsi="宋体" w:eastAsia="宋体" w:cs="宋体"/>
          <w:color w:val="000000"/>
          <w:sz w:val="24"/>
          <w:szCs w:val="24"/>
          <w:highlight w:val="none"/>
          <w:lang w:val="en-US"/>
        </w:rPr>
      </w:pPr>
      <w:r>
        <w:rPr>
          <w:rFonts w:hint="default" w:ascii="宋体" w:hAnsi="宋体" w:eastAsia="宋体" w:cs="宋体"/>
          <w:color w:val="000000"/>
          <w:sz w:val="24"/>
          <w:szCs w:val="24"/>
          <w:highlight w:val="none"/>
          <w:lang w:val="en-US"/>
        </w:rPr>
        <w:t>满足国务院、政府及招标人公司最新防疫政策要求，可以来现场参与</w:t>
      </w:r>
      <w:r>
        <w:rPr>
          <w:rFonts w:hint="eastAsia" w:ascii="宋体" w:hAnsi="宋体" w:eastAsia="宋体" w:cs="宋体"/>
          <w:color w:val="000000"/>
          <w:sz w:val="24"/>
          <w:szCs w:val="24"/>
          <w:highlight w:val="none"/>
          <w:lang w:val="en-US" w:eastAsia="zh-CN"/>
        </w:rPr>
        <w:t>开</w:t>
      </w:r>
      <w:r>
        <w:rPr>
          <w:rFonts w:hint="default" w:ascii="宋体" w:hAnsi="宋体" w:eastAsia="宋体" w:cs="宋体"/>
          <w:color w:val="000000"/>
          <w:sz w:val="24"/>
          <w:szCs w:val="24"/>
          <w:highlight w:val="none"/>
          <w:lang w:val="en-US"/>
        </w:rPr>
        <w:t>标。</w:t>
      </w:r>
    </w:p>
    <w:p>
      <w:pPr>
        <w:spacing w:line="420" w:lineRule="exact"/>
        <w:ind w:firstLine="480" w:firstLineChars="200"/>
        <w:rPr>
          <w:rFonts w:ascii="宋体" w:hAnsi="宋体" w:eastAsia="宋体" w:cs="宋体"/>
          <w:color w:val="000000"/>
          <w:sz w:val="24"/>
          <w:szCs w:val="24"/>
          <w:highlight w:val="none"/>
        </w:rPr>
      </w:pPr>
      <w:r>
        <w:rPr>
          <w:rFonts w:hint="default"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keepLines/>
        <w:spacing w:line="420" w:lineRule="exact"/>
        <w:ind w:left="0" w:leftChars="0" w:firstLine="0" w:firstLineChars="0"/>
        <w:jc w:val="left"/>
        <w:outlineLvl w:val="1"/>
        <w:rPr>
          <w:rFonts w:hint="eastAsia" w:ascii="Times New Roman" w:hAnsi="Times New Roman" w:eastAsia="宋体" w:cs="Times New Roman"/>
          <w:b/>
          <w:bCs/>
          <w:color w:val="000000"/>
          <w:sz w:val="28"/>
          <w:szCs w:val="28"/>
          <w:highlight w:val="none"/>
        </w:rPr>
      </w:pPr>
      <w:bookmarkStart w:id="6" w:name="_Toc33266950"/>
      <w:bookmarkStart w:id="7" w:name="_Toc33266914"/>
      <w:bookmarkStart w:id="8" w:name="_Toc33265752"/>
      <w:bookmarkStart w:id="9" w:name="_Toc33265653"/>
      <w:bookmarkStart w:id="10" w:name="_Toc33266627"/>
      <w:bookmarkStart w:id="11" w:name="_Toc33267001"/>
      <w:bookmarkStart w:id="12" w:name="_Toc33285487"/>
      <w:r>
        <w:rPr>
          <w:rFonts w:hint="eastAsia" w:ascii="Times New Roman" w:hAnsi="Times New Roman" w:eastAsia="宋体" w:cs="Times New Roman"/>
          <w:b/>
          <w:bCs/>
          <w:color w:val="000000"/>
          <w:sz w:val="28"/>
          <w:szCs w:val="28"/>
          <w:highlight w:val="none"/>
        </w:rPr>
        <w:t>六、评</w:t>
      </w:r>
      <w:r>
        <w:rPr>
          <w:rFonts w:hint="eastAsia" w:ascii="Times New Roman" w:hAnsi="Times New Roman" w:eastAsia="宋体" w:cs="Times New Roman"/>
          <w:b/>
          <w:bCs/>
          <w:color w:val="000000"/>
          <w:sz w:val="28"/>
          <w:szCs w:val="28"/>
          <w:highlight w:val="none"/>
          <w:lang w:val="en-US" w:eastAsia="zh-CN"/>
        </w:rPr>
        <w:t>标</w:t>
      </w:r>
      <w:r>
        <w:rPr>
          <w:rFonts w:hint="eastAsia" w:ascii="Times New Roman" w:hAnsi="Times New Roman" w:eastAsia="宋体" w:cs="Times New Roman"/>
          <w:b/>
          <w:bCs/>
          <w:color w:val="000000"/>
          <w:sz w:val="28"/>
          <w:szCs w:val="28"/>
          <w:highlight w:val="none"/>
        </w:rPr>
        <w:t>原则</w:t>
      </w:r>
      <w:bookmarkEnd w:id="6"/>
      <w:bookmarkEnd w:id="7"/>
      <w:bookmarkEnd w:id="8"/>
      <w:bookmarkEnd w:id="9"/>
      <w:bookmarkEnd w:id="10"/>
      <w:bookmarkEnd w:id="11"/>
      <w:bookmarkEnd w:id="12"/>
      <w:bookmarkStart w:id="13" w:name="_Toc395116633"/>
    </w:p>
    <w:bookmarkEnd w:id="13"/>
    <w:p>
      <w:pPr>
        <w:spacing w:line="420" w:lineRule="exact"/>
        <w:ind w:firstLine="480"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420" w:lineRule="exact"/>
        <w:ind w:firstLine="480" w:firstLineChars="200"/>
        <w:rPr>
          <w:rFonts w:hint="eastAsia"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sz w:val="24"/>
          <w:szCs w:val="24"/>
          <w:lang w:val="en-US" w:eastAsia="zh-CN"/>
        </w:rPr>
        <w:t>技术标入围后，合理最低价中标</w:t>
      </w:r>
      <w:bookmarkStart w:id="14" w:name="_Toc33265753"/>
      <w:bookmarkStart w:id="15" w:name="_Toc33266628"/>
      <w:bookmarkStart w:id="16" w:name="_Toc33265654"/>
      <w:bookmarkStart w:id="17" w:name="_Toc33266915"/>
      <w:bookmarkStart w:id="18" w:name="_Toc33267002"/>
      <w:bookmarkStart w:id="19" w:name="_Toc395116634"/>
      <w:bookmarkStart w:id="20" w:name="_Toc33285489"/>
      <w:bookmarkStart w:id="21" w:name="_Toc33266951"/>
      <w:r>
        <w:rPr>
          <w:rFonts w:hint="eastAsia" w:ascii="宋体" w:hAnsi="宋体" w:eastAsia="宋体" w:cs="Times New Roman"/>
          <w:sz w:val="24"/>
          <w:szCs w:val="24"/>
          <w:lang w:val="en-US" w:eastAsia="zh-CN"/>
        </w:rPr>
        <w:t>。</w:t>
      </w:r>
      <w:r>
        <w:rPr>
          <w:rFonts w:hint="eastAsia" w:ascii="宋体" w:hAnsi="宋体" w:eastAsia="宋体" w:cs="Times New Roman"/>
          <w:color w:val="000000"/>
          <w:sz w:val="24"/>
          <w:szCs w:val="24"/>
        </w:rPr>
        <w:t>本着公平、公正、公开的原则，在</w:t>
      </w:r>
      <w:r>
        <w:rPr>
          <w:rFonts w:hint="eastAsia" w:ascii="宋体" w:hAnsi="宋体" w:eastAsia="宋体" w:cs="Times New Roman"/>
          <w:color w:val="000000"/>
          <w:sz w:val="24"/>
          <w:szCs w:val="24"/>
          <w:lang w:val="en-US" w:eastAsia="zh-CN"/>
        </w:rPr>
        <w:t>通过技术标</w:t>
      </w:r>
      <w:r>
        <w:rPr>
          <w:rFonts w:hint="eastAsia" w:ascii="Calibri" w:hAnsi="Calibri" w:eastAsia="宋体" w:cs="Times New Roman"/>
          <w:color w:val="000000"/>
          <w:sz w:val="24"/>
          <w:szCs w:val="24"/>
        </w:rPr>
        <w:t>综合评审</w:t>
      </w:r>
      <w:r>
        <w:rPr>
          <w:rFonts w:hint="eastAsia" w:ascii="Calibri" w:hAnsi="Calibri" w:eastAsia="宋体" w:cs="Times New Roman"/>
          <w:color w:val="000000"/>
          <w:sz w:val="24"/>
          <w:szCs w:val="24"/>
          <w:lang w:val="en-US" w:eastAsia="zh-CN"/>
        </w:rPr>
        <w:t>后</w:t>
      </w:r>
      <w:r>
        <w:rPr>
          <w:rFonts w:hint="eastAsia" w:ascii="宋体" w:hAnsi="宋体" w:eastAsia="宋体" w:cs="Times New Roman"/>
          <w:color w:val="000000"/>
          <w:sz w:val="24"/>
          <w:szCs w:val="24"/>
          <w:lang w:val="en-US" w:eastAsia="zh-CN"/>
        </w:rPr>
        <w:t>入围</w:t>
      </w:r>
      <w:r>
        <w:rPr>
          <w:rFonts w:hint="eastAsia" w:ascii="宋体" w:hAnsi="宋体" w:eastAsia="宋体" w:cs="Times New Roman"/>
          <w:color w:val="000000"/>
          <w:sz w:val="24"/>
          <w:szCs w:val="24"/>
        </w:rPr>
        <w:t>的前提下，</w:t>
      </w:r>
      <w:r>
        <w:rPr>
          <w:rFonts w:hint="eastAsia" w:ascii="宋体" w:hAnsi="宋体" w:eastAsia="宋体" w:cs="Times New Roman"/>
          <w:color w:val="000000"/>
          <w:sz w:val="24"/>
          <w:szCs w:val="24"/>
          <w:lang w:val="en-US" w:eastAsia="zh-CN"/>
        </w:rPr>
        <w:t>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，对未中标单位不做任何解释</w:t>
      </w:r>
      <w:r>
        <w:rPr>
          <w:rFonts w:hint="eastAsia" w:ascii="Calibri" w:hAnsi="Calibri" w:eastAsia="宋体" w:cs="Times New Roman"/>
          <w:b/>
          <w:color w:val="000000"/>
          <w:sz w:val="24"/>
          <w:szCs w:val="24"/>
        </w:rPr>
        <w:t>。</w:t>
      </w:r>
    </w:p>
    <w:p>
      <w:pPr>
        <w:pStyle w:val="17"/>
        <w:rPr>
          <w:rFonts w:hint="eastAsia" w:ascii="Calibri" w:hAnsi="Calibri" w:eastAsia="宋体" w:cs="Times New Roman"/>
          <w:b/>
          <w:color w:val="000000"/>
          <w:sz w:val="24"/>
          <w:szCs w:val="24"/>
        </w:rPr>
      </w:pPr>
    </w:p>
    <w:p>
      <w:pPr>
        <w:pStyle w:val="17"/>
        <w:rPr>
          <w:rFonts w:hint="eastAsia" w:ascii="Calibri" w:hAnsi="Calibri" w:eastAsia="宋体" w:cs="Times New Roman"/>
          <w:b/>
          <w:color w:val="000000"/>
          <w:sz w:val="24"/>
          <w:szCs w:val="24"/>
        </w:rPr>
      </w:pPr>
    </w:p>
    <w:bookmarkEnd w:id="14"/>
    <w:bookmarkEnd w:id="15"/>
    <w:bookmarkEnd w:id="16"/>
    <w:bookmarkEnd w:id="17"/>
    <w:bookmarkEnd w:id="18"/>
    <w:bookmarkEnd w:id="19"/>
    <w:bookmarkEnd w:id="20"/>
    <w:bookmarkEnd w:id="21"/>
    <w:p>
      <w:pPr>
        <w:spacing w:line="420" w:lineRule="exact"/>
        <w:ind w:firstLine="480"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17"/>
        <w:ind w:firstLine="480" w:firstLineChars="200"/>
        <w:rPr>
          <w:rFonts w:hint="default" w:eastAsia="宋体"/>
          <w:lang w:val="en-US" w:eastAsia="zh-CN"/>
        </w:rPr>
      </w:pPr>
      <w:r>
        <w:rPr>
          <w:rFonts w:hint="eastAsia" w:hAnsi="宋体" w:eastAsia="宋体" w:cs="Times New Roman"/>
          <w:b/>
          <w:color w:val="000000"/>
          <w:sz w:val="24"/>
          <w:szCs w:val="24"/>
          <w:lang w:val="en-US" w:eastAsia="zh-CN"/>
        </w:rPr>
        <w:t>投标文件包含《投标文件（资质标）》、《投标文件（技术标）》、《投标文件（商务标）》（开标一览表），共计三个文件。</w:t>
      </w:r>
    </w:p>
    <w:p>
      <w:pPr>
        <w:numPr>
          <w:ilvl w:val="0"/>
          <w:numId w:val="4"/>
        </w:numPr>
        <w:spacing w:line="420" w:lineRule="exact"/>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lang w:val="en-US" w:eastAsia="zh-CN"/>
        </w:rPr>
        <w:t>应标资格审查</w:t>
      </w:r>
      <w:r>
        <w:rPr>
          <w:rFonts w:hint="eastAsia" w:ascii="宋体" w:hAnsi="宋体" w:eastAsia="宋体" w:cs="Times New Roman"/>
          <w:b/>
          <w:color w:val="000000"/>
          <w:sz w:val="24"/>
          <w:szCs w:val="24"/>
          <w:highlight w:val="none"/>
        </w:rPr>
        <w:t>：</w:t>
      </w:r>
      <w:r>
        <w:rPr>
          <w:rFonts w:hint="eastAsia" w:ascii="宋体" w:hAnsi="宋体" w:eastAsia="宋体" w:cs="Times New Roman"/>
          <w:b/>
          <w:color w:val="000000"/>
          <w:sz w:val="24"/>
          <w:szCs w:val="24"/>
          <w:highlight w:val="none"/>
          <w:lang w:val="en-US" w:eastAsia="zh-CN"/>
        </w:rPr>
        <w:t>在“中国重汽e采通”应标报名时，</w:t>
      </w:r>
      <w:r>
        <w:rPr>
          <w:rFonts w:hint="eastAsia" w:ascii="宋体" w:hAnsi="宋体" w:eastAsia="宋体" w:cs="Times New Roman"/>
          <w:b/>
          <w:bCs/>
          <w:color w:val="000000"/>
          <w:sz w:val="24"/>
          <w:szCs w:val="24"/>
          <w:highlight w:val="none"/>
        </w:rPr>
        <w:t>按照第</w:t>
      </w:r>
      <w:r>
        <w:rPr>
          <w:rFonts w:hint="eastAsia" w:ascii="宋体" w:hAnsi="宋体"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12准备资料，上传完毕后，等待审核</w:t>
      </w:r>
      <w:r>
        <w:rPr>
          <w:rFonts w:hint="eastAsia" w:ascii="宋体" w:hAnsi="宋体" w:eastAsia="宋体" w:cs="Times New Roman"/>
          <w:b/>
          <w:color w:val="000000"/>
          <w:sz w:val="24"/>
          <w:szCs w:val="24"/>
          <w:highlight w:val="none"/>
        </w:rPr>
        <w:t>；</w:t>
      </w:r>
    </w:p>
    <w:p>
      <w:pPr>
        <w:numPr>
          <w:ilvl w:val="0"/>
          <w:numId w:val="5"/>
        </w:numPr>
        <w:spacing w:line="420" w:lineRule="exact"/>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通过</w:t>
      </w:r>
      <w:r>
        <w:rPr>
          <w:rFonts w:hint="eastAsia" w:ascii="宋体" w:hAnsi="宋体" w:eastAsia="宋体" w:cs="Times New Roman"/>
          <w:b/>
          <w:color w:val="000000"/>
          <w:sz w:val="24"/>
          <w:szCs w:val="24"/>
          <w:highlight w:val="none"/>
          <w:lang w:val="en-US" w:eastAsia="zh-CN"/>
        </w:rPr>
        <w:t>应标资格审查</w:t>
      </w:r>
      <w:r>
        <w:rPr>
          <w:rFonts w:hint="eastAsia" w:ascii="宋体" w:hAnsi="宋体" w:eastAsia="宋体" w:cs="Times New Roman"/>
          <w:b/>
          <w:color w:val="000000"/>
          <w:sz w:val="24"/>
          <w:szCs w:val="24"/>
          <w:highlight w:val="none"/>
        </w:rPr>
        <w:t>的单位可以进入</w:t>
      </w:r>
      <w:r>
        <w:rPr>
          <w:rFonts w:hint="eastAsia" w:ascii="宋体" w:hAnsi="宋体" w:eastAsia="宋体" w:cs="Times New Roman"/>
          <w:b/>
          <w:color w:val="000000"/>
          <w:sz w:val="24"/>
          <w:szCs w:val="24"/>
          <w:highlight w:val="none"/>
          <w:lang w:val="en-US" w:eastAsia="zh-CN"/>
        </w:rPr>
        <w:t>投标环节</w:t>
      </w:r>
      <w:r>
        <w:rPr>
          <w:rFonts w:hint="eastAsia" w:ascii="宋体" w:hAnsi="宋体" w:eastAsia="宋体" w:cs="Times New Roman"/>
          <w:b/>
          <w:color w:val="000000"/>
          <w:sz w:val="24"/>
          <w:szCs w:val="24"/>
          <w:highlight w:val="none"/>
        </w:rPr>
        <w:t>，</w:t>
      </w:r>
      <w:r>
        <w:rPr>
          <w:rFonts w:hint="eastAsia" w:ascii="宋体" w:hAnsi="宋体" w:eastAsia="宋体" w:cs="Times New Roman"/>
          <w:b/>
          <w:color w:val="000000"/>
          <w:sz w:val="24"/>
          <w:szCs w:val="24"/>
          <w:highlight w:val="none"/>
          <w:lang w:val="en-US" w:eastAsia="zh-CN"/>
        </w:rPr>
        <w:t>按照“SRM系统供应商用户手册（附件15）”，在重汽e采通平台投递电子标书（包含资质标、技术标、商务标），</w:t>
      </w:r>
      <w:r>
        <w:rPr>
          <w:rFonts w:hint="eastAsia" w:ascii="宋体" w:hAnsi="宋体" w:eastAsia="宋体" w:cs="Times New Roman"/>
          <w:b/>
          <w:color w:val="000000"/>
          <w:sz w:val="24"/>
          <w:szCs w:val="24"/>
          <w:highlight w:val="none"/>
        </w:rPr>
        <w:t>没有通过的单位不能进入</w:t>
      </w:r>
      <w:r>
        <w:rPr>
          <w:rFonts w:hint="eastAsia" w:ascii="宋体" w:hAnsi="宋体" w:eastAsia="宋体" w:cs="Times New Roman"/>
          <w:b/>
          <w:color w:val="000000"/>
          <w:sz w:val="24"/>
          <w:szCs w:val="24"/>
          <w:highlight w:val="none"/>
          <w:lang w:val="en-US" w:eastAsia="zh-CN"/>
        </w:rPr>
        <w:t>投标环节</w:t>
      </w:r>
      <w:r>
        <w:rPr>
          <w:rFonts w:hint="eastAsia" w:ascii="宋体" w:hAnsi="宋体" w:eastAsia="宋体" w:cs="Times New Roman"/>
          <w:b/>
          <w:color w:val="000000"/>
          <w:sz w:val="24"/>
          <w:szCs w:val="24"/>
          <w:highlight w:val="none"/>
        </w:rPr>
        <w:t>；</w:t>
      </w:r>
    </w:p>
    <w:p>
      <w:pPr>
        <w:numPr>
          <w:ilvl w:val="0"/>
          <w:numId w:val="6"/>
        </w:numPr>
        <w:spacing w:line="420" w:lineRule="exact"/>
        <w:rPr>
          <w:rFonts w:ascii="宋体" w:hAnsi="宋体" w:eastAsia="宋体" w:cs="Times New Roman"/>
          <w:b/>
          <w:color w:val="auto"/>
          <w:sz w:val="24"/>
          <w:szCs w:val="24"/>
        </w:rPr>
      </w:pPr>
      <w:r>
        <w:rPr>
          <w:rFonts w:hint="eastAsia" w:ascii="宋体" w:hAnsi="宋体" w:eastAsia="宋体" w:cs="Times New Roman"/>
          <w:b/>
          <w:color w:val="auto"/>
          <w:sz w:val="24"/>
          <w:szCs w:val="24"/>
          <w:lang w:val="en-US" w:eastAsia="zh-CN"/>
        </w:rPr>
        <w:t>资质标评审：资质标审核通过的单位，可以进入技术标评审；</w:t>
      </w:r>
    </w:p>
    <w:p>
      <w:pPr>
        <w:numPr>
          <w:ilvl w:val="0"/>
          <w:numId w:val="6"/>
        </w:numPr>
        <w:spacing w:line="420" w:lineRule="exact"/>
        <w:rPr>
          <w:rFonts w:ascii="宋体" w:hAnsi="宋体" w:eastAsia="宋体" w:cs="Times New Roman"/>
          <w:b/>
          <w:color w:val="auto"/>
          <w:sz w:val="24"/>
          <w:szCs w:val="24"/>
        </w:rPr>
      </w:pPr>
      <w:r>
        <w:rPr>
          <w:rFonts w:hint="eastAsia" w:ascii="宋体" w:hAnsi="宋体" w:eastAsia="宋体" w:cs="Times New Roman"/>
          <w:b/>
          <w:color w:val="000000"/>
          <w:sz w:val="24"/>
          <w:szCs w:val="24"/>
        </w:rPr>
        <w:t>技术</w:t>
      </w:r>
      <w:r>
        <w:rPr>
          <w:rFonts w:hint="eastAsia" w:ascii="宋体" w:hAnsi="宋体" w:eastAsia="宋体" w:cs="Times New Roman"/>
          <w:b/>
          <w:color w:val="000000"/>
          <w:sz w:val="24"/>
          <w:szCs w:val="24"/>
          <w:lang w:val="en-US" w:eastAsia="zh-CN"/>
        </w:rPr>
        <w:t>标评审</w:t>
      </w:r>
      <w:r>
        <w:rPr>
          <w:rFonts w:hint="eastAsia" w:ascii="宋体" w:hAnsi="宋体" w:eastAsia="宋体" w:cs="Times New Roman"/>
          <w:b/>
          <w:color w:val="auto"/>
          <w:sz w:val="24"/>
          <w:szCs w:val="24"/>
        </w:rPr>
        <w:t>：</w:t>
      </w:r>
      <w:r>
        <w:rPr>
          <w:rFonts w:hint="eastAsia" w:ascii="宋体" w:hAnsi="宋体" w:eastAsia="宋体" w:cs="Times New Roman"/>
          <w:b/>
          <w:color w:val="auto"/>
          <w:sz w:val="24"/>
          <w:szCs w:val="24"/>
          <w:lang w:val="en-US" w:eastAsia="zh-CN"/>
        </w:rPr>
        <w:t>技术标评标专家组，通过重汽e采通，对各投标人的</w:t>
      </w:r>
      <w:r>
        <w:rPr>
          <w:rFonts w:hint="eastAsia" w:hAnsi="宋体" w:eastAsia="宋体" w:cs="Times New Roman"/>
          <w:b/>
          <w:color w:val="auto"/>
          <w:sz w:val="24"/>
          <w:szCs w:val="24"/>
          <w:lang w:val="en-US" w:eastAsia="zh-CN"/>
        </w:rPr>
        <w:t>《投标文件（技术标）》进行综合评审，</w:t>
      </w:r>
      <w:r>
        <w:rPr>
          <w:rFonts w:hint="eastAsia" w:ascii="宋体" w:hAnsi="宋体" w:eastAsia="宋体" w:cs="Times New Roman"/>
          <w:b/>
          <w:color w:val="auto"/>
          <w:sz w:val="24"/>
          <w:szCs w:val="24"/>
          <w:lang w:val="en-US" w:eastAsia="zh-CN"/>
        </w:rPr>
        <w:t>评审</w:t>
      </w:r>
      <w:r>
        <w:rPr>
          <w:rFonts w:hint="eastAsia" w:ascii="宋体" w:hAnsi="宋体" w:eastAsia="宋体" w:cs="Times New Roman"/>
          <w:b/>
          <w:color w:val="auto"/>
          <w:sz w:val="24"/>
          <w:szCs w:val="24"/>
        </w:rPr>
        <w:t>合格的单位可以进入商务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环节，技术</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不合格的单位会面临淘汰；</w:t>
      </w:r>
      <w:r>
        <w:rPr>
          <w:rFonts w:hint="eastAsia" w:ascii="宋体" w:hAnsi="宋体" w:eastAsia="宋体" w:cs="Times New Roman"/>
          <w:b/>
          <w:color w:val="auto"/>
          <w:sz w:val="24"/>
          <w:szCs w:val="24"/>
          <w:lang w:val="en-US" w:eastAsia="zh-CN"/>
        </w:rPr>
        <w:t>技术澄清函均在重汽e采通平台内完成提交；</w:t>
      </w:r>
    </w:p>
    <w:p>
      <w:pPr>
        <w:numPr>
          <w:ilvl w:val="0"/>
          <w:numId w:val="7"/>
        </w:numPr>
        <w:spacing w:line="420" w:lineRule="exact"/>
        <w:rPr>
          <w:rFonts w:ascii="宋体" w:hAnsi="宋体" w:eastAsia="宋体" w:cs="Times New Roman"/>
          <w:b/>
          <w:color w:val="auto"/>
          <w:sz w:val="24"/>
          <w:szCs w:val="24"/>
        </w:rPr>
      </w:pPr>
      <w:r>
        <w:rPr>
          <w:rFonts w:hint="eastAsia" w:ascii="宋体" w:hAnsi="宋体" w:eastAsia="宋体" w:cs="Times New Roman"/>
          <w:b/>
          <w:color w:val="auto"/>
          <w:sz w:val="24"/>
          <w:szCs w:val="24"/>
        </w:rPr>
        <w:t>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：先公开唱标</w:t>
      </w:r>
      <w:r>
        <w:rPr>
          <w:rFonts w:hint="eastAsia" w:ascii="宋体" w:hAnsi="宋体" w:eastAsia="宋体" w:cs="Segoe UI Emoji"/>
          <w:b/>
          <w:color w:val="auto"/>
          <w:sz w:val="24"/>
          <w:szCs w:val="24"/>
        </w:rPr>
        <w:t>→</w:t>
      </w:r>
      <w:r>
        <w:rPr>
          <w:rFonts w:hint="eastAsia" w:ascii="宋体" w:hAnsi="宋体" w:eastAsia="宋体" w:cs="Times New Roman"/>
          <w:b/>
          <w:color w:val="auto"/>
          <w:sz w:val="24"/>
          <w:szCs w:val="24"/>
        </w:rPr>
        <w:t>商务条款相应确认</w:t>
      </w:r>
      <w:r>
        <w:rPr>
          <w:rFonts w:hint="eastAsia" w:ascii="宋体" w:hAnsi="宋体" w:eastAsia="宋体" w:cs="Segoe UI Emoji"/>
          <w:b/>
          <w:color w:val="auto"/>
          <w:sz w:val="24"/>
          <w:szCs w:val="24"/>
        </w:rPr>
        <w:t>→</w:t>
      </w:r>
      <w:r>
        <w:rPr>
          <w:rFonts w:hint="eastAsia" w:ascii="宋体" w:hAnsi="宋体" w:eastAsia="宋体" w:cs="Times New Roman"/>
          <w:b/>
          <w:color w:val="auto"/>
          <w:sz w:val="24"/>
          <w:szCs w:val="24"/>
        </w:rPr>
        <w:t>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w:t>
      </w:r>
      <w:r>
        <w:rPr>
          <w:rFonts w:hint="eastAsia" w:ascii="宋体" w:hAnsi="宋体" w:eastAsia="宋体" w:cs="Times New Roman"/>
          <w:b/>
          <w:color w:val="auto"/>
          <w:sz w:val="24"/>
          <w:szCs w:val="24"/>
          <w:lang w:val="en-US" w:eastAsia="zh-CN"/>
        </w:rPr>
        <w:t>商务价格澄清均在重汽e采通平台内完成提交</w:t>
      </w:r>
      <w:r>
        <w:rPr>
          <w:rFonts w:hint="eastAsia" w:ascii="宋体" w:hAnsi="宋体" w:eastAsia="宋体" w:cs="Times New Roman"/>
          <w:b/>
          <w:color w:val="auto"/>
          <w:sz w:val="24"/>
          <w:szCs w:val="24"/>
        </w:rPr>
        <w:t>；</w:t>
      </w:r>
    </w:p>
    <w:p>
      <w:pPr>
        <w:numPr>
          <w:ilvl w:val="0"/>
          <w:numId w:val="8"/>
        </w:numPr>
        <w:spacing w:line="420" w:lineRule="exact"/>
        <w:rPr>
          <w:rFonts w:ascii="宋体" w:hAnsi="宋体" w:eastAsia="宋体" w:cs="Times New Roman"/>
          <w:b/>
          <w:color w:val="auto"/>
          <w:sz w:val="24"/>
          <w:szCs w:val="24"/>
        </w:rPr>
      </w:pPr>
      <w:r>
        <w:rPr>
          <w:rFonts w:hint="eastAsia" w:ascii="宋体" w:hAnsi="宋体" w:eastAsia="宋体" w:cs="Times New Roman"/>
          <w:b/>
          <w:color w:val="auto"/>
          <w:sz w:val="24"/>
          <w:szCs w:val="24"/>
          <w:lang w:val="en-US" w:eastAsia="zh-CN"/>
        </w:rPr>
        <w:t>中标人确定</w:t>
      </w:r>
      <w:r>
        <w:rPr>
          <w:rFonts w:hint="eastAsia" w:ascii="宋体" w:hAnsi="宋体" w:eastAsia="宋体" w:cs="Times New Roman"/>
          <w:b/>
          <w:color w:val="auto"/>
          <w:sz w:val="24"/>
          <w:szCs w:val="24"/>
        </w:rPr>
        <w:t>：</w:t>
      </w:r>
      <w:r>
        <w:rPr>
          <w:rFonts w:hint="eastAsia" w:ascii="宋体" w:hAnsi="宋体" w:eastAsia="宋体" w:cs="Times New Roman"/>
          <w:b/>
          <w:color w:val="auto"/>
          <w:sz w:val="24"/>
          <w:szCs w:val="24"/>
          <w:lang w:val="en-US" w:eastAsia="zh-CN"/>
        </w:rPr>
        <w:t>原则上</w:t>
      </w:r>
      <w:r>
        <w:rPr>
          <w:rFonts w:hint="eastAsia" w:ascii="宋体" w:hAnsi="宋体" w:eastAsia="宋体" w:cs="Times New Roman"/>
          <w:b/>
          <w:color w:val="auto"/>
          <w:sz w:val="24"/>
          <w:szCs w:val="24"/>
        </w:rPr>
        <w:t>根据</w:t>
      </w:r>
      <w:r>
        <w:rPr>
          <w:rFonts w:hint="eastAsia" w:ascii="宋体" w:hAnsi="宋体" w:eastAsia="宋体" w:cs="Times New Roman"/>
          <w:b/>
          <w:bCs/>
          <w:color w:val="auto"/>
          <w:sz w:val="24"/>
          <w:szCs w:val="24"/>
          <w:lang w:val="en-US" w:eastAsia="zh-CN"/>
        </w:rPr>
        <w:t>合理最低价</w:t>
      </w:r>
      <w:r>
        <w:rPr>
          <w:rFonts w:hint="eastAsia" w:ascii="宋体" w:hAnsi="宋体" w:eastAsia="宋体" w:cs="Times New Roman"/>
          <w:b/>
          <w:color w:val="auto"/>
          <w:sz w:val="24"/>
          <w:szCs w:val="24"/>
        </w:rPr>
        <w:t>选择供应商。</w:t>
      </w:r>
    </w:p>
    <w:p>
      <w:pPr>
        <w:rPr>
          <w:rFonts w:hAnsi="宋体" w:eastAsia="宋体" w:cs="Times New Roman"/>
          <w:color w:val="auto"/>
          <w:sz w:val="24"/>
          <w:szCs w:val="24"/>
        </w:rPr>
      </w:pPr>
    </w:p>
    <w:p>
      <w:pPr>
        <w:pStyle w:val="17"/>
        <w:rPr>
          <w:rFonts w:hAnsi="宋体" w:eastAsia="宋体" w:cs="Times New Roman"/>
          <w:sz w:val="24"/>
          <w:szCs w:val="24"/>
        </w:rPr>
        <w:sectPr>
          <w:footerReference r:id="rId12" w:type="default"/>
          <w:pgSz w:w="11906" w:h="16838"/>
          <w:pgMar w:top="1800" w:right="1440" w:bottom="1800" w:left="1440" w:header="851" w:footer="992" w:gutter="0"/>
          <w:pgNumType w:fmt="decimal" w:start="7"/>
          <w:cols w:space="720" w:num="1"/>
          <w:docGrid w:type="linesAndChars" w:linePitch="312" w:charSpace="0"/>
        </w:sectPr>
      </w:pPr>
    </w:p>
    <w:p>
      <w:pPr>
        <w:adjustRightInd w:val="0"/>
        <w:snapToGrid w:val="0"/>
        <w:spacing w:line="420" w:lineRule="exact"/>
        <w:ind w:firstLine="480" w:firstLineChars="200"/>
        <w:outlineLvl w:val="2"/>
        <w:rPr>
          <w:rFonts w:ascii="宋体" w:hAnsi="宋体" w:eastAsia="宋体" w:cs="Times New Roman"/>
          <w:b/>
          <w:bCs/>
          <w:color w:val="auto"/>
          <w:sz w:val="24"/>
          <w:szCs w:val="24"/>
        </w:rPr>
      </w:pPr>
      <w:r>
        <w:rPr>
          <w:rFonts w:hint="eastAsia" w:ascii="宋体" w:hAnsi="宋体" w:eastAsia="宋体" w:cs="Times New Roman"/>
          <w:b/>
          <w:bCs/>
          <w:color w:val="auto"/>
          <w:sz w:val="24"/>
          <w:szCs w:val="24"/>
        </w:rPr>
        <w:t>2.</w:t>
      </w:r>
      <w:r>
        <w:rPr>
          <w:rFonts w:hint="eastAsia" w:ascii="宋体" w:hAnsi="宋体" w:eastAsia="宋体" w:cs="Times New Roman"/>
          <w:b/>
          <w:bCs/>
          <w:color w:val="auto"/>
          <w:sz w:val="24"/>
          <w:szCs w:val="24"/>
          <w:lang w:val="en-US" w:eastAsia="zh-CN"/>
        </w:rPr>
        <w:t>技术标评审</w:t>
      </w:r>
      <w:r>
        <w:rPr>
          <w:rFonts w:hint="eastAsia" w:ascii="宋体" w:hAnsi="宋体" w:eastAsia="宋体" w:cs="Times New Roman"/>
          <w:b/>
          <w:bCs/>
          <w:color w:val="auto"/>
          <w:sz w:val="24"/>
          <w:szCs w:val="24"/>
        </w:rPr>
        <w:t>评分标准</w:t>
      </w:r>
    </w:p>
    <w:p>
      <w:pPr>
        <w:keepNext/>
        <w:keepLines/>
        <w:spacing w:line="40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w:t>
      </w:r>
      <w:r>
        <w:rPr>
          <w:rFonts w:hint="eastAsia" w:ascii="宋体" w:hAnsi="宋体" w:eastAsia="宋体" w:cs="Times New Roman"/>
          <w:b/>
          <w:bCs/>
          <w:sz w:val="24"/>
          <w:szCs w:val="24"/>
          <w:lang w:val="en-US" w:eastAsia="zh-CN"/>
        </w:rPr>
        <w:t>标评审</w:t>
      </w:r>
      <w:r>
        <w:rPr>
          <w:rFonts w:hint="eastAsia" w:ascii="宋体" w:hAnsi="宋体" w:eastAsia="宋体" w:cs="Times New Roman"/>
          <w:b/>
          <w:bCs/>
          <w:sz w:val="24"/>
          <w:szCs w:val="24"/>
        </w:rPr>
        <w:t>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p>
      <w:pPr>
        <w:pStyle w:val="17"/>
        <w:rPr>
          <w:rFonts w:hAnsi="宋体" w:eastAsia="宋体" w:cs="Times New Roman"/>
          <w:sz w:val="24"/>
          <w:szCs w:val="24"/>
        </w:rPr>
      </w:pPr>
    </w:p>
    <w:tbl>
      <w:tblPr>
        <w:tblStyle w:val="35"/>
        <w:tblW w:w="141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2"/>
        <w:gridCol w:w="2617"/>
        <w:gridCol w:w="958"/>
        <w:gridCol w:w="5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1" w:hRule="atLeast"/>
          <w:jc w:val="center"/>
        </w:trPr>
        <w:tc>
          <w:tcPr>
            <w:tcW w:w="9279"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序号</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 xml:space="preserve">内 </w:t>
            </w:r>
            <w:r>
              <w:rPr>
                <w:rStyle w:val="131"/>
                <w:sz w:val="16"/>
                <w:szCs w:val="16"/>
                <w:highlight w:val="none"/>
                <w:lang w:val="en-US" w:eastAsia="zh-CN" w:bidi="ar"/>
              </w:rPr>
              <w:t xml:space="preserve">  容</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标准分</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对本项目需求、工况认识情况</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评委根据投标方对本项目需求及工况理解程度、项目技术难点、工作重点、总体设计思路的分析进行综合打分。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技术方案的符合性、适用性</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40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评委对投标文件中技术方案、处理工艺、设施明细、技术参数、硬件配置、综合性能、控制方案等的符合性、适用性进行分析比较、评议、综合打分。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技术方案的先进性、可靠性</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评委对投标文件中技术方案、处理工艺、设施明细、技术参数、硬件配置、综合性能、控制方案等的先进性和可靠性进行分析比较、评议、综合打分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品牌、业绩、研发、制造及质量保证能力等</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投标方提供能够证明企业品牌、业绩、研发、制造及质量保证能力等材料，由评委进行客观、公正的评价。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现场安装、调试施工方案、工期合理性</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投标方提供项目施工方案、计划、工期，由评委进行客观、公正的评价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售后服务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投标方提供培训计划、售后服务支持承诺和服务体系等证明材料，由评委进行客观、公正的评价。</w:t>
            </w:r>
          </w:p>
        </w:tc>
      </w:tr>
    </w:tbl>
    <w:p>
      <w:pPr>
        <w:rPr>
          <w:highlight w:val="yellow"/>
        </w:rPr>
      </w:pPr>
    </w:p>
    <w:p>
      <w:pPr>
        <w:pStyle w:val="17"/>
        <w:rPr>
          <w:rFonts w:hAnsi="宋体" w:eastAsia="宋体" w:cs="Times New Roman"/>
          <w:sz w:val="24"/>
          <w:szCs w:val="24"/>
        </w:rPr>
        <w:sectPr>
          <w:pgSz w:w="11906" w:h="16838"/>
          <w:pgMar w:top="1800" w:right="1440" w:bottom="1800" w:left="1440" w:header="851" w:footer="992" w:gutter="0"/>
          <w:pgNumType w:fmt="decimal"/>
          <w:cols w:space="720" w:num="1"/>
          <w:docGrid w:type="linesAndChars" w:linePitch="312" w:charSpace="0"/>
        </w:sectPr>
      </w:pP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（2）评标方法</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a、若</w:t>
      </w:r>
      <w:r>
        <w:rPr>
          <w:rFonts w:hint="eastAsia" w:ascii="宋体" w:hAnsi="Courier New" w:eastAsia="宋体" w:cs="Times New Roman"/>
          <w:color w:val="000000"/>
          <w:sz w:val="24"/>
          <w:szCs w:val="24"/>
          <w:lang w:val="en-US" w:eastAsia="zh-CN"/>
        </w:rPr>
        <w:t>技术标评审</w:t>
      </w:r>
      <w:r>
        <w:rPr>
          <w:rFonts w:hint="eastAsia" w:ascii="宋体" w:hAnsi="Courier New" w:eastAsia="宋体" w:cs="Times New Roman"/>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b、评委打分超过得分界限或未按本方法赋分时，该评委的打分按废票处理。</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c、评标过程中，若出现本办法以外的特殊情况时，将暂停评标，有关情况处理意见待招标工作小组确认后，再行评定。</w:t>
      </w:r>
    </w:p>
    <w:p>
      <w:pPr>
        <w:spacing w:line="360" w:lineRule="auto"/>
        <w:ind w:firstLine="480" w:firstLineChars="200"/>
        <w:rPr>
          <w:rFonts w:hint="eastAsia" w:ascii="宋体" w:hAnsi="Courier New" w:eastAsia="宋体" w:cs="Times New Roman"/>
          <w:color w:val="000000"/>
          <w:sz w:val="24"/>
          <w:szCs w:val="24"/>
          <w:lang w:eastAsia="zh-CN"/>
        </w:rPr>
      </w:pPr>
      <w:r>
        <w:rPr>
          <w:rFonts w:hint="eastAsia" w:ascii="宋体" w:hAnsi="Courier New" w:eastAsia="宋体" w:cs="Times New Roman"/>
          <w:color w:val="000000"/>
          <w:sz w:val="24"/>
          <w:szCs w:val="24"/>
        </w:rPr>
        <w:t>（3）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w:t>
      </w:r>
      <w:bookmarkStart w:id="155" w:name="_GoBack"/>
      <w:bookmarkEnd w:id="155"/>
      <w:r>
        <w:rPr>
          <w:rFonts w:hint="eastAsia" w:ascii="宋体" w:hAnsi="Courier New" w:eastAsia="宋体" w:cs="Times New Roman"/>
          <w:color w:val="000000"/>
          <w:sz w:val="24"/>
          <w:szCs w:val="24"/>
        </w:rPr>
        <w:t>的投标单位不符合成交条件，则本次评标作废</w:t>
      </w:r>
      <w:r>
        <w:rPr>
          <w:rFonts w:hint="eastAsia" w:ascii="宋体" w:hAnsi="Courier New" w:eastAsia="宋体" w:cs="Times New Roman"/>
          <w:color w:val="000000"/>
          <w:sz w:val="24"/>
          <w:szCs w:val="24"/>
          <w:lang w:eastAsia="zh-CN"/>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.招标人根据评标工作小组的评标结果确定中标人，并</w:t>
      </w:r>
      <w:r>
        <w:rPr>
          <w:rFonts w:hint="eastAsia" w:ascii="宋体" w:hAnsi="Courier New" w:eastAsia="宋体" w:cs="Times New Roman"/>
          <w:color w:val="000000"/>
          <w:sz w:val="24"/>
          <w:szCs w:val="24"/>
          <w:lang w:val="en-US" w:eastAsia="zh-CN"/>
        </w:rPr>
        <w:t>发送中标通知</w:t>
      </w:r>
      <w:r>
        <w:rPr>
          <w:rFonts w:hint="eastAsia" w:ascii="宋体" w:hAnsi="Courier New"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ascii="Times New Roman" w:hAnsi="Times New Roman" w:eastAsia="宋体" w:cs="Times New Roman"/>
          <w:color w:val="000000"/>
          <w:sz w:val="24"/>
          <w:szCs w:val="24"/>
        </w:rPr>
        <w:t>2</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Courier New" w:eastAsia="宋体" w:cs="Times New Roman"/>
          <w:b/>
          <w:sz w:val="24"/>
          <w:szCs w:val="20"/>
        </w:rPr>
      </w:pPr>
      <w:r>
        <w:rPr>
          <w:rFonts w:ascii="宋体" w:hAnsi="Courier New" w:eastAsia="宋体" w:cs="Times New Roman"/>
          <w:b/>
          <w:sz w:val="24"/>
          <w:szCs w:val="20"/>
        </w:rPr>
        <w:t>3</w:t>
      </w:r>
      <w:r>
        <w:rPr>
          <w:rFonts w:hint="eastAsia" w:ascii="宋体" w:hAnsi="Courier New" w:eastAsia="宋体" w:cs="Times New Roman"/>
          <w:b/>
          <w:sz w:val="24"/>
          <w:szCs w:val="20"/>
        </w:rPr>
        <w:t>.中标人由于履行义务的能力或信用有严重缺陷，招标人有权取消其中标资格，招标人将从中标候选单位中依序重新确定中标人，或重新组织招标。</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17"/>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（11）法律、法规规定的其他情况。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2" w:name="OLE_LINK29"/>
      <w:bookmarkStart w:id="23" w:name="OLE_LINK28"/>
      <w:bookmarkStart w:id="24" w:name="OLE_LINK25"/>
      <w:bookmarkStart w:id="25" w:name="OLE_LINK26"/>
      <w:bookmarkStart w:id="26" w:name="OLE_LINK27"/>
      <w:r>
        <w:rPr>
          <w:rFonts w:hint="eastAsia" w:ascii="宋体" w:hAnsi="Courier New" w:eastAsia="宋体" w:cs="Times New Roman"/>
          <w:bCs/>
          <w:sz w:val="24"/>
          <w:szCs w:val="24"/>
        </w:rPr>
        <w:t>；</w:t>
      </w:r>
      <w:bookmarkEnd w:id="22"/>
      <w:bookmarkEnd w:id="23"/>
      <w:bookmarkEnd w:id="24"/>
      <w:bookmarkEnd w:id="25"/>
      <w:bookmarkEnd w:id="26"/>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17"/>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keepNext/>
        <w:keepLines/>
        <w:spacing w:line="420" w:lineRule="exact"/>
        <w:outlineLvl w:val="1"/>
        <w:rPr>
          <w:rFonts w:ascii="Arial" w:hAnsi="Arial" w:eastAsia="宋体" w:cs="Times New Roman"/>
          <w:b/>
          <w:bCs/>
          <w:sz w:val="24"/>
          <w:szCs w:val="32"/>
        </w:rPr>
      </w:pPr>
      <w:r>
        <w:rPr>
          <w:rFonts w:hint="eastAsia" w:ascii="Arial" w:hAnsi="Arial" w:eastAsia="宋体" w:cs="Times New Roman"/>
          <w:b/>
          <w:bCs/>
          <w:sz w:val="24"/>
          <w:szCs w:val="32"/>
        </w:rPr>
        <w:t>九、本次招标最终解释权</w:t>
      </w:r>
    </w:p>
    <w:p>
      <w:pPr>
        <w:spacing w:line="420" w:lineRule="exact"/>
        <w:ind w:right="2"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本次招标最终解释权归中国重汽集团济南动力有限公司。</w:t>
      </w:r>
    </w:p>
    <w:p>
      <w:pPr>
        <w:pStyle w:val="17"/>
        <w:jc w:val="center"/>
        <w:rPr>
          <w:rFonts w:ascii="Calibri" w:hAnsi="Calibri" w:eastAsia="宋体" w:cs="Times New Roman"/>
          <w:b/>
          <w:bCs/>
          <w:kern w:val="44"/>
          <w:sz w:val="36"/>
          <w:szCs w:val="44"/>
        </w:rPr>
        <w:sectPr>
          <w:footerReference r:id="rId13" w:type="default"/>
          <w:pgSz w:w="11907" w:h="16840"/>
          <w:pgMar w:top="1304" w:right="1418" w:bottom="1304" w:left="1418" w:header="724" w:footer="851" w:gutter="0"/>
          <w:pgNumType w:fmt="decimal"/>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2投标文件和与投标有关的所有文件均应使用中文</w:t>
      </w:r>
      <w:r>
        <w:rPr>
          <w:rFonts w:hint="eastAsia" w:ascii="宋体" w:hAnsi="宋体" w:eastAsia="宋体" w:cs="Times New Roman"/>
          <w:color w:val="000000"/>
          <w:sz w:val="24"/>
          <w:szCs w:val="24"/>
          <w:lang w:eastAsia="zh-CN"/>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rPr>
          <w:rFonts w:ascii="宋体" w:hAnsi="Courier New" w:eastAsia="宋体" w:cs="Times New Roman"/>
          <w:szCs w:val="20"/>
        </w:rPr>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pPr>
        <w:pStyle w:val="17"/>
      </w:pP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hint="eastAsia" w:ascii="宋体" w:hAnsi="Courier New" w:eastAsia="宋体" w:cs="Times New Roman"/>
          <w:bCs/>
          <w:color w:val="000000"/>
          <w:sz w:val="24"/>
          <w:szCs w:val="24"/>
          <w:lang w:val="en-US" w:eastAsia="zh-CN"/>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Courier New" w:eastAsia="宋体" w:cs="Times New Roman"/>
          <w:bCs/>
          <w:color w:val="000000"/>
          <w:sz w:val="24"/>
          <w:szCs w:val="24"/>
        </w:rPr>
        <w:t>个</w:t>
      </w:r>
      <w:r>
        <w:rPr>
          <w:rFonts w:hint="eastAsia" w:ascii="宋体" w:hAnsi="Courier New" w:eastAsia="宋体" w:cs="Times New Roman"/>
          <w:bCs/>
          <w:color w:val="000000"/>
          <w:sz w:val="24"/>
          <w:szCs w:val="24"/>
          <w:lang w:val="en-US" w:eastAsia="zh-CN"/>
        </w:rPr>
        <w:t>文件。</w:t>
      </w:r>
    </w:p>
    <w:p>
      <w:pPr>
        <w:spacing w:line="360" w:lineRule="auto"/>
        <w:ind w:firstLine="482" w:firstLineChars="200"/>
        <w:rPr>
          <w:rFonts w:hint="default" w:ascii="宋体" w:hAnsi="Courier New" w:eastAsia="宋体" w:cs="Times New Roman"/>
          <w:bCs/>
          <w:color w:val="000000"/>
          <w:sz w:val="24"/>
          <w:szCs w:val="24"/>
          <w:lang w:val="en-US" w:eastAsia="zh-CN"/>
        </w:rPr>
      </w:pPr>
      <w:r>
        <w:rPr>
          <w:rFonts w:hint="eastAsia" w:ascii="宋体" w:hAnsi="Courier New" w:eastAsia="宋体" w:cs="Times New Roman"/>
          <w:b/>
          <w:bCs w:val="0"/>
          <w:color w:val="000000"/>
          <w:sz w:val="24"/>
          <w:szCs w:val="24"/>
          <w:lang w:val="en-US" w:eastAsia="zh-CN"/>
        </w:rPr>
        <w:t>投标文件的份数要求及投递方式</w:t>
      </w:r>
      <w:r>
        <w:rPr>
          <w:rFonts w:hint="eastAsia" w:ascii="宋体" w:hAnsi="Courier New" w:eastAsia="宋体" w:cs="Times New Roman"/>
          <w:bCs/>
          <w:color w:val="000000"/>
          <w:sz w:val="24"/>
          <w:szCs w:val="24"/>
          <w:lang w:val="en-US" w:eastAsia="zh-CN"/>
        </w:rPr>
        <w:t>，见《投标须知前附表》第3条。</w:t>
      </w:r>
    </w:p>
    <w:p>
      <w:pPr>
        <w:spacing w:line="360" w:lineRule="auto"/>
        <w:ind w:firstLine="480" w:firstLineChars="200"/>
        <w:rPr>
          <w:rFonts w:hint="eastAsia"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详见附件格式1—13，其余未尽事宜请按各单位习惯制定即可。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lang w:eastAsia="zh-CN"/>
        </w:rPr>
        <w:t>《</w:t>
      </w:r>
      <w:r>
        <w:rPr>
          <w:rFonts w:hint="eastAsia" w:ascii="宋体" w:hAnsi="宋体" w:eastAsia="宋体" w:cs="Times New Roman"/>
          <w:b/>
          <w:bCs/>
          <w:sz w:val="24"/>
          <w:szCs w:val="20"/>
          <w:lang w:val="en-US" w:eastAsia="zh-CN"/>
        </w:rPr>
        <w:t>投标文件（资质标）</w:t>
      </w:r>
      <w:r>
        <w:rPr>
          <w:rFonts w:hint="eastAsia" w:ascii="宋体" w:hAnsi="宋体" w:eastAsia="宋体" w:cs="Times New Roman"/>
          <w:b/>
          <w:bCs/>
          <w:sz w:val="24"/>
          <w:szCs w:val="20"/>
          <w:lang w:eastAsia="zh-CN"/>
        </w:rPr>
        <w:t>》</w:t>
      </w:r>
      <w:r>
        <w:rPr>
          <w:rFonts w:hint="eastAsia" w:ascii="宋体" w:hAnsi="宋体" w:eastAsia="宋体" w:cs="Times New Roman"/>
          <w:b/>
          <w:bCs/>
          <w:sz w:val="24"/>
          <w:szCs w:val="20"/>
        </w:rPr>
        <w:t>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1.1统一社会信用代码的新版营业执照副本复印件；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w:t>
      </w:r>
      <w:r>
        <w:rPr>
          <w:rFonts w:hint="eastAsia" w:ascii="宋体" w:hAnsi="宋体" w:eastAsia="宋体" w:cs="Times New Roman"/>
          <w:color w:val="000000"/>
          <w:sz w:val="24"/>
          <w:szCs w:val="24"/>
          <w:lang w:val="en-US" w:eastAsia="zh-CN"/>
        </w:rPr>
        <w:t>被</w:t>
      </w:r>
      <w:r>
        <w:rPr>
          <w:rFonts w:hint="eastAsia" w:ascii="宋体" w:hAnsi="宋体" w:eastAsia="宋体" w:cs="Times New Roman"/>
          <w:color w:val="000000"/>
          <w:sz w:val="24"/>
          <w:szCs w:val="24"/>
        </w:rPr>
        <w:t>授权人参加投标的，需提供法定代表人授权委托书</w:t>
      </w:r>
      <w:r>
        <w:rPr>
          <w:rFonts w:hint="eastAsia" w:ascii="宋体" w:hAnsi="宋体" w:eastAsia="宋体" w:cs="Times New Roman"/>
          <w:b/>
          <w:color w:val="000000"/>
          <w:sz w:val="24"/>
          <w:szCs w:val="24"/>
        </w:rPr>
        <w:t>（含法人身份证和被授权人身份证）</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none"/>
          <w:u w:val="single"/>
          <w:lang w:val="en-US" w:eastAsia="zh-CN" w:bidi="en-US"/>
        </w:rPr>
        <w:t>6</w:t>
      </w:r>
      <w:r>
        <w:rPr>
          <w:rFonts w:hint="eastAsia" w:ascii="宋体" w:hAnsi="宋体" w:eastAsia="宋体" w:cs="宋体"/>
          <w:color w:val="auto"/>
          <w:kern w:val="0"/>
          <w:sz w:val="24"/>
          <w:szCs w:val="21"/>
          <w:highlight w:val="none"/>
          <w:u w:val="single"/>
          <w:lang w:bidi="en-US"/>
        </w:rPr>
        <w:t>个月</w:t>
      </w:r>
      <w:r>
        <w:rPr>
          <w:rFonts w:hint="eastAsia" w:ascii="宋体" w:hAnsi="宋体" w:eastAsia="宋体" w:cs="宋体"/>
          <w:color w:val="auto"/>
          <w:kern w:val="0"/>
          <w:sz w:val="24"/>
          <w:szCs w:val="21"/>
          <w:highlight w:val="none"/>
          <w:u w:val="single"/>
          <w:lang w:val="en-US" w:eastAsia="zh-CN" w:bidi="en-US"/>
        </w:rPr>
        <w:t>及以上</w:t>
      </w:r>
      <w:r>
        <w:rPr>
          <w:rFonts w:hint="eastAsia" w:ascii="宋体" w:hAnsi="宋体" w:eastAsia="宋体" w:cs="宋体"/>
          <w:kern w:val="0"/>
          <w:sz w:val="24"/>
          <w:szCs w:val="21"/>
          <w:highlight w:val="none"/>
          <w:lang w:bidi="en-US"/>
        </w:rPr>
        <w:t>社保缴纳证明</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Times New Roman"/>
          <w:b/>
          <w:color w:val="000000"/>
          <w:sz w:val="24"/>
          <w:szCs w:val="24"/>
          <w:highlight w:val="yellow"/>
        </w:rPr>
      </w:pPr>
      <w:r>
        <w:rPr>
          <w:rFonts w:hint="eastAsia" w:ascii="宋体" w:hAnsi="宋体" w:eastAsia="宋体" w:cs="Times New Roman"/>
          <w:color w:val="000000"/>
          <w:sz w:val="24"/>
          <w:szCs w:val="24"/>
        </w:rPr>
        <w:t>1.4近三年</w:t>
      </w:r>
      <w:r>
        <w:rPr>
          <w:rFonts w:hint="eastAsia" w:ascii="宋体" w:hAnsi="宋体" w:eastAsia="宋体" w:cs="Times New Roman"/>
          <w:b/>
          <w:bCs/>
          <w:color w:val="000000"/>
          <w:sz w:val="24"/>
          <w:szCs w:val="24"/>
        </w:rPr>
        <w:t>经第三方机构审计</w:t>
      </w:r>
      <w:r>
        <w:rPr>
          <w:rFonts w:hint="eastAsia" w:ascii="宋体" w:hAnsi="宋体" w:eastAsia="宋体" w:cs="Times New Roman"/>
          <w:color w:val="000000"/>
          <w:sz w:val="24"/>
          <w:szCs w:val="24"/>
        </w:rPr>
        <w:t>的财务报表（资产负债表、损益表、现金流量表）复印件，必须连续，同时填写投标人基本情况及资产情况汇总表（附件3）</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1.6投投标单位在国家企业信用信息公示系统中无与本项目有关的行政处罚、经营异常和失信信息的声明；</w:t>
      </w:r>
    </w:p>
    <w:p>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1.7企业信用证明材料（中国人民银行信用代码证+征信报告）；</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9企业最近半年的完税证明；</w:t>
      </w:r>
    </w:p>
    <w:p>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10</w:t>
      </w:r>
      <w:r>
        <w:rPr>
          <w:rFonts w:hint="eastAsia" w:ascii="宋体" w:hAnsi="宋体" w:eastAsia="宋体" w:cs="Times New Roman"/>
          <w:color w:val="000000"/>
          <w:sz w:val="24"/>
          <w:szCs w:val="24"/>
        </w:rPr>
        <w:t>保密承诺函（附件4）</w:t>
      </w:r>
      <w:r>
        <w:rPr>
          <w:rFonts w:hint="eastAsia" w:ascii="宋体" w:hAnsi="宋体" w:eastAsia="宋体" w:cs="Times New Roman"/>
          <w:color w:val="000000"/>
          <w:sz w:val="24"/>
          <w:szCs w:val="24"/>
          <w:lang w:eastAsia="zh-CN"/>
        </w:rPr>
        <w:t>；</w:t>
      </w:r>
    </w:p>
    <w:p>
      <w:pPr>
        <w:spacing w:line="360" w:lineRule="auto"/>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1.11企业</w:t>
      </w:r>
      <w:r>
        <w:rPr>
          <w:rFonts w:hint="eastAsia" w:ascii="宋体" w:hAnsi="宋体" w:eastAsia="宋体" w:cs="Times New Roman"/>
          <w:color w:val="000000"/>
          <w:sz w:val="24"/>
          <w:szCs w:val="24"/>
        </w:rPr>
        <w:t>近三年同类项目业绩</w:t>
      </w:r>
      <w:r>
        <w:rPr>
          <w:rFonts w:hint="eastAsia" w:ascii="宋体" w:hAnsi="宋体" w:eastAsia="宋体" w:cs="Times New Roman"/>
          <w:color w:val="000000"/>
          <w:sz w:val="24"/>
          <w:szCs w:val="24"/>
          <w:lang w:val="en-US" w:eastAsia="zh-CN"/>
        </w:rPr>
        <w:t>证明；</w:t>
      </w:r>
    </w:p>
    <w:p>
      <w:pPr>
        <w:spacing w:line="360" w:lineRule="auto"/>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1.12投标保证金缴纳凭证。</w:t>
      </w:r>
    </w:p>
    <w:p>
      <w:pPr>
        <w:spacing w:line="360" w:lineRule="auto"/>
        <w:ind w:firstLine="482" w:firstLineChars="200"/>
        <w:rPr>
          <w:rFonts w:ascii="宋体" w:hAnsi="Calibri" w:eastAsia="宋体" w:cs="Times New Roman"/>
          <w:b/>
          <w:bCs/>
          <w:sz w:val="24"/>
          <w:szCs w:val="20"/>
          <w:highlight w:val="none"/>
        </w:rPr>
      </w:pPr>
      <w:bookmarkStart w:id="28" w:name="_Toc212369515"/>
      <w:r>
        <w:rPr>
          <w:rFonts w:ascii="宋体" w:hAnsi="宋体" w:eastAsia="宋体" w:cs="Times New Roman"/>
          <w:b/>
          <w:bCs/>
          <w:sz w:val="24"/>
          <w:szCs w:val="20"/>
          <w:highlight w:val="none"/>
        </w:rPr>
        <w:t xml:space="preserve">2 </w:t>
      </w:r>
      <w:r>
        <w:rPr>
          <w:rFonts w:hint="eastAsia" w:eastAsia="宋体" w:cs="宋体"/>
          <w:b/>
          <w:color w:val="auto"/>
          <w:sz w:val="24"/>
          <w:szCs w:val="28"/>
          <w:highlight w:val="none"/>
        </w:rPr>
        <w:t>《投标文件（技术标）》</w:t>
      </w:r>
      <w:r>
        <w:rPr>
          <w:rFonts w:hint="eastAsia" w:ascii="宋体" w:hAnsi="宋体" w:eastAsia="宋体" w:cs="Times New Roman"/>
          <w:b/>
          <w:bCs/>
          <w:sz w:val="24"/>
          <w:szCs w:val="20"/>
          <w:highlight w:val="none"/>
        </w:rPr>
        <w:t>：</w:t>
      </w:r>
      <w:bookmarkEnd w:id="28"/>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b/>
          <w:color w:val="000000"/>
          <w:sz w:val="24"/>
          <w:szCs w:val="24"/>
        </w:rPr>
        <w:t>若没有提供相应业绩证明，将影响现场评标专家组对投标单位业绩判定打分；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bookmarkStart w:id="29" w:name="_Toc536542319"/>
      <w:r>
        <w:rPr>
          <w:rFonts w:hint="eastAsia" w:ascii="宋体" w:hAnsi="宋体" w:eastAsia="宋体" w:cs="Times New Roman"/>
          <w:color w:val="000000"/>
          <w:sz w:val="24"/>
          <w:szCs w:val="24"/>
        </w:rPr>
        <w:t>2.6投标产品技术支持材料</w:t>
      </w:r>
      <w:bookmarkEnd w:id="29"/>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3</w:t>
      </w:r>
      <w:r>
        <w:rPr>
          <w:rFonts w:hint="eastAsia" w:ascii="宋体" w:hAnsi="宋体" w:eastAsia="宋体" w:cs="Times New Roman"/>
          <w:b/>
          <w:bCs/>
          <w:sz w:val="24"/>
          <w:szCs w:val="20"/>
          <w:highlight w:val="none"/>
        </w:rPr>
        <w:t xml:space="preserve"> </w:t>
      </w:r>
      <w:r>
        <w:rPr>
          <w:rFonts w:hint="eastAsia" w:eastAsia="宋体" w:cs="宋体"/>
          <w:b/>
          <w:color w:val="auto"/>
          <w:sz w:val="24"/>
          <w:szCs w:val="28"/>
          <w:highlight w:val="none"/>
        </w:rPr>
        <w:t>《投标文件（商务标）》（开标一览表）</w:t>
      </w:r>
      <w:r>
        <w:rPr>
          <w:rFonts w:hint="eastAsia" w:ascii="宋体" w:hAnsi="宋体" w:eastAsia="宋体" w:cs="Times New Roman"/>
          <w:b/>
          <w:bCs/>
          <w:sz w:val="24"/>
          <w:szCs w:val="20"/>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w:t>
      </w:r>
      <w:r>
        <w:rPr>
          <w:rFonts w:hint="eastAsia" w:ascii="宋体" w:hAnsi="宋体" w:eastAsia="宋体" w:cs="Times New Roman"/>
          <w:color w:val="000000"/>
          <w:sz w:val="24"/>
          <w:szCs w:val="24"/>
          <w:highlight w:val="none"/>
        </w:rPr>
        <w:t>报价明细表（附件9）</w:t>
      </w:r>
      <w:r>
        <w:rPr>
          <w:rFonts w:hint="eastAsia" w:ascii="宋体" w:hAnsi="宋体" w:eastAsia="宋体" w:cs="Times New Roman"/>
          <w:b/>
          <w:color w:val="000000"/>
          <w:sz w:val="24"/>
          <w:szCs w:val="24"/>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30" w:name="OLE_LINK19"/>
      <w:bookmarkStart w:id="31" w:name="OLE_LINK18"/>
      <w:r>
        <w:rPr>
          <w:rFonts w:hint="eastAsia" w:ascii="宋体" w:hAnsi="宋体" w:eastAsia="宋体" w:cs="Times New Roman"/>
          <w:b/>
          <w:color w:val="000000"/>
          <w:sz w:val="24"/>
          <w:szCs w:val="24"/>
        </w:rPr>
        <w:t>；</w:t>
      </w:r>
      <w:bookmarkEnd w:id="30"/>
      <w:bookmarkEnd w:id="31"/>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w:t>
      </w:r>
      <w:r>
        <w:rPr>
          <w:rFonts w:hint="eastAsia" w:ascii="宋体" w:hAnsi="宋体" w:eastAsia="宋体" w:cs="Times New Roman"/>
          <w:color w:val="000000"/>
          <w:sz w:val="24"/>
          <w:szCs w:val="24"/>
          <w:lang w:val="en-US" w:eastAsia="zh-CN"/>
        </w:rPr>
        <w:t>六</w:t>
      </w:r>
      <w:r>
        <w:rPr>
          <w:rFonts w:hint="eastAsia" w:ascii="宋体" w:hAnsi="宋体" w:eastAsia="宋体" w:cs="Times New Roman"/>
          <w:color w:val="000000"/>
          <w:sz w:val="24"/>
          <w:szCs w:val="24"/>
        </w:rPr>
        <w:t>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17"/>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keepNext/>
        <w:keepLines/>
        <w:spacing w:line="240"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eastAsia="zh-CN"/>
        </w:rPr>
        <w:t>新增炉料清理机项目</w:t>
      </w:r>
      <w:r>
        <w:rPr>
          <w:rFonts w:hint="eastAsia" w:ascii="Calibri" w:hAnsi="宋体"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84"/>
          <w:szCs w:val="84"/>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b/>
          <w:bCs/>
          <w:sz w:val="32"/>
          <w:szCs w:val="28"/>
        </w:rPr>
      </w:pPr>
    </w:p>
    <w:p>
      <w:pPr>
        <w:spacing w:line="860" w:lineRule="exact"/>
        <w:rPr>
          <w:rFonts w:hint="eastAsia" w:ascii="华文仿宋" w:hAnsi="华文仿宋" w:eastAsia="华文仿宋"/>
          <w:b/>
          <w:bCs/>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pgNumType w:fmt="decimal"/>
          <w:cols w:space="720" w:num="1"/>
          <w:docGrid w:linePitch="290" w:charSpace="-3931"/>
        </w:sectPr>
      </w:pPr>
    </w:p>
    <w:p>
      <w:pPr>
        <w:pStyle w:val="4"/>
        <w:jc w:val="center"/>
        <w:rPr>
          <w:rFonts w:hint="eastAsia"/>
          <w:bCs w:val="0"/>
          <w:sz w:val="28"/>
          <w:szCs w:val="28"/>
        </w:rPr>
      </w:pPr>
      <w:bookmarkStart w:id="33" w:name="_Toc293006052"/>
      <w:bookmarkStart w:id="34" w:name="_Toc169605877"/>
      <w:r>
        <w:rPr>
          <w:rFonts w:hint="eastAsia"/>
          <w:bCs w:val="0"/>
          <w:sz w:val="28"/>
          <w:szCs w:val="28"/>
        </w:rPr>
        <w:t>第一章  采购货物概况</w:t>
      </w:r>
      <w:bookmarkEnd w:id="33"/>
    </w:p>
    <w:p>
      <w:pPr>
        <w:jc w:val="center"/>
        <w:outlineLvl w:val="2"/>
        <w:rPr>
          <w:rFonts w:hint="eastAsia"/>
          <w:bCs w:val="0"/>
          <w:sz w:val="24"/>
          <w:szCs w:val="24"/>
        </w:rPr>
      </w:pPr>
      <w:bookmarkStart w:id="35" w:name="_Toc293006053"/>
      <w:r>
        <w:rPr>
          <w:rFonts w:hint="eastAsia"/>
          <w:bCs w:val="0"/>
          <w:sz w:val="24"/>
          <w:szCs w:val="24"/>
        </w:rPr>
        <w:t>第一节  使用环境</w:t>
      </w:r>
      <w:bookmarkEnd w:id="35"/>
    </w:p>
    <w:p>
      <w:pPr>
        <w:spacing w:line="360" w:lineRule="auto"/>
        <w:ind w:firstLine="0" w:firstLineChars="0"/>
        <w:outlineLvl w:val="3"/>
        <w:rPr>
          <w:rFonts w:hint="eastAsia" w:ascii="宋体" w:hAnsi="宋体" w:eastAsia="宋体" w:cs="宋体"/>
          <w:sz w:val="24"/>
          <w:szCs w:val="24"/>
        </w:rPr>
      </w:pPr>
      <w:r>
        <w:rPr>
          <w:rFonts w:hint="eastAsia" w:ascii="宋体" w:hAnsi="宋体" w:eastAsia="宋体" w:cs="宋体"/>
          <w:sz w:val="24"/>
          <w:szCs w:val="24"/>
        </w:rPr>
        <w:t>一、项目名称：</w:t>
      </w:r>
      <w:r>
        <w:rPr>
          <w:rFonts w:hint="eastAsia" w:ascii="宋体" w:hAnsi="宋体" w:eastAsia="宋体" w:cs="宋体"/>
          <w:sz w:val="24"/>
          <w:szCs w:val="24"/>
          <w:highlight w:val="none"/>
        </w:rPr>
        <w:t>中国重汽济南动力有限公司济南成型厂</w:t>
      </w:r>
    </w:p>
    <w:p>
      <w:pPr>
        <w:spacing w:line="360" w:lineRule="auto"/>
        <w:ind w:firstLine="1680" w:firstLineChars="700"/>
        <w:outlineLvl w:val="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炉料清理机设备更新技改</w:t>
      </w: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新增炉料清理机</w:t>
      </w:r>
    </w:p>
    <w:p>
      <w:pPr>
        <w:spacing w:line="360" w:lineRule="auto"/>
        <w:ind w:firstLine="0" w:firstLineChars="0"/>
        <w:outlineLvl w:val="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二、建设地点：</w:t>
      </w:r>
      <w:r>
        <w:rPr>
          <w:rFonts w:hint="eastAsia" w:ascii="宋体" w:hAnsi="宋体" w:eastAsia="宋体" w:cs="宋体"/>
          <w:sz w:val="24"/>
          <w:szCs w:val="24"/>
          <w:highlight w:val="none"/>
          <w:u w:val="none"/>
        </w:rPr>
        <w:t>中国重汽济南动力有限公司</w:t>
      </w:r>
      <w:r>
        <w:rPr>
          <w:rFonts w:hint="eastAsia" w:ascii="宋体" w:hAnsi="宋体" w:eastAsia="宋体" w:cs="宋体"/>
          <w:sz w:val="24"/>
          <w:szCs w:val="24"/>
          <w:highlight w:val="none"/>
          <w:u w:val="none"/>
          <w:lang w:eastAsia="zh-CN"/>
        </w:rPr>
        <w:t>济南成型厂铸件清理线</w:t>
      </w:r>
    </w:p>
    <w:p>
      <w:pPr>
        <w:spacing w:line="360" w:lineRule="auto"/>
        <w:ind w:firstLine="0" w:firstLineChars="0"/>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u w:val="none"/>
        </w:rPr>
        <w:t>中国重汽济南动力有限公司</w:t>
      </w:r>
      <w:r>
        <w:rPr>
          <w:rFonts w:hint="eastAsia" w:ascii="宋体" w:hAnsi="宋体" w:eastAsia="宋体" w:cs="宋体"/>
          <w:sz w:val="24"/>
          <w:szCs w:val="24"/>
          <w:highlight w:val="none"/>
          <w:u w:val="none"/>
          <w:lang w:eastAsia="zh-CN"/>
        </w:rPr>
        <w:t>济南成型厂铸件清理线</w:t>
      </w:r>
    </w:p>
    <w:p>
      <w:pPr>
        <w:spacing w:line="360" w:lineRule="auto"/>
        <w:ind w:firstLine="0" w:firstLineChars="0"/>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none"/>
        </w:rPr>
        <w:t>330</w:t>
      </w:r>
      <w:r>
        <w:rPr>
          <w:rFonts w:hint="eastAsia" w:ascii="宋体" w:hAnsi="宋体" w:eastAsia="宋体" w:cs="宋体"/>
          <w:sz w:val="24"/>
          <w:szCs w:val="24"/>
        </w:rPr>
        <w:t>天、</w:t>
      </w:r>
      <w:r>
        <w:rPr>
          <w:rFonts w:hint="eastAsia" w:ascii="宋体" w:hAnsi="宋体" w:eastAsia="宋体" w:cs="宋体"/>
          <w:sz w:val="24"/>
          <w:szCs w:val="24"/>
          <w:u w:val="none"/>
        </w:rPr>
        <w:t xml:space="preserve"> </w:t>
      </w:r>
      <w:r>
        <w:rPr>
          <w:rFonts w:hint="eastAsia" w:ascii="宋体" w:hAnsi="宋体" w:eastAsia="宋体" w:cs="宋体"/>
          <w:sz w:val="24"/>
          <w:szCs w:val="24"/>
          <w:u w:val="single"/>
        </w:rPr>
        <w:t xml:space="preserve"> 二 </w:t>
      </w:r>
      <w:r>
        <w:rPr>
          <w:rFonts w:hint="eastAsia" w:ascii="宋体" w:hAnsi="宋体" w:eastAsia="宋体" w:cs="宋体"/>
          <w:sz w:val="24"/>
          <w:szCs w:val="24"/>
          <w:u w:val="none"/>
        </w:rPr>
        <w:t xml:space="preserve"> </w:t>
      </w:r>
      <w:r>
        <w:rPr>
          <w:rFonts w:hint="eastAsia" w:ascii="宋体" w:hAnsi="宋体" w:eastAsia="宋体" w:cs="宋体"/>
          <w:sz w:val="24"/>
          <w:szCs w:val="24"/>
        </w:rPr>
        <w:t>班制、设备年时基数</w:t>
      </w:r>
      <w:r>
        <w:rPr>
          <w:rFonts w:hint="eastAsia" w:ascii="宋体" w:hAnsi="宋体" w:eastAsia="宋体" w:cs="宋体"/>
          <w:sz w:val="24"/>
          <w:szCs w:val="24"/>
          <w:u w:val="none"/>
        </w:rPr>
        <w:t>7260</w:t>
      </w:r>
      <w:r>
        <w:rPr>
          <w:rFonts w:hint="eastAsia" w:ascii="宋体" w:hAnsi="宋体" w:eastAsia="宋体" w:cs="宋体"/>
          <w:sz w:val="24"/>
          <w:szCs w:val="24"/>
        </w:rPr>
        <w:t>小时。</w:t>
      </w:r>
    </w:p>
    <w:p>
      <w:pPr>
        <w:spacing w:line="360" w:lineRule="auto"/>
        <w:ind w:firstLine="0" w:firstLineChars="0"/>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bookmarkStart w:id="36" w:name="_Toc293006054"/>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1、海拨高度：1000m以下</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2、环境温度：室外极端最低温度-19.7℃、极端最高温度45℃，昼夜最大温差25℃；室内温度</w:t>
      </w:r>
      <w:r>
        <w:rPr>
          <w:rFonts w:hint="eastAsia" w:ascii="宋体" w:hAnsi="宋体" w:eastAsia="宋体" w:cs="宋体"/>
          <w:sz w:val="24"/>
          <w:szCs w:val="24"/>
          <w:lang w:val="en-US" w:eastAsia="zh-CN"/>
        </w:rPr>
        <w:t>-</w:t>
      </w:r>
      <w:r>
        <w:rPr>
          <w:rFonts w:hint="eastAsia" w:ascii="宋体" w:hAnsi="宋体" w:eastAsia="宋体" w:cs="宋体"/>
          <w:sz w:val="24"/>
          <w:szCs w:val="24"/>
        </w:rPr>
        <w:t>5～42℃。</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3、相对湿度：年平均59%，</w:t>
      </w:r>
      <w:r>
        <w:rPr>
          <w:rFonts w:hint="eastAsia" w:ascii="宋体" w:hAnsi="宋体" w:eastAsia="宋体" w:cs="宋体"/>
          <w:bCs w:val="0"/>
          <w:sz w:val="24"/>
          <w:szCs w:val="24"/>
        </w:rPr>
        <w:t>最大95%、最小15%。</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4、降雨量：日最大降雨量300mm、时最大降雨量100mm。</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5、最大风速：33.3m/s。</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6、最大积雪厚度：200mm。</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7、最大冻土深度：450mm。</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8、地震设防裂度：七度。</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9、室内空气质量：多尘。</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10、设备基础：无。</w:t>
      </w:r>
    </w:p>
    <w:p>
      <w:pPr>
        <w:spacing w:line="360" w:lineRule="auto"/>
        <w:ind w:firstLine="0" w:firstLineChars="0"/>
        <w:outlineLvl w:val="3"/>
        <w:rPr>
          <w:rFonts w:hint="eastAsia" w:ascii="宋体" w:hAnsi="宋体" w:eastAsia="宋体" w:cs="宋体"/>
          <w:sz w:val="24"/>
          <w:szCs w:val="24"/>
        </w:rPr>
      </w:pPr>
      <w:r>
        <w:rPr>
          <w:rFonts w:hint="eastAsia" w:ascii="宋体" w:hAnsi="宋体" w:eastAsia="宋体" w:cs="宋体"/>
          <w:sz w:val="24"/>
          <w:szCs w:val="24"/>
        </w:rPr>
        <w:t>六、能源环境：</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1、电力：中国制式，供电电压380V±15%/220V±15%，供电频率50Hz±2%。</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2、给水：市政自来水或软化水</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3、蒸汽：市政蒸汽，0.5MPa±0.1</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4、压缩空气：自备空压机自产压缩空气，0.5～0.7MPa</w:t>
      </w:r>
    </w:p>
    <w:p>
      <w:pPr>
        <w:jc w:val="center"/>
        <w:outlineLvl w:val="2"/>
        <w:rPr>
          <w:rFonts w:hint="eastAsia"/>
          <w:b w:val="0"/>
          <w:sz w:val="24"/>
          <w:szCs w:val="24"/>
        </w:rPr>
      </w:pPr>
      <w:r>
        <w:rPr>
          <w:rFonts w:hint="eastAsia"/>
          <w:bCs w:val="0"/>
          <w:sz w:val="24"/>
          <w:szCs w:val="24"/>
        </w:rPr>
        <w:t>第二节  采购货物概况</w:t>
      </w:r>
      <w:bookmarkEnd w:id="36"/>
    </w:p>
    <w:p>
      <w:pPr>
        <w:spacing w:line="360" w:lineRule="auto"/>
        <w:ind w:firstLine="482" w:firstLineChars="200"/>
        <w:outlineLvl w:val="3"/>
        <w:rPr>
          <w:rFonts w:hint="eastAsia" w:ascii="宋体" w:hAnsi="宋体" w:eastAsia="宋体" w:cs="宋体"/>
          <w:sz w:val="24"/>
          <w:szCs w:val="24"/>
          <w:u w:val="single"/>
        </w:rPr>
      </w:pPr>
      <w:r>
        <w:rPr>
          <w:rFonts w:hint="eastAsia" w:ascii="宋体" w:hAnsi="宋体" w:eastAsia="宋体" w:cs="宋体"/>
          <w:b/>
          <w:bCs/>
          <w:sz w:val="24"/>
          <w:szCs w:val="24"/>
        </w:rPr>
        <w:t>一、货物（或生产线）名称：</w:t>
      </w:r>
      <w:r>
        <w:rPr>
          <w:rFonts w:hint="eastAsia" w:ascii="宋体" w:hAnsi="宋体" w:eastAsia="宋体" w:cs="宋体"/>
          <w:sz w:val="24"/>
          <w:szCs w:val="24"/>
          <w:u w:val="single"/>
        </w:rPr>
        <w:t xml:space="preserve">  </w:t>
      </w:r>
      <w:r>
        <w:rPr>
          <w:rFonts w:hint="eastAsia" w:ascii="宋体" w:hAnsi="宋体" w:eastAsia="宋体" w:cs="宋体"/>
          <w:sz w:val="24"/>
          <w:szCs w:val="24"/>
          <w:highlight w:val="none"/>
          <w:u w:val="single"/>
          <w:lang w:eastAsia="zh-CN"/>
        </w:rPr>
        <w:t>新增炉料清理机</w:t>
      </w:r>
      <w:r>
        <w:rPr>
          <w:rFonts w:hint="eastAsia" w:ascii="宋体" w:hAnsi="宋体" w:eastAsia="宋体" w:cs="宋体"/>
          <w:sz w:val="24"/>
          <w:szCs w:val="24"/>
          <w:u w:val="single"/>
        </w:rPr>
        <w:t xml:space="preserve">（详见下表）  </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二、货物（或生产线）数量：</w:t>
      </w:r>
      <w:r>
        <w:rPr>
          <w:rFonts w:hint="eastAsia" w:ascii="宋体" w:hAnsi="宋体" w:eastAsia="宋体" w:cs="宋体"/>
          <w:sz w:val="24"/>
          <w:szCs w:val="24"/>
          <w:u w:val="single"/>
        </w:rPr>
        <w:t xml:space="preserve">       1台套（详见下表）       </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三、货物（或生产线）主要构成：</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采购货物（或生产线）主要构成一览表</w:t>
      </w:r>
    </w:p>
    <w:tbl>
      <w:tblPr>
        <w:tblStyle w:val="35"/>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61"/>
        <w:gridCol w:w="3260"/>
        <w:gridCol w:w="709"/>
        <w:gridCol w:w="709"/>
        <w:gridCol w:w="1471"/>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blHeader/>
          <w:jc w:val="center"/>
        </w:trPr>
        <w:tc>
          <w:tcPr>
            <w:tcW w:w="702"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46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名    称</w:t>
            </w:r>
          </w:p>
        </w:tc>
        <w:tc>
          <w:tcPr>
            <w:tcW w:w="3260" w:type="dxa"/>
            <w:noWrap w:val="0"/>
            <w:vAlign w:val="center"/>
          </w:tcPr>
          <w:p>
            <w:pPr>
              <w:jc w:val="center"/>
              <w:rPr>
                <w:rFonts w:hint="eastAsia" w:ascii="宋体" w:hAnsi="宋体" w:eastAsia="宋体" w:cs="宋体"/>
                <w:sz w:val="24"/>
                <w:szCs w:val="24"/>
                <w:highlight w:val="green"/>
              </w:rPr>
            </w:pPr>
            <w:r>
              <w:rPr>
                <w:rFonts w:hint="eastAsia" w:ascii="宋体" w:hAnsi="宋体" w:eastAsia="宋体" w:cs="宋体"/>
                <w:sz w:val="24"/>
                <w:szCs w:val="24"/>
              </w:rPr>
              <w:t>型 号 规 格</w:t>
            </w:r>
          </w:p>
        </w:tc>
        <w:tc>
          <w:tcPr>
            <w:tcW w:w="709"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单位</w:t>
            </w:r>
          </w:p>
        </w:tc>
        <w:tc>
          <w:tcPr>
            <w:tcW w:w="709"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安装地点/服务对象</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1</w:t>
            </w:r>
          </w:p>
        </w:tc>
        <w:tc>
          <w:tcPr>
            <w:tcW w:w="1461" w:type="dxa"/>
            <w:noWrap w:val="0"/>
            <w:vAlign w:val="center"/>
          </w:tcPr>
          <w:p>
            <w:pPr>
              <w:jc w:val="center"/>
              <w:rPr>
                <w:rFonts w:hint="eastAsia" w:ascii="宋体" w:hAnsi="宋体" w:eastAsia="宋体" w:cs="宋体"/>
                <w:kern w:val="1"/>
                <w:sz w:val="24"/>
                <w:szCs w:val="24"/>
                <w:lang w:eastAsia="zh-CN"/>
              </w:rPr>
            </w:pPr>
            <w:r>
              <w:rPr>
                <w:rFonts w:hint="eastAsia" w:ascii="宋体" w:hAnsi="宋体" w:eastAsia="宋体" w:cs="宋体"/>
                <w:kern w:val="1"/>
                <w:sz w:val="24"/>
                <w:szCs w:val="24"/>
              </w:rPr>
              <w:t>新增炉料清理机</w:t>
            </w:r>
          </w:p>
        </w:tc>
        <w:tc>
          <w:tcPr>
            <w:tcW w:w="3260" w:type="dxa"/>
            <w:noWrap w:val="0"/>
            <w:vAlign w:val="center"/>
          </w:tcPr>
          <w:p>
            <w:pPr>
              <w:jc w:val="center"/>
              <w:rPr>
                <w:rFonts w:hint="eastAsia" w:ascii="宋体" w:hAnsi="宋体" w:eastAsia="宋体" w:cs="宋体"/>
                <w:kern w:val="1"/>
                <w:sz w:val="24"/>
                <w:szCs w:val="24"/>
                <w:lang w:val="en-US" w:eastAsia="zh-CN"/>
              </w:rPr>
            </w:pPr>
            <w:r>
              <w:rPr>
                <w:rFonts w:hint="eastAsia" w:ascii="宋体" w:hAnsi="宋体" w:eastAsia="宋体" w:cs="宋体"/>
                <w:kern w:val="1"/>
                <w:sz w:val="24"/>
                <w:szCs w:val="24"/>
              </w:rPr>
              <w:t>多角摆床式抛丸机</w:t>
            </w:r>
            <w:r>
              <w:rPr>
                <w:rFonts w:hint="eastAsia" w:ascii="宋体" w:hAnsi="宋体" w:eastAsia="宋体" w:cs="宋体"/>
                <w:kern w:val="1"/>
                <w:sz w:val="24"/>
                <w:szCs w:val="24"/>
                <w:lang w:eastAsia="zh-CN"/>
              </w:rPr>
              <w:t>，处理效率≥</w:t>
            </w:r>
            <w:r>
              <w:rPr>
                <w:rFonts w:hint="eastAsia" w:ascii="宋体" w:hAnsi="宋体" w:eastAsia="宋体" w:cs="宋体"/>
                <w:kern w:val="1"/>
                <w:sz w:val="24"/>
                <w:szCs w:val="24"/>
                <w:lang w:val="en-US" w:eastAsia="zh-CN"/>
              </w:rPr>
              <w:t>12t/h</w:t>
            </w:r>
          </w:p>
        </w:tc>
        <w:tc>
          <w:tcPr>
            <w:tcW w:w="709"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台套</w:t>
            </w:r>
          </w:p>
        </w:tc>
        <w:tc>
          <w:tcPr>
            <w:tcW w:w="709"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1</w:t>
            </w:r>
          </w:p>
        </w:tc>
        <w:tc>
          <w:tcPr>
            <w:tcW w:w="1471" w:type="dxa"/>
            <w:noWrap w:val="0"/>
            <w:vAlign w:val="center"/>
          </w:tcPr>
          <w:p>
            <w:pPr>
              <w:jc w:val="center"/>
              <w:rPr>
                <w:rFonts w:hint="eastAsia" w:ascii="宋体" w:hAnsi="宋体" w:eastAsia="宋体" w:cs="宋体"/>
                <w:kern w:val="1"/>
                <w:sz w:val="24"/>
                <w:szCs w:val="24"/>
                <w:lang w:eastAsia="zh-CN"/>
              </w:rPr>
            </w:pPr>
            <w:r>
              <w:rPr>
                <w:rFonts w:hint="eastAsia" w:ascii="宋体" w:hAnsi="宋体" w:eastAsia="宋体" w:cs="宋体"/>
                <w:kern w:val="1"/>
                <w:sz w:val="24"/>
                <w:szCs w:val="24"/>
              </w:rPr>
              <w:t>中国重汽济南成型厂</w:t>
            </w:r>
            <w:r>
              <w:rPr>
                <w:rFonts w:hint="eastAsia" w:ascii="宋体" w:hAnsi="宋体" w:eastAsia="宋体" w:cs="宋体"/>
                <w:kern w:val="1"/>
                <w:sz w:val="24"/>
                <w:szCs w:val="24"/>
                <w:lang w:eastAsia="zh-CN"/>
              </w:rPr>
              <w:t>铸件清理线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2</w:t>
            </w:r>
          </w:p>
        </w:tc>
        <w:tc>
          <w:tcPr>
            <w:tcW w:w="1461" w:type="dxa"/>
            <w:noWrap w:val="0"/>
            <w:vAlign w:val="center"/>
          </w:tcPr>
          <w:p>
            <w:pPr>
              <w:jc w:val="center"/>
              <w:rPr>
                <w:rFonts w:hint="eastAsia" w:ascii="宋体" w:hAnsi="宋体" w:eastAsia="宋体" w:cs="宋体"/>
                <w:kern w:val="1"/>
                <w:sz w:val="24"/>
                <w:szCs w:val="24"/>
                <w:lang w:eastAsia="zh-CN"/>
              </w:rPr>
            </w:pPr>
            <w:r>
              <w:rPr>
                <w:rFonts w:hint="eastAsia" w:ascii="宋体" w:hAnsi="宋体" w:eastAsia="宋体" w:cs="宋体"/>
                <w:kern w:val="1"/>
                <w:sz w:val="24"/>
                <w:szCs w:val="24"/>
              </w:rPr>
              <w:t>新增</w:t>
            </w:r>
            <w:r>
              <w:rPr>
                <w:rFonts w:hint="eastAsia" w:ascii="宋体" w:hAnsi="宋体" w:eastAsia="宋体" w:cs="宋体"/>
                <w:kern w:val="1"/>
                <w:sz w:val="24"/>
                <w:szCs w:val="24"/>
                <w:lang w:eastAsia="zh-CN"/>
              </w:rPr>
              <w:t>配套</w:t>
            </w:r>
            <w:r>
              <w:rPr>
                <w:rFonts w:hint="eastAsia" w:ascii="宋体" w:hAnsi="宋体" w:eastAsia="宋体" w:cs="宋体"/>
                <w:kern w:val="1"/>
                <w:sz w:val="24"/>
                <w:szCs w:val="24"/>
              </w:rPr>
              <w:t>除尘</w:t>
            </w:r>
          </w:p>
        </w:tc>
        <w:tc>
          <w:tcPr>
            <w:tcW w:w="3260" w:type="dxa"/>
            <w:noWrap w:val="0"/>
            <w:vAlign w:val="center"/>
          </w:tcPr>
          <w:p>
            <w:pPr>
              <w:jc w:val="center"/>
              <w:rPr>
                <w:rFonts w:hint="eastAsia" w:ascii="宋体" w:hAnsi="宋体" w:eastAsia="宋体" w:cs="宋体"/>
                <w:kern w:val="1"/>
                <w:sz w:val="24"/>
                <w:szCs w:val="24"/>
                <w:lang w:val="en-US" w:eastAsia="zh-CN"/>
              </w:rPr>
            </w:pPr>
            <w:r>
              <w:rPr>
                <w:rFonts w:hint="eastAsia" w:ascii="宋体" w:hAnsi="宋体" w:eastAsia="宋体" w:cs="宋体"/>
                <w:kern w:val="1"/>
                <w:sz w:val="24"/>
                <w:szCs w:val="24"/>
              </w:rPr>
              <w:t>布袋或滤筒式除尘</w:t>
            </w:r>
            <w:r>
              <w:rPr>
                <w:rFonts w:hint="eastAsia" w:ascii="宋体" w:hAnsi="宋体" w:eastAsia="宋体" w:cs="宋体"/>
                <w:kern w:val="1"/>
                <w:sz w:val="24"/>
                <w:szCs w:val="24"/>
                <w:lang w:eastAsia="zh-CN"/>
              </w:rPr>
              <w:t>，风量≥</w:t>
            </w:r>
            <w:r>
              <w:rPr>
                <w:rFonts w:hint="eastAsia" w:ascii="宋体" w:hAnsi="宋体" w:eastAsia="宋体" w:cs="宋体"/>
                <w:kern w:val="1"/>
                <w:sz w:val="24"/>
                <w:szCs w:val="24"/>
                <w:lang w:val="en-US" w:eastAsia="zh-CN"/>
              </w:rPr>
              <w:t>24000</w:t>
            </w:r>
            <w:r>
              <w:rPr>
                <w:rFonts w:hint="eastAsia" w:ascii="宋体" w:hAnsi="宋体" w:eastAsia="宋体" w:cs="宋体"/>
                <w:kern w:val="1"/>
                <w:sz w:val="24"/>
                <w:szCs w:val="24"/>
              </w:rPr>
              <w:t>m³/h</w:t>
            </w:r>
          </w:p>
        </w:tc>
        <w:tc>
          <w:tcPr>
            <w:tcW w:w="709"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台套</w:t>
            </w:r>
          </w:p>
        </w:tc>
        <w:tc>
          <w:tcPr>
            <w:tcW w:w="709"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1</w:t>
            </w:r>
          </w:p>
        </w:tc>
        <w:tc>
          <w:tcPr>
            <w:tcW w:w="1471"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中国重汽济南成型厂</w:t>
            </w:r>
            <w:r>
              <w:rPr>
                <w:rFonts w:hint="eastAsia" w:ascii="宋体" w:hAnsi="宋体" w:eastAsia="宋体" w:cs="宋体"/>
                <w:kern w:val="1"/>
                <w:sz w:val="24"/>
                <w:szCs w:val="24"/>
                <w:lang w:eastAsia="zh-CN"/>
              </w:rPr>
              <w:t>铸件清理线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3</w:t>
            </w:r>
          </w:p>
        </w:tc>
        <w:tc>
          <w:tcPr>
            <w:tcW w:w="1461" w:type="dxa"/>
            <w:noWrap w:val="0"/>
            <w:vAlign w:val="center"/>
          </w:tcPr>
          <w:p>
            <w:pPr>
              <w:jc w:val="center"/>
              <w:rPr>
                <w:rFonts w:hint="eastAsia" w:ascii="宋体" w:hAnsi="宋体" w:eastAsia="宋体" w:cs="宋体"/>
                <w:kern w:val="1"/>
                <w:sz w:val="24"/>
                <w:szCs w:val="24"/>
                <w:lang w:eastAsia="zh-CN"/>
              </w:rPr>
            </w:pPr>
            <w:r>
              <w:rPr>
                <w:rFonts w:hint="eastAsia" w:ascii="宋体" w:hAnsi="宋体" w:eastAsia="宋体" w:cs="宋体"/>
                <w:kern w:val="1"/>
                <w:sz w:val="24"/>
                <w:szCs w:val="24"/>
              </w:rPr>
              <w:t>料斗</w:t>
            </w:r>
          </w:p>
        </w:tc>
        <w:tc>
          <w:tcPr>
            <w:tcW w:w="3260"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料斗厚度</w:t>
            </w:r>
            <w:r>
              <w:rPr>
                <w:rFonts w:hint="eastAsia" w:ascii="宋体" w:hAnsi="宋体" w:eastAsia="宋体" w:cs="宋体"/>
                <w:kern w:val="1"/>
                <w:sz w:val="24"/>
                <w:szCs w:val="24"/>
                <w:lang w:val="en-US" w:eastAsia="zh-CN"/>
              </w:rPr>
              <w:t>≥</w:t>
            </w:r>
            <w:r>
              <w:rPr>
                <w:rFonts w:hint="eastAsia" w:ascii="宋体" w:hAnsi="宋体" w:eastAsia="宋体" w:cs="宋体"/>
                <w:kern w:val="1"/>
                <w:sz w:val="24"/>
                <w:szCs w:val="24"/>
              </w:rPr>
              <w:t>10mm</w:t>
            </w:r>
          </w:p>
        </w:tc>
        <w:tc>
          <w:tcPr>
            <w:tcW w:w="709" w:type="dxa"/>
            <w:noWrap w:val="0"/>
            <w:vAlign w:val="center"/>
          </w:tcPr>
          <w:p>
            <w:pPr>
              <w:jc w:val="center"/>
              <w:rPr>
                <w:rFonts w:hint="eastAsia" w:ascii="宋体" w:hAnsi="宋体" w:eastAsia="宋体" w:cs="宋体"/>
                <w:kern w:val="1"/>
                <w:sz w:val="24"/>
                <w:szCs w:val="24"/>
                <w:lang w:eastAsia="zh-CN"/>
              </w:rPr>
            </w:pPr>
            <w:r>
              <w:rPr>
                <w:rFonts w:hint="eastAsia" w:ascii="宋体" w:hAnsi="宋体" w:eastAsia="宋体" w:cs="宋体"/>
                <w:kern w:val="1"/>
                <w:sz w:val="24"/>
                <w:szCs w:val="24"/>
              </w:rPr>
              <w:t>个</w:t>
            </w:r>
          </w:p>
        </w:tc>
        <w:tc>
          <w:tcPr>
            <w:tcW w:w="709" w:type="dxa"/>
            <w:noWrap w:val="0"/>
            <w:vAlign w:val="center"/>
          </w:tcPr>
          <w:p>
            <w:pPr>
              <w:jc w:val="center"/>
              <w:rPr>
                <w:rFonts w:hint="eastAsia" w:ascii="宋体" w:hAnsi="宋体" w:eastAsia="宋体" w:cs="宋体"/>
                <w:kern w:val="1"/>
                <w:sz w:val="24"/>
                <w:szCs w:val="24"/>
                <w:lang w:eastAsia="zh-CN"/>
              </w:rPr>
            </w:pPr>
            <w:r>
              <w:rPr>
                <w:rFonts w:hint="eastAsia" w:ascii="宋体" w:hAnsi="宋体" w:eastAsia="宋体" w:cs="宋体"/>
                <w:kern w:val="1"/>
                <w:sz w:val="24"/>
                <w:szCs w:val="24"/>
              </w:rPr>
              <w:t>40</w:t>
            </w:r>
          </w:p>
        </w:tc>
        <w:tc>
          <w:tcPr>
            <w:tcW w:w="1471" w:type="dxa"/>
            <w:noWrap w:val="0"/>
            <w:vAlign w:val="center"/>
          </w:tcPr>
          <w:p>
            <w:pPr>
              <w:jc w:val="center"/>
              <w:rPr>
                <w:rFonts w:hint="eastAsia" w:ascii="宋体" w:hAnsi="宋体" w:eastAsia="宋体" w:cs="宋体"/>
                <w:kern w:val="1"/>
                <w:sz w:val="24"/>
                <w:szCs w:val="24"/>
              </w:rPr>
            </w:pPr>
            <w:r>
              <w:rPr>
                <w:rFonts w:hint="eastAsia" w:ascii="宋体" w:hAnsi="宋体" w:eastAsia="宋体" w:cs="宋体"/>
                <w:kern w:val="1"/>
                <w:sz w:val="24"/>
                <w:szCs w:val="24"/>
              </w:rPr>
              <w:t>中国重汽济南成型厂</w:t>
            </w:r>
            <w:r>
              <w:rPr>
                <w:rFonts w:hint="eastAsia" w:ascii="宋体" w:hAnsi="宋体" w:eastAsia="宋体" w:cs="宋体"/>
                <w:kern w:val="1"/>
                <w:sz w:val="24"/>
                <w:szCs w:val="24"/>
                <w:lang w:eastAsia="zh-CN"/>
              </w:rPr>
              <w:t>铸件清理线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61"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kern w:val="1"/>
                <w:sz w:val="24"/>
                <w:szCs w:val="24"/>
              </w:rPr>
              <w:t>投标方认为必须提供的其他货物</w:t>
            </w:r>
          </w:p>
        </w:tc>
        <w:tc>
          <w:tcPr>
            <w:tcW w:w="3260" w:type="dxa"/>
            <w:noWrap w:val="0"/>
            <w:vAlign w:val="center"/>
          </w:tcPr>
          <w:p>
            <w:pPr>
              <w:jc w:val="center"/>
              <w:rPr>
                <w:rFonts w:hint="eastAsia" w:ascii="宋体" w:hAnsi="宋体" w:eastAsia="宋体" w:cs="宋体"/>
                <w:sz w:val="24"/>
                <w:szCs w:val="24"/>
              </w:rPr>
            </w:pPr>
          </w:p>
        </w:tc>
        <w:tc>
          <w:tcPr>
            <w:tcW w:w="709" w:type="dxa"/>
            <w:noWrap w:val="0"/>
            <w:vAlign w:val="center"/>
          </w:tcPr>
          <w:p>
            <w:pPr>
              <w:jc w:val="center"/>
              <w:rPr>
                <w:rFonts w:hint="eastAsia" w:ascii="宋体" w:hAnsi="宋体" w:eastAsia="宋体" w:cs="宋体"/>
                <w:sz w:val="24"/>
                <w:szCs w:val="24"/>
              </w:rPr>
            </w:pPr>
          </w:p>
        </w:tc>
        <w:tc>
          <w:tcPr>
            <w:tcW w:w="709"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若干</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kern w:val="1"/>
                <w:sz w:val="24"/>
                <w:szCs w:val="24"/>
              </w:rPr>
              <w:t>中国重汽济南成型厂</w:t>
            </w:r>
            <w:r>
              <w:rPr>
                <w:rFonts w:hint="eastAsia" w:ascii="宋体" w:hAnsi="宋体" w:eastAsia="宋体" w:cs="宋体"/>
                <w:kern w:val="1"/>
                <w:sz w:val="24"/>
                <w:szCs w:val="24"/>
                <w:lang w:eastAsia="zh-CN"/>
              </w:rPr>
              <w:t>铸件清理线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bl>
    <w:p>
      <w:pPr>
        <w:spacing w:line="360" w:lineRule="auto"/>
        <w:rPr>
          <w:rFonts w:hint="eastAsia" w:ascii="宋体" w:hAnsi="宋体" w:eastAsia="宋体" w:cs="宋体"/>
          <w:sz w:val="24"/>
          <w:szCs w:val="24"/>
        </w:rPr>
      </w:pPr>
      <w:r>
        <w:rPr>
          <w:rFonts w:hint="eastAsia" w:ascii="宋体" w:hAnsi="宋体" w:eastAsia="宋体" w:cs="宋体"/>
          <w:sz w:val="24"/>
          <w:szCs w:val="24"/>
        </w:rPr>
        <w:t>备注：① 本表所列采购货物仅为货物（或生产线）的主要构成部分，应配套供货以及招标方所列其它货物（或设备）和服务，请投标方认真阅读“供货范围”。若有异议，不管是多么微小，都应在投标文件“商务偏离”章节中予以详细说明。表中所列产品型号不同投标厂家可能有所不同，只要满足该型号设备技术规格要求即可。</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② 本表“供货方式”指：交钥匙方式——包括制造、运输、定点卸货、安装、调试和协助验收以及约定培训等，指导安装——包括制造、运输、定点卸货、指导安装和调试、协助验收和约定培训等。</w:t>
      </w:r>
    </w:p>
    <w:bookmarkEnd w:id="34"/>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7"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7"/>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pStyle w:val="112"/>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三、技术要求</w:t>
      </w:r>
    </w:p>
    <w:p>
      <w:pPr>
        <w:spacing w:line="360" w:lineRule="auto"/>
        <w:ind w:firstLine="480" w:firstLineChars="200"/>
        <w:rPr>
          <w:rFonts w:hint="default" w:ascii="宋体" w:hAnsi="宋体" w:eastAsia="宋体" w:cs="Times New Roman"/>
          <w:sz w:val="24"/>
          <w:szCs w:val="24"/>
          <w:lang w:eastAsia="zh-CN"/>
        </w:rPr>
      </w:pPr>
      <w:r>
        <w:rPr>
          <w:rFonts w:hint="default" w:ascii="宋体" w:hAnsi="宋体" w:eastAsia="宋体" w:cs="Times New Roman"/>
          <w:sz w:val="24"/>
          <w:szCs w:val="24"/>
        </w:rPr>
        <w:t>投标方设备必须是该类设备国际著名品牌或具有同等质量水平的国内一流品牌，并在国内同类发动机铸件生产企业有良好使用业绩，产品质量稳定可靠。由于该项目是原有车间布局提升优化，项目方案受现场条件所限，投标方必须到招标方生产现场了解设备使用环境及设施条件后提出适宜的投标方案</w:t>
      </w:r>
      <w:r>
        <w:rPr>
          <w:rFonts w:hint="default" w:ascii="宋体" w:hAnsi="宋体" w:eastAsia="宋体" w:cs="Times New Roman"/>
          <w:sz w:val="24"/>
          <w:szCs w:val="24"/>
          <w:lang w:eastAsia="zh-CN"/>
        </w:rPr>
        <w:t>。</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本项目选用多角摆床式抛丸机，用于发动机缸体、缸盖、桥壳等铸件回炉料的抛丸清理，去除回炉料表面型砂</w:t>
      </w:r>
      <w:r>
        <w:rPr>
          <w:rFonts w:hint="default" w:ascii="宋体" w:hAnsi="宋体" w:eastAsia="宋体" w:cs="Times New Roman"/>
          <w:sz w:val="24"/>
          <w:szCs w:val="24"/>
          <w:lang w:eastAsia="zh-CN"/>
        </w:rPr>
        <w:t>。</w:t>
      </w:r>
      <w:r>
        <w:rPr>
          <w:rFonts w:hint="default" w:ascii="宋体" w:hAnsi="宋体" w:eastAsia="宋体" w:cs="Times New Roman"/>
          <w:sz w:val="24"/>
          <w:szCs w:val="24"/>
        </w:rPr>
        <w:t>炉料清理机主要技术指标：</w:t>
      </w:r>
    </w:p>
    <w:tbl>
      <w:tblPr>
        <w:tblStyle w:val="35"/>
        <w:tblW w:w="6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773"/>
        <w:gridCol w:w="12"/>
        <w:gridCol w:w="1114"/>
        <w:gridCol w:w="992"/>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ind w:left="-106" w:leftChars="-51" w:hanging="1"/>
              <w:jc w:val="center"/>
              <w:rPr>
                <w:rFonts w:hint="eastAsia"/>
                <w:sz w:val="18"/>
                <w:szCs w:val="18"/>
              </w:rPr>
            </w:pPr>
            <w:r>
              <w:rPr>
                <w:rFonts w:hint="eastAsia"/>
                <w:sz w:val="18"/>
                <w:szCs w:val="18"/>
              </w:rPr>
              <w:t>序号</w:t>
            </w:r>
          </w:p>
        </w:tc>
        <w:tc>
          <w:tcPr>
            <w:tcW w:w="2899" w:type="dxa"/>
            <w:gridSpan w:val="3"/>
            <w:noWrap w:val="0"/>
            <w:vAlign w:val="center"/>
          </w:tcPr>
          <w:p>
            <w:pPr>
              <w:jc w:val="center"/>
              <w:rPr>
                <w:rFonts w:hint="eastAsia"/>
                <w:sz w:val="18"/>
                <w:szCs w:val="18"/>
              </w:rPr>
            </w:pPr>
            <w:r>
              <w:rPr>
                <w:rFonts w:hint="eastAsia"/>
                <w:sz w:val="18"/>
                <w:szCs w:val="18"/>
              </w:rPr>
              <w:t>项  目  名  称</w:t>
            </w:r>
          </w:p>
        </w:tc>
        <w:tc>
          <w:tcPr>
            <w:tcW w:w="992" w:type="dxa"/>
            <w:noWrap w:val="0"/>
            <w:vAlign w:val="center"/>
          </w:tcPr>
          <w:p>
            <w:pPr>
              <w:jc w:val="center"/>
              <w:rPr>
                <w:rFonts w:hint="eastAsia"/>
                <w:sz w:val="18"/>
                <w:szCs w:val="18"/>
              </w:rPr>
            </w:pPr>
            <w:r>
              <w:rPr>
                <w:rFonts w:hint="eastAsia"/>
                <w:sz w:val="18"/>
                <w:szCs w:val="18"/>
              </w:rPr>
              <w:t>单 位</w:t>
            </w:r>
          </w:p>
        </w:tc>
        <w:tc>
          <w:tcPr>
            <w:tcW w:w="1842" w:type="dxa"/>
            <w:noWrap w:val="0"/>
            <w:vAlign w:val="center"/>
          </w:tcPr>
          <w:p>
            <w:pPr>
              <w:jc w:val="center"/>
              <w:rPr>
                <w:rFonts w:hint="eastAsia" w:eastAsia="宋体"/>
                <w:sz w:val="18"/>
                <w:szCs w:val="18"/>
              </w:rPr>
            </w:pPr>
            <w:r>
              <w:rPr>
                <w:rFonts w:hint="eastAsia"/>
                <w:sz w:val="18"/>
                <w:szCs w:val="18"/>
              </w:rPr>
              <w:t>炉料清理机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30" w:type="dxa"/>
            <w:vMerge w:val="restart"/>
            <w:noWrap w:val="0"/>
            <w:vAlign w:val="center"/>
          </w:tcPr>
          <w:p>
            <w:pPr>
              <w:jc w:val="center"/>
              <w:rPr>
                <w:rFonts w:hint="eastAsia"/>
                <w:sz w:val="18"/>
                <w:szCs w:val="18"/>
              </w:rPr>
            </w:pPr>
            <w:r>
              <w:rPr>
                <w:rFonts w:hint="eastAsia"/>
                <w:sz w:val="18"/>
                <w:szCs w:val="18"/>
              </w:rPr>
              <w:t>1</w:t>
            </w:r>
          </w:p>
        </w:tc>
        <w:tc>
          <w:tcPr>
            <w:tcW w:w="2899" w:type="dxa"/>
            <w:gridSpan w:val="3"/>
            <w:vMerge w:val="restart"/>
            <w:noWrap w:val="0"/>
            <w:vAlign w:val="center"/>
          </w:tcPr>
          <w:p>
            <w:pPr>
              <w:jc w:val="center"/>
              <w:rPr>
                <w:rFonts w:eastAsia="宋体"/>
                <w:sz w:val="18"/>
                <w:szCs w:val="18"/>
              </w:rPr>
            </w:pPr>
            <w:r>
              <w:rPr>
                <w:rFonts w:hint="eastAsia"/>
                <w:sz w:val="18"/>
                <w:szCs w:val="18"/>
              </w:rPr>
              <w:t>抛丸室室体、摆床</w:t>
            </w:r>
          </w:p>
        </w:tc>
        <w:tc>
          <w:tcPr>
            <w:tcW w:w="992" w:type="dxa"/>
            <w:vMerge w:val="restart"/>
            <w:noWrap w:val="0"/>
            <w:vAlign w:val="center"/>
          </w:tcPr>
          <w:p>
            <w:pPr>
              <w:jc w:val="center"/>
              <w:rPr>
                <w:sz w:val="18"/>
                <w:szCs w:val="18"/>
              </w:rPr>
            </w:pPr>
            <w:r>
              <w:rPr>
                <w:sz w:val="18"/>
                <w:szCs w:val="18"/>
              </w:rPr>
              <w:t>mm</w:t>
            </w:r>
          </w:p>
        </w:tc>
        <w:tc>
          <w:tcPr>
            <w:tcW w:w="1842" w:type="dxa"/>
            <w:vMerge w:val="restart"/>
            <w:noWrap w:val="0"/>
            <w:vAlign w:val="center"/>
          </w:tcPr>
          <w:p>
            <w:pPr>
              <w:jc w:val="center"/>
              <w:rPr>
                <w:rFonts w:hint="eastAsia"/>
                <w:sz w:val="18"/>
                <w:szCs w:val="18"/>
                <w:highlight w:val="none"/>
              </w:rPr>
            </w:pPr>
            <w:r>
              <w:rPr>
                <w:rFonts w:hint="eastAsia" w:eastAsia="宋体"/>
                <w:sz w:val="18"/>
                <w:szCs w:val="18"/>
                <w:highlight w:val="none"/>
              </w:rPr>
              <w:t>高锰钢板</w:t>
            </w:r>
            <w:r>
              <w:rPr>
                <w:rFonts w:hint="default" w:eastAsia="宋体"/>
                <w:sz w:val="18"/>
                <w:szCs w:val="18"/>
                <w:highlight w:val="none"/>
              </w:rPr>
              <w:t>（原产地欧洲</w:t>
            </w:r>
            <w:r>
              <w:rPr>
                <w:rFonts w:hint="eastAsia" w:eastAsia="宋体"/>
                <w:sz w:val="18"/>
                <w:szCs w:val="18"/>
                <w:highlight w:val="none"/>
                <w:lang w:eastAsia="zh-CN"/>
              </w:rPr>
              <w:t>的</w:t>
            </w:r>
            <w:r>
              <w:rPr>
                <w:rFonts w:hint="eastAsia" w:eastAsia="宋体"/>
                <w:sz w:val="18"/>
                <w:szCs w:val="18"/>
                <w:highlight w:val="none"/>
              </w:rPr>
              <w:t>X120Mn12)制成,厚度大于等于20mm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630" w:type="dxa"/>
            <w:vMerge w:val="continue"/>
            <w:noWrap w:val="0"/>
            <w:vAlign w:val="center"/>
          </w:tcPr>
          <w:p>
            <w:pPr>
              <w:jc w:val="center"/>
              <w:rPr>
                <w:rFonts w:hint="eastAsia"/>
                <w:sz w:val="18"/>
                <w:szCs w:val="18"/>
              </w:rPr>
            </w:pPr>
          </w:p>
        </w:tc>
        <w:tc>
          <w:tcPr>
            <w:tcW w:w="2899" w:type="dxa"/>
            <w:gridSpan w:val="3"/>
            <w:vMerge w:val="continue"/>
            <w:noWrap w:val="0"/>
            <w:vAlign w:val="center"/>
          </w:tcPr>
          <w:p>
            <w:pPr>
              <w:jc w:val="center"/>
              <w:rPr>
                <w:rFonts w:hint="eastAsia"/>
                <w:sz w:val="18"/>
                <w:szCs w:val="18"/>
              </w:rPr>
            </w:pPr>
          </w:p>
        </w:tc>
        <w:tc>
          <w:tcPr>
            <w:tcW w:w="992" w:type="dxa"/>
            <w:vMerge w:val="continue"/>
            <w:noWrap w:val="0"/>
            <w:vAlign w:val="center"/>
          </w:tcPr>
          <w:p>
            <w:pPr>
              <w:jc w:val="center"/>
              <w:rPr>
                <w:sz w:val="18"/>
                <w:szCs w:val="18"/>
              </w:rPr>
            </w:pPr>
          </w:p>
        </w:tc>
        <w:tc>
          <w:tcPr>
            <w:tcW w:w="1842" w:type="dxa"/>
            <w:vMerge w:val="continue"/>
            <w:noWrap w:val="0"/>
            <w:vAlign w:val="center"/>
          </w:tcPr>
          <w:p>
            <w:pPr>
              <w:jc w:val="center"/>
              <w:rPr>
                <w:rFonts w:hint="eastAsia" w:ascii="MS Mincho" w:hAnsi="MS Mincho" w:eastAsia="MS Mincho" w:cs="MS Minch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eastAsia"/>
                <w:sz w:val="18"/>
                <w:szCs w:val="18"/>
              </w:rPr>
            </w:pPr>
            <w:r>
              <w:rPr>
                <w:rFonts w:hint="eastAsia"/>
                <w:sz w:val="18"/>
                <w:szCs w:val="18"/>
              </w:rPr>
              <w:t>2</w:t>
            </w:r>
          </w:p>
        </w:tc>
        <w:tc>
          <w:tcPr>
            <w:tcW w:w="2899" w:type="dxa"/>
            <w:gridSpan w:val="3"/>
            <w:noWrap w:val="0"/>
            <w:vAlign w:val="center"/>
          </w:tcPr>
          <w:p>
            <w:pPr>
              <w:jc w:val="center"/>
              <w:rPr>
                <w:rFonts w:eastAsia="宋体"/>
                <w:sz w:val="18"/>
                <w:szCs w:val="18"/>
              </w:rPr>
            </w:pPr>
            <w:r>
              <w:rPr>
                <w:rFonts w:hint="eastAsia"/>
                <w:sz w:val="18"/>
                <w:szCs w:val="18"/>
              </w:rPr>
              <w:t>卷扬机载重</w:t>
            </w:r>
          </w:p>
        </w:tc>
        <w:tc>
          <w:tcPr>
            <w:tcW w:w="992" w:type="dxa"/>
            <w:noWrap w:val="0"/>
            <w:vAlign w:val="center"/>
          </w:tcPr>
          <w:p>
            <w:pPr>
              <w:jc w:val="center"/>
              <w:rPr>
                <w:rFonts w:hint="eastAsia" w:eastAsia="宋体"/>
                <w:sz w:val="18"/>
                <w:szCs w:val="18"/>
              </w:rPr>
            </w:pPr>
            <w:r>
              <w:rPr>
                <w:rFonts w:hint="eastAsia"/>
                <w:sz w:val="18"/>
                <w:szCs w:val="18"/>
              </w:rPr>
              <w:t>t</w:t>
            </w:r>
          </w:p>
        </w:tc>
        <w:tc>
          <w:tcPr>
            <w:tcW w:w="1842" w:type="dxa"/>
            <w:noWrap w:val="0"/>
            <w:vAlign w:val="center"/>
          </w:tcPr>
          <w:p>
            <w:pPr>
              <w:jc w:val="center"/>
              <w:rPr>
                <w:rFonts w:eastAsia="宋体"/>
                <w:sz w:val="18"/>
                <w:szCs w:val="18"/>
              </w:rPr>
            </w:pPr>
            <w:r>
              <w:rPr>
                <w:rFonts w:hint="eastAsia"/>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eastAsia"/>
                <w:sz w:val="18"/>
                <w:szCs w:val="18"/>
              </w:rPr>
            </w:pPr>
            <w:r>
              <w:rPr>
                <w:rFonts w:hint="eastAsia"/>
                <w:sz w:val="18"/>
                <w:szCs w:val="18"/>
              </w:rPr>
              <w:t>4</w:t>
            </w:r>
          </w:p>
        </w:tc>
        <w:tc>
          <w:tcPr>
            <w:tcW w:w="2899" w:type="dxa"/>
            <w:gridSpan w:val="3"/>
            <w:noWrap w:val="0"/>
            <w:vAlign w:val="center"/>
          </w:tcPr>
          <w:p>
            <w:pPr>
              <w:jc w:val="center"/>
              <w:rPr>
                <w:rFonts w:hint="eastAsia"/>
                <w:sz w:val="18"/>
                <w:szCs w:val="18"/>
              </w:rPr>
            </w:pPr>
            <w:r>
              <w:rPr>
                <w:rFonts w:hint="eastAsia"/>
                <w:sz w:val="18"/>
                <w:szCs w:val="18"/>
              </w:rPr>
              <w:t>生产率</w:t>
            </w:r>
          </w:p>
        </w:tc>
        <w:tc>
          <w:tcPr>
            <w:tcW w:w="992" w:type="dxa"/>
            <w:noWrap w:val="0"/>
            <w:vAlign w:val="center"/>
          </w:tcPr>
          <w:p>
            <w:pPr>
              <w:jc w:val="center"/>
              <w:rPr>
                <w:sz w:val="18"/>
                <w:szCs w:val="18"/>
              </w:rPr>
            </w:pPr>
            <w:r>
              <w:rPr>
                <w:rFonts w:hint="eastAsia"/>
                <w:sz w:val="18"/>
                <w:szCs w:val="18"/>
              </w:rPr>
              <w:t>t/h</w:t>
            </w:r>
          </w:p>
        </w:tc>
        <w:tc>
          <w:tcPr>
            <w:tcW w:w="1842" w:type="dxa"/>
            <w:noWrap w:val="0"/>
            <w:vAlign w:val="center"/>
          </w:tcPr>
          <w:p>
            <w:pPr>
              <w:ind w:right="-94" w:rightChars="-45"/>
              <w:jc w:val="center"/>
              <w:rPr>
                <w:rFonts w:eastAsia="宋体"/>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eastAsia"/>
                <w:sz w:val="18"/>
                <w:szCs w:val="18"/>
              </w:rPr>
            </w:pPr>
            <w:r>
              <w:rPr>
                <w:rFonts w:hint="eastAsia"/>
                <w:sz w:val="18"/>
                <w:szCs w:val="18"/>
              </w:rPr>
              <w:t>5</w:t>
            </w:r>
          </w:p>
        </w:tc>
        <w:tc>
          <w:tcPr>
            <w:tcW w:w="2899" w:type="dxa"/>
            <w:gridSpan w:val="3"/>
            <w:noWrap w:val="0"/>
            <w:vAlign w:val="center"/>
          </w:tcPr>
          <w:p>
            <w:pPr>
              <w:jc w:val="center"/>
              <w:rPr>
                <w:rFonts w:hint="eastAsia"/>
                <w:sz w:val="18"/>
                <w:szCs w:val="18"/>
              </w:rPr>
            </w:pPr>
            <w:r>
              <w:rPr>
                <w:rFonts w:hint="eastAsia"/>
                <w:sz w:val="18"/>
                <w:szCs w:val="18"/>
              </w:rPr>
              <w:t>抛丸工位</w:t>
            </w:r>
          </w:p>
        </w:tc>
        <w:tc>
          <w:tcPr>
            <w:tcW w:w="992" w:type="dxa"/>
            <w:noWrap w:val="0"/>
            <w:vAlign w:val="center"/>
          </w:tcPr>
          <w:p>
            <w:pPr>
              <w:jc w:val="center"/>
              <w:rPr>
                <w:rFonts w:hint="eastAsia"/>
                <w:sz w:val="18"/>
                <w:szCs w:val="18"/>
              </w:rPr>
            </w:pPr>
            <w:r>
              <w:rPr>
                <w:rFonts w:hint="eastAsia"/>
                <w:sz w:val="18"/>
                <w:szCs w:val="18"/>
              </w:rPr>
              <w:t>个</w:t>
            </w:r>
          </w:p>
        </w:tc>
        <w:tc>
          <w:tcPr>
            <w:tcW w:w="1842" w:type="dxa"/>
            <w:noWrap w:val="0"/>
            <w:vAlign w:val="center"/>
          </w:tcPr>
          <w:p>
            <w:pPr>
              <w:ind w:left="-6" w:leftChars="-7" w:hanging="9" w:hangingChars="5"/>
              <w:jc w:val="center"/>
              <w:rPr>
                <w:rFonts w:hint="eastAsia"/>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eastAsia"/>
                <w:sz w:val="18"/>
                <w:szCs w:val="18"/>
              </w:rPr>
            </w:pPr>
            <w:r>
              <w:rPr>
                <w:rFonts w:hint="eastAsia"/>
                <w:sz w:val="18"/>
                <w:szCs w:val="18"/>
              </w:rPr>
              <w:t>6</w:t>
            </w:r>
          </w:p>
        </w:tc>
        <w:tc>
          <w:tcPr>
            <w:tcW w:w="1785" w:type="dxa"/>
            <w:gridSpan w:val="2"/>
            <w:noWrap w:val="0"/>
            <w:vAlign w:val="center"/>
          </w:tcPr>
          <w:p>
            <w:pPr>
              <w:jc w:val="center"/>
              <w:rPr>
                <w:rFonts w:hint="eastAsia"/>
                <w:sz w:val="18"/>
                <w:szCs w:val="18"/>
              </w:rPr>
            </w:pPr>
            <w:r>
              <w:rPr>
                <w:rFonts w:hint="eastAsia"/>
                <w:sz w:val="18"/>
                <w:szCs w:val="18"/>
              </w:rPr>
              <w:t>抛丸器</w:t>
            </w:r>
          </w:p>
        </w:tc>
        <w:tc>
          <w:tcPr>
            <w:tcW w:w="1114" w:type="dxa"/>
            <w:noWrap w:val="0"/>
            <w:vAlign w:val="center"/>
          </w:tcPr>
          <w:p>
            <w:pPr>
              <w:jc w:val="center"/>
              <w:rPr>
                <w:rFonts w:hint="eastAsia"/>
                <w:sz w:val="18"/>
                <w:szCs w:val="18"/>
              </w:rPr>
            </w:pPr>
            <w:r>
              <w:rPr>
                <w:rFonts w:hint="eastAsia"/>
                <w:sz w:val="18"/>
                <w:szCs w:val="18"/>
              </w:rPr>
              <w:t>数量</w:t>
            </w:r>
          </w:p>
        </w:tc>
        <w:tc>
          <w:tcPr>
            <w:tcW w:w="992" w:type="dxa"/>
            <w:noWrap w:val="0"/>
            <w:vAlign w:val="center"/>
          </w:tcPr>
          <w:p>
            <w:pPr>
              <w:jc w:val="center"/>
              <w:rPr>
                <w:rFonts w:hint="eastAsia"/>
                <w:sz w:val="18"/>
                <w:szCs w:val="18"/>
              </w:rPr>
            </w:pPr>
            <w:r>
              <w:rPr>
                <w:rFonts w:hint="eastAsia"/>
                <w:sz w:val="18"/>
                <w:szCs w:val="18"/>
              </w:rPr>
              <w:t>台</w:t>
            </w:r>
          </w:p>
        </w:tc>
        <w:tc>
          <w:tcPr>
            <w:tcW w:w="1842" w:type="dxa"/>
            <w:noWrap w:val="0"/>
            <w:vAlign w:val="center"/>
          </w:tcPr>
          <w:p>
            <w:pPr>
              <w:jc w:val="center"/>
              <w:rPr>
                <w:rFonts w:hint="eastAsia" w:eastAsia="宋体"/>
                <w:sz w:val="18"/>
                <w:szCs w:val="18"/>
              </w:rPr>
            </w:pP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eastAsia"/>
                <w:sz w:val="18"/>
                <w:szCs w:val="18"/>
              </w:rPr>
            </w:pPr>
            <w:r>
              <w:rPr>
                <w:rFonts w:hint="eastAsia"/>
                <w:sz w:val="18"/>
                <w:szCs w:val="18"/>
              </w:rPr>
              <w:t>7</w:t>
            </w:r>
          </w:p>
        </w:tc>
        <w:tc>
          <w:tcPr>
            <w:tcW w:w="2899" w:type="dxa"/>
            <w:gridSpan w:val="3"/>
            <w:noWrap w:val="0"/>
            <w:vAlign w:val="center"/>
          </w:tcPr>
          <w:p>
            <w:pPr>
              <w:jc w:val="center"/>
              <w:rPr>
                <w:rFonts w:hint="eastAsia"/>
                <w:sz w:val="18"/>
                <w:szCs w:val="18"/>
              </w:rPr>
            </w:pPr>
            <w:r>
              <w:rPr>
                <w:rFonts w:hint="eastAsia"/>
                <w:sz w:val="18"/>
                <w:szCs w:val="18"/>
              </w:rPr>
              <w:t>丸砂分离器分离效率</w:t>
            </w:r>
          </w:p>
        </w:tc>
        <w:tc>
          <w:tcPr>
            <w:tcW w:w="992" w:type="dxa"/>
            <w:noWrap w:val="0"/>
            <w:vAlign w:val="center"/>
          </w:tcPr>
          <w:p>
            <w:pPr>
              <w:jc w:val="center"/>
              <w:rPr>
                <w:rFonts w:hint="eastAsia"/>
                <w:sz w:val="18"/>
                <w:szCs w:val="18"/>
              </w:rPr>
            </w:pPr>
            <w:r>
              <w:rPr>
                <w:rFonts w:hint="eastAsia"/>
                <w:sz w:val="18"/>
                <w:szCs w:val="18"/>
              </w:rPr>
              <w:t>%</w:t>
            </w:r>
          </w:p>
        </w:tc>
        <w:tc>
          <w:tcPr>
            <w:tcW w:w="1842" w:type="dxa"/>
            <w:noWrap w:val="0"/>
            <w:vAlign w:val="center"/>
          </w:tcPr>
          <w:p>
            <w:pPr>
              <w:jc w:val="center"/>
              <w:rPr>
                <w:sz w:val="18"/>
                <w:szCs w:val="18"/>
              </w:rPr>
            </w:pPr>
            <w:r>
              <w:rPr>
                <w:rFonts w:hint="eastAsia"/>
                <w:sz w:val="18"/>
                <w:szCs w:val="1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vMerge w:val="restart"/>
            <w:noWrap w:val="0"/>
            <w:vAlign w:val="center"/>
          </w:tcPr>
          <w:p>
            <w:pPr>
              <w:jc w:val="center"/>
              <w:rPr>
                <w:rFonts w:hint="eastAsia"/>
                <w:sz w:val="18"/>
                <w:szCs w:val="18"/>
              </w:rPr>
            </w:pPr>
            <w:r>
              <w:rPr>
                <w:rFonts w:hint="eastAsia"/>
                <w:sz w:val="18"/>
                <w:szCs w:val="18"/>
              </w:rPr>
              <w:t>8</w:t>
            </w:r>
          </w:p>
        </w:tc>
        <w:tc>
          <w:tcPr>
            <w:tcW w:w="1785" w:type="dxa"/>
            <w:gridSpan w:val="2"/>
            <w:vMerge w:val="restart"/>
            <w:noWrap w:val="0"/>
            <w:vAlign w:val="center"/>
          </w:tcPr>
          <w:p>
            <w:pPr>
              <w:ind w:firstLine="180" w:firstLineChars="100"/>
              <w:jc w:val="center"/>
              <w:rPr>
                <w:rFonts w:hint="eastAsia"/>
                <w:sz w:val="18"/>
                <w:szCs w:val="18"/>
              </w:rPr>
            </w:pPr>
            <w:r>
              <w:rPr>
                <w:rFonts w:hint="eastAsia"/>
                <w:sz w:val="18"/>
                <w:szCs w:val="18"/>
              </w:rPr>
              <w:t>抛丸器</w:t>
            </w:r>
          </w:p>
          <w:p>
            <w:pPr>
              <w:jc w:val="center"/>
              <w:rPr>
                <w:rFonts w:hint="eastAsia"/>
                <w:sz w:val="18"/>
                <w:szCs w:val="18"/>
              </w:rPr>
            </w:pPr>
            <w:r>
              <w:rPr>
                <w:rFonts w:hint="eastAsia"/>
                <w:sz w:val="18"/>
                <w:szCs w:val="18"/>
              </w:rPr>
              <w:t>耐磨件寿命</w:t>
            </w:r>
          </w:p>
        </w:tc>
        <w:tc>
          <w:tcPr>
            <w:tcW w:w="1114" w:type="dxa"/>
            <w:noWrap w:val="0"/>
            <w:vAlign w:val="center"/>
          </w:tcPr>
          <w:p>
            <w:pPr>
              <w:jc w:val="center"/>
              <w:rPr>
                <w:rFonts w:hint="eastAsia"/>
                <w:sz w:val="18"/>
                <w:szCs w:val="18"/>
              </w:rPr>
            </w:pPr>
            <w:r>
              <w:rPr>
                <w:rFonts w:hint="eastAsia"/>
                <w:sz w:val="18"/>
                <w:szCs w:val="18"/>
              </w:rPr>
              <w:t>叶 片</w:t>
            </w:r>
          </w:p>
        </w:tc>
        <w:tc>
          <w:tcPr>
            <w:tcW w:w="992" w:type="dxa"/>
            <w:noWrap w:val="0"/>
            <w:vAlign w:val="center"/>
          </w:tcPr>
          <w:p>
            <w:pPr>
              <w:jc w:val="center"/>
              <w:rPr>
                <w:sz w:val="18"/>
                <w:szCs w:val="18"/>
              </w:rPr>
            </w:pPr>
            <w:r>
              <w:rPr>
                <w:sz w:val="18"/>
                <w:szCs w:val="18"/>
              </w:rPr>
              <w:t>h</w:t>
            </w:r>
          </w:p>
        </w:tc>
        <w:tc>
          <w:tcPr>
            <w:tcW w:w="1842" w:type="dxa"/>
            <w:noWrap w:val="0"/>
            <w:vAlign w:val="center"/>
          </w:tcPr>
          <w:p>
            <w:pPr>
              <w:jc w:val="center"/>
              <w:rPr>
                <w:rFonts w:hint="eastAsia"/>
                <w:sz w:val="18"/>
                <w:szCs w:val="18"/>
              </w:rPr>
            </w:pPr>
            <w:r>
              <w:rPr>
                <w:rFonts w:hint="eastAsia"/>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vMerge w:val="continue"/>
            <w:noWrap w:val="0"/>
            <w:vAlign w:val="center"/>
          </w:tcPr>
          <w:p>
            <w:pPr>
              <w:jc w:val="center"/>
              <w:rPr>
                <w:sz w:val="18"/>
                <w:szCs w:val="18"/>
              </w:rPr>
            </w:pPr>
          </w:p>
        </w:tc>
        <w:tc>
          <w:tcPr>
            <w:tcW w:w="1785" w:type="dxa"/>
            <w:gridSpan w:val="2"/>
            <w:vMerge w:val="continue"/>
            <w:noWrap w:val="0"/>
            <w:vAlign w:val="center"/>
          </w:tcPr>
          <w:p>
            <w:pPr>
              <w:jc w:val="center"/>
              <w:rPr>
                <w:rFonts w:hint="eastAsia"/>
                <w:sz w:val="18"/>
                <w:szCs w:val="18"/>
              </w:rPr>
            </w:pPr>
          </w:p>
        </w:tc>
        <w:tc>
          <w:tcPr>
            <w:tcW w:w="1114" w:type="dxa"/>
            <w:noWrap w:val="0"/>
            <w:vAlign w:val="center"/>
          </w:tcPr>
          <w:p>
            <w:pPr>
              <w:jc w:val="center"/>
              <w:rPr>
                <w:rFonts w:hint="eastAsia"/>
                <w:sz w:val="18"/>
                <w:szCs w:val="18"/>
              </w:rPr>
            </w:pPr>
            <w:r>
              <w:rPr>
                <w:rFonts w:hint="eastAsia"/>
                <w:sz w:val="18"/>
                <w:szCs w:val="18"/>
              </w:rPr>
              <w:t>分丸轮定向套</w:t>
            </w:r>
          </w:p>
        </w:tc>
        <w:tc>
          <w:tcPr>
            <w:tcW w:w="992" w:type="dxa"/>
            <w:noWrap w:val="0"/>
            <w:vAlign w:val="center"/>
          </w:tcPr>
          <w:p>
            <w:pPr>
              <w:jc w:val="center"/>
              <w:rPr>
                <w:sz w:val="18"/>
                <w:szCs w:val="18"/>
              </w:rPr>
            </w:pPr>
            <w:r>
              <w:rPr>
                <w:sz w:val="18"/>
                <w:szCs w:val="18"/>
              </w:rPr>
              <w:t>h</w:t>
            </w:r>
          </w:p>
        </w:tc>
        <w:tc>
          <w:tcPr>
            <w:tcW w:w="1842" w:type="dxa"/>
            <w:noWrap w:val="0"/>
            <w:vAlign w:val="center"/>
          </w:tcPr>
          <w:p>
            <w:pPr>
              <w:jc w:val="center"/>
              <w:rPr>
                <w:rFonts w:hint="eastAsia"/>
                <w:sz w:val="18"/>
                <w:szCs w:val="18"/>
              </w:rPr>
            </w:pPr>
            <w:r>
              <w:rPr>
                <w:rFonts w:hint="eastAsia"/>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vMerge w:val="continue"/>
            <w:noWrap w:val="0"/>
            <w:vAlign w:val="center"/>
          </w:tcPr>
          <w:p>
            <w:pPr>
              <w:jc w:val="center"/>
              <w:rPr>
                <w:rFonts w:hint="eastAsia"/>
                <w:sz w:val="18"/>
                <w:szCs w:val="18"/>
              </w:rPr>
            </w:pPr>
          </w:p>
        </w:tc>
        <w:tc>
          <w:tcPr>
            <w:tcW w:w="1785" w:type="dxa"/>
            <w:gridSpan w:val="2"/>
            <w:vMerge w:val="continue"/>
            <w:noWrap w:val="0"/>
            <w:vAlign w:val="center"/>
          </w:tcPr>
          <w:p>
            <w:pPr>
              <w:jc w:val="center"/>
              <w:rPr>
                <w:rFonts w:hint="eastAsia"/>
                <w:sz w:val="18"/>
                <w:szCs w:val="18"/>
              </w:rPr>
            </w:pPr>
          </w:p>
        </w:tc>
        <w:tc>
          <w:tcPr>
            <w:tcW w:w="1114" w:type="dxa"/>
            <w:noWrap w:val="0"/>
            <w:vAlign w:val="center"/>
          </w:tcPr>
          <w:p>
            <w:pPr>
              <w:jc w:val="center"/>
              <w:rPr>
                <w:rFonts w:hint="eastAsia"/>
                <w:sz w:val="18"/>
                <w:szCs w:val="18"/>
              </w:rPr>
            </w:pPr>
            <w:r>
              <w:rPr>
                <w:rFonts w:hint="eastAsia"/>
                <w:sz w:val="18"/>
                <w:szCs w:val="18"/>
              </w:rPr>
              <w:t>护板</w:t>
            </w:r>
          </w:p>
        </w:tc>
        <w:tc>
          <w:tcPr>
            <w:tcW w:w="992" w:type="dxa"/>
            <w:noWrap w:val="0"/>
            <w:vAlign w:val="center"/>
          </w:tcPr>
          <w:p>
            <w:pPr>
              <w:jc w:val="center"/>
              <w:rPr>
                <w:sz w:val="18"/>
                <w:szCs w:val="18"/>
              </w:rPr>
            </w:pPr>
            <w:r>
              <w:rPr>
                <w:sz w:val="18"/>
                <w:szCs w:val="18"/>
              </w:rPr>
              <w:t>h</w:t>
            </w:r>
          </w:p>
        </w:tc>
        <w:tc>
          <w:tcPr>
            <w:tcW w:w="1842" w:type="dxa"/>
            <w:noWrap w:val="0"/>
            <w:vAlign w:val="center"/>
          </w:tcPr>
          <w:p>
            <w:pPr>
              <w:jc w:val="center"/>
              <w:rPr>
                <w:rFonts w:hint="eastAsia"/>
                <w:sz w:val="18"/>
                <w:szCs w:val="18"/>
              </w:rPr>
            </w:pPr>
            <w:r>
              <w:rPr>
                <w:rFonts w:hint="eastAsia"/>
                <w:sz w:val="18"/>
                <w:szCs w:val="1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630" w:type="dxa"/>
            <w:noWrap w:val="0"/>
            <w:vAlign w:val="center"/>
          </w:tcPr>
          <w:p>
            <w:pPr>
              <w:jc w:val="center"/>
              <w:rPr>
                <w:rFonts w:hint="eastAsia" w:eastAsia="宋体"/>
                <w:sz w:val="18"/>
                <w:szCs w:val="18"/>
                <w:lang w:eastAsia="zh-CN"/>
              </w:rPr>
            </w:pPr>
            <w:r>
              <w:rPr>
                <w:rFonts w:hint="eastAsia"/>
                <w:sz w:val="18"/>
                <w:szCs w:val="18"/>
                <w:lang w:val="en-US" w:eastAsia="zh-CN"/>
              </w:rPr>
              <w:t>9</w:t>
            </w:r>
          </w:p>
        </w:tc>
        <w:tc>
          <w:tcPr>
            <w:tcW w:w="1773" w:type="dxa"/>
            <w:noWrap w:val="0"/>
            <w:vAlign w:val="center"/>
          </w:tcPr>
          <w:p>
            <w:pPr>
              <w:jc w:val="center"/>
              <w:rPr>
                <w:sz w:val="18"/>
                <w:szCs w:val="18"/>
              </w:rPr>
            </w:pPr>
            <w:r>
              <w:rPr>
                <w:rFonts w:hint="eastAsia"/>
                <w:sz w:val="18"/>
                <w:szCs w:val="18"/>
              </w:rPr>
              <w:t>电控系统</w:t>
            </w:r>
          </w:p>
        </w:tc>
        <w:tc>
          <w:tcPr>
            <w:tcW w:w="1126" w:type="dxa"/>
            <w:gridSpan w:val="2"/>
            <w:noWrap w:val="0"/>
            <w:vAlign w:val="center"/>
          </w:tcPr>
          <w:p>
            <w:pPr>
              <w:jc w:val="center"/>
              <w:rPr>
                <w:rFonts w:hint="eastAsia"/>
                <w:sz w:val="18"/>
                <w:szCs w:val="18"/>
              </w:rPr>
            </w:pPr>
            <w:r>
              <w:rPr>
                <w:rFonts w:hint="eastAsia"/>
                <w:sz w:val="18"/>
                <w:szCs w:val="18"/>
              </w:rPr>
              <w:t>电气元件</w:t>
            </w:r>
          </w:p>
        </w:tc>
        <w:tc>
          <w:tcPr>
            <w:tcW w:w="992" w:type="dxa"/>
            <w:noWrap w:val="0"/>
            <w:vAlign w:val="center"/>
          </w:tcPr>
          <w:p>
            <w:pPr>
              <w:jc w:val="center"/>
              <w:rPr>
                <w:rFonts w:hint="eastAsia"/>
                <w:sz w:val="18"/>
                <w:szCs w:val="18"/>
              </w:rPr>
            </w:pPr>
            <w:r>
              <w:rPr>
                <w:rFonts w:hint="eastAsia"/>
                <w:sz w:val="18"/>
                <w:szCs w:val="18"/>
              </w:rPr>
              <w:t>／</w:t>
            </w:r>
          </w:p>
        </w:tc>
        <w:tc>
          <w:tcPr>
            <w:tcW w:w="1842" w:type="dxa"/>
            <w:noWrap w:val="0"/>
            <w:vAlign w:val="center"/>
          </w:tcPr>
          <w:p>
            <w:pPr>
              <w:jc w:val="center"/>
              <w:rPr>
                <w:rFonts w:hint="eastAsia"/>
                <w:sz w:val="18"/>
                <w:szCs w:val="18"/>
              </w:rPr>
            </w:pPr>
            <w:r>
              <w:rPr>
                <w:rFonts w:hint="eastAsia"/>
                <w:sz w:val="18"/>
                <w:szCs w:val="18"/>
              </w:rPr>
              <w:t>施耐德、西门子、电控柜 Rittal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default" w:eastAsia="宋体"/>
                <w:sz w:val="18"/>
                <w:szCs w:val="18"/>
                <w:lang w:val="en-US" w:eastAsia="zh-CN"/>
              </w:rPr>
            </w:pPr>
            <w:r>
              <w:rPr>
                <w:rFonts w:hint="eastAsia"/>
                <w:sz w:val="18"/>
                <w:szCs w:val="18"/>
                <w:lang w:val="en-US" w:eastAsia="zh-CN"/>
              </w:rPr>
              <w:t>10</w:t>
            </w:r>
          </w:p>
        </w:tc>
        <w:tc>
          <w:tcPr>
            <w:tcW w:w="2899" w:type="dxa"/>
            <w:gridSpan w:val="3"/>
            <w:noWrap w:val="0"/>
            <w:vAlign w:val="center"/>
          </w:tcPr>
          <w:p>
            <w:pPr>
              <w:jc w:val="center"/>
              <w:rPr>
                <w:rFonts w:hint="eastAsia"/>
                <w:sz w:val="18"/>
                <w:szCs w:val="18"/>
              </w:rPr>
            </w:pPr>
            <w:r>
              <w:rPr>
                <w:rFonts w:hint="eastAsia"/>
                <w:sz w:val="18"/>
                <w:szCs w:val="18"/>
              </w:rPr>
              <w:t>气动系统</w:t>
            </w:r>
          </w:p>
        </w:tc>
        <w:tc>
          <w:tcPr>
            <w:tcW w:w="992" w:type="dxa"/>
            <w:noWrap w:val="0"/>
            <w:vAlign w:val="center"/>
          </w:tcPr>
          <w:p>
            <w:pPr>
              <w:jc w:val="center"/>
              <w:rPr>
                <w:sz w:val="18"/>
                <w:szCs w:val="18"/>
              </w:rPr>
            </w:pPr>
          </w:p>
        </w:tc>
        <w:tc>
          <w:tcPr>
            <w:tcW w:w="1842" w:type="dxa"/>
            <w:noWrap w:val="0"/>
            <w:vAlign w:val="center"/>
          </w:tcPr>
          <w:p>
            <w:pPr>
              <w:ind w:left="-6" w:leftChars="-7" w:hanging="9" w:hangingChars="5"/>
              <w:jc w:val="center"/>
              <w:rPr>
                <w:rFonts w:eastAsia="宋体"/>
                <w:sz w:val="18"/>
                <w:szCs w:val="18"/>
              </w:rPr>
            </w:pPr>
            <w:r>
              <w:rPr>
                <w:rFonts w:hint="eastAsia"/>
                <w:sz w:val="18"/>
                <w:szCs w:val="18"/>
              </w:rPr>
              <w:t>FESTO 或 SMC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default" w:eastAsia="宋体"/>
                <w:sz w:val="18"/>
                <w:szCs w:val="18"/>
                <w:lang w:val="en-US" w:eastAsia="zh-CN"/>
              </w:rPr>
            </w:pPr>
            <w:r>
              <w:rPr>
                <w:rFonts w:hint="eastAsia" w:eastAsia="宋体"/>
                <w:sz w:val="18"/>
                <w:szCs w:val="18"/>
                <w:lang w:val="en-US" w:eastAsia="zh-CN"/>
              </w:rPr>
              <w:t>11</w:t>
            </w:r>
          </w:p>
        </w:tc>
        <w:tc>
          <w:tcPr>
            <w:tcW w:w="2899" w:type="dxa"/>
            <w:gridSpan w:val="3"/>
            <w:noWrap w:val="0"/>
            <w:vAlign w:val="center"/>
          </w:tcPr>
          <w:p>
            <w:pPr>
              <w:jc w:val="center"/>
              <w:rPr>
                <w:sz w:val="18"/>
                <w:szCs w:val="18"/>
              </w:rPr>
            </w:pPr>
            <w:r>
              <w:rPr>
                <w:rFonts w:hint="eastAsia"/>
                <w:sz w:val="18"/>
                <w:szCs w:val="18"/>
              </w:rPr>
              <w:t>电机减速机、变频器</w:t>
            </w:r>
          </w:p>
        </w:tc>
        <w:tc>
          <w:tcPr>
            <w:tcW w:w="992" w:type="dxa"/>
            <w:noWrap w:val="0"/>
            <w:vAlign w:val="center"/>
          </w:tcPr>
          <w:p>
            <w:pPr>
              <w:jc w:val="center"/>
              <w:rPr>
                <w:sz w:val="18"/>
                <w:szCs w:val="18"/>
              </w:rPr>
            </w:pPr>
          </w:p>
        </w:tc>
        <w:tc>
          <w:tcPr>
            <w:tcW w:w="1842" w:type="dxa"/>
            <w:noWrap w:val="0"/>
            <w:vAlign w:val="center"/>
          </w:tcPr>
          <w:p>
            <w:pPr>
              <w:ind w:left="-6" w:leftChars="-7" w:hanging="9" w:hangingChars="5"/>
              <w:jc w:val="center"/>
              <w:rPr>
                <w:rFonts w:eastAsia="宋体"/>
                <w:sz w:val="18"/>
                <w:szCs w:val="18"/>
              </w:rPr>
            </w:pPr>
            <w:r>
              <w:rPr>
                <w:rFonts w:hint="eastAsia"/>
                <w:sz w:val="18"/>
                <w:szCs w:val="18"/>
              </w:rPr>
              <w:t>SEW、西门子、ABB等国际知名品牌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default" w:eastAsia="宋体"/>
                <w:sz w:val="18"/>
                <w:szCs w:val="18"/>
                <w:lang w:val="en-US" w:eastAsia="zh-CN"/>
              </w:rPr>
            </w:pPr>
            <w:r>
              <w:rPr>
                <w:rFonts w:hint="eastAsia"/>
                <w:sz w:val="18"/>
                <w:szCs w:val="18"/>
                <w:lang w:val="en-US" w:eastAsia="zh-CN"/>
              </w:rPr>
              <w:t>12</w:t>
            </w:r>
          </w:p>
        </w:tc>
        <w:tc>
          <w:tcPr>
            <w:tcW w:w="2899" w:type="dxa"/>
            <w:gridSpan w:val="3"/>
            <w:noWrap w:val="0"/>
            <w:vAlign w:val="center"/>
          </w:tcPr>
          <w:p>
            <w:pPr>
              <w:jc w:val="center"/>
              <w:rPr>
                <w:sz w:val="18"/>
                <w:szCs w:val="18"/>
              </w:rPr>
            </w:pPr>
            <w:r>
              <w:rPr>
                <w:rFonts w:hint="eastAsia"/>
                <w:sz w:val="18"/>
                <w:szCs w:val="18"/>
              </w:rPr>
              <w:t>CPU</w:t>
            </w:r>
          </w:p>
        </w:tc>
        <w:tc>
          <w:tcPr>
            <w:tcW w:w="992" w:type="dxa"/>
            <w:noWrap w:val="0"/>
            <w:vAlign w:val="center"/>
          </w:tcPr>
          <w:p>
            <w:pPr>
              <w:jc w:val="center"/>
              <w:rPr>
                <w:sz w:val="18"/>
                <w:szCs w:val="18"/>
              </w:rPr>
            </w:pPr>
          </w:p>
        </w:tc>
        <w:tc>
          <w:tcPr>
            <w:tcW w:w="1842" w:type="dxa"/>
            <w:noWrap w:val="0"/>
            <w:vAlign w:val="center"/>
          </w:tcPr>
          <w:p>
            <w:pPr>
              <w:ind w:left="-6" w:leftChars="-7" w:hanging="9" w:hangingChars="5"/>
              <w:jc w:val="center"/>
              <w:rPr>
                <w:sz w:val="18"/>
                <w:szCs w:val="18"/>
              </w:rPr>
            </w:pPr>
            <w:r>
              <w:rPr>
                <w:rFonts w:hint="eastAsia"/>
                <w:sz w:val="18"/>
                <w:szCs w:val="18"/>
              </w:rPr>
              <w:t>西门子Smart-200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30" w:type="dxa"/>
            <w:noWrap w:val="0"/>
            <w:vAlign w:val="center"/>
          </w:tcPr>
          <w:p>
            <w:pPr>
              <w:jc w:val="center"/>
              <w:rPr>
                <w:rFonts w:hint="default" w:eastAsia="宋体"/>
                <w:sz w:val="18"/>
                <w:szCs w:val="18"/>
                <w:lang w:val="en-US" w:eastAsia="zh-CN"/>
              </w:rPr>
            </w:pPr>
            <w:r>
              <w:rPr>
                <w:rFonts w:hint="eastAsia"/>
                <w:sz w:val="18"/>
                <w:szCs w:val="18"/>
                <w:lang w:val="en-US" w:eastAsia="zh-CN"/>
              </w:rPr>
              <w:t>13</w:t>
            </w:r>
          </w:p>
        </w:tc>
        <w:tc>
          <w:tcPr>
            <w:tcW w:w="2899" w:type="dxa"/>
            <w:gridSpan w:val="3"/>
            <w:noWrap w:val="0"/>
            <w:vAlign w:val="center"/>
          </w:tcPr>
          <w:p>
            <w:pPr>
              <w:jc w:val="center"/>
              <w:rPr>
                <w:sz w:val="18"/>
                <w:szCs w:val="18"/>
              </w:rPr>
            </w:pPr>
            <w:r>
              <w:rPr>
                <w:rFonts w:hint="eastAsia"/>
                <w:sz w:val="18"/>
                <w:szCs w:val="18"/>
              </w:rPr>
              <w:t>上料斗</w:t>
            </w:r>
          </w:p>
        </w:tc>
        <w:tc>
          <w:tcPr>
            <w:tcW w:w="992" w:type="dxa"/>
            <w:noWrap w:val="0"/>
            <w:vAlign w:val="center"/>
          </w:tcPr>
          <w:p>
            <w:pPr>
              <w:jc w:val="center"/>
              <w:rPr>
                <w:rFonts w:hint="eastAsia" w:eastAsia="宋体"/>
                <w:sz w:val="18"/>
                <w:szCs w:val="18"/>
              </w:rPr>
            </w:pPr>
            <w:r>
              <w:rPr>
                <w:rFonts w:hint="eastAsia"/>
                <w:sz w:val="18"/>
                <w:szCs w:val="18"/>
              </w:rPr>
              <w:t>个</w:t>
            </w:r>
          </w:p>
        </w:tc>
        <w:tc>
          <w:tcPr>
            <w:tcW w:w="1842" w:type="dxa"/>
            <w:noWrap w:val="0"/>
            <w:vAlign w:val="center"/>
          </w:tcPr>
          <w:p>
            <w:pPr>
              <w:ind w:left="-6" w:leftChars="-7" w:hanging="9" w:hangingChars="5"/>
              <w:jc w:val="center"/>
              <w:rPr>
                <w:sz w:val="18"/>
                <w:szCs w:val="18"/>
              </w:rPr>
            </w:pPr>
            <w:r>
              <w:rPr>
                <w:rFonts w:hint="eastAsia"/>
                <w:sz w:val="18"/>
                <w:szCs w:val="18"/>
              </w:rPr>
              <w:t>40</w:t>
            </w:r>
          </w:p>
        </w:tc>
      </w:tr>
    </w:tbl>
    <w:p>
      <w:pPr>
        <w:spacing w:line="360" w:lineRule="auto"/>
        <w:ind w:left="0" w:leftChars="0" w:firstLine="480" w:firstLineChars="200"/>
        <w:rPr>
          <w:rFonts w:hint="default" w:ascii="宋体" w:hAnsi="宋体" w:eastAsia="宋体" w:cs="Times New Roman"/>
          <w:sz w:val="24"/>
          <w:szCs w:val="24"/>
        </w:rPr>
      </w:pPr>
      <w:r>
        <w:rPr>
          <w:rFonts w:hint="default" w:ascii="宋体" w:hAnsi="宋体" w:eastAsia="宋体" w:cs="Times New Roman"/>
          <w:sz w:val="24"/>
          <w:szCs w:val="24"/>
        </w:rPr>
        <w:t>1、抛丸器选用国际知名品牌或具有同等质量水平的国内一流品牌；抛丸器电机选用国际知名品牌，需用皮带连接，轴承室轴承选用国际知名品牌，且配自动润滑管，润滑周期可调。</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2、抛丸室、震动筛、斗提等部件衔接良好，无弹丸散落，便于维修。</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选用丸料：M/CW/C160钢丝切丸。</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3、抛丸器安装位置要便于维修。</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4、要具备料斗弹丸量检测、报警功能。</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5、设备具备从投产起的抛丸计时功能。</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6、抛丸室体主要由特殊耐冲击高锰钢板制成,</w:t>
      </w:r>
      <w:r>
        <w:rPr>
          <w:rFonts w:hint="default" w:ascii="宋体" w:hAnsi="宋体" w:eastAsia="宋体" w:cs="Times New Roman"/>
          <w:sz w:val="24"/>
          <w:szCs w:val="24"/>
          <w:lang w:val="en-US" w:eastAsia="zh-CN"/>
        </w:rPr>
        <w:t>钢板选用原产地欧洲的</w:t>
      </w:r>
      <w:r>
        <w:rPr>
          <w:rFonts w:hint="default" w:ascii="宋体" w:hAnsi="宋体" w:eastAsia="宋体" w:cs="Times New Roman"/>
          <w:sz w:val="24"/>
          <w:szCs w:val="24"/>
        </w:rPr>
        <w:t>(X120Mn12)</w:t>
      </w:r>
      <w:r>
        <w:rPr>
          <w:rFonts w:hint="default" w:ascii="宋体" w:hAnsi="宋体" w:eastAsia="宋体" w:cs="Times New Roman"/>
          <w:sz w:val="24"/>
          <w:szCs w:val="24"/>
          <w:lang w:val="en-US" w:eastAsia="zh-CN"/>
        </w:rPr>
        <w:t>材质，</w:t>
      </w:r>
      <w:r>
        <w:rPr>
          <w:rFonts w:hint="default" w:ascii="宋体" w:hAnsi="宋体" w:eastAsia="宋体" w:cs="Times New Roman"/>
          <w:sz w:val="24"/>
          <w:szCs w:val="24"/>
        </w:rPr>
        <w:t>厚度大于等于20mm。</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7、摆床需高锰钢板制作，切割、焊接成型，利用三相齿轮减速电机，实现变频调速，且最大角度可调，带抱闸，摆床采用欧洲进口(X120Mn12)锰钢板制成,厚度大于等于20mm。</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8、斗式提升机需带有强化纤维的橡胶带，耐磨铸铁斗，张紧机构和轴承。采用SEW、西门子或ABB电机。提升机头轮处确保无异常返砂情况，斗提机出料口到砂仓上方增加完整过滤网。</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9、箱笼式风选分离系统：能将钢丸流中的杂质分离出来，装有分离重杂物的膨胀箱、钢丸储料斗、分配阀和排尘管，膨胀箱及附近管道需加厚，大于等于6mm，确保膨胀箱</w:t>
      </w:r>
      <w:r>
        <w:rPr>
          <w:rFonts w:hint="default" w:ascii="宋体" w:hAnsi="宋体" w:eastAsia="宋体" w:cs="Times New Roman"/>
          <w:sz w:val="24"/>
          <w:szCs w:val="24"/>
          <w:lang w:eastAsia="zh-CN"/>
        </w:rPr>
        <w:t>，</w:t>
      </w:r>
      <w:r>
        <w:rPr>
          <w:rFonts w:hint="default" w:ascii="宋体" w:hAnsi="宋体" w:eastAsia="宋体" w:cs="Times New Roman"/>
          <w:sz w:val="24"/>
          <w:szCs w:val="24"/>
          <w:lang w:val="en-US" w:eastAsia="zh-CN"/>
        </w:rPr>
        <w:t>设备布置方便维修</w:t>
      </w:r>
      <w:r>
        <w:rPr>
          <w:rFonts w:hint="default" w:ascii="宋体" w:hAnsi="宋体" w:eastAsia="宋体" w:cs="Times New Roman"/>
          <w:sz w:val="24"/>
          <w:szCs w:val="24"/>
        </w:rPr>
        <w:t>。</w:t>
      </w:r>
    </w:p>
    <w:p>
      <w:pPr>
        <w:spacing w:line="360" w:lineRule="auto"/>
        <w:ind w:left="0" w:firstLine="480" w:firstLineChars="200"/>
        <w:rPr>
          <w:rFonts w:ascii="宋体" w:hAnsi="宋体" w:eastAsia="宋体" w:cs="Times New Roman"/>
          <w:sz w:val="24"/>
          <w:szCs w:val="24"/>
        </w:rPr>
      </w:pPr>
      <w:r>
        <w:rPr>
          <w:rFonts w:hint="default" w:ascii="宋体" w:hAnsi="宋体" w:eastAsia="宋体" w:cs="Times New Roman"/>
          <w:sz w:val="24"/>
          <w:szCs w:val="24"/>
        </w:rPr>
        <w:t>10、磁选需包括主、辅两级磁选，确保磁选质保期内不出现明显磨损</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11、螺旋给料器将由斗式提升机提升的丸料均匀分配给每一台抛丸器，由壳体、螺旋体、轴承及驱动装置组成，外壳、叶片质保期内不能出现明显磨损。</w:t>
      </w:r>
    </w:p>
    <w:p>
      <w:pPr>
        <w:spacing w:line="360" w:lineRule="auto"/>
        <w:ind w:left="0" w:leftChars="0" w:firstLine="480" w:firstLineChars="200"/>
        <w:rPr>
          <w:rFonts w:hint="default" w:ascii="宋体" w:hAnsi="宋体" w:eastAsia="宋体" w:cs="Times New Roman"/>
          <w:sz w:val="24"/>
          <w:szCs w:val="24"/>
        </w:rPr>
      </w:pPr>
      <w:bookmarkStart w:id="38" w:name="OLE_LINK3"/>
      <w:r>
        <w:rPr>
          <w:rFonts w:hint="default" w:ascii="宋体" w:hAnsi="宋体" w:eastAsia="宋体" w:cs="Times New Roman"/>
          <w:sz w:val="24"/>
          <w:szCs w:val="24"/>
        </w:rPr>
        <w:t>12、振动筛分输送机将散落在抛丸室内的丸料回收,并筛分,去除大块杂物后送入斗式提升机，</w:t>
      </w:r>
      <w:r>
        <w:rPr>
          <w:rFonts w:hint="default" w:ascii="宋体" w:hAnsi="宋体" w:eastAsia="宋体" w:cs="Times New Roman"/>
          <w:sz w:val="24"/>
          <w:szCs w:val="24"/>
          <w:lang w:val="en-US" w:eastAsia="zh-CN"/>
        </w:rPr>
        <w:t>输送机离地高度需大于1m，方便下料斗均匀</w:t>
      </w:r>
      <w:r>
        <w:rPr>
          <w:rFonts w:hint="default" w:ascii="宋体" w:hAnsi="宋体" w:eastAsia="宋体" w:cs="Times New Roman"/>
          <w:sz w:val="24"/>
          <w:szCs w:val="24"/>
          <w:lang w:eastAsia="zh-CN"/>
        </w:rPr>
        <w:t>受</w:t>
      </w:r>
      <w:r>
        <w:rPr>
          <w:rFonts w:hint="default" w:ascii="宋体" w:hAnsi="宋体" w:eastAsia="宋体" w:cs="Times New Roman"/>
          <w:sz w:val="24"/>
          <w:szCs w:val="24"/>
          <w:lang w:val="en-US" w:eastAsia="zh-CN"/>
        </w:rPr>
        <w:t>料，筛网设计合理，避免气针卡件现象，</w:t>
      </w:r>
      <w:r>
        <w:rPr>
          <w:rFonts w:hint="default" w:ascii="宋体" w:hAnsi="宋体" w:eastAsia="宋体" w:cs="Times New Roman"/>
          <w:sz w:val="24"/>
          <w:szCs w:val="24"/>
        </w:rPr>
        <w:t>震动床质保期内不出现裂缝，筛网不出现撕裂，弹簧不断裂，电机无异响，震动筛分输送机采取降噪措施。</w:t>
      </w:r>
      <w:bookmarkEnd w:id="38"/>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13、翻斗加料装置翻斗最大容积为800</w:t>
      </w:r>
      <w:r>
        <w:rPr>
          <w:rFonts w:hint="default" w:ascii="宋体" w:hAnsi="宋体" w:eastAsia="宋体" w:cs="Times New Roman"/>
          <w:sz w:val="24"/>
          <w:szCs w:val="24"/>
          <w:lang w:val="en-US" w:eastAsia="zh-CN"/>
        </w:rPr>
        <w:t>L</w:t>
      </w:r>
      <w:r>
        <w:rPr>
          <w:rFonts w:hint="default" w:ascii="宋体" w:hAnsi="宋体" w:eastAsia="宋体" w:cs="Times New Roman"/>
          <w:sz w:val="24"/>
          <w:szCs w:val="24"/>
        </w:rPr>
        <w:t>，向抛丸机摆床中加铸件的加料装置的倾斜角度为45º，确保能顺利卸料。翻斗装置由卷扬电机驱动，有称重、限高功能，确保每次加料不超量，避免在抛丸室内卡料，具备断绳保护功能。</w:t>
      </w:r>
    </w:p>
    <w:p>
      <w:pPr>
        <w:spacing w:line="360" w:lineRule="auto"/>
        <w:ind w:left="0" w:leftChars="0" w:firstLine="480" w:firstLineChars="200"/>
        <w:rPr>
          <w:rFonts w:hint="default" w:ascii="宋体" w:hAnsi="宋体" w:eastAsia="宋体" w:cs="Times New Roman"/>
          <w:sz w:val="24"/>
          <w:szCs w:val="24"/>
        </w:rPr>
      </w:pPr>
      <w:r>
        <w:rPr>
          <w:rFonts w:hint="default" w:ascii="宋体" w:hAnsi="宋体" w:eastAsia="宋体" w:cs="Times New Roman"/>
          <w:sz w:val="24"/>
          <w:szCs w:val="24"/>
        </w:rPr>
        <w:t>14、整体设备不得高于7m（车间地平面），且确保钢丸下落通畅，设备应避免与行车检修梯干涉。</w:t>
      </w:r>
    </w:p>
    <w:p>
      <w:pPr>
        <w:spacing w:line="360" w:lineRule="auto"/>
        <w:ind w:left="0" w:leftChars="0" w:firstLine="480" w:firstLineChars="200"/>
        <w:rPr>
          <w:rFonts w:hint="default" w:ascii="宋体" w:hAnsi="宋体" w:eastAsia="宋体" w:cs="Times New Roman"/>
          <w:sz w:val="24"/>
          <w:szCs w:val="24"/>
        </w:rPr>
      </w:pPr>
      <w:r>
        <w:rPr>
          <w:rFonts w:hint="default" w:ascii="宋体" w:hAnsi="宋体" w:eastAsia="宋体" w:cs="Times New Roman"/>
          <w:sz w:val="24"/>
          <w:szCs w:val="24"/>
        </w:rPr>
        <w:t>15、所有橡胶管带有10mm以上的耐磨橡胶层。</w:t>
      </w:r>
    </w:p>
    <w:p>
      <w:pPr>
        <w:spacing w:line="360" w:lineRule="auto"/>
        <w:ind w:left="0" w:leftChars="0" w:firstLine="480" w:firstLineChars="200"/>
        <w:rPr>
          <w:rFonts w:hint="default" w:ascii="宋体" w:hAnsi="宋体" w:eastAsia="宋体" w:cs="Times New Roman"/>
          <w:sz w:val="24"/>
          <w:szCs w:val="24"/>
        </w:rPr>
      </w:pPr>
      <w:r>
        <w:rPr>
          <w:rFonts w:hint="default" w:ascii="宋体" w:hAnsi="宋体" w:eastAsia="宋体" w:cs="Times New Roman"/>
          <w:sz w:val="24"/>
          <w:szCs w:val="24"/>
        </w:rPr>
        <w:t>16、接近开关、光电开关选用倍加福或图尔克。</w:t>
      </w:r>
    </w:p>
    <w:p>
      <w:pPr>
        <w:spacing w:line="360" w:lineRule="auto"/>
        <w:ind w:firstLine="480" w:firstLineChars="200"/>
        <w:rPr>
          <w:rFonts w:hint="default" w:ascii="宋体" w:hAnsi="宋体" w:eastAsia="宋体" w:cs="Times New Roman"/>
          <w:sz w:val="24"/>
          <w:szCs w:val="24"/>
          <w:lang w:val="en-US" w:eastAsia="zh-CN"/>
        </w:rPr>
      </w:pPr>
      <w:r>
        <w:rPr>
          <w:rFonts w:hint="default" w:ascii="宋体" w:hAnsi="宋体" w:eastAsia="宋体" w:cs="Times New Roman"/>
          <w:sz w:val="24"/>
          <w:szCs w:val="24"/>
        </w:rPr>
        <w:t>17、</w:t>
      </w:r>
      <w:r>
        <w:rPr>
          <w:rFonts w:hint="eastAsia" w:ascii="宋体" w:hAnsi="宋体" w:eastAsia="宋体" w:cs="Times New Roman"/>
          <w:sz w:val="24"/>
          <w:szCs w:val="24"/>
          <w:lang w:eastAsia="zh-CN"/>
        </w:rPr>
        <w:t>设备与除尘器</w:t>
      </w:r>
      <w:r>
        <w:rPr>
          <w:rFonts w:hint="default" w:ascii="宋体" w:hAnsi="宋体" w:eastAsia="宋体" w:cs="Times New Roman"/>
          <w:sz w:val="24"/>
          <w:szCs w:val="24"/>
          <w:lang w:val="en-US" w:eastAsia="zh-CN"/>
        </w:rPr>
        <w:t>电器柜需</w:t>
      </w:r>
      <w:r>
        <w:rPr>
          <w:rFonts w:hint="eastAsia" w:ascii="宋体" w:hAnsi="宋体" w:eastAsia="宋体" w:cs="Times New Roman"/>
          <w:sz w:val="24"/>
          <w:szCs w:val="24"/>
          <w:lang w:val="en-US" w:eastAsia="zh-CN"/>
        </w:rPr>
        <w:t>增加隔音</w:t>
      </w:r>
      <w:r>
        <w:rPr>
          <w:rFonts w:hint="default" w:ascii="宋体" w:hAnsi="宋体" w:eastAsia="宋体" w:cs="Times New Roman"/>
          <w:sz w:val="24"/>
          <w:szCs w:val="24"/>
          <w:lang w:val="en-US" w:eastAsia="zh-CN"/>
        </w:rPr>
        <w:t>防尘间</w:t>
      </w:r>
      <w:r>
        <w:rPr>
          <w:rFonts w:hint="eastAsia" w:ascii="宋体" w:hAnsi="宋体" w:eastAsia="宋体" w:cs="Times New Roman"/>
          <w:sz w:val="24"/>
          <w:szCs w:val="24"/>
          <w:lang w:val="en-US" w:eastAsia="zh-CN"/>
        </w:rPr>
        <w:t>（采用厚度≥120mm、外皮≥1.5mm隔音板制作）</w:t>
      </w:r>
      <w:r>
        <w:rPr>
          <w:rFonts w:hint="default" w:ascii="宋体" w:hAnsi="宋体" w:eastAsia="宋体" w:cs="Times New Roman"/>
          <w:sz w:val="24"/>
          <w:szCs w:val="24"/>
          <w:lang w:val="en-US" w:eastAsia="zh-CN"/>
        </w:rPr>
        <w:t>，</w:t>
      </w:r>
      <w:r>
        <w:rPr>
          <w:rFonts w:hint="eastAsia" w:ascii="宋体" w:hAnsi="宋体" w:eastAsia="宋体" w:cs="Times New Roman"/>
          <w:sz w:val="24"/>
          <w:szCs w:val="24"/>
          <w:lang w:val="en-US" w:eastAsia="zh-CN"/>
        </w:rPr>
        <w:t>防尘间配备两个轴流风扇，电器柜</w:t>
      </w:r>
      <w:r>
        <w:rPr>
          <w:rFonts w:hint="default" w:ascii="宋体" w:hAnsi="宋体" w:eastAsia="宋体" w:cs="Times New Roman"/>
          <w:sz w:val="24"/>
          <w:szCs w:val="24"/>
          <w:lang w:val="en-US" w:eastAsia="zh-CN"/>
        </w:rPr>
        <w:t>配机柜空调</w:t>
      </w:r>
      <w:r>
        <w:rPr>
          <w:rFonts w:hint="eastAsia" w:ascii="宋体" w:hAnsi="宋体" w:eastAsia="宋体" w:cs="Times New Roman"/>
          <w:sz w:val="24"/>
          <w:szCs w:val="24"/>
          <w:lang w:val="en-US" w:eastAsia="zh-CN"/>
        </w:rPr>
        <w:t>（威图品牌）</w:t>
      </w:r>
      <w:r>
        <w:rPr>
          <w:rFonts w:hint="default" w:ascii="宋体" w:hAnsi="宋体" w:eastAsia="宋体" w:cs="Times New Roman"/>
          <w:sz w:val="24"/>
          <w:szCs w:val="24"/>
          <w:lang w:val="en-US" w:eastAsia="zh-CN"/>
        </w:rPr>
        <w:t>。</w:t>
      </w:r>
    </w:p>
    <w:p>
      <w:pPr>
        <w:spacing w:line="360" w:lineRule="auto"/>
        <w:ind w:left="0" w:leftChars="0" w:firstLine="480" w:firstLineChars="200"/>
        <w:rPr>
          <w:rFonts w:hint="default" w:ascii="宋体" w:hAnsi="宋体" w:eastAsia="宋体" w:cs="Times New Roman"/>
          <w:sz w:val="24"/>
          <w:szCs w:val="24"/>
          <w:lang w:eastAsia="zh-CN"/>
        </w:rPr>
      </w:pPr>
      <w:r>
        <w:rPr>
          <w:rFonts w:hint="default" w:ascii="宋体" w:hAnsi="宋体" w:eastAsia="宋体" w:cs="Times New Roman"/>
          <w:sz w:val="24"/>
          <w:szCs w:val="24"/>
        </w:rPr>
        <w:t>18、电器装置CPU选用SMART-200，增加无线交换机，预留3个网口以上，预留各15%的输入输出点、</w:t>
      </w:r>
      <w:r>
        <w:rPr>
          <w:rFonts w:ascii="宋体" w:hAnsi="宋体" w:eastAsia="宋体" w:cs="Times New Roman"/>
          <w:sz w:val="24"/>
          <w:szCs w:val="24"/>
        </w:rPr>
        <w:t>控制柜要有</w:t>
      </w:r>
      <w:r>
        <w:rPr>
          <w:rFonts w:hint="default" w:ascii="宋体" w:hAnsi="宋体" w:eastAsia="宋体" w:cs="Times New Roman"/>
          <w:sz w:val="24"/>
          <w:szCs w:val="24"/>
        </w:rPr>
        <w:t>不小2</w:t>
      </w:r>
      <w:r>
        <w:rPr>
          <w:rFonts w:ascii="宋体" w:hAnsi="宋体" w:eastAsia="宋体" w:cs="Times New Roman"/>
          <w:sz w:val="24"/>
          <w:szCs w:val="24"/>
        </w:rPr>
        <w:t>0%空余空间</w:t>
      </w:r>
      <w:r>
        <w:rPr>
          <w:rFonts w:hint="default" w:ascii="宋体" w:hAnsi="宋体" w:eastAsia="宋体" w:cs="Times New Roman"/>
          <w:sz w:val="24"/>
          <w:szCs w:val="24"/>
        </w:rPr>
        <w:t>，电气元件选用施耐德、西门子等国际知名品牌</w:t>
      </w:r>
      <w:r>
        <w:rPr>
          <w:rFonts w:hint="default" w:ascii="宋体" w:hAnsi="宋体" w:eastAsia="宋体" w:cs="Times New Roman"/>
          <w:sz w:val="24"/>
          <w:szCs w:val="24"/>
          <w:lang w:eastAsia="zh-CN"/>
        </w:rPr>
        <w:t>。</w:t>
      </w:r>
    </w:p>
    <w:p>
      <w:pPr>
        <w:spacing w:line="360" w:lineRule="auto"/>
        <w:ind w:left="0" w:firstLine="480" w:firstLineChars="200"/>
        <w:rPr>
          <w:rFonts w:ascii="宋体" w:hAnsi="宋体" w:eastAsia="宋体" w:cs="Times New Roman"/>
          <w:sz w:val="24"/>
          <w:szCs w:val="24"/>
        </w:rPr>
      </w:pPr>
      <w:r>
        <w:rPr>
          <w:rFonts w:hint="default" w:ascii="宋体" w:hAnsi="宋体" w:eastAsia="宋体" w:cs="Times New Roman"/>
          <w:sz w:val="24"/>
          <w:szCs w:val="24"/>
        </w:rPr>
        <w:t>19、降噪措施：设备周边需增加隔音房</w:t>
      </w:r>
      <w:r>
        <w:rPr>
          <w:rFonts w:hint="eastAsia" w:ascii="宋体" w:hAnsi="宋体" w:eastAsia="宋体" w:cs="Times New Roman"/>
          <w:sz w:val="24"/>
          <w:szCs w:val="24"/>
          <w:lang w:val="en-US" w:eastAsia="zh-CN"/>
        </w:rPr>
        <w:t>（采用厚度≥120mm、外皮≥1.5mm隔音板制作，面积约250m</w:t>
      </w:r>
      <w:r>
        <w:rPr>
          <w:rFonts w:hint="eastAsia" w:ascii="宋体" w:hAnsi="宋体" w:eastAsia="宋体" w:cs="Times New Roman"/>
          <w:sz w:val="24"/>
          <w:szCs w:val="24"/>
          <w:vertAlign w:val="superscript"/>
          <w:lang w:val="en-US" w:eastAsia="zh-CN"/>
        </w:rPr>
        <w:t>2</w:t>
      </w:r>
      <w:r>
        <w:rPr>
          <w:rFonts w:hint="eastAsia" w:ascii="宋体" w:hAnsi="宋体" w:eastAsia="宋体" w:cs="Times New Roman"/>
          <w:sz w:val="24"/>
          <w:szCs w:val="24"/>
          <w:lang w:val="en-US" w:eastAsia="zh-CN"/>
        </w:rPr>
        <w:t>）</w:t>
      </w:r>
      <w:r>
        <w:rPr>
          <w:rFonts w:hint="default" w:ascii="宋体" w:hAnsi="宋体" w:eastAsia="宋体" w:cs="Times New Roman"/>
          <w:sz w:val="24"/>
          <w:szCs w:val="24"/>
        </w:rPr>
        <w:t>，</w:t>
      </w:r>
      <w:r>
        <w:rPr>
          <w:rFonts w:hint="eastAsia" w:ascii="宋体" w:hAnsi="宋体" w:eastAsia="宋体" w:cs="Times New Roman"/>
          <w:sz w:val="24"/>
          <w:szCs w:val="24"/>
          <w:lang w:eastAsia="zh-CN"/>
        </w:rPr>
        <w:t>隔音房南侧靠近车间墙面，</w:t>
      </w:r>
      <w:r>
        <w:rPr>
          <w:rFonts w:hint="default" w:ascii="宋体" w:hAnsi="宋体" w:eastAsia="宋体" w:cs="Times New Roman"/>
          <w:sz w:val="24"/>
          <w:szCs w:val="24"/>
        </w:rPr>
        <w:t>确保噪声符合国家要求，且方便设备维修。</w:t>
      </w:r>
    </w:p>
    <w:p>
      <w:pPr>
        <w:spacing w:line="360" w:lineRule="auto"/>
        <w:ind w:left="0" w:leftChars="0" w:firstLine="480" w:firstLineChars="200"/>
        <w:rPr>
          <w:rFonts w:hint="default" w:ascii="宋体" w:hAnsi="宋体" w:eastAsia="宋体" w:cs="Times New Roman"/>
          <w:sz w:val="24"/>
          <w:szCs w:val="24"/>
          <w:lang w:val="en-US" w:eastAsia="zh-CN"/>
        </w:rPr>
      </w:pPr>
      <w:r>
        <w:rPr>
          <w:rFonts w:hint="default" w:ascii="宋体" w:hAnsi="宋体" w:eastAsia="宋体" w:cs="Times New Roman"/>
          <w:sz w:val="24"/>
          <w:szCs w:val="24"/>
        </w:rPr>
        <w:t>20、除尘系统风量大于24000m³/h，变频可调，变频器选用国际知名品牌，设备实际运行风量不低于22000m³/h ，压差仪脉冲控制，排放标准符合国家要求（</w:t>
      </w:r>
      <w:r>
        <w:rPr>
          <w:rFonts w:ascii="宋体" w:hAnsi="宋体" w:eastAsia="宋体" w:cs="Times New Roman"/>
          <w:bCs w:val="0"/>
          <w:sz w:val="24"/>
          <w:szCs w:val="24"/>
        </w:rPr>
        <w:t>排放要求：颗粒物≤10mg/m</w:t>
      </w:r>
      <w:r>
        <w:rPr>
          <w:rFonts w:ascii="宋体" w:hAnsi="宋体" w:eastAsia="宋体" w:cs="Times New Roman"/>
          <w:bCs w:val="0"/>
          <w:sz w:val="24"/>
          <w:szCs w:val="24"/>
          <w:vertAlign w:val="superscript"/>
        </w:rPr>
        <w:t>3</w:t>
      </w:r>
      <w:r>
        <w:rPr>
          <w:rFonts w:hint="default" w:ascii="宋体" w:hAnsi="宋体" w:eastAsia="宋体" w:cs="Times New Roman"/>
          <w:sz w:val="24"/>
          <w:szCs w:val="24"/>
        </w:rPr>
        <w:t>），</w:t>
      </w:r>
      <w:r>
        <w:rPr>
          <w:rFonts w:hint="eastAsia" w:ascii="宋体" w:hAnsi="宋体" w:eastAsia="宋体" w:cs="Times New Roman"/>
          <w:sz w:val="24"/>
          <w:szCs w:val="24"/>
          <w:lang w:eastAsia="zh-CN"/>
        </w:rPr>
        <w:t>风机配备隔音房，</w:t>
      </w:r>
      <w:r>
        <w:rPr>
          <w:rFonts w:hint="default" w:ascii="宋体" w:hAnsi="宋体" w:eastAsia="宋体" w:cs="Times New Roman"/>
          <w:sz w:val="24"/>
          <w:szCs w:val="24"/>
        </w:rPr>
        <w:t>下灰口需密闭处理，且方便叉车转运除尘灰，管道安装合理，不妨碍行车运行，排风管道需要延伸到车间外部</w:t>
      </w:r>
      <w:r>
        <w:rPr>
          <w:rFonts w:hint="eastAsia" w:ascii="宋体" w:hAnsi="宋体" w:eastAsia="宋体" w:cs="Times New Roman"/>
          <w:sz w:val="24"/>
          <w:szCs w:val="24"/>
          <w:lang w:eastAsia="zh-CN"/>
        </w:rPr>
        <w:t>（车间顶部或北侧，开洞处做好防水）</w:t>
      </w:r>
      <w:r>
        <w:rPr>
          <w:rFonts w:hint="default" w:ascii="宋体" w:hAnsi="宋体" w:eastAsia="宋体" w:cs="Times New Roman"/>
          <w:sz w:val="24"/>
          <w:szCs w:val="24"/>
        </w:rPr>
        <w:t>，且高于车间5m，除尘配电柜需配空调。上料口处需增加合理的集尘罩，确保粉尘无外溢，设计合适的风速、风压，降低膨胀箱及管道的磨损情况。</w:t>
      </w:r>
      <w:r>
        <w:rPr>
          <w:rFonts w:hint="eastAsia" w:ascii="宋体" w:hAnsi="宋体" w:eastAsia="宋体" w:cs="Times New Roman"/>
          <w:sz w:val="24"/>
          <w:szCs w:val="24"/>
          <w:lang w:eastAsia="zh-CN"/>
        </w:rPr>
        <w:t>除尘器风机选用上海通用</w:t>
      </w:r>
      <w:r>
        <w:rPr>
          <w:rFonts w:hint="eastAsia" w:ascii="宋体" w:hAnsi="宋体" w:eastAsia="宋体" w:cs="Times New Roman"/>
          <w:sz w:val="24"/>
          <w:szCs w:val="24"/>
          <w:lang w:val="en-US" w:eastAsia="zh-CN"/>
        </w:rPr>
        <w:t>/上海德惠品牌，电机选用西门子、ABB等知名品牌。</w:t>
      </w:r>
    </w:p>
    <w:p>
      <w:pPr>
        <w:spacing w:line="360" w:lineRule="auto"/>
        <w:ind w:left="0" w:leftChars="0" w:firstLine="480" w:firstLineChars="200"/>
        <w:rPr>
          <w:rFonts w:ascii="宋体" w:hAnsi="宋体" w:eastAsia="宋体" w:cs="Times New Roman"/>
          <w:sz w:val="24"/>
          <w:szCs w:val="24"/>
        </w:rPr>
      </w:pPr>
      <w:r>
        <w:rPr>
          <w:rFonts w:hint="default" w:ascii="宋体" w:hAnsi="宋体" w:eastAsia="宋体" w:cs="Times New Roman"/>
          <w:sz w:val="24"/>
          <w:szCs w:val="24"/>
        </w:rPr>
        <w:t>21、根据加料装置设计并制作40个上料斗，</w:t>
      </w:r>
      <w:r>
        <w:rPr>
          <w:rFonts w:hint="default" w:ascii="宋体" w:hAnsi="宋体" w:eastAsia="宋体" w:cs="Times New Roman"/>
          <w:sz w:val="24"/>
          <w:szCs w:val="24"/>
          <w:lang w:val="en-US" w:eastAsia="zh-CN"/>
        </w:rPr>
        <w:t>方便料斗叠放、叉车转运及行车吊装，</w:t>
      </w:r>
      <w:r>
        <w:rPr>
          <w:rFonts w:hint="default" w:ascii="宋体" w:hAnsi="宋体" w:eastAsia="宋体" w:cs="Times New Roman"/>
          <w:sz w:val="24"/>
          <w:szCs w:val="24"/>
        </w:rPr>
        <w:t>料斗厚度大于</w:t>
      </w:r>
      <w:r>
        <w:rPr>
          <w:rFonts w:hint="default" w:ascii="宋体" w:hAnsi="宋体" w:eastAsia="宋体" w:cs="Times New Roman"/>
          <w:sz w:val="24"/>
          <w:szCs w:val="24"/>
          <w:lang w:val="en-US" w:eastAsia="zh-CN"/>
        </w:rPr>
        <w:t>等于</w:t>
      </w:r>
      <w:r>
        <w:rPr>
          <w:rFonts w:hint="default" w:ascii="宋体" w:hAnsi="宋体" w:eastAsia="宋体" w:cs="Times New Roman"/>
          <w:sz w:val="24"/>
          <w:szCs w:val="24"/>
        </w:rPr>
        <w:t>10mm，下侧方管支撑，上次</w:t>
      </w:r>
      <w:r>
        <w:rPr>
          <w:rFonts w:hint="eastAsia" w:ascii="宋体" w:hAnsi="宋体" w:eastAsia="宋体" w:cs="Times New Roman"/>
          <w:sz w:val="24"/>
          <w:szCs w:val="24"/>
          <w:lang w:eastAsia="zh-CN"/>
        </w:rPr>
        <w:t>焊接</w:t>
      </w:r>
      <w:r>
        <w:rPr>
          <w:rFonts w:hint="default" w:ascii="宋体" w:hAnsi="宋体" w:eastAsia="宋体" w:cs="Times New Roman"/>
          <w:sz w:val="24"/>
          <w:szCs w:val="24"/>
        </w:rPr>
        <w:t>4个锻打吊钩，侧面底面配加强筋，确保料斗一年内不出现明显变形。</w:t>
      </w:r>
    </w:p>
    <w:p>
      <w:pPr>
        <w:spacing w:line="360" w:lineRule="auto"/>
        <w:ind w:left="0" w:leftChars="0" w:firstLine="480" w:firstLineChars="200"/>
        <w:rPr>
          <w:rFonts w:hint="default" w:ascii="宋体" w:hAnsi="宋体" w:eastAsia="宋体" w:cs="Times New Roman"/>
          <w:sz w:val="24"/>
          <w:szCs w:val="24"/>
        </w:rPr>
      </w:pPr>
      <w:r>
        <w:rPr>
          <w:rFonts w:hint="default" w:ascii="宋体" w:hAnsi="宋体" w:eastAsia="宋体" w:cs="Times New Roman"/>
          <w:sz w:val="24"/>
          <w:szCs w:val="24"/>
        </w:rPr>
        <w:t>22、电控柜</w:t>
      </w:r>
      <w:r>
        <w:rPr>
          <w:rFonts w:ascii="宋体" w:hAnsi="宋体" w:eastAsia="宋体" w:cs="Times New Roman"/>
          <w:sz w:val="24"/>
          <w:szCs w:val="24"/>
        </w:rPr>
        <w:t>柜体表面漆膜应平整光滑、肉眼看不到皱痕、气泡等</w:t>
      </w:r>
      <w:r>
        <w:rPr>
          <w:rFonts w:hint="default" w:ascii="宋体" w:hAnsi="宋体" w:eastAsia="宋体" w:cs="Times New Roman"/>
          <w:sz w:val="24"/>
          <w:szCs w:val="24"/>
        </w:rPr>
        <w:t>，</w:t>
      </w:r>
      <w:r>
        <w:rPr>
          <w:rFonts w:ascii="宋体" w:hAnsi="宋体" w:eastAsia="宋体" w:cs="Times New Roman"/>
          <w:sz w:val="24"/>
          <w:szCs w:val="24"/>
        </w:rPr>
        <w:t>电气柜的门应有足够的刚度，在全</w:t>
      </w:r>
      <w:r>
        <w:rPr>
          <w:rFonts w:hint="default" w:ascii="宋体" w:hAnsi="宋体" w:eastAsia="宋体" w:cs="Times New Roman"/>
          <w:sz w:val="24"/>
          <w:szCs w:val="24"/>
        </w:rPr>
        <w:t>开启</w:t>
      </w:r>
      <w:r>
        <w:rPr>
          <w:rFonts w:ascii="宋体" w:hAnsi="宋体" w:eastAsia="宋体" w:cs="Times New Roman"/>
          <w:sz w:val="24"/>
          <w:szCs w:val="24"/>
        </w:rPr>
        <w:t>及转动时，无变形或下垂。门应开关灵活，开启角应大于90</w:t>
      </w:r>
      <w:r>
        <w:rPr>
          <w:rFonts w:hint="default" w:ascii="宋体" w:hAnsi="宋体" w:eastAsia="宋体" w:cs="Times New Roman"/>
          <w:sz w:val="24"/>
          <w:szCs w:val="24"/>
        </w:rPr>
        <w:t>度，</w:t>
      </w:r>
      <w:r>
        <w:rPr>
          <w:rFonts w:ascii="宋体" w:hAnsi="宋体" w:eastAsia="宋体" w:cs="Times New Roman"/>
          <w:sz w:val="24"/>
          <w:szCs w:val="24"/>
        </w:rPr>
        <w:t>门与框之间不能有摩擦及损坏涂层的现象</w:t>
      </w:r>
      <w:r>
        <w:rPr>
          <w:rFonts w:hint="default" w:ascii="宋体" w:hAnsi="宋体" w:eastAsia="宋体" w:cs="Times New Roman"/>
          <w:sz w:val="24"/>
          <w:szCs w:val="24"/>
        </w:rPr>
        <w:t>。</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23、</w:t>
      </w:r>
      <w:r>
        <w:rPr>
          <w:rFonts w:ascii="宋体" w:hAnsi="宋体" w:eastAsia="宋体" w:cs="Times New Roman"/>
          <w:sz w:val="24"/>
          <w:szCs w:val="24"/>
        </w:rPr>
        <w:t>电器元件型号、规格、数量、品牌等与图纸相符</w:t>
      </w:r>
      <w:r>
        <w:rPr>
          <w:rFonts w:hint="default" w:ascii="宋体" w:hAnsi="宋体" w:eastAsia="宋体" w:cs="Times New Roman"/>
          <w:sz w:val="24"/>
          <w:szCs w:val="24"/>
        </w:rPr>
        <w:t>，</w:t>
      </w:r>
      <w:r>
        <w:rPr>
          <w:rFonts w:ascii="宋体" w:hAnsi="宋体" w:eastAsia="宋体" w:cs="Times New Roman"/>
          <w:sz w:val="24"/>
          <w:szCs w:val="24"/>
        </w:rPr>
        <w:t>所有元器件组装应排列整齐，安装牢固，所有标记牌的字迹应完整、清晰，且不易脱色粘贴牢固，电器元件应能单独拆装更换，而不影响其它电器及导线束的固定</w:t>
      </w:r>
      <w:r>
        <w:rPr>
          <w:rFonts w:hint="default" w:ascii="宋体" w:hAnsi="宋体" w:eastAsia="宋体" w:cs="Times New Roman"/>
          <w:sz w:val="24"/>
          <w:szCs w:val="24"/>
        </w:rPr>
        <w:t>。</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24、</w:t>
      </w:r>
      <w:r>
        <w:rPr>
          <w:rFonts w:ascii="宋体" w:hAnsi="宋体" w:eastAsia="宋体" w:cs="Times New Roman"/>
          <w:sz w:val="24"/>
          <w:szCs w:val="24"/>
        </w:rPr>
        <w:t>接线端子应无损坏，绝缘良好，固定牢固</w:t>
      </w:r>
      <w:r>
        <w:rPr>
          <w:rFonts w:hint="default" w:ascii="宋体" w:hAnsi="宋体" w:eastAsia="宋体" w:cs="Times New Roman"/>
          <w:sz w:val="24"/>
          <w:szCs w:val="24"/>
        </w:rPr>
        <w:t>，</w:t>
      </w:r>
      <w:r>
        <w:rPr>
          <w:rFonts w:ascii="宋体" w:hAnsi="宋体" w:eastAsia="宋体" w:cs="Times New Roman"/>
          <w:sz w:val="24"/>
          <w:szCs w:val="24"/>
        </w:rPr>
        <w:t>强、弱电端子应分开布置</w:t>
      </w:r>
      <w:r>
        <w:rPr>
          <w:rFonts w:hint="default" w:ascii="宋体" w:hAnsi="宋体" w:eastAsia="宋体" w:cs="Times New Roman"/>
          <w:sz w:val="24"/>
          <w:szCs w:val="24"/>
        </w:rPr>
        <w:t>。</w:t>
      </w:r>
      <w:r>
        <w:rPr>
          <w:rFonts w:ascii="宋体" w:hAnsi="宋体" w:eastAsia="宋体" w:cs="Times New Roman"/>
          <w:sz w:val="24"/>
          <w:szCs w:val="24"/>
        </w:rPr>
        <w:t>电气柜应按接线图进行布线</w:t>
      </w:r>
      <w:r>
        <w:rPr>
          <w:rFonts w:hint="default" w:ascii="宋体" w:hAnsi="宋体" w:eastAsia="宋体" w:cs="Times New Roman"/>
          <w:sz w:val="24"/>
          <w:szCs w:val="24"/>
        </w:rPr>
        <w:t>，</w:t>
      </w:r>
      <w:r>
        <w:rPr>
          <w:rFonts w:ascii="宋体" w:hAnsi="宋体" w:eastAsia="宋体" w:cs="Times New Roman"/>
          <w:sz w:val="24"/>
          <w:szCs w:val="24"/>
        </w:rPr>
        <w:t>多股导线应加接线端子，压接牢固</w:t>
      </w:r>
      <w:r>
        <w:rPr>
          <w:rFonts w:hint="default" w:ascii="宋体" w:hAnsi="宋体" w:eastAsia="宋体" w:cs="Times New Roman"/>
          <w:sz w:val="24"/>
          <w:szCs w:val="24"/>
        </w:rPr>
        <w:t>，</w:t>
      </w:r>
      <w:r>
        <w:rPr>
          <w:rFonts w:ascii="宋体" w:hAnsi="宋体" w:eastAsia="宋体" w:cs="Times New Roman"/>
          <w:sz w:val="24"/>
          <w:szCs w:val="24"/>
        </w:rPr>
        <w:t>接线两端应有编号套管，套管上字母朝向应一致</w:t>
      </w:r>
      <w:r>
        <w:rPr>
          <w:rFonts w:hint="default" w:ascii="宋体" w:hAnsi="宋体" w:eastAsia="宋体" w:cs="Times New Roman"/>
          <w:sz w:val="24"/>
          <w:szCs w:val="24"/>
        </w:rPr>
        <w:t>，</w:t>
      </w:r>
      <w:r>
        <w:rPr>
          <w:rFonts w:ascii="宋体" w:hAnsi="宋体" w:eastAsia="宋体" w:cs="Times New Roman"/>
          <w:sz w:val="24"/>
          <w:szCs w:val="24"/>
        </w:rPr>
        <w:t>布线应按水平或垂直方向敷设，在不宜使用汇线槽的地方，可采用绝缘支架固定。两个接线端之间的导线不得有中间接头</w:t>
      </w:r>
      <w:r>
        <w:rPr>
          <w:rFonts w:hint="default" w:ascii="宋体" w:hAnsi="宋体" w:eastAsia="宋体" w:cs="Times New Roman"/>
          <w:sz w:val="24"/>
          <w:szCs w:val="24"/>
        </w:rPr>
        <w:t>。</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25、</w:t>
      </w:r>
      <w:r>
        <w:rPr>
          <w:rFonts w:ascii="宋体" w:hAnsi="宋体" w:eastAsia="宋体" w:cs="Times New Roman"/>
          <w:sz w:val="24"/>
          <w:szCs w:val="24"/>
        </w:rPr>
        <w:t>直流正极采用棕色线，负极采用蓝色线</w:t>
      </w:r>
      <w:r>
        <w:rPr>
          <w:rFonts w:hint="default" w:ascii="宋体" w:hAnsi="宋体" w:eastAsia="宋体" w:cs="Times New Roman"/>
          <w:sz w:val="24"/>
          <w:szCs w:val="24"/>
        </w:rPr>
        <w:t>，接地</w:t>
      </w:r>
      <w:r>
        <w:rPr>
          <w:rFonts w:ascii="宋体" w:hAnsi="宋体" w:eastAsia="宋体" w:cs="Times New Roman"/>
          <w:sz w:val="24"/>
          <w:szCs w:val="24"/>
        </w:rPr>
        <w:t>线PE采用黄绿相间线。</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26、电器元件</w:t>
      </w:r>
      <w:r>
        <w:rPr>
          <w:rFonts w:ascii="宋体" w:hAnsi="宋体" w:eastAsia="宋体" w:cs="Times New Roman"/>
          <w:sz w:val="24"/>
          <w:szCs w:val="24"/>
        </w:rPr>
        <w:t>的每一个接点不得超出2根接线端子。接线端子应与导线截面积匹配，不允许小端子配大截面导线。导线在穿越金属板孔时，应在金属板孔上套上大小适宜的保护套，保护导线绝缘层不磨损</w:t>
      </w:r>
      <w:r>
        <w:rPr>
          <w:rFonts w:hint="default" w:ascii="宋体" w:hAnsi="宋体" w:eastAsia="宋体" w:cs="Times New Roman"/>
          <w:sz w:val="24"/>
          <w:szCs w:val="24"/>
        </w:rPr>
        <w:t>。</w:t>
      </w:r>
      <w:r>
        <w:rPr>
          <w:rFonts w:ascii="宋体" w:hAnsi="宋体" w:eastAsia="宋体" w:cs="Times New Roman"/>
          <w:sz w:val="24"/>
          <w:szCs w:val="24"/>
        </w:rPr>
        <w:t>柜体与柜门之间的走线，必须加护套导线在线槽内容量不宜超过线槽的2/3</w:t>
      </w:r>
      <w:r>
        <w:rPr>
          <w:rFonts w:hint="default" w:ascii="宋体" w:hAnsi="宋体" w:eastAsia="宋体" w:cs="Times New Roman"/>
          <w:sz w:val="24"/>
          <w:szCs w:val="24"/>
        </w:rPr>
        <w:t>。</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27、控制柜到设备之间弱电部分不可与强电同槽布线，变频电机电缆应采用屏蔽电缆。控制柜防尘等级IP65，具备双层封闭，控制柜配备空调。</w:t>
      </w:r>
    </w:p>
    <w:p>
      <w:pPr>
        <w:spacing w:line="360" w:lineRule="auto"/>
        <w:ind w:left="0" w:firstLine="480" w:firstLineChars="200"/>
        <w:rPr>
          <w:rFonts w:hint="default" w:ascii="宋体" w:hAnsi="宋体" w:eastAsia="宋体" w:cs="Times New Roman"/>
          <w:sz w:val="24"/>
          <w:szCs w:val="24"/>
        </w:rPr>
      </w:pPr>
      <w:r>
        <w:rPr>
          <w:rFonts w:hint="default" w:ascii="宋体" w:hAnsi="宋体" w:eastAsia="宋体" w:cs="Times New Roman"/>
          <w:sz w:val="24"/>
          <w:szCs w:val="24"/>
        </w:rPr>
        <w:t>28、柜内应设置3孔、2孔220V插座各1处,具备照明检修灯具。</w:t>
      </w:r>
    </w:p>
    <w:p>
      <w:pPr>
        <w:spacing w:line="360" w:lineRule="auto"/>
        <w:ind w:firstLine="480" w:firstLineChars="200"/>
        <w:rPr>
          <w:rFonts w:hint="default" w:ascii="宋体" w:hAnsi="宋体" w:eastAsia="宋体" w:cs="Times New Roman"/>
          <w:sz w:val="24"/>
          <w:szCs w:val="24"/>
        </w:rPr>
      </w:pPr>
      <w:r>
        <w:rPr>
          <w:rFonts w:hint="default" w:ascii="宋体" w:hAnsi="宋体" w:eastAsia="宋体" w:cs="Times New Roman"/>
          <w:sz w:val="24"/>
          <w:szCs w:val="24"/>
        </w:rPr>
        <w:t>29、数据接口支持PN Coupler、 PLC与PLC TCP/IP、I/O输入输出信号等信号交互方式，每台联网设备PLC需要配备2块ProFiNet网卡。支持IBM MQ、 RabbitMQ、 ActiveMQ、 Web Service、 TCP/IP、 SQL Server数据库表、 FTP等多种MES系统/上位系统对接方式，格式要求包括xml、Json、字符流等。按照招标方系统与PLC间的数据采集标准及信息传递规范要求协助完成接口开发，包括但不限于协助支持完成应用系统对设备状态、报警、故障信号、在制品信息、生产信息、网络通信状态等的采集与对接。</w:t>
      </w:r>
    </w:p>
    <w:p>
      <w:pPr>
        <w:spacing w:line="360" w:lineRule="auto"/>
        <w:ind w:firstLine="480" w:firstLineChars="200"/>
        <w:outlineLvl w:val="9"/>
        <w:rPr>
          <w:rFonts w:hint="default" w:ascii="宋体" w:hAnsi="宋体" w:eastAsia="宋体" w:cs="Times New Roman"/>
          <w:b w:val="0"/>
          <w:bCs w:val="0"/>
          <w:sz w:val="24"/>
          <w:szCs w:val="24"/>
        </w:rPr>
      </w:pPr>
      <w:r>
        <w:rPr>
          <w:rFonts w:hint="default" w:ascii="宋体" w:hAnsi="宋体" w:eastAsia="宋体" w:cs="Times New Roman"/>
          <w:sz w:val="24"/>
          <w:szCs w:val="24"/>
          <w:lang w:val="en-US" w:eastAsia="zh-CN"/>
        </w:rPr>
        <w:t>30、所有机械结构确保质保期内不出现明显磨损。</w:t>
      </w:r>
    </w:p>
    <w:p>
      <w:pPr>
        <w:ind w:firstLine="0"/>
        <w:rPr>
          <w:rFonts w:hint="eastAsia" w:ascii="宋体" w:hAnsi="宋体" w:cs="宋体"/>
          <w:color w:val="auto"/>
        </w:rPr>
      </w:pPr>
      <w:bookmarkStart w:id="39" w:name="_Toc169605881"/>
    </w:p>
    <w:p>
      <w:pPr>
        <w:pStyle w:val="117"/>
        <w:ind w:left="0" w:leftChars="0" w:firstLine="482" w:firstLineChars="200"/>
        <w:outlineLvl w:val="2"/>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826"/>
        <w:gridCol w:w="2978"/>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3826"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标准名称</w:t>
            </w:r>
          </w:p>
        </w:tc>
        <w:tc>
          <w:tcPr>
            <w:tcW w:w="2978"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标准编号</w:t>
            </w:r>
          </w:p>
        </w:tc>
        <w:tc>
          <w:tcPr>
            <w:tcW w:w="958"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机械安全 安全防护的实施准则</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GB/T 30574-2021</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铸造机械安全防护 技术条件</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JB 5545—1991</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5</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铸造机械强制标准</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JB5545--91</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6</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工业企业设计卫生标准</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GBZ1-2010</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7</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工业企业噪声控制设计规范</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GB / T50087-2013</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8</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大气污染物综合排放标准</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GB16297-1996</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9</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抛喷丸设备 通用技术条件</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JB/T 8355—1996</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10</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砂处理、清理设备 涂漆技术条件</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JB/T 5364—1991</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11</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工业机械电气设备 第一部分：通用技术条件</w:t>
            </w:r>
          </w:p>
        </w:tc>
        <w:tc>
          <w:tcPr>
            <w:tcW w:w="2978" w:type="dxa"/>
            <w:noWrap w:val="0"/>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GB/T 5226.1—1996</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12</w:t>
            </w:r>
          </w:p>
        </w:tc>
        <w:tc>
          <w:tcPr>
            <w:tcW w:w="3826" w:type="dxa"/>
            <w:noWrap w:val="0"/>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bidi="ar"/>
              </w:rPr>
              <w:t>《机械制造企业安全生产标准化规范》</w:t>
            </w:r>
          </w:p>
        </w:tc>
        <w:tc>
          <w:tcPr>
            <w:tcW w:w="2978" w:type="dxa"/>
            <w:noWrap w:val="0"/>
            <w:vAlign w:val="center"/>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AQT7009-2013</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826" w:type="dxa"/>
            <w:noWrap w:val="0"/>
            <w:vAlign w:val="center"/>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抛(喷)丸设备 安全要求</w:t>
            </w:r>
          </w:p>
        </w:tc>
        <w:tc>
          <w:tcPr>
            <w:tcW w:w="2978" w:type="dxa"/>
            <w:noWrap w:val="0"/>
            <w:vAlign w:val="center"/>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ab/>
            </w:r>
            <w:r>
              <w:rPr>
                <w:rFonts w:hint="eastAsia" w:ascii="宋体" w:hAnsi="宋体" w:eastAsia="宋体" w:cs="宋体"/>
                <w:sz w:val="21"/>
                <w:szCs w:val="21"/>
                <w:highlight w:val="none"/>
                <w:lang w:bidi="ar"/>
              </w:rPr>
              <w:t>GB 24390-2009</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826" w:type="dxa"/>
            <w:noWrap w:val="0"/>
            <w:vAlign w:val="center"/>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机械安全  设计通则风险评估与风险减小</w:t>
            </w:r>
          </w:p>
        </w:tc>
        <w:tc>
          <w:tcPr>
            <w:tcW w:w="2978" w:type="dxa"/>
            <w:noWrap w:val="0"/>
            <w:vAlign w:val="center"/>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GB/T 15706</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826" w:type="dxa"/>
            <w:noWrap w:val="0"/>
            <w:vAlign w:val="center"/>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机械安全防止意外启动</w:t>
            </w:r>
          </w:p>
        </w:tc>
        <w:tc>
          <w:tcPr>
            <w:tcW w:w="2978" w:type="dxa"/>
            <w:noWrap w:val="0"/>
            <w:vAlign w:val="center"/>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GB/T 19670-2005</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826" w:type="dxa"/>
            <w:noWrap w:val="0"/>
            <w:vAlign w:val="center"/>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机械安全防止上下肢触及危险区的安全距离</w:t>
            </w:r>
          </w:p>
        </w:tc>
        <w:tc>
          <w:tcPr>
            <w:tcW w:w="2978" w:type="dxa"/>
            <w:noWrap w:val="0"/>
            <w:vAlign w:val="center"/>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GB23821-2022</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826" w:type="dxa"/>
            <w:noWrap w:val="0"/>
            <w:vAlign w:val="top"/>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固定式钢梯及平台安全要求 第1部分：钢直梯</w:t>
            </w:r>
          </w:p>
        </w:tc>
        <w:tc>
          <w:tcPr>
            <w:tcW w:w="2978" w:type="dxa"/>
            <w:noWrap w:val="0"/>
            <w:vAlign w:val="top"/>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 4053.1-2009</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826" w:type="dxa"/>
            <w:noWrap w:val="0"/>
            <w:vAlign w:val="top"/>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固定式钢梯及平台安全要求 第2部分：钢斜梯</w:t>
            </w:r>
          </w:p>
        </w:tc>
        <w:tc>
          <w:tcPr>
            <w:tcW w:w="2978" w:type="dxa"/>
            <w:noWrap w:val="0"/>
            <w:vAlign w:val="top"/>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 4053.2-2009</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826" w:type="dxa"/>
            <w:noWrap w:val="0"/>
            <w:vAlign w:val="top"/>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固定式钢梯及平台安全要求 第3部分：工业防护栏杆及钢平台</w:t>
            </w:r>
          </w:p>
        </w:tc>
        <w:tc>
          <w:tcPr>
            <w:tcW w:w="2978" w:type="dxa"/>
            <w:noWrap w:val="0"/>
            <w:vAlign w:val="top"/>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 4053.3-2009</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826" w:type="dxa"/>
            <w:noWrap w:val="0"/>
            <w:vAlign w:val="top"/>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机械电气安全机械电气设备第1部分：通用技术条件</w:t>
            </w:r>
          </w:p>
        </w:tc>
        <w:tc>
          <w:tcPr>
            <w:tcW w:w="2978" w:type="dxa"/>
            <w:noWrap w:val="0"/>
            <w:vAlign w:val="top"/>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 5226.1-2019</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826" w:type="dxa"/>
            <w:noWrap w:val="0"/>
            <w:vAlign w:val="top"/>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液压系统通用技术条件</w:t>
            </w:r>
          </w:p>
        </w:tc>
        <w:tc>
          <w:tcPr>
            <w:tcW w:w="2978" w:type="dxa"/>
            <w:noWrap w:val="0"/>
            <w:vAlign w:val="top"/>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GB/T 3766-2015/ISO 4413</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826" w:type="dxa"/>
            <w:noWrap w:val="0"/>
            <w:vAlign w:val="top"/>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气动 对系统及其元件的一般规则和安全要求</w:t>
            </w:r>
          </w:p>
        </w:tc>
        <w:tc>
          <w:tcPr>
            <w:tcW w:w="2978" w:type="dxa"/>
            <w:noWrap w:val="0"/>
            <w:vAlign w:val="top"/>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GB/T 7932-2017</w:t>
            </w:r>
          </w:p>
        </w:tc>
        <w:tc>
          <w:tcPr>
            <w:tcW w:w="958" w:type="dxa"/>
            <w:noWrap w:val="0"/>
            <w:vAlign w:val="top"/>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3826" w:type="dxa"/>
            <w:noWrap w:val="0"/>
            <w:vAlign w:val="top"/>
          </w:tcPr>
          <w:p>
            <w:pPr>
              <w:spacing w:line="360" w:lineRule="exact"/>
              <w:jc w:val="left"/>
              <w:rPr>
                <w:rFonts w:hint="eastAsia" w:ascii="宋体" w:hAnsi="宋体" w:eastAsia="宋体" w:cs="宋体"/>
                <w:sz w:val="21"/>
                <w:szCs w:val="21"/>
                <w:lang w:bidi="ar"/>
              </w:rPr>
            </w:pPr>
            <w:r>
              <w:rPr>
                <w:rFonts w:hint="eastAsia" w:ascii="宋体" w:hAnsi="宋体" w:eastAsia="宋体" w:cs="宋体"/>
                <w:sz w:val="21"/>
                <w:szCs w:val="21"/>
                <w:lang w:bidi="ar"/>
              </w:rPr>
              <w:t>固定污染源废气监测点位设置技术规范</w:t>
            </w:r>
          </w:p>
        </w:tc>
        <w:tc>
          <w:tcPr>
            <w:tcW w:w="2978" w:type="dxa"/>
            <w:noWrap w:val="0"/>
            <w:vAlign w:val="top"/>
          </w:tcPr>
          <w:p>
            <w:pPr>
              <w:spacing w:line="360" w:lineRule="exact"/>
              <w:jc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DB34T3535-2019</w:t>
            </w:r>
          </w:p>
        </w:tc>
        <w:tc>
          <w:tcPr>
            <w:tcW w:w="958" w:type="dxa"/>
            <w:noWrap w:val="0"/>
            <w:vAlign w:val="top"/>
          </w:tcPr>
          <w:p>
            <w:pPr>
              <w:jc w:val="center"/>
              <w:rPr>
                <w:rFonts w:hint="eastAsia" w:ascii="宋体" w:hAnsi="宋体" w:eastAsia="宋体" w:cs="宋体"/>
                <w:sz w:val="21"/>
                <w:szCs w:val="21"/>
              </w:rPr>
            </w:pPr>
          </w:p>
        </w:tc>
      </w:tr>
    </w:tbl>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hAnsi="宋体"/>
          <w:sz w:val="18"/>
          <w:szCs w:val="18"/>
        </w:rPr>
        <w:t>备注：如果有采用国际标准的货物，其执行标准由投标方提供、招标方确认。</w:t>
      </w:r>
    </w:p>
    <w:p>
      <w:pPr>
        <w:pStyle w:val="17"/>
        <w:rPr>
          <w:lang w:val="en-US" w:eastAsia="zh-CN"/>
        </w:rPr>
      </w:pPr>
    </w:p>
    <w:p>
      <w:pPr>
        <w:pStyle w:val="17"/>
        <w:rPr>
          <w:lang w:val="en-US" w:eastAsia="zh-CN"/>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9"/>
    </w:p>
    <w:p/>
    <w:p>
      <w:pPr>
        <w:keepNext/>
        <w:keepLines/>
        <w:spacing w:line="360" w:lineRule="auto"/>
        <w:jc w:val="center"/>
        <w:outlineLvl w:val="2"/>
        <w:rPr>
          <w:rFonts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tbl>
      <w:tblPr>
        <w:tblStyle w:val="35"/>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219"/>
        <w:gridCol w:w="1063"/>
        <w:gridCol w:w="912"/>
        <w:gridCol w:w="1487"/>
        <w:gridCol w:w="1113"/>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9463" w:type="dxa"/>
            <w:gridSpan w:val="7"/>
            <w:tcBorders>
              <w:top w:val="nil"/>
              <w:left w:val="nil"/>
              <w:bottom w:val="nil"/>
              <w:right w:val="nil"/>
            </w:tcBorders>
            <w:noWrap w:val="0"/>
            <w:vAlign w:val="center"/>
          </w:tcPr>
          <w:p>
            <w:pPr>
              <w:spacing w:line="280" w:lineRule="exact"/>
              <w:ind w:left="0" w:leftChars="0" w:firstLine="482" w:firstLineChars="200"/>
              <w:jc w:val="center"/>
              <w:outlineLvl w:val="3"/>
              <w:rPr>
                <w:rFonts w:hint="eastAsia" w:eastAsia="宋体"/>
                <w:sz w:val="18"/>
                <w:szCs w:val="18"/>
                <w:lang w:val="en-US" w:eastAsia="zh-CN"/>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按照组成项目主要构成一览表的所有最小单元逐一列示，要涵盖培训等内容，所有投标方均应按下述表格格式提报供货范围清单</w:t>
            </w:r>
            <w:r>
              <w:rPr>
                <w:rFonts w:hint="eastAsia" w:ascii="宋体" w:hAnsi="宋体" w:eastAsia="宋体" w:cs="宋体"/>
                <w:b/>
                <w:bCs/>
                <w:sz w:val="24"/>
                <w:szCs w:val="24"/>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spacing w:line="28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219" w:type="dxa"/>
            <w:noWrap w:val="0"/>
            <w:vAlign w:val="center"/>
          </w:tcPr>
          <w:p>
            <w:pPr>
              <w:spacing w:line="28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1063" w:type="dxa"/>
            <w:noWrap w:val="0"/>
            <w:vAlign w:val="center"/>
          </w:tcPr>
          <w:p>
            <w:pPr>
              <w:spacing w:line="28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912" w:type="dxa"/>
            <w:noWrap w:val="0"/>
            <w:vAlign w:val="center"/>
          </w:tcPr>
          <w:p>
            <w:pPr>
              <w:spacing w:line="28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1487" w:type="dxa"/>
            <w:noWrap w:val="0"/>
            <w:vAlign w:val="center"/>
          </w:tcPr>
          <w:p>
            <w:pPr>
              <w:spacing w:line="280" w:lineRule="exact"/>
              <w:jc w:val="center"/>
              <w:textAlignment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规格、型号、材质等参数</w:t>
            </w:r>
          </w:p>
        </w:tc>
        <w:tc>
          <w:tcPr>
            <w:tcW w:w="1113" w:type="dxa"/>
            <w:noWrap w:val="0"/>
            <w:vAlign w:val="center"/>
          </w:tcPr>
          <w:p>
            <w:pPr>
              <w:spacing w:line="280" w:lineRule="exact"/>
              <w:jc w:val="center"/>
              <w:textAlignment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品牌</w:t>
            </w:r>
          </w:p>
        </w:tc>
        <w:tc>
          <w:tcPr>
            <w:tcW w:w="1763" w:type="dxa"/>
            <w:noWrap w:val="0"/>
            <w:vAlign w:val="center"/>
          </w:tcPr>
          <w:p>
            <w:pPr>
              <w:spacing w:line="28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抛丸器</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≥3</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轴承室</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≥3</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3</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CPU(SMART-200)</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含除尘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4</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西门子触摸屏（700）</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个</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含除尘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5</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无线交换机（八口）</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个</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含除尘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6</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斗式提升机</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级</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7</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驱动皮带</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≥3</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8</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sz w:val="21"/>
                <w:szCs w:val="21"/>
                <w:highlight w:val="none"/>
                <w:lang w:eastAsia="zh-CN"/>
              </w:rPr>
              <w:t>翻斗加料装置</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个</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采用卷扬机上料方式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9</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室体</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1487" w:type="dxa"/>
            <w:noWrap w:val="0"/>
            <w:vAlign w:val="center"/>
          </w:tcPr>
          <w:p>
            <w:pPr>
              <w:spacing w:line="280" w:lineRule="exact"/>
              <w:jc w:val="center"/>
              <w:textAlignment w:val="center"/>
              <w:rPr>
                <w:rFonts w:hint="eastAsia" w:ascii="宋体" w:hAnsi="宋体" w:eastAsia="宋体" w:cs="宋体"/>
                <w:sz w:val="21"/>
                <w:szCs w:val="21"/>
                <w:highlight w:val="none"/>
                <w:lang w:eastAsia="zh-CN"/>
              </w:rPr>
            </w:pPr>
          </w:p>
        </w:tc>
        <w:tc>
          <w:tcPr>
            <w:tcW w:w="1113" w:type="dxa"/>
            <w:noWrap w:val="0"/>
            <w:vAlign w:val="center"/>
          </w:tcPr>
          <w:p>
            <w:pPr>
              <w:spacing w:line="280" w:lineRule="exact"/>
              <w:jc w:val="center"/>
              <w:textAlignment w:val="center"/>
              <w:rPr>
                <w:rFonts w:hint="eastAsia" w:ascii="宋体" w:hAnsi="宋体" w:eastAsia="宋体" w:cs="宋体"/>
                <w:sz w:val="21"/>
                <w:szCs w:val="21"/>
                <w:highlight w:val="none"/>
                <w:lang w:eastAsia="zh-CN"/>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sz w:val="21"/>
                <w:szCs w:val="21"/>
                <w:highlight w:val="none"/>
                <w:lang w:eastAsia="zh-CN"/>
              </w:rPr>
              <w:t>全进口高锰钢板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10</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摆床</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1487" w:type="dxa"/>
            <w:noWrap w:val="0"/>
            <w:vAlign w:val="center"/>
          </w:tcPr>
          <w:p>
            <w:pPr>
              <w:spacing w:line="280" w:lineRule="exact"/>
              <w:jc w:val="center"/>
              <w:textAlignment w:val="center"/>
              <w:rPr>
                <w:rFonts w:hint="eastAsia" w:ascii="宋体" w:hAnsi="宋体" w:eastAsia="宋体" w:cs="宋体"/>
                <w:sz w:val="21"/>
                <w:szCs w:val="21"/>
                <w:highlight w:val="none"/>
                <w:lang w:eastAsia="zh-CN"/>
              </w:rPr>
            </w:pPr>
          </w:p>
        </w:tc>
        <w:tc>
          <w:tcPr>
            <w:tcW w:w="1113" w:type="dxa"/>
            <w:noWrap w:val="0"/>
            <w:vAlign w:val="center"/>
          </w:tcPr>
          <w:p>
            <w:pPr>
              <w:spacing w:line="280" w:lineRule="exact"/>
              <w:jc w:val="center"/>
              <w:textAlignment w:val="center"/>
              <w:rPr>
                <w:rFonts w:hint="eastAsia" w:ascii="宋体" w:hAnsi="宋体" w:eastAsia="宋体" w:cs="宋体"/>
                <w:sz w:val="21"/>
                <w:szCs w:val="21"/>
                <w:highlight w:val="none"/>
                <w:lang w:eastAsia="zh-CN"/>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sz w:val="21"/>
                <w:szCs w:val="21"/>
                <w:highlight w:val="none"/>
                <w:lang w:eastAsia="zh-CN"/>
              </w:rPr>
              <w:t>全进口高锰钢板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11</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丸料分离系统</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包括主辅磁选及风选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12</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sz w:val="21"/>
                <w:szCs w:val="21"/>
                <w:highlight w:val="none"/>
              </w:rPr>
              <w:t>振动筛分输送机</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13</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sz w:val="21"/>
                <w:szCs w:val="21"/>
                <w:highlight w:val="none"/>
              </w:rPr>
              <w:t>螺旋给料器</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14</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料框</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个</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40</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按</w:t>
            </w:r>
            <w:r>
              <w:rPr>
                <w:rFonts w:hint="eastAsia" w:ascii="宋体" w:hAnsi="宋体" w:eastAsia="宋体" w:cs="宋体"/>
                <w:sz w:val="21"/>
                <w:szCs w:val="21"/>
                <w:highlight w:val="none"/>
                <w:lang w:eastAsia="zh-CN"/>
              </w:rPr>
              <w:t>翻斗加料装置</w:t>
            </w:r>
            <w:r>
              <w:rPr>
                <w:rFonts w:hint="eastAsia" w:ascii="宋体" w:hAnsi="宋体" w:eastAsia="宋体" w:cs="宋体"/>
                <w:sz w:val="21"/>
                <w:szCs w:val="21"/>
                <w:highlight w:val="none"/>
                <w:lang w:val="en-US" w:eastAsia="zh-CN"/>
              </w:rPr>
              <w:t>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15</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除尘</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16</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隔音房</w:t>
            </w:r>
          </w:p>
        </w:tc>
        <w:tc>
          <w:tcPr>
            <w:tcW w:w="1063" w:type="dxa"/>
            <w:noWrap w:val="0"/>
            <w:vAlign w:val="center"/>
          </w:tcPr>
          <w:p>
            <w:pPr>
              <w:spacing w:line="280" w:lineRule="exact"/>
              <w:jc w:val="center"/>
              <w:textAlignment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设备及除尘风机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17</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配电柜（配空调）</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套</w:t>
            </w: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18</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上位工控机</w:t>
            </w:r>
          </w:p>
        </w:tc>
        <w:tc>
          <w:tcPr>
            <w:tcW w:w="1063" w:type="dxa"/>
            <w:noWrap w:val="0"/>
            <w:vAlign w:val="center"/>
          </w:tcPr>
          <w:p>
            <w:pPr>
              <w:spacing w:line="280" w:lineRule="exact"/>
              <w:jc w:val="center"/>
              <w:textAlignment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台</w:t>
            </w:r>
          </w:p>
        </w:tc>
        <w:tc>
          <w:tcPr>
            <w:tcW w:w="912" w:type="dxa"/>
            <w:noWrap w:val="0"/>
            <w:vAlign w:val="center"/>
          </w:tcPr>
          <w:p>
            <w:pPr>
              <w:spacing w:line="280" w:lineRule="exact"/>
              <w:jc w:val="center"/>
              <w:textAlignment w:val="center"/>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可以安装并流畅运行西门子博图及wincc各版本软件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vAlign w:val="center"/>
          </w:tcPr>
          <w:p>
            <w:pPr>
              <w:pStyle w:val="124"/>
              <w:spacing w:before="78" w:after="78" w:line="280" w:lineRule="exact"/>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19</w:t>
            </w:r>
          </w:p>
        </w:tc>
        <w:tc>
          <w:tcPr>
            <w:tcW w:w="2219" w:type="dxa"/>
            <w:noWrap w:val="0"/>
            <w:vAlign w:val="center"/>
          </w:tcPr>
          <w:p>
            <w:pPr>
              <w:pStyle w:val="124"/>
              <w:spacing w:before="78" w:after="78" w:line="280" w:lineRule="exact"/>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kern w:val="2"/>
                <w:sz w:val="21"/>
                <w:szCs w:val="21"/>
                <w:highlight w:val="none"/>
              </w:rPr>
              <w:t>投标方认为必须提供的其他货物</w:t>
            </w:r>
          </w:p>
        </w:tc>
        <w:tc>
          <w:tcPr>
            <w:tcW w:w="10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912"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487"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11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p>
        </w:tc>
        <w:tc>
          <w:tcPr>
            <w:tcW w:w="1763" w:type="dxa"/>
            <w:noWrap w:val="0"/>
            <w:vAlign w:val="center"/>
          </w:tcPr>
          <w:p>
            <w:pPr>
              <w:spacing w:line="280" w:lineRule="exact"/>
              <w:jc w:val="center"/>
              <w:textAlignment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钢结构、管道等</w:t>
            </w:r>
          </w:p>
        </w:tc>
      </w:tr>
    </w:tbl>
    <w:p>
      <w:pPr>
        <w:spacing w:line="360" w:lineRule="auto"/>
        <w:ind w:firstLine="482" w:firstLineChars="200"/>
        <w:rPr>
          <w:rFonts w:hint="eastAsia" w:ascii="宋体" w:hAnsi="宋体" w:eastAsia="宋体" w:cs="宋体"/>
          <w:b/>
          <w:sz w:val="24"/>
          <w:szCs w:val="24"/>
          <w:highlight w:val="red"/>
        </w:rPr>
      </w:pPr>
    </w:p>
    <w:p>
      <w:pPr>
        <w:adjustRightInd w:val="0"/>
        <w:snapToGrid w:val="0"/>
        <w:spacing w:line="420" w:lineRule="exact"/>
        <w:ind w:firstLine="3360" w:firstLineChars="1600"/>
        <w:jc w:val="both"/>
        <w:rPr>
          <w:rFonts w:hint="eastAsia" w:ascii="宋体" w:hAnsi="宋体" w:eastAsia="宋体" w:cs="宋体"/>
          <w:szCs w:val="21"/>
        </w:rPr>
      </w:pPr>
      <w:r>
        <w:rPr>
          <w:rFonts w:hint="eastAsia" w:ascii="宋体" w:hAnsi="宋体" w:eastAsia="宋体" w:cs="宋体"/>
          <w:szCs w:val="21"/>
          <w:lang w:val="en-US" w:eastAsia="zh-CN"/>
        </w:rPr>
        <w:t>随机备件明细</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1924" w:type="dxa"/>
            <w:noWrap w:val="0"/>
            <w:vAlign w:val="top"/>
          </w:tcPr>
          <w:p>
            <w:pPr>
              <w:adjustRightInd w:val="0"/>
              <w:snapToGrid w:val="0"/>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236" w:type="dxa"/>
            <w:noWrap w:val="0"/>
            <w:vAlign w:val="top"/>
          </w:tcPr>
          <w:p>
            <w:pPr>
              <w:adjustRightInd w:val="0"/>
              <w:snapToGrid w:val="0"/>
              <w:spacing w:line="360" w:lineRule="exact"/>
              <w:jc w:val="center"/>
              <w:rPr>
                <w:rFonts w:hint="eastAsia" w:ascii="宋体" w:hAnsi="宋体" w:eastAsia="宋体" w:cs="宋体"/>
                <w:szCs w:val="21"/>
              </w:rPr>
            </w:pPr>
            <w:r>
              <w:rPr>
                <w:rFonts w:hint="eastAsia" w:ascii="宋体" w:hAnsi="宋体" w:eastAsia="宋体" w:cs="宋体"/>
                <w:szCs w:val="21"/>
              </w:rPr>
              <w:t>型号规格</w:t>
            </w:r>
          </w:p>
        </w:tc>
        <w:tc>
          <w:tcPr>
            <w:tcW w:w="720" w:type="dxa"/>
            <w:noWrap w:val="0"/>
            <w:vAlign w:val="top"/>
          </w:tcPr>
          <w:p>
            <w:pPr>
              <w:adjustRightInd w:val="0"/>
              <w:snapToGrid w:val="0"/>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720" w:type="dxa"/>
            <w:noWrap w:val="0"/>
            <w:vAlign w:val="top"/>
          </w:tcPr>
          <w:p>
            <w:pPr>
              <w:adjustRightInd w:val="0"/>
              <w:snapToGrid w:val="0"/>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720" w:type="dxa"/>
            <w:noWrap w:val="0"/>
            <w:vAlign w:val="top"/>
          </w:tcPr>
          <w:p>
            <w:pPr>
              <w:adjustRightInd w:val="0"/>
              <w:snapToGrid w:val="0"/>
              <w:spacing w:line="360" w:lineRule="exact"/>
              <w:jc w:val="center"/>
              <w:rPr>
                <w:rFonts w:hint="eastAsia" w:ascii="宋体" w:hAnsi="宋体" w:eastAsia="宋体" w:cs="宋体"/>
                <w:szCs w:val="21"/>
              </w:rPr>
            </w:pPr>
            <w:r>
              <w:rPr>
                <w:rFonts w:hint="eastAsia" w:ascii="宋体" w:hAnsi="宋体" w:eastAsia="宋体" w:cs="宋体"/>
                <w:szCs w:val="21"/>
              </w:rPr>
              <w:t>单价</w:t>
            </w:r>
          </w:p>
        </w:tc>
        <w:tc>
          <w:tcPr>
            <w:tcW w:w="720" w:type="dxa"/>
            <w:noWrap w:val="0"/>
            <w:vAlign w:val="top"/>
          </w:tcPr>
          <w:p>
            <w:pPr>
              <w:adjustRightInd w:val="0"/>
              <w:snapToGrid w:val="0"/>
              <w:spacing w:line="360" w:lineRule="exact"/>
              <w:jc w:val="center"/>
              <w:rPr>
                <w:rFonts w:hint="eastAsia" w:ascii="宋体" w:hAnsi="宋体" w:eastAsia="宋体" w:cs="宋体"/>
                <w:szCs w:val="21"/>
              </w:rPr>
            </w:pPr>
            <w:r>
              <w:rPr>
                <w:rFonts w:hint="eastAsia" w:ascii="宋体" w:hAnsi="宋体" w:eastAsia="宋体" w:cs="宋体"/>
                <w:szCs w:val="21"/>
              </w:rPr>
              <w:t>总价</w:t>
            </w:r>
          </w:p>
        </w:tc>
        <w:tc>
          <w:tcPr>
            <w:tcW w:w="2235" w:type="dxa"/>
            <w:noWrap w:val="0"/>
            <w:vAlign w:val="top"/>
          </w:tcPr>
          <w:p>
            <w:pPr>
              <w:adjustRightInd w:val="0"/>
              <w:snapToGrid w:val="0"/>
              <w:spacing w:line="360" w:lineRule="exact"/>
              <w:jc w:val="center"/>
              <w:rPr>
                <w:rFonts w:hint="eastAsia" w:ascii="宋体" w:hAnsi="宋体" w:eastAsia="宋体" w:cs="宋体"/>
                <w:szCs w:val="21"/>
              </w:rPr>
            </w:pPr>
            <w:r>
              <w:rPr>
                <w:rFonts w:hint="eastAsia" w:ascii="宋体" w:hAnsi="宋体" w:eastAsia="宋体" w:cs="宋体"/>
                <w:szCs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924" w:type="dxa"/>
            <w:noWrap w:val="0"/>
            <w:vAlign w:val="top"/>
          </w:tcPr>
          <w:p>
            <w:pPr>
              <w:adjustRightInd w:val="0"/>
              <w:snapToGrid w:val="0"/>
              <w:spacing w:line="360" w:lineRule="exact"/>
              <w:rPr>
                <w:rFonts w:hint="eastAsia" w:ascii="宋体" w:hAnsi="宋体" w:eastAsia="宋体" w:cs="宋体"/>
                <w:szCs w:val="21"/>
                <w:lang w:val="en-US" w:eastAsia="zh-CN"/>
              </w:rPr>
            </w:pPr>
            <w:r>
              <w:rPr>
                <w:rFonts w:hint="eastAsia" w:ascii="宋体" w:hAnsi="宋体" w:eastAsia="宋体" w:cs="宋体"/>
                <w:szCs w:val="21"/>
                <w:lang w:val="en-US" w:eastAsia="zh-CN"/>
              </w:rPr>
              <w:t>叶片</w:t>
            </w:r>
          </w:p>
        </w:tc>
        <w:tc>
          <w:tcPr>
            <w:tcW w:w="1236" w:type="dxa"/>
            <w:noWrap w:val="0"/>
            <w:vAlign w:val="top"/>
          </w:tcPr>
          <w:p>
            <w:pPr>
              <w:adjustRightInd w:val="0"/>
              <w:snapToGrid w:val="0"/>
              <w:spacing w:line="360" w:lineRule="exact"/>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组</w:t>
            </w: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10</w:t>
            </w: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2235" w:type="dxa"/>
            <w:noWrap w:val="0"/>
            <w:vAlign w:val="top"/>
          </w:tcPr>
          <w:p>
            <w:pPr>
              <w:adjustRightInd w:val="0"/>
              <w:snapToGrid w:val="0"/>
              <w:spacing w:line="360" w:lineRule="exac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924" w:type="dxa"/>
            <w:noWrap w:val="0"/>
            <w:vAlign w:val="top"/>
          </w:tcPr>
          <w:p>
            <w:pPr>
              <w:adjustRightInd w:val="0"/>
              <w:snapToGrid w:val="0"/>
              <w:spacing w:line="360" w:lineRule="exact"/>
              <w:rPr>
                <w:rFonts w:hint="eastAsia" w:ascii="宋体" w:hAnsi="宋体" w:eastAsia="宋体" w:cs="宋体"/>
                <w:szCs w:val="21"/>
                <w:lang w:val="en-US" w:eastAsia="zh-CN"/>
              </w:rPr>
            </w:pPr>
            <w:r>
              <w:rPr>
                <w:rFonts w:hint="eastAsia" w:ascii="宋体" w:hAnsi="宋体" w:eastAsia="宋体" w:cs="宋体"/>
                <w:szCs w:val="21"/>
                <w:lang w:val="en-US" w:eastAsia="zh-CN"/>
              </w:rPr>
              <w:t>叶轮</w:t>
            </w:r>
          </w:p>
        </w:tc>
        <w:tc>
          <w:tcPr>
            <w:tcW w:w="1236" w:type="dxa"/>
            <w:noWrap w:val="0"/>
            <w:vAlign w:val="top"/>
          </w:tcPr>
          <w:p>
            <w:pPr>
              <w:adjustRightInd w:val="0"/>
              <w:snapToGrid w:val="0"/>
              <w:spacing w:line="360" w:lineRule="exact"/>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lang w:eastAsia="zh-CN"/>
              </w:rPr>
            </w:pPr>
            <w:r>
              <w:rPr>
                <w:rFonts w:hint="eastAsia" w:ascii="宋体" w:hAnsi="宋体" w:eastAsia="宋体" w:cs="宋体"/>
                <w:szCs w:val="21"/>
                <w:lang w:eastAsia="zh-CN"/>
              </w:rPr>
              <w:t>个</w:t>
            </w: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2235" w:type="dxa"/>
            <w:noWrap w:val="0"/>
            <w:vAlign w:val="top"/>
          </w:tcPr>
          <w:p>
            <w:pPr>
              <w:adjustRightInd w:val="0"/>
              <w:snapToGrid w:val="0"/>
              <w:spacing w:line="360" w:lineRule="exac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924" w:type="dxa"/>
            <w:noWrap w:val="0"/>
            <w:vAlign w:val="top"/>
          </w:tcPr>
          <w:p>
            <w:pPr>
              <w:adjustRightInd w:val="0"/>
              <w:snapToGrid w:val="0"/>
              <w:spacing w:line="360" w:lineRule="exact"/>
              <w:rPr>
                <w:rFonts w:hint="eastAsia" w:ascii="宋体" w:hAnsi="宋体" w:eastAsia="宋体" w:cs="宋体"/>
                <w:szCs w:val="21"/>
                <w:lang w:val="en-US" w:eastAsia="zh-CN"/>
              </w:rPr>
            </w:pPr>
            <w:r>
              <w:rPr>
                <w:rFonts w:hint="eastAsia" w:ascii="宋体" w:hAnsi="宋体" w:eastAsia="宋体" w:cs="宋体"/>
                <w:szCs w:val="21"/>
                <w:lang w:val="en-US" w:eastAsia="zh-CN"/>
              </w:rPr>
              <w:t>护板</w:t>
            </w:r>
          </w:p>
        </w:tc>
        <w:tc>
          <w:tcPr>
            <w:tcW w:w="1236" w:type="dxa"/>
            <w:noWrap w:val="0"/>
            <w:vAlign w:val="top"/>
          </w:tcPr>
          <w:p>
            <w:pPr>
              <w:adjustRightInd w:val="0"/>
              <w:snapToGrid w:val="0"/>
              <w:spacing w:line="360" w:lineRule="exact"/>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套</w:t>
            </w: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2235" w:type="dxa"/>
            <w:noWrap w:val="0"/>
            <w:vAlign w:val="top"/>
          </w:tcPr>
          <w:p>
            <w:pPr>
              <w:adjustRightInd w:val="0"/>
              <w:snapToGrid w:val="0"/>
              <w:spacing w:line="360" w:lineRule="exac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924" w:type="dxa"/>
            <w:noWrap w:val="0"/>
            <w:vAlign w:val="top"/>
          </w:tcPr>
          <w:p>
            <w:pPr>
              <w:adjustRightInd w:val="0"/>
              <w:snapToGrid w:val="0"/>
              <w:spacing w:line="360" w:lineRule="exact"/>
              <w:rPr>
                <w:rFonts w:hint="eastAsia" w:ascii="宋体" w:hAnsi="宋体" w:eastAsia="宋体" w:cs="宋体"/>
                <w:szCs w:val="21"/>
                <w:lang w:val="en-US" w:eastAsia="zh-CN"/>
              </w:rPr>
            </w:pPr>
            <w:r>
              <w:rPr>
                <w:rFonts w:hint="eastAsia" w:ascii="宋体" w:hAnsi="宋体" w:eastAsia="宋体" w:cs="宋体"/>
                <w:szCs w:val="21"/>
                <w:lang w:val="en-US" w:eastAsia="zh-CN"/>
              </w:rPr>
              <w:t>分丸轮</w:t>
            </w:r>
          </w:p>
        </w:tc>
        <w:tc>
          <w:tcPr>
            <w:tcW w:w="1236" w:type="dxa"/>
            <w:noWrap w:val="0"/>
            <w:vAlign w:val="top"/>
          </w:tcPr>
          <w:p>
            <w:pPr>
              <w:adjustRightInd w:val="0"/>
              <w:snapToGrid w:val="0"/>
              <w:spacing w:line="360" w:lineRule="exact"/>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lang w:eastAsia="zh-CN"/>
              </w:rPr>
            </w:pPr>
            <w:r>
              <w:rPr>
                <w:rFonts w:hint="eastAsia" w:ascii="宋体" w:hAnsi="宋体" w:eastAsia="宋体" w:cs="宋体"/>
                <w:szCs w:val="21"/>
                <w:lang w:eastAsia="zh-CN"/>
              </w:rPr>
              <w:t>个</w:t>
            </w: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10</w:t>
            </w: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2235" w:type="dxa"/>
            <w:noWrap w:val="0"/>
            <w:vAlign w:val="top"/>
          </w:tcPr>
          <w:p>
            <w:pPr>
              <w:adjustRightInd w:val="0"/>
              <w:snapToGrid w:val="0"/>
              <w:spacing w:line="360" w:lineRule="exac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924" w:type="dxa"/>
            <w:noWrap w:val="0"/>
            <w:vAlign w:val="top"/>
          </w:tcPr>
          <w:p>
            <w:pPr>
              <w:adjustRightInd w:val="0"/>
              <w:snapToGrid w:val="0"/>
              <w:spacing w:line="360" w:lineRule="exact"/>
              <w:rPr>
                <w:rFonts w:hint="eastAsia" w:ascii="宋体" w:hAnsi="宋体" w:eastAsia="宋体" w:cs="宋体"/>
                <w:szCs w:val="21"/>
                <w:lang w:val="en-US" w:eastAsia="zh-CN"/>
              </w:rPr>
            </w:pPr>
            <w:r>
              <w:rPr>
                <w:rFonts w:hint="eastAsia" w:ascii="宋体" w:hAnsi="宋体" w:eastAsia="宋体" w:cs="宋体"/>
                <w:szCs w:val="21"/>
                <w:lang w:val="en-US" w:eastAsia="zh-CN"/>
              </w:rPr>
              <w:t>丸料阀</w:t>
            </w:r>
          </w:p>
        </w:tc>
        <w:tc>
          <w:tcPr>
            <w:tcW w:w="1236" w:type="dxa"/>
            <w:noWrap w:val="0"/>
            <w:vAlign w:val="top"/>
          </w:tcPr>
          <w:p>
            <w:pPr>
              <w:adjustRightInd w:val="0"/>
              <w:snapToGrid w:val="0"/>
              <w:spacing w:line="360" w:lineRule="exact"/>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lang w:eastAsia="zh-CN"/>
              </w:rPr>
            </w:pPr>
            <w:r>
              <w:rPr>
                <w:rFonts w:hint="eastAsia" w:ascii="宋体" w:hAnsi="宋体" w:eastAsia="宋体" w:cs="宋体"/>
                <w:szCs w:val="21"/>
                <w:lang w:eastAsia="zh-CN"/>
              </w:rPr>
              <w:t>个</w:t>
            </w: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2235" w:type="dxa"/>
            <w:noWrap w:val="0"/>
            <w:vAlign w:val="top"/>
          </w:tcPr>
          <w:p>
            <w:pPr>
              <w:adjustRightInd w:val="0"/>
              <w:snapToGrid w:val="0"/>
              <w:spacing w:line="360" w:lineRule="exac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924" w:type="dxa"/>
            <w:noWrap w:val="0"/>
            <w:vAlign w:val="top"/>
          </w:tcPr>
          <w:p>
            <w:pPr>
              <w:adjustRightInd w:val="0"/>
              <w:snapToGrid w:val="0"/>
              <w:spacing w:line="360" w:lineRule="exact"/>
              <w:rPr>
                <w:rFonts w:hint="eastAsia" w:ascii="宋体" w:hAnsi="宋体" w:eastAsia="宋体" w:cs="宋体"/>
                <w:szCs w:val="21"/>
                <w:lang w:val="en-US" w:eastAsia="zh-CN"/>
              </w:rPr>
            </w:pPr>
            <w:r>
              <w:rPr>
                <w:rFonts w:hint="eastAsia" w:ascii="宋体" w:hAnsi="宋体" w:eastAsia="宋体" w:cs="宋体"/>
                <w:szCs w:val="21"/>
                <w:lang w:val="en-US" w:eastAsia="zh-CN"/>
              </w:rPr>
              <w:t>筛网</w:t>
            </w:r>
          </w:p>
        </w:tc>
        <w:tc>
          <w:tcPr>
            <w:tcW w:w="1236" w:type="dxa"/>
            <w:noWrap w:val="0"/>
            <w:vAlign w:val="top"/>
          </w:tcPr>
          <w:p>
            <w:pPr>
              <w:adjustRightInd w:val="0"/>
              <w:snapToGrid w:val="0"/>
              <w:spacing w:line="360" w:lineRule="exact"/>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套</w:t>
            </w: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2235" w:type="dxa"/>
            <w:noWrap w:val="0"/>
            <w:vAlign w:val="top"/>
          </w:tcPr>
          <w:p>
            <w:pPr>
              <w:adjustRightInd w:val="0"/>
              <w:snapToGrid w:val="0"/>
              <w:spacing w:line="360" w:lineRule="exac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924" w:type="dxa"/>
            <w:noWrap w:val="0"/>
            <w:vAlign w:val="top"/>
          </w:tcPr>
          <w:p>
            <w:pPr>
              <w:adjustRightInd w:val="0"/>
              <w:snapToGrid w:val="0"/>
              <w:spacing w:line="360" w:lineRule="exact"/>
              <w:rPr>
                <w:rFonts w:hint="eastAsia" w:ascii="宋体" w:hAnsi="宋体" w:eastAsia="宋体" w:cs="宋体"/>
                <w:szCs w:val="21"/>
                <w:lang w:val="en-US" w:eastAsia="zh-CN"/>
              </w:rPr>
            </w:pPr>
            <w:r>
              <w:rPr>
                <w:rFonts w:hint="eastAsia" w:ascii="宋体" w:hAnsi="宋体" w:eastAsia="宋体" w:cs="宋体"/>
                <w:szCs w:val="21"/>
                <w:lang w:val="en-US" w:eastAsia="zh-CN"/>
              </w:rPr>
              <w:t>弹簧</w:t>
            </w:r>
          </w:p>
        </w:tc>
        <w:tc>
          <w:tcPr>
            <w:tcW w:w="1236" w:type="dxa"/>
            <w:noWrap w:val="0"/>
            <w:vAlign w:val="top"/>
          </w:tcPr>
          <w:p>
            <w:pPr>
              <w:adjustRightInd w:val="0"/>
              <w:snapToGrid w:val="0"/>
              <w:spacing w:line="360" w:lineRule="exact"/>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个</w:t>
            </w: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2235" w:type="dxa"/>
            <w:noWrap w:val="0"/>
            <w:vAlign w:val="top"/>
          </w:tcPr>
          <w:p>
            <w:pPr>
              <w:adjustRightInd w:val="0"/>
              <w:snapToGrid w:val="0"/>
              <w:spacing w:line="360" w:lineRule="exac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924" w:type="dxa"/>
            <w:noWrap w:val="0"/>
            <w:vAlign w:val="top"/>
          </w:tcPr>
          <w:p>
            <w:pPr>
              <w:adjustRightInd w:val="0"/>
              <w:snapToGrid w:val="0"/>
              <w:spacing w:line="360" w:lineRule="exact"/>
              <w:rPr>
                <w:rFonts w:hint="eastAsia" w:ascii="宋体" w:hAnsi="宋体" w:eastAsia="宋体" w:cs="宋体"/>
                <w:szCs w:val="21"/>
                <w:lang w:val="en-US" w:eastAsia="zh-CN"/>
              </w:rPr>
            </w:pPr>
            <w:r>
              <w:rPr>
                <w:rFonts w:hint="eastAsia" w:ascii="宋体" w:hAnsi="宋体" w:eastAsia="宋体" w:cs="宋体"/>
                <w:szCs w:val="21"/>
                <w:lang w:val="en-US" w:eastAsia="zh-CN"/>
              </w:rPr>
              <w:t>轴承室</w:t>
            </w:r>
          </w:p>
        </w:tc>
        <w:tc>
          <w:tcPr>
            <w:tcW w:w="1236" w:type="dxa"/>
            <w:noWrap w:val="0"/>
            <w:vAlign w:val="top"/>
          </w:tcPr>
          <w:p>
            <w:pPr>
              <w:adjustRightInd w:val="0"/>
              <w:snapToGrid w:val="0"/>
              <w:spacing w:line="360" w:lineRule="exact"/>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个</w:t>
            </w:r>
          </w:p>
        </w:tc>
        <w:tc>
          <w:tcPr>
            <w:tcW w:w="720" w:type="dxa"/>
            <w:noWrap w:val="0"/>
            <w:vAlign w:val="top"/>
          </w:tcPr>
          <w:p>
            <w:pPr>
              <w:adjustRightInd w:val="0"/>
              <w:snapToGrid w:val="0"/>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720" w:type="dxa"/>
            <w:noWrap w:val="0"/>
            <w:vAlign w:val="top"/>
          </w:tcPr>
          <w:p>
            <w:pPr>
              <w:adjustRightInd w:val="0"/>
              <w:snapToGrid w:val="0"/>
              <w:spacing w:line="360" w:lineRule="exact"/>
              <w:jc w:val="center"/>
              <w:rPr>
                <w:rFonts w:hint="eastAsia" w:ascii="宋体" w:hAnsi="宋体" w:eastAsia="宋体" w:cs="宋体"/>
                <w:szCs w:val="21"/>
              </w:rPr>
            </w:pPr>
          </w:p>
        </w:tc>
        <w:tc>
          <w:tcPr>
            <w:tcW w:w="2235" w:type="dxa"/>
            <w:noWrap w:val="0"/>
            <w:vAlign w:val="top"/>
          </w:tcPr>
          <w:p>
            <w:pPr>
              <w:adjustRightInd w:val="0"/>
              <w:snapToGrid w:val="0"/>
              <w:spacing w:line="360" w:lineRule="exact"/>
              <w:rPr>
                <w:rFonts w:hint="eastAsia" w:ascii="宋体" w:hAnsi="宋体" w:eastAsia="宋体" w:cs="宋体"/>
                <w:szCs w:val="21"/>
              </w:rPr>
            </w:pPr>
          </w:p>
        </w:tc>
      </w:tr>
    </w:tbl>
    <w:p>
      <w:pPr>
        <w:spacing w:line="360" w:lineRule="auto"/>
        <w:ind w:firstLine="0" w:firstLineChars="0"/>
        <w:rPr>
          <w:rFonts w:hint="eastAsia" w:ascii="宋体" w:hAnsi="宋体" w:eastAsia="宋体" w:cs="宋体"/>
          <w:b/>
          <w:sz w:val="24"/>
          <w:szCs w:val="24"/>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10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w:t>
      </w:r>
      <w:r>
        <w:rPr>
          <w:rFonts w:hint="eastAsia" w:ascii="宋体" w:hAnsi="宋体" w:eastAsia="宋体" w:cs="宋体"/>
          <w:bCs/>
          <w:sz w:val="24"/>
          <w:szCs w:val="24"/>
        </w:rPr>
        <w:t>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w:t>
      </w:r>
      <w:r>
        <w:rPr>
          <w:rFonts w:hint="eastAsia" w:ascii="宋体" w:hAnsi="宋体" w:eastAsia="宋体" w:cs="宋体"/>
          <w:sz w:val="24"/>
          <w:szCs w:val="24"/>
          <w:highlight w:val="none"/>
        </w:rPr>
        <w:t>料说明。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.本条款所列的技术资料、图片、影像等，投标人应各提供5套，其中2套为电子版光（</w:t>
      </w:r>
      <w:r>
        <w:rPr>
          <w:rFonts w:hint="eastAsia" w:ascii="宋体" w:hAnsi="宋体" w:eastAsia="宋体" w:cs="宋体"/>
          <w:sz w:val="24"/>
          <w:szCs w:val="24"/>
          <w:highlight w:val="none"/>
          <w:lang w:val="en-US" w:eastAsia="zh-CN"/>
        </w:rPr>
        <w:t>U</w:t>
      </w:r>
      <w:r>
        <w:rPr>
          <w:rFonts w:hint="eastAsia" w:ascii="宋体" w:hAnsi="宋体" w:eastAsia="宋体" w:cs="宋体"/>
          <w:sz w:val="24"/>
          <w:szCs w:val="24"/>
          <w:highlight w:val="none"/>
        </w:rPr>
        <w:t>）盘；每份技术文件应装有目录清单。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pPr>
        <w:pStyle w:val="17"/>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rPr>
        <w:t>二、供货地点：</w:t>
      </w:r>
      <w:r>
        <w:rPr>
          <w:rFonts w:hint="eastAsia" w:ascii="宋体" w:hAnsi="宋体" w:eastAsia="宋体" w:cs="宋体"/>
          <w:color w:val="000000"/>
          <w:sz w:val="24"/>
          <w:szCs w:val="24"/>
          <w:highlight w:val="none"/>
          <w:u w:val="single"/>
          <w:lang w:val="en-US" w:eastAsia="zh-CN"/>
        </w:rPr>
        <w:t>山东省济南市世纪大道6677号济南成型厂</w:t>
      </w:r>
      <w:r>
        <w:rPr>
          <w:rFonts w:hint="eastAsia" w:ascii="宋体" w:hAnsi="宋体" w:eastAsia="宋体" w:cs="宋体"/>
          <w:sz w:val="24"/>
          <w:szCs w:val="24"/>
          <w:highlight w:val="none"/>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w:t>
      </w:r>
      <w:r>
        <w:rPr>
          <w:rFonts w:hint="default" w:ascii="宋体" w:hAnsi="宋体" w:eastAsia="宋体" w:cs="宋体"/>
          <w:sz w:val="24"/>
          <w:szCs w:val="24"/>
          <w:highlight w:val="none"/>
        </w:rPr>
        <w:t>投标方应自合同签定之日起</w:t>
      </w:r>
      <w:r>
        <w:rPr>
          <w:rFonts w:hint="eastAsia" w:ascii="宋体" w:hAnsi="宋体" w:eastAsia="宋体" w:cs="宋体"/>
          <w:sz w:val="24"/>
          <w:szCs w:val="24"/>
          <w:highlight w:val="none"/>
          <w:lang w:val="en-US" w:eastAsia="zh-CN"/>
        </w:rPr>
        <w:t>4</w:t>
      </w:r>
      <w:r>
        <w:rPr>
          <w:rFonts w:hint="default" w:ascii="宋体" w:hAnsi="宋体" w:eastAsia="宋体" w:cs="宋体"/>
          <w:sz w:val="24"/>
          <w:szCs w:val="24"/>
          <w:highlight w:val="none"/>
        </w:rPr>
        <w:t>个月之内至供货地点</w:t>
      </w:r>
      <w:r>
        <w:rPr>
          <w:rFonts w:ascii="宋体" w:hAnsi="宋体" w:eastAsia="宋体" w:cs="宋体"/>
          <w:sz w:val="24"/>
          <w:szCs w:val="24"/>
          <w:highlight w:val="none"/>
        </w:rPr>
        <w:t>。</w:t>
      </w:r>
    </w:p>
    <w:p>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接续</w:t>
      </w:r>
      <w:r>
        <w:rPr>
          <w:rFonts w:hint="eastAsia" w:ascii="宋体" w:hAnsi="宋体" w:eastAsia="宋体" w:cs="宋体"/>
          <w:sz w:val="24"/>
          <w:szCs w:val="24"/>
          <w:highlight w:val="none"/>
          <w:u w:val="single"/>
          <w:lang w:val="en-US" w:eastAsia="zh-CN"/>
        </w:rPr>
        <w:t>30</w:t>
      </w:r>
      <w:r>
        <w:rPr>
          <w:rFonts w:hint="eastAsia" w:ascii="宋体" w:hAnsi="宋体" w:eastAsia="宋体" w:cs="宋体"/>
          <w:sz w:val="24"/>
          <w:szCs w:val="24"/>
          <w:highlight w:val="none"/>
        </w:rPr>
        <w:t>个日历日之内安装调试完毕</w:t>
      </w:r>
      <w:r>
        <w:rPr>
          <w:rFonts w:hint="eastAsia" w:ascii="宋体" w:hAnsi="宋体" w:eastAsia="宋体" w:cs="宋体"/>
          <w:sz w:val="24"/>
          <w:szCs w:val="24"/>
          <w:highlight w:val="none"/>
          <w:lang w:val="en-US" w:eastAsia="zh-CN"/>
        </w:rPr>
        <w:t>。</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接续</w:t>
      </w:r>
      <w:r>
        <w:rPr>
          <w:rFonts w:hint="eastAsia" w:ascii="宋体" w:hAnsi="宋体" w:eastAsia="宋体" w:cs="宋体"/>
          <w:sz w:val="24"/>
          <w:szCs w:val="24"/>
          <w:highlight w:val="none"/>
          <w:u w:val="single"/>
          <w:lang w:val="en-US" w:eastAsia="zh-CN"/>
        </w:rPr>
        <w:t>30</w:t>
      </w:r>
      <w:r>
        <w:rPr>
          <w:rFonts w:hint="eastAsia" w:ascii="宋体" w:hAnsi="宋体" w:eastAsia="宋体" w:cs="宋体"/>
          <w:sz w:val="24"/>
          <w:szCs w:val="24"/>
          <w:highlight w:val="none"/>
        </w:rPr>
        <w:t>个日历日之内完成终验收。</w:t>
      </w:r>
    </w:p>
    <w:p>
      <w:pPr>
        <w:spacing w:line="360" w:lineRule="auto"/>
        <w:ind w:firstLine="480" w:firstLineChars="200"/>
        <w:outlineLvl w:val="9"/>
        <w:rPr>
          <w:rFonts w:hint="eastAsia" w:hAnsi="宋体" w:eastAsia="宋体" w:cs="宋体"/>
          <w:color w:val="000000"/>
          <w:sz w:val="24"/>
          <w:szCs w:val="24"/>
        </w:rPr>
      </w:pPr>
      <w:r>
        <w:rPr>
          <w:rFonts w:hint="eastAsia" w:hAnsi="宋体" w:eastAsia="宋体" w:cs="宋体"/>
          <w:color w:val="000000"/>
          <w:sz w:val="24"/>
          <w:szCs w:val="24"/>
          <w:highlight w:val="none"/>
        </w:rPr>
        <w:t>安装调试工期超过</w:t>
      </w:r>
      <w:r>
        <w:rPr>
          <w:rFonts w:hint="eastAsia" w:ascii="宋体" w:hAnsi="宋体" w:eastAsia="宋体" w:cs="宋体"/>
          <w:sz w:val="24"/>
          <w:szCs w:val="24"/>
          <w:highlight w:val="none"/>
          <w:u w:val="single"/>
          <w:lang w:val="en-US" w:eastAsia="zh-CN"/>
        </w:rPr>
        <w:t>30个日历日</w:t>
      </w:r>
      <w:r>
        <w:rPr>
          <w:rFonts w:hint="eastAsia" w:hAnsi="宋体" w:eastAsia="宋体" w:cs="宋体"/>
          <w:color w:val="000000"/>
          <w:sz w:val="24"/>
          <w:szCs w:val="24"/>
          <w:highlight w:val="none"/>
        </w:rPr>
        <w:t>的，投标人应当</w:t>
      </w:r>
      <w:r>
        <w:rPr>
          <w:rFonts w:hint="eastAsia" w:hAnsi="宋体" w:eastAsia="宋体" w:cs="宋体"/>
          <w:color w:val="000000"/>
          <w:sz w:val="24"/>
          <w:szCs w:val="24"/>
        </w:rPr>
        <w:t>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w:t>
      </w:r>
      <w:r>
        <w:rPr>
          <w:rFonts w:hint="eastAsia" w:ascii="宋体" w:hAnsi="宋体" w:eastAsia="宋体" w:cs="宋体"/>
          <w:sz w:val="24"/>
          <w:szCs w:val="24"/>
        </w:rPr>
        <w:t>保期之内出现的故障，仍属质保范围而且应当免费。</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1.应负责在买方货物使用现场，对技术、维修和操作人员提供免费的理论、技术和</w:t>
      </w:r>
      <w:r>
        <w:rPr>
          <w:rFonts w:hint="eastAsia" w:ascii="宋体" w:hAnsi="宋体" w:eastAsia="宋体" w:cs="宋体"/>
          <w:color w:val="000000"/>
          <w:sz w:val="24"/>
          <w:szCs w:val="24"/>
          <w:highlight w:val="none"/>
        </w:rPr>
        <w:t>操作、维修等方面的技术指导和培训，并接受买方有关人员的技术咨询。</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提供相应完善的培训计划</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现场指导安装、调试、试车</w:t>
      </w:r>
      <w:r>
        <w:rPr>
          <w:rFonts w:hint="eastAsia" w:ascii="宋体" w:hAnsi="宋体" w:eastAsia="宋体" w:cs="宋体"/>
          <w:color w:val="000000"/>
          <w:sz w:val="24"/>
          <w:szCs w:val="24"/>
          <w:highlight w:val="none"/>
        </w:rPr>
        <w:t>不少于</w:t>
      </w:r>
      <w:r>
        <w:rPr>
          <w:rFonts w:hint="eastAsia" w:ascii="宋体" w:hAnsi="宋体" w:eastAsia="宋体" w:cs="宋体"/>
          <w:b/>
          <w:bCs/>
          <w:color w:val="000000"/>
          <w:sz w:val="24"/>
          <w:szCs w:val="24"/>
          <w:highlight w:val="none"/>
          <w:u w:val="single"/>
          <w:lang w:val="en-US" w:eastAsia="zh-CN"/>
        </w:rPr>
        <w:t>30天</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提供完整的设备说明书、软件</w:t>
      </w:r>
      <w:r>
        <w:rPr>
          <w:rFonts w:hint="eastAsia" w:ascii="宋体" w:hAnsi="宋体" w:eastAsia="宋体" w:cs="宋体"/>
          <w:color w:val="000000"/>
          <w:sz w:val="24"/>
          <w:szCs w:val="24"/>
          <w:highlight w:val="none"/>
          <w:lang w:val="en-US" w:eastAsia="zh-CN"/>
        </w:rPr>
        <w:t>使用</w:t>
      </w:r>
      <w:r>
        <w:rPr>
          <w:rFonts w:hint="eastAsia" w:ascii="宋体" w:hAnsi="宋体" w:eastAsia="宋体" w:cs="宋体"/>
          <w:color w:val="000000"/>
          <w:sz w:val="24"/>
          <w:szCs w:val="24"/>
          <w:highlight w:val="none"/>
        </w:rPr>
        <w:t>说明书、技术参数说明书等资料。</w:t>
      </w:r>
    </w:p>
    <w:p>
      <w:pPr>
        <w:adjustRightInd w:val="0"/>
        <w:snapToGrid w:val="0"/>
        <w:spacing w:line="360" w:lineRule="auto"/>
        <w:ind w:firstLine="480" w:firstLineChars="200"/>
        <w:rPr>
          <w:highlight w:val="none"/>
        </w:rPr>
      </w:pPr>
      <w:r>
        <w:rPr>
          <w:rFonts w:hint="eastAsia" w:ascii="宋体" w:hAnsi="宋体" w:eastAsia="宋体" w:cs="宋体"/>
          <w:color w:val="000000"/>
          <w:sz w:val="24"/>
          <w:szCs w:val="24"/>
          <w:highlight w:val="none"/>
          <w:lang w:val="en-US" w:eastAsia="zh-CN"/>
        </w:rPr>
        <w:t>1.2提供</w:t>
      </w:r>
      <w:r>
        <w:rPr>
          <w:rFonts w:hint="eastAsia" w:ascii="宋体" w:hAnsi="宋体" w:eastAsia="宋体" w:cs="宋体"/>
          <w:color w:val="000000"/>
          <w:sz w:val="24"/>
          <w:szCs w:val="24"/>
          <w:highlight w:val="none"/>
        </w:rPr>
        <w:t>现场解决问题</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技术支持次数</w:t>
      </w:r>
      <w:r>
        <w:rPr>
          <w:rFonts w:hint="eastAsia" w:ascii="宋体" w:hAnsi="宋体" w:eastAsia="宋体" w:cs="宋体"/>
          <w:b/>
          <w:bCs/>
          <w:color w:val="000000"/>
          <w:sz w:val="24"/>
          <w:szCs w:val="24"/>
          <w:highlight w:val="none"/>
          <w:u w:val="single"/>
          <w:lang w:val="en-US" w:eastAsia="zh-CN"/>
        </w:rPr>
        <w:t>至少</w:t>
      </w:r>
      <w:r>
        <w:rPr>
          <w:rFonts w:hint="eastAsia" w:ascii="宋体" w:hAnsi="宋体" w:eastAsia="宋体" w:cs="宋体"/>
          <w:b/>
          <w:bCs/>
          <w:color w:val="000000"/>
          <w:sz w:val="24"/>
          <w:szCs w:val="24"/>
          <w:highlight w:val="none"/>
          <w:u w:val="single"/>
        </w:rPr>
        <w:t>3次</w:t>
      </w:r>
      <w:r>
        <w:rPr>
          <w:rFonts w:hint="eastAsia" w:ascii="宋体" w:hAnsi="宋体" w:eastAsia="宋体" w:cs="宋体"/>
          <w:color w:val="000000"/>
          <w:sz w:val="24"/>
          <w:szCs w:val="24"/>
          <w:highlight w:val="none"/>
        </w:rPr>
        <w:t>，技术支持天数</w:t>
      </w:r>
      <w:r>
        <w:rPr>
          <w:rFonts w:hint="eastAsia" w:ascii="宋体" w:hAnsi="宋体" w:eastAsia="宋体" w:cs="宋体"/>
          <w:b/>
          <w:bCs/>
          <w:color w:val="000000"/>
          <w:sz w:val="24"/>
          <w:szCs w:val="24"/>
          <w:highlight w:val="none"/>
          <w:u w:val="single"/>
          <w:lang w:val="en-US" w:eastAsia="zh-CN"/>
        </w:rPr>
        <w:t>总计30</w:t>
      </w:r>
      <w:r>
        <w:rPr>
          <w:rFonts w:hint="eastAsia" w:ascii="宋体" w:hAnsi="宋体" w:eastAsia="宋体" w:cs="宋体"/>
          <w:b/>
          <w:bCs/>
          <w:color w:val="000000"/>
          <w:sz w:val="24"/>
          <w:szCs w:val="24"/>
          <w:highlight w:val="none"/>
          <w:u w:val="single"/>
        </w:rPr>
        <w:t>天</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4</w:t>
      </w:r>
      <w:r>
        <w:rPr>
          <w:rFonts w:hint="eastAsia" w:ascii="宋体" w:hAnsi="宋体" w:eastAsia="宋体" w:cs="宋体"/>
          <w:color w:val="000000"/>
          <w:sz w:val="24"/>
          <w:szCs w:val="24"/>
          <w:u w:val="single"/>
          <w:shd w:val="pct10" w:color="auto" w:fill="FFFFFF"/>
          <w:lang w:val="en-US" w:eastAsia="zh-CN"/>
        </w:rPr>
        <w:t>8</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17"/>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3" w:name="_Toc465187646"/>
      <w:bookmarkStart w:id="44" w:name="_Toc465187647"/>
      <w:r>
        <w:rPr>
          <w:rFonts w:hint="eastAsia" w:ascii="Calibri" w:hAnsi="Calibri" w:eastAsia="宋体" w:cs="Times New Roman"/>
          <w:b/>
          <w:bCs/>
          <w:kern w:val="44"/>
          <w:sz w:val="28"/>
          <w:szCs w:val="28"/>
        </w:rPr>
        <w:t>第五章  预验收和终验收</w:t>
      </w:r>
      <w:bookmarkEnd w:id="43"/>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有权申请中国商品检验检疫局进行检验，如发现货物的品质及规格与合同或发票不符，除</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的责任外，</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有权在货物到达卸货目的地后180个日历日内，根据中国商品检验检疫局出具的证明书向</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提出索赔，因索赔所发生的一切费用(包括检验检疫费等)均由</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现场进行，终验收在安装调试完成及试运行后的</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 </w:t>
      </w:r>
      <w:r>
        <w:rPr>
          <w:rFonts w:hint="eastAsia" w:ascii="宋体" w:hAnsi="宋体" w:eastAsia="宋体" w:cs="宋体"/>
          <w:color w:val="000000"/>
          <w:sz w:val="24"/>
          <w:szCs w:val="24"/>
          <w:highlight w:val="none"/>
          <w:lang w:val="en-US" w:eastAsia="zh-CN"/>
        </w:rPr>
        <w:t>设备</w:t>
      </w:r>
      <w:r>
        <w:rPr>
          <w:rFonts w:hint="eastAsia" w:ascii="宋体" w:hAnsi="宋体" w:eastAsia="宋体" w:cs="宋体"/>
          <w:color w:val="000000"/>
          <w:sz w:val="24"/>
          <w:szCs w:val="24"/>
          <w:highlight w:val="none"/>
        </w:rPr>
        <w:t>测量参数应满足招标书中的技术要求。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 xml:space="preserve">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r>
        <w:rPr>
          <w:rFonts w:hint="eastAsia" w:ascii="宋体" w:hAnsi="宋体" w:eastAsia="宋体" w:cs="宋体"/>
          <w:color w:val="000000"/>
          <w:sz w:val="24"/>
          <w:szCs w:val="24"/>
          <w:lang w:eastAsia="zh-CN"/>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 终验收通过后买卖双方共同签署终验收报告，并移交、核对全部供货范围内物品。</w:t>
      </w:r>
    </w:p>
    <w:p>
      <w:pPr>
        <w:pStyle w:val="17"/>
        <w:rPr>
          <w:rFonts w:hint="eastAsia" w:ascii="宋体" w:hAnsi="宋体" w:eastAsia="宋体" w:cs="宋体"/>
          <w:color w:val="000000"/>
          <w:sz w:val="24"/>
          <w:szCs w:val="24"/>
        </w:rPr>
      </w:pPr>
    </w:p>
    <w:p>
      <w:pPr>
        <w:pStyle w:val="17"/>
        <w:rPr>
          <w:rFonts w:hint="eastAsia" w:ascii="宋体" w:hAnsi="宋体" w:eastAsia="宋体" w:cs="宋体"/>
          <w:color w:val="000000"/>
          <w:sz w:val="24"/>
          <w:szCs w:val="24"/>
        </w:rPr>
      </w:pPr>
    </w:p>
    <w:p>
      <w:pPr>
        <w:pStyle w:val="17"/>
        <w:rPr>
          <w:rFonts w:hint="eastAsia" w:ascii="宋体" w:hAnsi="宋体" w:eastAsia="宋体" w:cs="宋体"/>
          <w:color w:val="000000"/>
          <w:sz w:val="24"/>
          <w:szCs w:val="24"/>
        </w:rPr>
      </w:pPr>
    </w:p>
    <w:p>
      <w:pPr>
        <w:pStyle w:val="17"/>
        <w:rPr>
          <w:rFonts w:hint="eastAsia" w:ascii="宋体" w:hAnsi="宋体" w:eastAsia="宋体" w:cs="宋体"/>
          <w:color w:val="000000"/>
          <w:sz w:val="24"/>
          <w:szCs w:val="24"/>
        </w:rPr>
      </w:pPr>
    </w:p>
    <w:p>
      <w:pPr>
        <w:pStyle w:val="17"/>
        <w:rPr>
          <w:rFonts w:hint="eastAsia" w:ascii="宋体" w:hAnsi="宋体" w:eastAsia="宋体" w:cs="宋体"/>
          <w:color w:val="000000"/>
          <w:sz w:val="24"/>
          <w:szCs w:val="24"/>
        </w:rPr>
      </w:pPr>
    </w:p>
    <w:p>
      <w:pPr>
        <w:pStyle w:val="130"/>
        <w:outlineLvl w:val="1"/>
        <w:rPr>
          <w:rFonts w:eastAsia="宋体"/>
          <w:b/>
          <w:bCs w:val="0"/>
          <w:i w:val="0"/>
          <w:iCs/>
          <w:color w:val="auto"/>
          <w:sz w:val="28"/>
        </w:rPr>
      </w:pPr>
      <w:r>
        <w:rPr>
          <w:rFonts w:eastAsia="宋体"/>
          <w:b/>
          <w:bCs w:val="0"/>
          <w:i w:val="0"/>
          <w:iCs/>
          <w:color w:val="auto"/>
          <w:sz w:val="28"/>
        </w:rPr>
        <w:t>第六章  投标技术文件一般要求</w:t>
      </w:r>
      <w:bookmarkEnd w:id="44"/>
    </w:p>
    <w:p>
      <w:pPr>
        <w:pStyle w:val="117"/>
        <w:rPr>
          <w:color w:val="auto"/>
        </w:rPr>
      </w:pPr>
      <w:r>
        <w:rPr>
          <w:color w:val="auto"/>
        </w:rPr>
        <w:t>一、技术文件一般内容要求</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rPr>
          <w:rFonts w:hint="eastAsia" w:ascii="宋体" w:hAnsi="宋体" w:cs="宋体"/>
          <w:color w:val="auto"/>
        </w:rPr>
      </w:pPr>
      <w:r>
        <w:rPr>
          <w:rFonts w:hint="eastAsia" w:ascii="宋体" w:hAnsi="宋体" w:cs="宋体"/>
          <w:color w:val="auto"/>
        </w:rPr>
        <w:t>二、技术文件中货物报价格式要求</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480" w:lineRule="exact"/>
        <w:jc w:val="center"/>
        <w:rPr>
          <w:rFonts w:hint="eastAsia" w:ascii="宋体" w:hAnsi="宋体" w:eastAsia="宋体" w:cs="宋体"/>
          <w:b w:val="0"/>
          <w:sz w:val="24"/>
          <w:szCs w:val="24"/>
        </w:rPr>
        <w:sectPr>
          <w:footerReference r:id="rId15" w:type="first"/>
          <w:footerReference r:id="rId14" w:type="default"/>
          <w:pgSz w:w="11906" w:h="16838"/>
          <w:pgMar w:top="1588" w:right="1418" w:bottom="1134" w:left="1418" w:header="851" w:footer="992" w:gutter="0"/>
          <w:pgNumType w:fmt="decimal"/>
          <w:cols w:space="720" w:num="1"/>
          <w:titlePg/>
          <w:docGrid w:linePitch="312" w:charSpace="0"/>
        </w:sectPr>
      </w:pPr>
      <w:bookmarkStart w:id="45"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45"/>
    </w:p>
    <w:p>
      <w:pPr>
        <w:pStyle w:val="117"/>
        <w:rPr>
          <w:rFonts w:hint="eastAsia" w:ascii="宋体" w:hAnsi="宋体" w:cs="宋体"/>
          <w:color w:val="auto"/>
        </w:rPr>
      </w:pPr>
      <w:r>
        <w:rPr>
          <w:rFonts w:hint="eastAsia" w:ascii="宋体" w:hAnsi="宋体" w:cs="宋体"/>
          <w:color w:val="auto"/>
        </w:rPr>
        <w:t>一、要求</w:t>
      </w:r>
    </w:p>
    <w:p>
      <w:pPr>
        <w:pStyle w:val="20"/>
        <w:spacing w:line="420" w:lineRule="exact"/>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应附有其它与投标单位、采购货物有关的荣誉证书或资料。</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420" w:lineRule="exact"/>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42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rPr>
          <w:rFonts w:hint="eastAsia"/>
          <w:sz w:val="21"/>
          <w:szCs w:val="22"/>
        </w:rPr>
      </w:pPr>
      <w:r>
        <w:rPr>
          <w:rFonts w:hint="eastAsia" w:ascii="宋体" w:hAnsi="宋体" w:cs="宋体"/>
          <w:color w:val="auto"/>
          <w:lang w:val="en-US" w:eastAsia="zh-CN"/>
        </w:rPr>
        <w:t>二</w:t>
      </w:r>
      <w:r>
        <w:rPr>
          <w:rFonts w:hint="eastAsia" w:ascii="宋体" w:hAnsi="宋体" w:cs="宋体"/>
          <w:color w:val="auto"/>
        </w:rPr>
        <w:t>、</w:t>
      </w:r>
      <w:r>
        <w:rPr>
          <w:rFonts w:hint="eastAsia" w:ascii="宋体" w:hAnsi="宋体" w:cs="宋体"/>
          <w:color w:val="auto"/>
          <w:lang w:val="en-US" w:eastAsia="zh-CN"/>
        </w:rPr>
        <w:t>其他</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pStyle w:val="17"/>
        <w:spacing w:line="360" w:lineRule="auto"/>
        <w:rPr>
          <w:rFonts w:hint="eastAsia" w:hAnsi="宋体" w:eastAsia="宋体" w:cs="宋体"/>
        </w:rPr>
        <w:sectPr>
          <w:pgSz w:w="11907" w:h="16840"/>
          <w:pgMar w:top="1304" w:right="1418" w:bottom="1304" w:left="1418" w:header="724" w:footer="851" w:gutter="0"/>
          <w:pgNumType w:fmt="decimal"/>
          <w:cols w:space="720" w:num="1"/>
          <w:docGrid w:linePitch="290" w:charSpace="-3931"/>
        </w:sectPr>
      </w:pPr>
    </w:p>
    <w:p>
      <w:pPr>
        <w:pStyle w:val="17"/>
      </w:pPr>
    </w:p>
    <w:p>
      <w:pPr>
        <w:spacing w:line="360" w:lineRule="auto"/>
        <w:jc w:val="center"/>
        <w:outlineLvl w:val="0"/>
        <w:rPr>
          <w:rFonts w:ascii="宋体" w:hAnsi="Calibri" w:eastAsia="宋体" w:cs="Times New Roman"/>
          <w:b/>
          <w:sz w:val="36"/>
          <w:szCs w:val="36"/>
        </w:rPr>
      </w:pPr>
      <w:bookmarkStart w:id="46"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6"/>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lang w:val="en-US" w:eastAsia="zh-CN"/>
        </w:rPr>
        <w:sectPr>
          <w:pgSz w:w="11907" w:h="16840"/>
          <w:pgMar w:top="1304" w:right="1418" w:bottom="1304" w:left="1418" w:header="724" w:footer="851" w:gutter="0"/>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7" w:name="_Toc17619"/>
      <w:bookmarkStart w:id="48" w:name="_Toc16330018"/>
      <w:bookmarkStart w:id="49" w:name="_Toc11823"/>
      <w:bookmarkStart w:id="50" w:name="_Toc9465"/>
      <w:bookmarkStart w:id="51" w:name="_Toc11930"/>
      <w:r>
        <w:rPr>
          <w:rFonts w:hint="eastAsia" w:ascii="黑体" w:hAnsi="黑体" w:eastAsia="黑体" w:cstheme="minorEastAsia"/>
          <w:b w:val="0"/>
          <w:sz w:val="28"/>
          <w:szCs w:val="28"/>
        </w:rPr>
        <w:t>1 合同设备</w:t>
      </w:r>
      <w:bookmarkEnd w:id="47"/>
      <w:bookmarkEnd w:id="48"/>
      <w:bookmarkEnd w:id="49"/>
      <w:bookmarkEnd w:id="50"/>
      <w:bookmarkEnd w:id="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2" w:name="_Toc32510"/>
      <w:bookmarkStart w:id="53" w:name="_Toc29026"/>
      <w:bookmarkStart w:id="54"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5" w:name="_Toc7716"/>
      <w:bookmarkStart w:id="56" w:name="_Toc16330019"/>
      <w:r>
        <w:rPr>
          <w:rFonts w:hint="eastAsia" w:ascii="黑体" w:hAnsi="黑体" w:eastAsia="黑体" w:cstheme="minorEastAsia"/>
          <w:b w:val="0"/>
          <w:sz w:val="28"/>
          <w:szCs w:val="28"/>
        </w:rPr>
        <w:t>2 包装</w:t>
      </w:r>
      <w:bookmarkEnd w:id="52"/>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7" w:name="_Toc30507"/>
      <w:bookmarkStart w:id="58" w:name="_Toc27144"/>
      <w:bookmarkStart w:id="59" w:name="_Toc2833"/>
      <w:bookmarkStart w:id="60" w:name="_Toc27453"/>
      <w:bookmarkStart w:id="61" w:name="_Toc16330020"/>
      <w:r>
        <w:rPr>
          <w:rFonts w:hint="eastAsia" w:ascii="黑体" w:hAnsi="黑体" w:eastAsia="黑体" w:cstheme="minorEastAsia"/>
          <w:b w:val="0"/>
          <w:sz w:val="28"/>
          <w:szCs w:val="28"/>
        </w:rPr>
        <w:t>3 运输标记</w:t>
      </w:r>
      <w:bookmarkEnd w:id="57"/>
      <w:bookmarkEnd w:id="58"/>
      <w:bookmarkEnd w:id="59"/>
      <w:bookmarkEnd w:id="60"/>
      <w:bookmarkEnd w:id="6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2" w:name="_Toc16330021"/>
      <w:bookmarkStart w:id="63" w:name="_Toc8624"/>
      <w:bookmarkStart w:id="64" w:name="_Toc7431"/>
      <w:bookmarkStart w:id="65" w:name="_Toc16133"/>
      <w:bookmarkStart w:id="66" w:name="_Toc10630"/>
      <w:r>
        <w:rPr>
          <w:rFonts w:hint="eastAsia" w:ascii="黑体" w:hAnsi="黑体" w:eastAsia="黑体" w:cstheme="minorEastAsia"/>
          <w:b w:val="0"/>
          <w:sz w:val="28"/>
          <w:szCs w:val="28"/>
        </w:rPr>
        <w:t>4 检验</w:t>
      </w:r>
      <w:bookmarkEnd w:id="62"/>
      <w:bookmarkEnd w:id="63"/>
      <w:bookmarkEnd w:id="64"/>
      <w:bookmarkEnd w:id="65"/>
      <w:bookmarkEnd w:id="6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7" w:name="_Toc14275"/>
      <w:bookmarkStart w:id="68" w:name="_Toc24467"/>
      <w:bookmarkStart w:id="69" w:name="_Toc16330022"/>
      <w:bookmarkStart w:id="70" w:name="_Toc19850"/>
      <w:bookmarkStart w:id="71" w:name="_Toc11217"/>
      <w:r>
        <w:rPr>
          <w:rFonts w:hint="eastAsia" w:ascii="黑体" w:hAnsi="黑体" w:eastAsia="黑体" w:cstheme="minorEastAsia"/>
          <w:b w:val="0"/>
          <w:sz w:val="28"/>
          <w:szCs w:val="28"/>
        </w:rPr>
        <w:t>5 权利担保</w:t>
      </w:r>
      <w:bookmarkEnd w:id="67"/>
      <w:bookmarkEnd w:id="68"/>
      <w:bookmarkEnd w:id="69"/>
      <w:bookmarkEnd w:id="70"/>
      <w:bookmarkEnd w:id="7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2" w:name="_Toc16330023"/>
      <w:bookmarkStart w:id="73" w:name="_Toc27500"/>
      <w:bookmarkStart w:id="74" w:name="_Toc20827"/>
      <w:bookmarkStart w:id="75" w:name="_Toc14809"/>
      <w:bookmarkStart w:id="76" w:name="_Toc11759"/>
      <w:r>
        <w:rPr>
          <w:rFonts w:hint="eastAsia" w:ascii="黑体" w:hAnsi="黑体" w:eastAsia="黑体" w:cstheme="minorEastAsia"/>
          <w:b w:val="0"/>
          <w:sz w:val="28"/>
          <w:szCs w:val="28"/>
        </w:rPr>
        <w:t>6 交货</w:t>
      </w:r>
      <w:bookmarkEnd w:id="72"/>
      <w:bookmarkEnd w:id="73"/>
      <w:bookmarkEnd w:id="74"/>
      <w:bookmarkEnd w:id="75"/>
      <w:bookmarkEnd w:id="7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7" w:name="_Toc23308"/>
      <w:bookmarkStart w:id="78" w:name="_Toc25510"/>
      <w:bookmarkStart w:id="79" w:name="_Toc16330024"/>
      <w:bookmarkStart w:id="80" w:name="_Toc2984"/>
      <w:bookmarkStart w:id="81" w:name="_Toc8024"/>
      <w:r>
        <w:rPr>
          <w:rFonts w:hint="eastAsia" w:ascii="黑体" w:hAnsi="黑体" w:eastAsia="黑体" w:cstheme="minorEastAsia"/>
          <w:b w:val="0"/>
          <w:sz w:val="28"/>
          <w:szCs w:val="28"/>
        </w:rPr>
        <w:t>7 安装、调试</w:t>
      </w:r>
      <w:bookmarkEnd w:id="77"/>
      <w:bookmarkEnd w:id="78"/>
      <w:bookmarkEnd w:id="79"/>
      <w:bookmarkEnd w:id="80"/>
      <w:bookmarkEnd w:id="81"/>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2" w:name="_Toc14260"/>
      <w:bookmarkStart w:id="83" w:name="_Toc16330025"/>
      <w:bookmarkStart w:id="84" w:name="_Toc15547"/>
      <w:bookmarkStart w:id="85" w:name="_Toc14098"/>
      <w:bookmarkStart w:id="86" w:name="_Toc6350"/>
      <w:r>
        <w:rPr>
          <w:rFonts w:hint="eastAsia" w:ascii="黑体" w:hAnsi="黑体" w:eastAsia="黑体" w:cstheme="minorEastAsia"/>
          <w:b w:val="0"/>
          <w:sz w:val="28"/>
          <w:szCs w:val="28"/>
        </w:rPr>
        <w:t>8 价款与支付</w:t>
      </w:r>
      <w:bookmarkEnd w:id="82"/>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7" w:name="_Toc14531628"/>
      <w:bookmarkStart w:id="88"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7"/>
      <w:bookmarkEnd w:id="88"/>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9" w:name="_Toc16330026"/>
      <w:bookmarkStart w:id="90" w:name="_Toc25708"/>
      <w:bookmarkStart w:id="91" w:name="_Toc21726"/>
      <w:bookmarkStart w:id="92" w:name="_Toc24085"/>
      <w:bookmarkStart w:id="93" w:name="_Toc6726"/>
      <w:r>
        <w:rPr>
          <w:rFonts w:hint="eastAsia" w:ascii="黑体" w:hAnsi="黑体" w:eastAsia="黑体" w:cstheme="minorEastAsia"/>
          <w:b w:val="0"/>
          <w:sz w:val="28"/>
          <w:szCs w:val="28"/>
        </w:rPr>
        <w:t>9 质量保证及售后服务</w:t>
      </w:r>
      <w:bookmarkEnd w:id="89"/>
      <w:bookmarkEnd w:id="90"/>
      <w:bookmarkEnd w:id="91"/>
      <w:bookmarkEnd w:id="92"/>
      <w:bookmarkEnd w:id="9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4" w:name="_Toc15570"/>
      <w:bookmarkStart w:id="95" w:name="_Toc10359"/>
      <w:bookmarkStart w:id="96" w:name="_Toc16330027"/>
      <w:bookmarkStart w:id="97" w:name="_Toc26769"/>
      <w:bookmarkStart w:id="98" w:name="_Toc12927"/>
      <w:r>
        <w:rPr>
          <w:rFonts w:hint="eastAsia" w:ascii="黑体" w:hAnsi="黑体" w:eastAsia="黑体" w:cstheme="minorEastAsia"/>
          <w:b w:val="0"/>
          <w:sz w:val="28"/>
          <w:szCs w:val="28"/>
        </w:rPr>
        <w:t>10法定责任</w:t>
      </w:r>
      <w:bookmarkEnd w:id="94"/>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9" w:name="_Toc9708"/>
      <w:bookmarkStart w:id="100" w:name="_Toc30381"/>
      <w:bookmarkStart w:id="101" w:name="_Toc27314"/>
      <w:bookmarkStart w:id="102" w:name="_Toc16330028"/>
      <w:bookmarkStart w:id="103" w:name="_Toc7698"/>
      <w:r>
        <w:rPr>
          <w:rFonts w:hint="eastAsia" w:ascii="黑体" w:hAnsi="黑体" w:eastAsia="黑体" w:cstheme="minorEastAsia"/>
          <w:b w:val="0"/>
          <w:sz w:val="28"/>
          <w:szCs w:val="28"/>
        </w:rPr>
        <w:t>11 违约责任</w:t>
      </w:r>
      <w:bookmarkEnd w:id="99"/>
      <w:bookmarkEnd w:id="100"/>
      <w:bookmarkEnd w:id="101"/>
      <w:bookmarkEnd w:id="102"/>
      <w:bookmarkEnd w:id="10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4" w:name="_Toc16330029"/>
      <w:bookmarkStart w:id="105" w:name="_Toc31554"/>
      <w:bookmarkStart w:id="106" w:name="_Toc1827"/>
      <w:bookmarkStart w:id="107" w:name="_Toc9172"/>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4"/>
    <w:bookmarkEnd w:id="105"/>
    <w:bookmarkEnd w:id="106"/>
    <w:bookmarkEnd w:id="107"/>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8" w:name="_Toc23793"/>
      <w:r>
        <w:rPr>
          <w:rFonts w:hint="eastAsia" w:ascii="黑体" w:hAnsi="黑体" w:eastAsia="黑体" w:cstheme="minorEastAsia"/>
          <w:b w:val="0"/>
          <w:sz w:val="28"/>
          <w:szCs w:val="28"/>
        </w:rPr>
        <w:t>12 合同的终止与解除</w:t>
      </w:r>
      <w:bookmarkEnd w:id="10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9" w:name="_Toc11937"/>
      <w:bookmarkStart w:id="110" w:name="_Toc8620"/>
      <w:bookmarkStart w:id="111" w:name="_Toc13671"/>
      <w:bookmarkStart w:id="112" w:name="_Toc16330030"/>
      <w:bookmarkStart w:id="113" w:name="_Toc31945"/>
      <w:r>
        <w:rPr>
          <w:rFonts w:hint="eastAsia" w:ascii="黑体" w:hAnsi="黑体" w:eastAsia="黑体" w:cstheme="minorEastAsia"/>
          <w:b w:val="0"/>
          <w:sz w:val="28"/>
          <w:szCs w:val="28"/>
        </w:rPr>
        <w:t>13 不可抗力</w:t>
      </w:r>
      <w:bookmarkEnd w:id="109"/>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4" w:name="_Toc30389"/>
      <w:bookmarkStart w:id="115" w:name="_Toc31243"/>
      <w:bookmarkStart w:id="116" w:name="_Toc16330031"/>
      <w:bookmarkStart w:id="117" w:name="_Toc18772"/>
      <w:bookmarkStart w:id="118" w:name="_Toc637"/>
      <w:r>
        <w:rPr>
          <w:rFonts w:hint="eastAsia" w:ascii="黑体" w:hAnsi="黑体" w:eastAsia="黑体" w:cstheme="minorEastAsia"/>
          <w:b w:val="0"/>
          <w:sz w:val="28"/>
          <w:szCs w:val="28"/>
        </w:rPr>
        <w:t>14 通讯</w:t>
      </w:r>
      <w:bookmarkEnd w:id="114"/>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19" w:name="_Toc16330032"/>
      <w:bookmarkStart w:id="120" w:name="_Toc12984"/>
      <w:bookmarkStart w:id="121" w:name="_Toc9915"/>
      <w:bookmarkStart w:id="122" w:name="_Toc11290"/>
      <w:bookmarkStart w:id="123" w:name="_Toc23011"/>
      <w:r>
        <w:rPr>
          <w:rFonts w:hint="eastAsia" w:ascii="黑体" w:hAnsi="黑体" w:eastAsia="黑体" w:cstheme="minorEastAsia"/>
          <w:b w:val="0"/>
          <w:sz w:val="28"/>
          <w:szCs w:val="28"/>
        </w:rPr>
        <w:t>15 适用法律及争议解决</w:t>
      </w:r>
      <w:bookmarkEnd w:id="119"/>
      <w:bookmarkEnd w:id="120"/>
      <w:bookmarkEnd w:id="121"/>
      <w:bookmarkEnd w:id="122"/>
      <w:bookmarkEnd w:id="12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4" w:name="_Toc16330033"/>
      <w:bookmarkStart w:id="125" w:name="_Toc18207"/>
      <w:bookmarkStart w:id="126" w:name="_Toc23765"/>
      <w:bookmarkStart w:id="127" w:name="_Toc23906"/>
      <w:bookmarkStart w:id="128" w:name="_Toc5747"/>
      <w:r>
        <w:rPr>
          <w:rFonts w:hint="eastAsia" w:ascii="黑体" w:hAnsi="黑体" w:eastAsia="黑体" w:cstheme="minorEastAsia"/>
          <w:b w:val="0"/>
          <w:sz w:val="28"/>
          <w:szCs w:val="28"/>
        </w:rPr>
        <w:t>16 附件</w:t>
      </w:r>
      <w:bookmarkEnd w:id="124"/>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9" w:name="_Toc27202"/>
      <w:bookmarkStart w:id="130" w:name="_Toc31331"/>
      <w:bookmarkStart w:id="131" w:name="_Toc16330034"/>
      <w:bookmarkStart w:id="132" w:name="_Toc9594"/>
      <w:bookmarkStart w:id="133" w:name="_Toc17656"/>
      <w:r>
        <w:rPr>
          <w:rFonts w:hint="eastAsia" w:ascii="黑体" w:hAnsi="黑体" w:eastAsia="黑体" w:cstheme="minorEastAsia"/>
          <w:b w:val="0"/>
          <w:sz w:val="28"/>
          <w:szCs w:val="28"/>
        </w:rPr>
        <w:t>17 其他规定</w:t>
      </w:r>
      <w:bookmarkEnd w:id="129"/>
      <w:bookmarkEnd w:id="130"/>
      <w:bookmarkEnd w:id="131"/>
      <w:bookmarkEnd w:id="132"/>
      <w:bookmarkEnd w:id="13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4" w:name="_Toc19077"/>
      <w:bookmarkStart w:id="135" w:name="_Toc29136"/>
      <w:bookmarkStart w:id="136" w:name="_Toc16330035"/>
      <w:bookmarkStart w:id="137"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8" w:name="_Toc15340"/>
      <w:r>
        <w:rPr>
          <w:rFonts w:hint="eastAsia" w:ascii="黑体" w:hAnsi="黑体" w:eastAsia="黑体" w:cstheme="minorEastAsia"/>
          <w:b w:val="0"/>
          <w:sz w:val="28"/>
          <w:szCs w:val="28"/>
        </w:rPr>
        <w:t>18 签署事项</w:t>
      </w:r>
      <w:bookmarkEnd w:id="134"/>
      <w:bookmarkEnd w:id="135"/>
      <w:bookmarkEnd w:id="136"/>
      <w:bookmarkEnd w:id="137"/>
      <w:bookmarkEnd w:id="1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9" w:name="_Toc10272"/>
      <w:bookmarkStart w:id="140" w:name="_Toc15689"/>
      <w:bookmarkStart w:id="141" w:name="_Toc16330036"/>
      <w:bookmarkStart w:id="142" w:name="_Toc28611"/>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9"/>
    <w:bookmarkEnd w:id="140"/>
    <w:bookmarkEnd w:id="141"/>
    <w:bookmarkEnd w:id="142"/>
    <w:p>
      <w:pPr>
        <w:rPr>
          <w:sz w:val="24"/>
          <w:szCs w:val="24"/>
        </w:rPr>
      </w:pPr>
    </w:p>
    <w:p>
      <w:pPr>
        <w:pStyle w:val="4"/>
        <w:tabs>
          <w:tab w:val="right" w:leader="dot" w:pos="9061"/>
        </w:tabs>
        <w:rPr>
          <w:rFonts w:ascii="黑体" w:hAnsi="黑体" w:eastAsia="黑体" w:cstheme="minorEastAsia"/>
          <w:b w:val="0"/>
          <w:sz w:val="28"/>
          <w:szCs w:val="28"/>
        </w:rPr>
      </w:pPr>
      <w:bookmarkStart w:id="143" w:name="_Toc14581"/>
      <w:r>
        <w:rPr>
          <w:rFonts w:hint="eastAsia" w:ascii="黑体" w:hAnsi="黑体" w:eastAsia="黑体" w:cstheme="minorEastAsia"/>
          <w:b w:val="0"/>
          <w:sz w:val="28"/>
          <w:szCs w:val="28"/>
        </w:rPr>
        <w:t>附件一：设备清单明细表</w:t>
      </w:r>
      <w:bookmarkEnd w:id="143"/>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4" w:name="_Toc16330037"/>
      <w:bookmarkStart w:id="145" w:name="_Toc25120"/>
      <w:bookmarkStart w:id="146" w:name="_Toc24623"/>
      <w:bookmarkStart w:id="147" w:name="_Toc3778"/>
      <w:bookmarkStart w:id="148" w:name="_Toc5379"/>
    </w:p>
    <w:p>
      <w:pPr>
        <w:rPr>
          <w:rFonts w:ascii="黑体" w:hAnsi="黑体" w:eastAsia="黑体" w:cstheme="minorEastAsia"/>
          <w:b w:val="0"/>
          <w:sz w:val="28"/>
          <w:szCs w:val="28"/>
        </w:rPr>
      </w:pPr>
      <w:bookmarkStart w:id="149" w:name="_Toc8175"/>
      <w:r>
        <w:rPr>
          <w:rFonts w:hint="eastAsia" w:ascii="黑体" w:hAnsi="黑体" w:eastAsia="黑体" w:cstheme="minorEastAsia"/>
          <w:b w:val="0"/>
          <w:sz w:val="28"/>
          <w:szCs w:val="28"/>
        </w:rPr>
        <w:t xml:space="preserve">附件二 </w:t>
      </w:r>
      <w:bookmarkEnd w:id="144"/>
      <w:bookmarkEnd w:id="145"/>
      <w:bookmarkEnd w:id="146"/>
      <w:bookmarkEnd w:id="147"/>
      <w:bookmarkEnd w:id="148"/>
      <w:r>
        <w:rPr>
          <w:rFonts w:hint="eastAsia" w:ascii="黑体" w:hAnsi="黑体" w:eastAsia="黑体" w:cstheme="minorEastAsia"/>
          <w:b w:val="0"/>
          <w:sz w:val="28"/>
          <w:szCs w:val="28"/>
        </w:rPr>
        <w:t>技术协议书</w:t>
      </w:r>
      <w:bookmarkEnd w:id="149"/>
    </w:p>
    <w:p>
      <w:pPr>
        <w:ind w:right="360"/>
        <w:rPr>
          <w:rFonts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50"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0"/>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1" w:name="_Toc353881012"/>
      <w:bookmarkStart w:id="152" w:name="_Toc212369550"/>
      <w:bookmarkStart w:id="153" w:name="_Toc25811"/>
      <w:bookmarkStart w:id="154"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1"/>
      <w:bookmarkEnd w:id="152"/>
      <w:bookmarkEnd w:id="153"/>
      <w:bookmarkEnd w:id="154"/>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Times New Roman"/>
          <w:b/>
          <w:bCs/>
          <w:color w:val="000000"/>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w:t>
      </w:r>
      <w:r>
        <w:rPr>
          <w:rFonts w:hint="eastAsia" w:ascii="宋体" w:hAnsi="宋体" w:eastAsia="宋体" w:cs="Times New Roman"/>
          <w:color w:val="000000"/>
          <w:sz w:val="24"/>
          <w:szCs w:val="24"/>
          <w:highlight w:val="none"/>
        </w:rPr>
        <w:t>本一份、副本</w:t>
      </w:r>
      <w:r>
        <w:rPr>
          <w:rFonts w:hint="eastAsia" w:ascii="宋体" w:hAnsi="宋体" w:eastAsia="宋体" w:cs="Times New Roman"/>
          <w:color w:val="000000"/>
          <w:sz w:val="24"/>
          <w:szCs w:val="24"/>
          <w:highlight w:val="none"/>
          <w:lang w:val="en-US" w:eastAsia="zh-CN"/>
        </w:rPr>
        <w:t>两</w:t>
      </w:r>
      <w:r>
        <w:rPr>
          <w:rFonts w:hint="eastAsia" w:ascii="宋体" w:hAnsi="宋体" w:eastAsia="宋体" w:cs="Times New Roman"/>
          <w:color w:val="000000"/>
          <w:sz w:val="24"/>
          <w:szCs w:val="24"/>
          <w:highlight w:val="none"/>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Times New Roman"/>
          <w:b/>
          <w:bCs/>
          <w:color w:val="000000"/>
          <w:sz w:val="24"/>
          <w:szCs w:val="24"/>
          <w:u w:val="single"/>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编号</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none"/>
          <w:lang w:val="en-US" w:eastAsia="zh-CN"/>
        </w:rPr>
        <w:t xml:space="preserve"> </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hint="eastAsia" w:ascii="Times New Roman" w:hAnsi="Times New Roman" w:eastAsia="宋体" w:cs="Times New Roman"/>
                <w:b/>
                <w:szCs w:val="20"/>
                <w:lang w:eastAsia="zh-CN"/>
              </w:rPr>
            </w:pPr>
          </w:p>
        </w:tc>
        <w:tc>
          <w:tcPr>
            <w:tcW w:w="780" w:type="dxa"/>
            <w:vAlign w:val="center"/>
          </w:tcPr>
          <w:p>
            <w:pPr>
              <w:jc w:val="center"/>
              <w:rPr>
                <w:rFonts w:hint="eastAsia" w:ascii="Times New Roman" w:hAnsi="Times New Roman" w:eastAsia="宋体" w:cs="Times New Roman"/>
                <w:b/>
                <w:szCs w:val="20"/>
                <w:lang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eastAsia="zh-CN"/>
              </w:rPr>
              <w:t>套</w:t>
            </w:r>
          </w:p>
        </w:tc>
        <w:tc>
          <w:tcPr>
            <w:tcW w:w="158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pgNumType w:fmt="decimal"/>
          <w:cols w:space="720" w:num="1"/>
          <w:titlePg/>
          <w:docGrid w:type="lines" w:linePitch="312" w:charSpace="0"/>
        </w:sectPr>
      </w:pPr>
    </w:p>
    <w:p>
      <w:pPr>
        <w:rPr>
          <w:rFonts w:hint="eastAsia" w:ascii="宋体" w:hAnsi="宋体" w:cs="宋体"/>
          <w:color w:val="000000"/>
          <w:sz w:val="24"/>
          <w:szCs w:val="24"/>
        </w:rPr>
      </w:pPr>
    </w:p>
    <w:p>
      <w:pPr>
        <w:pStyle w:val="5"/>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i w:val="0"/>
          <w:iCs w:val="0"/>
          <w:caps w:val="0"/>
          <w:spacing w:val="-1"/>
          <w:sz w:val="21"/>
          <w:szCs w:val="21"/>
          <w:u w:val="none"/>
          <w:shd w:val="clear"/>
          <w14:textOutline w14:w="3835" w14:cap="flat" w14:cmpd="sng" w14:algn="ctr">
            <w14:solidFill>
              <w14:srgbClr w14:val="000000"/>
            </w14:solidFill>
            <w14:prstDash w14:val="solid"/>
            <w14:miter w14:val="0"/>
          </w14:textOutline>
        </w:rPr>
        <w:t>CGZX2023040217</w:t>
      </w:r>
      <w:r>
        <w:rPr>
          <w:rFonts w:ascii="宋体" w:hAnsi="宋体" w:eastAsia="宋体" w:cs="宋体"/>
          <w:spacing w:val="-1"/>
          <w:szCs w:val="21"/>
          <w:u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color w:val="FF0000"/>
                <w:szCs w:val="21"/>
              </w:rPr>
            </w:pP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序</w:t>
            </w: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号</w:t>
            </w:r>
          </w:p>
        </w:tc>
        <w:tc>
          <w:tcPr>
            <w:tcW w:w="2238" w:type="dxa"/>
          </w:tcPr>
          <w:p>
            <w:pPr>
              <w:spacing w:before="221" w:line="220" w:lineRule="auto"/>
              <w:ind w:left="707"/>
              <w:rPr>
                <w:rFonts w:ascii="宋体" w:hAnsi="宋体" w:eastAsia="宋体" w:cs="宋体"/>
                <w:color w:val="FF0000"/>
                <w:szCs w:val="21"/>
              </w:rPr>
            </w:pP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称</w:t>
            </w:r>
          </w:p>
        </w:tc>
        <w:tc>
          <w:tcPr>
            <w:tcW w:w="2239" w:type="dxa"/>
          </w:tcPr>
          <w:p>
            <w:pPr>
              <w:spacing w:before="221" w:line="221" w:lineRule="auto"/>
              <w:ind w:left="604"/>
              <w:rPr>
                <w:rFonts w:ascii="宋体" w:hAnsi="宋体" w:eastAsia="宋体" w:cs="宋体"/>
                <w:color w:val="FF0000"/>
                <w:szCs w:val="21"/>
              </w:rPr>
            </w:pP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color w:val="FF0000"/>
                <w:szCs w:val="21"/>
              </w:rPr>
            </w:pP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数量</w:t>
            </w:r>
          </w:p>
        </w:tc>
        <w:tc>
          <w:tcPr>
            <w:tcW w:w="1682" w:type="dxa"/>
          </w:tcPr>
          <w:p>
            <w:pPr>
              <w:spacing w:before="59" w:line="254" w:lineRule="auto"/>
              <w:ind w:left="0" w:right="308" w:firstLine="0"/>
              <w:jc w:val="center"/>
              <w:rPr>
                <w:rFonts w:ascii="宋体" w:hAnsi="宋体" w:eastAsia="宋体" w:cs="宋体"/>
                <w:color w:val="FF0000"/>
                <w:szCs w:val="21"/>
              </w:rPr>
            </w:pPr>
            <w:r>
              <w:rPr>
                <w:rFonts w:hint="eastAsia" w:ascii="宋体" w:hAnsi="宋体" w:eastAsia="宋体" w:cs="宋体"/>
                <w:color w:val="FF0000"/>
                <w:spacing w:val="-3"/>
                <w:szCs w:val="21"/>
                <w:lang w:val="en-US" w:eastAsia="zh-CN"/>
                <w14:textOutline w14:w="3835" w14:cap="flat" w14:cmpd="sng" w14:algn="ctr">
                  <w14:solidFill>
                    <w14:srgbClr w14:val="000000"/>
                  </w14:solidFill>
                  <w14:prstDash w14:val="solid"/>
                  <w14:miter w14:val="0"/>
                </w14:textOutline>
              </w:rPr>
              <w:t xml:space="preserve">  </w:t>
            </w:r>
            <w:r>
              <w:rPr>
                <w:rFonts w:ascii="宋体" w:hAnsi="宋体" w:eastAsia="宋体" w:cs="宋体"/>
                <w:color w:val="FF0000"/>
                <w:spacing w:val="-3"/>
                <w:szCs w:val="21"/>
                <w14:textOutline w14:w="3835" w14:cap="flat" w14:cmpd="sng" w14:algn="ctr">
                  <w14:solidFill>
                    <w14:srgbClr w14:val="000000"/>
                  </w14:solidFill>
                  <w14:prstDash w14:val="solid"/>
                  <w14:miter w14:val="0"/>
                </w14:textOutline>
              </w:rPr>
              <w:t>原</w:t>
            </w: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color w:val="FF0000"/>
                <w:szCs w:val="21"/>
                <w14:textOutline w14:w="3835" w14:cap="flat" w14:cmpd="sng" w14:algn="ctr">
                  <w14:solidFill>
                    <w14:srgbClr w14:val="000000"/>
                  </w14:solidFill>
                  <w14:prstDash w14:val="solid"/>
                  <w14:miter w14:val="0"/>
                </w14:textOutline>
              </w:rPr>
              <w:t>称</w:t>
            </w:r>
          </w:p>
        </w:tc>
        <w:tc>
          <w:tcPr>
            <w:tcW w:w="2519" w:type="dxa"/>
            <w:tcBorders>
              <w:right w:val="single" w:color="000000" w:sz="4" w:space="0"/>
            </w:tcBorders>
          </w:tcPr>
          <w:p>
            <w:pPr>
              <w:spacing w:before="58" w:line="219" w:lineRule="auto"/>
              <w:ind w:left="0"/>
              <w:jc w:val="center"/>
              <w:rPr>
                <w:rFonts w:ascii="宋体" w:hAnsi="宋体" w:eastAsia="宋体" w:cs="宋体"/>
                <w:color w:val="FF0000"/>
                <w:szCs w:val="21"/>
              </w:rPr>
            </w:pP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单</w:t>
            </w:r>
            <w:r>
              <w:rPr>
                <w:rFonts w:ascii="宋体" w:hAnsi="宋体" w:eastAsia="宋体" w:cs="宋体"/>
                <w:color w:val="FF0000"/>
                <w:szCs w:val="21"/>
                <w14:textOutline w14:w="3835" w14:cap="flat" w14:cmpd="sng" w14:algn="ctr">
                  <w14:solidFill>
                    <w14:srgbClr w14:val="000000"/>
                  </w14:solidFill>
                  <w14:prstDash w14:val="solid"/>
                  <w14:miter w14:val="0"/>
                </w14:textOutline>
              </w:rPr>
              <w:t>价</w:t>
            </w:r>
            <w: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FF0000"/>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t>含税）</w:t>
            </w:r>
          </w:p>
          <w:p>
            <w:pPr>
              <w:spacing w:before="78" w:line="221" w:lineRule="auto"/>
              <w:ind w:left="1093"/>
              <w:rPr>
                <w:rFonts w:ascii="宋体" w:hAnsi="宋体" w:eastAsia="宋体" w:cs="宋体"/>
                <w:color w:val="FF0000"/>
                <w:szCs w:val="21"/>
              </w:rPr>
            </w:pPr>
            <w:r>
              <w:rPr>
                <w:rFonts w:ascii="宋体" w:hAnsi="宋体" w:eastAsia="宋体" w:cs="宋体"/>
                <w:color w:val="FF0000"/>
                <w:spacing w:val="-16"/>
                <w:szCs w:val="21"/>
                <w14:textOutline w14:w="3835" w14:cap="flat" w14:cmpd="sng" w14:algn="ctr">
                  <w14:solidFill>
                    <w14:srgbClr w14:val="000000"/>
                  </w14:solidFill>
                  <w14:prstDash w14:val="solid"/>
                  <w14:miter w14:val="0"/>
                </w14:textOutline>
              </w:rPr>
              <w:t>(</w:t>
            </w:r>
            <w:r>
              <w:rPr>
                <w:rFonts w:ascii="宋体" w:hAnsi="宋体" w:eastAsia="宋体" w:cs="宋体"/>
                <w:color w:val="FF0000"/>
                <w:spacing w:val="-14"/>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tcPr>
          <w:p>
            <w:pPr>
              <w:spacing w:before="58" w:line="219" w:lineRule="auto"/>
              <w:ind w:left="0" w:leftChars="0" w:firstLine="0" w:firstLineChars="0"/>
              <w:jc w:val="cente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pP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color w:val="FF0000"/>
                <w:szCs w:val="21"/>
                <w14:textOutline w14:w="3835" w14:cap="flat" w14:cmpd="sng" w14:algn="ctr">
                  <w14:solidFill>
                    <w14:srgbClr w14:val="000000"/>
                  </w14:solidFill>
                  <w14:prstDash w14:val="solid"/>
                  <w14:miter w14:val="0"/>
                </w14:textOutline>
              </w:rPr>
              <w:t>×6]</w:t>
            </w:r>
            <w: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FF0000"/>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t>含税）</w:t>
            </w:r>
          </w:p>
          <w:p>
            <w:pPr>
              <w:spacing w:before="58" w:line="219" w:lineRule="auto"/>
              <w:ind w:left="0" w:leftChars="0" w:firstLine="0" w:firstLineChars="0"/>
              <w:jc w:val="center"/>
              <w:rPr>
                <w:rFonts w:ascii="宋体" w:hAnsi="宋体" w:eastAsia="宋体" w:cs="宋体"/>
                <w:color w:val="FF0000"/>
                <w:szCs w:val="21"/>
              </w:rPr>
            </w:pPr>
            <w:r>
              <w:rPr>
                <w:rFonts w:ascii="宋体" w:hAnsi="宋体" w:eastAsia="宋体" w:cs="宋体"/>
                <w:color w:val="FF0000"/>
                <w:spacing w:val="27"/>
                <w:szCs w:val="21"/>
                <w14:textOutline w14:w="3835" w14:cap="flat" w14:cmpd="sng" w14:algn="ctr">
                  <w14:solidFill>
                    <w14:srgbClr w14:val="000000"/>
                  </w14:solidFill>
                  <w14:prstDash w14:val="solid"/>
                  <w14:miter w14:val="0"/>
                </w14:textOutline>
              </w:rPr>
              <w:t>(</w:t>
            </w:r>
            <w:r>
              <w:rPr>
                <w:rFonts w:ascii="宋体" w:hAnsi="宋体" w:eastAsia="宋体" w:cs="宋体"/>
                <w:color w:val="FF0000"/>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color w:val="FF0000"/>
                <w:szCs w:val="21"/>
              </w:rPr>
            </w:pP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备</w:t>
            </w:r>
            <w:r>
              <w:rPr>
                <w:rFonts w:ascii="宋体" w:hAnsi="宋体" w:eastAsia="宋体" w:cs="宋体"/>
                <w:color w:val="FF0000"/>
                <w:szCs w:val="21"/>
              </w:rPr>
              <w:t xml:space="preserve">  </w:t>
            </w:r>
            <w:r>
              <w:rPr>
                <w:rFonts w:ascii="宋体" w:hAnsi="宋体" w:eastAsia="宋体" w:cs="宋体"/>
                <w:color w:val="FF0000"/>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抛丸器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kern w:val="2"/>
                <w:position w:val="1"/>
                <w:sz w:val="18"/>
                <w:szCs w:val="18"/>
                <w:lang w:val="en-US" w:eastAsia="zh-CN" w:bidi="ar-SA"/>
              </w:rPr>
            </w:pPr>
            <w:r>
              <w:rPr>
                <w:rFonts w:hint="eastAsia" w:ascii="宋体" w:hAnsi="宋体" w:eastAsia="宋体" w:cs="宋体"/>
                <w:b w:val="0"/>
                <w:bCs w:val="0"/>
                <w:kern w:val="2"/>
                <w:sz w:val="18"/>
                <w:szCs w:val="18"/>
                <w:highlight w:val="none"/>
                <w:lang w:val="en-US" w:eastAsia="zh-CN" w:bidi="ar-SA"/>
              </w:rPr>
              <w:t>2</w:t>
            </w:r>
          </w:p>
        </w:tc>
        <w:tc>
          <w:tcPr>
            <w:tcW w:w="2238" w:type="dxa"/>
            <w:vAlign w:val="center"/>
          </w:tcPr>
          <w:p>
            <w:pPr>
              <w:pStyle w:val="124"/>
              <w:spacing w:before="78" w:after="78"/>
              <w:jc w:val="center"/>
              <w:rPr>
                <w:rFonts w:hint="eastAsia" w:ascii="宋体" w:hAnsi="宋体" w:eastAsia="宋体" w:cs="宋体"/>
                <w:color w:val="auto"/>
                <w:kern w:val="2"/>
                <w:sz w:val="18"/>
                <w:szCs w:val="18"/>
                <w:lang w:val="en-US" w:eastAsia="zh-CN" w:bidi="ar-SA"/>
              </w:rPr>
            </w:pPr>
            <w:r>
              <w:rPr>
                <w:rFonts w:hint="eastAsia" w:ascii="宋体" w:hAnsi="宋体" w:eastAsia="宋体" w:cs="宋体"/>
                <w:b w:val="0"/>
                <w:bCs w:val="0"/>
                <w:kern w:val="2"/>
                <w:sz w:val="18"/>
                <w:szCs w:val="18"/>
                <w:highlight w:val="none"/>
                <w:lang w:val="en-US" w:eastAsia="zh-CN" w:bidi="ar-SA"/>
              </w:rPr>
              <w:t>轴承室</w:t>
            </w:r>
          </w:p>
        </w:tc>
        <w:tc>
          <w:tcPr>
            <w:tcW w:w="2239" w:type="dxa"/>
            <w:vAlign w:val="center"/>
          </w:tcPr>
          <w:p>
            <w:pPr>
              <w:keepNext w:val="0"/>
              <w:keepLines w:val="0"/>
              <w:widowControl/>
              <w:suppressLineNumbers w:val="0"/>
              <w:jc w:val="center"/>
              <w:textAlignment w:val="center"/>
              <w:rPr>
                <w:rFonts w:hint="eastAsia" w:ascii="宋体" w:hAnsi="宋体" w:eastAsia="宋体" w:cs="宋体"/>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3</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CPU(SMART-200)</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4</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西门子触摸屏（700）</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5</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无线交换机（八口）</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6</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斗式提升机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7</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驱动皮带</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8</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sz w:val="18"/>
                <w:szCs w:val="18"/>
                <w:highlight w:val="none"/>
                <w:lang w:eastAsia="zh-CN"/>
              </w:rPr>
              <w:t>翻斗加料装置</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9</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室体</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10</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摆床</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11</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丸料分离系统</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12</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sz w:val="18"/>
                <w:szCs w:val="18"/>
                <w:highlight w:val="none"/>
              </w:rPr>
              <w:t>振动筛分输送机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13</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sz w:val="18"/>
                <w:szCs w:val="18"/>
                <w:highlight w:val="none"/>
              </w:rPr>
              <w:t>螺旋给料器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14</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料框</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15</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除尘</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16</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隔音房</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eastAsia" w:ascii="宋体" w:hAnsi="宋体" w:eastAsia="宋体" w:cs="宋体"/>
                <w:color w:val="auto"/>
                <w:position w:val="1"/>
                <w:sz w:val="18"/>
                <w:szCs w:val="18"/>
                <w:lang w:val="en-US" w:eastAsia="zh-CN"/>
              </w:rPr>
            </w:pPr>
            <w:r>
              <w:rPr>
                <w:rFonts w:hint="eastAsia" w:ascii="宋体" w:hAnsi="宋体" w:eastAsia="宋体" w:cs="宋体"/>
                <w:b w:val="0"/>
                <w:bCs w:val="0"/>
                <w:kern w:val="2"/>
                <w:sz w:val="18"/>
                <w:szCs w:val="18"/>
                <w:highlight w:val="none"/>
                <w:lang w:val="en-US" w:eastAsia="zh-CN" w:bidi="ar-SA"/>
              </w:rPr>
              <w:t>17</w:t>
            </w:r>
          </w:p>
        </w:tc>
        <w:tc>
          <w:tcPr>
            <w:tcW w:w="2238" w:type="dxa"/>
            <w:vAlign w:val="center"/>
          </w:tcPr>
          <w:p>
            <w:pPr>
              <w:pStyle w:val="124"/>
              <w:spacing w:before="78" w:after="78"/>
              <w:jc w:val="center"/>
              <w:rPr>
                <w:rFonts w:hint="eastAsia" w:ascii="宋体" w:hAnsi="宋体" w:eastAsia="宋体" w:cs="宋体"/>
                <w:color w:val="auto"/>
                <w:sz w:val="18"/>
                <w:szCs w:val="18"/>
                <w:lang w:val="en-US" w:eastAsia="zh-CN"/>
              </w:rPr>
            </w:pPr>
            <w:r>
              <w:rPr>
                <w:rFonts w:hint="eastAsia" w:ascii="宋体" w:hAnsi="宋体" w:eastAsia="宋体" w:cs="宋体"/>
                <w:b w:val="0"/>
                <w:bCs w:val="0"/>
                <w:kern w:val="2"/>
                <w:sz w:val="18"/>
                <w:szCs w:val="18"/>
                <w:highlight w:val="none"/>
                <w:lang w:val="en-US" w:eastAsia="zh-CN" w:bidi="ar-SA"/>
              </w:rPr>
              <w:t>配电柜（配空调）</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宋体"/>
                <w:b w:val="0"/>
                <w:bCs w:val="0"/>
                <w:kern w:val="2"/>
                <w:sz w:val="18"/>
                <w:szCs w:val="18"/>
                <w:highlight w:val="none"/>
                <w:lang w:val="en-US" w:eastAsia="zh-CN" w:bidi="ar-SA"/>
              </w:rPr>
            </w:pPr>
            <w:r>
              <w:rPr>
                <w:rFonts w:hint="eastAsia" w:ascii="宋体" w:hAnsi="宋体" w:eastAsia="宋体" w:cs="宋体"/>
                <w:b w:val="0"/>
                <w:bCs w:val="0"/>
                <w:kern w:val="2"/>
                <w:sz w:val="18"/>
                <w:szCs w:val="18"/>
                <w:highlight w:val="none"/>
                <w:lang w:val="en-US" w:eastAsia="zh-CN" w:bidi="ar-SA"/>
              </w:rPr>
              <w:t>18</w:t>
            </w:r>
          </w:p>
        </w:tc>
        <w:tc>
          <w:tcPr>
            <w:tcW w:w="2238" w:type="dxa"/>
            <w:vAlign w:val="center"/>
          </w:tcPr>
          <w:p>
            <w:pPr>
              <w:pStyle w:val="124"/>
              <w:spacing w:before="78" w:after="78"/>
              <w:jc w:val="center"/>
              <w:rPr>
                <w:rFonts w:hint="eastAsia" w:ascii="宋体" w:hAnsi="宋体" w:eastAsia="宋体" w:cs="宋体"/>
                <w:b w:val="0"/>
                <w:bCs w:val="0"/>
                <w:kern w:val="2"/>
                <w:sz w:val="18"/>
                <w:szCs w:val="18"/>
                <w:highlight w:val="none"/>
                <w:lang w:val="en-US" w:eastAsia="zh-CN" w:bidi="ar-SA"/>
              </w:rPr>
            </w:pPr>
            <w:r>
              <w:rPr>
                <w:rFonts w:hint="eastAsia" w:ascii="宋体" w:hAnsi="宋体" w:eastAsia="宋体" w:cs="宋体"/>
                <w:b w:val="0"/>
                <w:bCs w:val="0"/>
                <w:kern w:val="2"/>
                <w:sz w:val="18"/>
                <w:szCs w:val="18"/>
                <w:highlight w:val="none"/>
                <w:lang w:val="en-US" w:eastAsia="zh-CN" w:bidi="ar-SA"/>
              </w:rPr>
              <w:t>上位工控机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kern w:val="2"/>
                <w:sz w:val="18"/>
                <w:szCs w:val="18"/>
                <w:highlight w:val="none"/>
                <w:u w:val="none"/>
                <w:lang w:val="en-US" w:eastAsia="zh-CN" w:bidi="ar-SA"/>
              </w:rPr>
              <w:t>19</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投标方补充</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color w:val="FF0000"/>
              </w:rPr>
            </w:pPr>
            <w:r>
              <w:rPr>
                <w:rFonts w:ascii="宋体" w:hAnsi="宋体" w:eastAsia="宋体" w:cs="宋体"/>
                <w:color w:val="FF0000"/>
                <w:spacing w:val="-6"/>
                <w:szCs w:val="21"/>
              </w:rPr>
              <w:t>总</w:t>
            </w:r>
            <w:r>
              <w:rPr>
                <w:rFonts w:ascii="宋体" w:hAnsi="宋体" w:eastAsia="宋体" w:cs="宋体"/>
                <w:color w:val="FF0000"/>
                <w:spacing w:val="-4"/>
                <w:szCs w:val="21"/>
              </w:rPr>
              <w:t>价合计列入价格汇总表 1-</w:t>
            </w:r>
            <w:r>
              <w:rPr>
                <w:rFonts w:hint="eastAsia" w:ascii="宋体" w:hAnsi="宋体" w:eastAsia="宋体" w:cs="宋体"/>
                <w:color w:val="FF0000"/>
                <w:spacing w:val="-4"/>
                <w:szCs w:val="21"/>
              </w:rPr>
              <w:t>5</w:t>
            </w: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宋体" w:hAnsi="宋体" w:eastAsia="宋体" w:cs="宋体"/>
                <w:color w:val="FF0000"/>
                <w:spacing w:val="-6"/>
                <w:szCs w:val="21"/>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8"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outlineLvl w:val="3"/>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1-</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i w:val="0"/>
          <w:iCs w:val="0"/>
          <w:caps w:val="0"/>
          <w:spacing w:val="-1"/>
          <w:sz w:val="21"/>
          <w:szCs w:val="21"/>
          <w:u w:val="none"/>
          <w:shd w:val="clear"/>
          <w14:textOutline w14:w="3835" w14:cap="flat" w14:cmpd="sng" w14:algn="ctr">
            <w14:solidFill>
              <w14:srgbClr w14:val="000000"/>
            </w14:solidFill>
            <w14:prstDash w14:val="solid"/>
            <w14:miter w14:val="0"/>
          </w14:textOutline>
        </w:rPr>
        <w:t>CGZX2023040217</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9" w:type="default"/>
          <w:pgSz w:w="16841" w:h="11907"/>
          <w:pgMar w:top="400" w:right="1699" w:bottom="1184" w:left="1481" w:header="0" w:footer="1022" w:gutter="0"/>
          <w:pgNumType w:fmt="decimal"/>
          <w:cols w:space="720" w:num="1"/>
        </w:sectPr>
      </w:pPr>
    </w:p>
    <w:p>
      <w:pPr>
        <w:outlineLvl w:val="3"/>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1-</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i w:val="0"/>
          <w:iCs w:val="0"/>
          <w:caps w:val="0"/>
          <w:spacing w:val="-1"/>
          <w:sz w:val="21"/>
          <w:szCs w:val="21"/>
          <w:u w:val="none"/>
          <w:shd w:val="clear"/>
          <w14:textOutline w14:w="3835" w14:cap="flat" w14:cmpd="sng" w14:algn="ctr">
            <w14:solidFill>
              <w14:srgbClr w14:val="000000"/>
            </w14:solidFill>
            <w14:prstDash w14:val="solid"/>
            <w14:miter w14:val="0"/>
          </w14:textOutline>
        </w:rPr>
        <w:t>CGZX2023040217</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现场安装</w:t>
            </w:r>
          </w:p>
        </w:tc>
        <w:tc>
          <w:tcPr>
            <w:tcW w:w="1241" w:type="dxa"/>
          </w:tcPr>
          <w:p>
            <w:pPr>
              <w:spacing w:before="266" w:line="221" w:lineRule="auto"/>
              <w:jc w:val="center"/>
              <w:rPr>
                <w:rFonts w:hint="eastAsia" w:ascii="宋体" w:hAnsi="宋体" w:eastAsia="宋体" w:cs="宋体"/>
                <w:spacing w:val="-2"/>
                <w:szCs w:val="21"/>
                <w:lang w:val="en-US" w:eastAsia="zh-CN"/>
              </w:rPr>
            </w:pPr>
          </w:p>
        </w:tc>
        <w:tc>
          <w:tcPr>
            <w:tcW w:w="1255" w:type="dxa"/>
          </w:tcPr>
          <w:p>
            <w:pPr>
              <w:spacing w:before="266" w:line="221" w:lineRule="auto"/>
              <w:jc w:val="center"/>
              <w:rPr>
                <w:rFonts w:hint="default" w:ascii="宋体" w:hAnsi="宋体" w:eastAsia="宋体" w:cs="宋体"/>
                <w:spacing w:val="-2"/>
                <w:szCs w:val="21"/>
                <w:lang w:val="en-US" w:eastAsia="zh-CN"/>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现场调试、</w:t>
            </w:r>
            <w:r>
              <w:rPr>
                <w:rFonts w:ascii="宋体" w:hAnsi="宋体" w:eastAsia="宋体" w:cs="宋体"/>
                <w:szCs w:val="21"/>
              </w:rPr>
              <w:t>试车</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hint="default" w:ascii="宋体" w:hAnsi="宋体" w:eastAsia="宋体" w:cs="宋体"/>
                <w:spacing w:val="-2"/>
                <w:szCs w:val="21"/>
                <w:lang w:val="en-US" w:eastAsia="zh-CN"/>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1" w:line="185" w:lineRule="auto"/>
              <w:ind w:left="427"/>
              <w:rPr>
                <w:rFonts w:ascii="宋体" w:hAnsi="宋体" w:eastAsia="宋体" w:cs="宋体"/>
                <w:szCs w:val="21"/>
              </w:rPr>
            </w:pPr>
            <w:r>
              <w:rPr>
                <w:rFonts w:hint="eastAsia" w:ascii="宋体" w:hAnsi="宋体" w:eastAsia="宋体" w:cs="宋体"/>
                <w:szCs w:val="21"/>
                <w:lang w:val="en-US" w:eastAsia="zh-CN"/>
              </w:rPr>
              <w:t>3</w:t>
            </w:r>
          </w:p>
        </w:tc>
        <w:tc>
          <w:tcPr>
            <w:tcW w:w="3995" w:type="dxa"/>
          </w:tcPr>
          <w:p>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pPr>
              <w:spacing w:before="266" w:line="221" w:lineRule="auto"/>
              <w:jc w:val="center"/>
              <w:rPr>
                <w:rFonts w:hint="eastAsia" w:ascii="宋体" w:hAnsi="宋体" w:eastAsia="宋体" w:cs="宋体"/>
                <w:spacing w:val="-2"/>
                <w:szCs w:val="21"/>
                <w:lang w:val="en-US" w:eastAsia="zh-CN"/>
              </w:rPr>
            </w:pPr>
          </w:p>
        </w:tc>
        <w:tc>
          <w:tcPr>
            <w:tcW w:w="1255" w:type="dxa"/>
          </w:tcPr>
          <w:p>
            <w:pPr>
              <w:spacing w:before="266" w:line="221" w:lineRule="auto"/>
              <w:jc w:val="center"/>
              <w:rPr>
                <w:rFonts w:hint="default" w:ascii="宋体" w:hAnsi="宋体" w:eastAsia="宋体" w:cs="宋体"/>
                <w:spacing w:val="-2"/>
                <w:szCs w:val="21"/>
                <w:lang w:val="en-US" w:eastAsia="zh-CN"/>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6" w:line="182" w:lineRule="auto"/>
              <w:ind w:left="432"/>
              <w:rPr>
                <w:rFonts w:ascii="宋体" w:hAnsi="宋体" w:eastAsia="宋体" w:cs="宋体"/>
                <w:szCs w:val="21"/>
              </w:rPr>
            </w:pPr>
            <w:r>
              <w:rPr>
                <w:rFonts w:hint="eastAsia" w:ascii="宋体" w:hAnsi="宋体" w:eastAsia="宋体" w:cs="宋体"/>
                <w:szCs w:val="21"/>
                <w:lang w:val="en-US" w:eastAsia="zh-CN"/>
              </w:rPr>
              <w:t>4</w:t>
            </w:r>
          </w:p>
        </w:tc>
        <w:tc>
          <w:tcPr>
            <w:tcW w:w="3995" w:type="dxa"/>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0" w:type="default"/>
          <w:pgSz w:w="16841" w:h="11907"/>
          <w:pgMar w:top="400" w:right="1699" w:bottom="1184" w:left="1481" w:header="0" w:footer="1022" w:gutter="0"/>
          <w:pgNumType w:fmt="decimal"/>
          <w:cols w:space="720" w:num="1"/>
        </w:sectPr>
      </w:pPr>
    </w:p>
    <w:p>
      <w:pPr>
        <w:outlineLvl w:val="3"/>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i w:val="0"/>
          <w:iCs w:val="0"/>
          <w:caps w:val="0"/>
          <w:spacing w:val="-1"/>
          <w:sz w:val="21"/>
          <w:szCs w:val="21"/>
          <w:u w:val="none"/>
          <w:shd w:val="clear"/>
          <w14:textOutline w14:w="3835" w14:cap="flat" w14:cmpd="sng" w14:algn="ctr">
            <w14:solidFill>
              <w14:srgbClr w14:val="000000"/>
            </w14:solidFill>
            <w14:prstDash w14:val="solid"/>
            <w14:miter w14:val="0"/>
          </w14:textOutline>
        </w:rPr>
        <w:t>CGZX2023040217</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vAlign w:val="top"/>
          </w:tcPr>
          <w:p>
            <w:pPr>
              <w:spacing w:before="100" w:line="186" w:lineRule="auto"/>
              <w:ind w:left="223"/>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1</w:t>
            </w:r>
          </w:p>
        </w:tc>
        <w:tc>
          <w:tcPr>
            <w:tcW w:w="2543" w:type="dxa"/>
            <w:vAlign w:val="top"/>
          </w:tcPr>
          <w:p>
            <w:pPr>
              <w:spacing w:before="101" w:line="185" w:lineRule="auto"/>
              <w:ind w:left="122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2</w:t>
            </w:r>
          </w:p>
        </w:tc>
        <w:tc>
          <w:tcPr>
            <w:tcW w:w="2100" w:type="dxa"/>
            <w:vAlign w:val="top"/>
          </w:tcPr>
          <w:p>
            <w:pPr>
              <w:spacing w:before="102" w:line="183" w:lineRule="auto"/>
              <w:ind w:left="100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3</w:t>
            </w:r>
          </w:p>
        </w:tc>
        <w:tc>
          <w:tcPr>
            <w:tcW w:w="840" w:type="dxa"/>
            <w:vAlign w:val="top"/>
          </w:tcPr>
          <w:p>
            <w:pPr>
              <w:spacing w:before="101" w:line="185" w:lineRule="auto"/>
              <w:ind w:left="371"/>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4</w:t>
            </w:r>
          </w:p>
        </w:tc>
        <w:tc>
          <w:tcPr>
            <w:tcW w:w="1940" w:type="dxa"/>
            <w:vAlign w:val="top"/>
          </w:tcPr>
          <w:p>
            <w:pPr>
              <w:spacing w:before="103" w:line="182" w:lineRule="auto"/>
              <w:ind w:left="107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5</w:t>
            </w:r>
          </w:p>
        </w:tc>
        <w:tc>
          <w:tcPr>
            <w:tcW w:w="1770" w:type="dxa"/>
            <w:vAlign w:val="top"/>
          </w:tcPr>
          <w:p>
            <w:pPr>
              <w:spacing w:before="102" w:line="183" w:lineRule="auto"/>
              <w:ind w:left="58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6</w:t>
            </w:r>
          </w:p>
        </w:tc>
        <w:tc>
          <w:tcPr>
            <w:tcW w:w="1888" w:type="dxa"/>
            <w:vAlign w:val="top"/>
          </w:tcPr>
          <w:p>
            <w:pPr>
              <w:spacing w:before="103" w:line="182" w:lineRule="auto"/>
              <w:ind w:left="1010"/>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7</w:t>
            </w:r>
          </w:p>
        </w:tc>
        <w:tc>
          <w:tcPr>
            <w:tcW w:w="1120" w:type="dxa"/>
            <w:vAlign w:val="top"/>
          </w:tcPr>
          <w:p>
            <w:pPr>
              <w:spacing w:before="102" w:line="183" w:lineRule="auto"/>
              <w:ind w:left="516"/>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8</w:t>
            </w:r>
          </w:p>
        </w:tc>
        <w:tc>
          <w:tcPr>
            <w:tcW w:w="1125" w:type="dxa"/>
            <w:vAlign w:val="top"/>
          </w:tcPr>
          <w:p>
            <w:pPr>
              <w:spacing w:before="102" w:line="183" w:lineRule="auto"/>
              <w:ind w:left="51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top"/>
          </w:tcPr>
          <w:p>
            <w:pPr>
              <w:spacing w:before="146" w:line="211" w:lineRule="auto"/>
              <w:ind w:left="89"/>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序</w:t>
            </w:r>
            <w:r>
              <w:rPr>
                <w:rFonts w:ascii="宋体" w:hAnsi="宋体" w:eastAsia="宋体" w:cs="宋体"/>
                <w:spacing w:val="4"/>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号</w:t>
            </w:r>
          </w:p>
        </w:tc>
        <w:tc>
          <w:tcPr>
            <w:tcW w:w="2543" w:type="dxa"/>
            <w:vAlign w:val="top"/>
          </w:tcPr>
          <w:p>
            <w:pPr>
              <w:spacing w:before="252" w:line="221" w:lineRule="auto"/>
              <w:ind w:left="53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备件或</w:t>
            </w:r>
            <w:r>
              <w:rPr>
                <w:rFonts w:ascii="宋体" w:hAnsi="宋体" w:eastAsia="宋体" w:cs="宋体"/>
                <w:sz w:val="21"/>
                <w:szCs w:val="21"/>
                <w14:textOutline w14:w="3831" w14:cap="flat" w14:cmpd="sng">
                  <w14:solidFill>
                    <w14:srgbClr w14:val="000000"/>
                  </w14:solidFill>
                  <w14:prstDash w14:val="solid"/>
                  <w14:miter w14:val="0"/>
                </w14:textOutline>
              </w:rPr>
              <w:t>工具名称</w:t>
            </w:r>
          </w:p>
        </w:tc>
        <w:tc>
          <w:tcPr>
            <w:tcW w:w="2100" w:type="dxa"/>
            <w:vAlign w:val="top"/>
          </w:tcPr>
          <w:p>
            <w:pPr>
              <w:spacing w:before="252" w:line="221" w:lineRule="auto"/>
              <w:ind w:left="534"/>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型号和</w:t>
            </w:r>
            <w:r>
              <w:rPr>
                <w:rFonts w:ascii="宋体" w:hAnsi="宋体" w:eastAsia="宋体" w:cs="宋体"/>
                <w:spacing w:val="-1"/>
                <w:sz w:val="21"/>
                <w:szCs w:val="21"/>
                <w14:textOutline w14:w="3831" w14:cap="flat" w14:cmpd="sng">
                  <w14:solidFill>
                    <w14:srgbClr w14:val="000000"/>
                  </w14:solidFill>
                  <w14:prstDash w14:val="solid"/>
                  <w14:miter w14:val="0"/>
                </w14:textOutline>
              </w:rPr>
              <w:t>规格</w:t>
            </w:r>
          </w:p>
        </w:tc>
        <w:tc>
          <w:tcPr>
            <w:tcW w:w="840" w:type="dxa"/>
            <w:vAlign w:val="top"/>
          </w:tcPr>
          <w:p>
            <w:pPr>
              <w:spacing w:before="252" w:line="221" w:lineRule="auto"/>
              <w:ind w:left="215"/>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数量</w:t>
            </w:r>
          </w:p>
        </w:tc>
        <w:tc>
          <w:tcPr>
            <w:tcW w:w="1940" w:type="dxa"/>
            <w:vAlign w:val="top"/>
          </w:tcPr>
          <w:p>
            <w:pPr>
              <w:spacing w:before="89" w:line="327" w:lineRule="exact"/>
              <w:ind w:left="708"/>
              <w:rPr>
                <w:rFonts w:ascii="宋体" w:hAnsi="宋体" w:eastAsia="宋体" w:cs="宋体"/>
                <w:sz w:val="21"/>
                <w:szCs w:val="21"/>
              </w:rPr>
            </w:pPr>
            <w:r>
              <w:rPr>
                <w:rFonts w:ascii="宋体" w:hAnsi="宋体" w:eastAsia="宋体" w:cs="宋体"/>
                <w:spacing w:val="-2"/>
                <w:position w:val="8"/>
                <w:sz w:val="21"/>
                <w:szCs w:val="21"/>
                <w14:textOutline w14:w="3831" w14:cap="flat" w14:cmpd="sng">
                  <w14:solidFill>
                    <w14:srgbClr w14:val="000000"/>
                  </w14:solidFill>
                  <w14:prstDash w14:val="solid"/>
                  <w14:miter w14:val="0"/>
                </w14:textOutline>
              </w:rPr>
              <w:t>原产地</w:t>
            </w:r>
            <w:r>
              <w:rPr>
                <w:rFonts w:ascii="宋体" w:hAnsi="宋体" w:eastAsia="宋体" w:cs="宋体"/>
                <w:spacing w:val="-1"/>
                <w:position w:val="8"/>
                <w:sz w:val="21"/>
                <w:szCs w:val="21"/>
                <w14:textOutline w14:w="3831" w14:cap="flat" w14:cmpd="sng">
                  <w14:solidFill>
                    <w14:srgbClr w14:val="000000"/>
                  </w14:solidFill>
                  <w14:prstDash w14:val="solid"/>
                  <w14:miter w14:val="0"/>
                </w14:textOutline>
              </w:rPr>
              <w:t>和</w:t>
            </w:r>
          </w:p>
          <w:p>
            <w:pPr>
              <w:spacing w:line="221" w:lineRule="auto"/>
              <w:ind w:left="59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制造商</w:t>
            </w:r>
            <w:r>
              <w:rPr>
                <w:rFonts w:ascii="宋体" w:hAnsi="宋体" w:eastAsia="宋体" w:cs="宋体"/>
                <w:sz w:val="21"/>
                <w:szCs w:val="21"/>
                <w14:textOutline w14:w="3831" w14:cap="flat" w14:cmpd="sng">
                  <w14:solidFill>
                    <w14:srgbClr w14:val="000000"/>
                  </w14:solidFill>
                  <w14:prstDash w14:val="solid"/>
                  <w14:miter w14:val="0"/>
                </w14:textOutline>
              </w:rPr>
              <w:t>名称</w:t>
            </w:r>
          </w:p>
        </w:tc>
        <w:tc>
          <w:tcPr>
            <w:tcW w:w="1770" w:type="dxa"/>
            <w:vAlign w:val="top"/>
          </w:tcPr>
          <w:p>
            <w:pPr>
              <w:spacing w:before="90" w:line="219" w:lineRule="auto"/>
              <w:ind w:left="27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单</w:t>
            </w:r>
            <w:r>
              <w:rPr>
                <w:rFonts w:ascii="宋体" w:hAnsi="宋体" w:eastAsia="宋体" w:cs="宋体"/>
                <w:sz w:val="21"/>
                <w:szCs w:val="21"/>
                <w14:textOutline w14:w="3831" w14:cap="flat" w14:cmpd="sng">
                  <w14:solidFill>
                    <w14:srgbClr w14:val="000000"/>
                  </w14:solidFill>
                  <w14:prstDash w14:val="solid"/>
                  <w14:miter w14:val="0"/>
                </w14:textOutline>
              </w:rPr>
              <w:t>价</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w:t>
            </w:r>
            <w:r>
              <w:rPr>
                <w:rFonts w:hint="eastAsia" w:ascii="宋体" w:hAnsi="宋体" w:eastAsia="宋体" w:cs="宋体"/>
                <w:spacing w:val="-3"/>
                <w:sz w:val="21"/>
                <w:szCs w:val="21"/>
                <w:lang w:val="en-US" w:eastAsia="zh-CN"/>
                <w14:textOutline w14:w="3831" w14:cap="flat" w14:cmpd="sng">
                  <w14:solidFill>
                    <w14:srgbClr w14:val="000000"/>
                  </w14:solidFill>
                  <w14:prstDash w14:val="solid"/>
                  <w14:miter w14:val="0"/>
                </w14:textOutline>
              </w:rPr>
              <w:t>不</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含税）</w:t>
            </w:r>
          </w:p>
          <w:p>
            <w:pPr>
              <w:spacing w:before="77" w:line="221" w:lineRule="auto"/>
              <w:ind w:firstLine="712" w:firstLineChars="400"/>
              <w:rPr>
                <w:rFonts w:ascii="宋体" w:hAnsi="宋体" w:eastAsia="宋体" w:cs="宋体"/>
                <w:sz w:val="21"/>
                <w:szCs w:val="21"/>
              </w:rPr>
            </w:pPr>
            <w:r>
              <w:rPr>
                <w:rFonts w:ascii="宋体" w:hAnsi="宋体" w:eastAsia="宋体" w:cs="宋体"/>
                <w:spacing w:val="-16"/>
                <w:sz w:val="21"/>
                <w:szCs w:val="21"/>
                <w14:textOutline w14:w="3831" w14:cap="flat" w14:cmpd="sng">
                  <w14:solidFill>
                    <w14:srgbClr w14:val="000000"/>
                  </w14:solidFill>
                  <w14:prstDash w14:val="solid"/>
                  <w14:miter w14:val="0"/>
                </w14:textOutline>
              </w:rPr>
              <w:t>(</w:t>
            </w:r>
            <w:r>
              <w:rPr>
                <w:rFonts w:ascii="宋体" w:hAnsi="宋体" w:eastAsia="宋体" w:cs="宋体"/>
                <w:spacing w:val="-14"/>
                <w:sz w:val="21"/>
                <w:szCs w:val="21"/>
                <w14:textOutline w14:w="3831" w14:cap="flat" w14:cmpd="sng">
                  <w14:solidFill>
                    <w14:srgbClr w14:val="000000"/>
                  </w14:solidFill>
                  <w14:prstDash w14:val="solid"/>
                  <w14:miter w14:val="0"/>
                </w14:textOutline>
              </w:rPr>
              <w:t>元)</w:t>
            </w:r>
          </w:p>
        </w:tc>
        <w:tc>
          <w:tcPr>
            <w:tcW w:w="1888" w:type="dxa"/>
            <w:vAlign w:val="top"/>
          </w:tcPr>
          <w:p>
            <w:pPr>
              <w:spacing w:before="90" w:line="219" w:lineRule="auto"/>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总价[</w:t>
            </w:r>
            <w:r>
              <w:rPr>
                <w:rFonts w:ascii="宋体" w:hAnsi="宋体" w:eastAsia="宋体" w:cs="宋体"/>
                <w:sz w:val="21"/>
                <w:szCs w:val="21"/>
                <w14:textOutline w14:w="3831" w14:cap="flat" w14:cmpd="sng">
                  <w14:solidFill>
                    <w14:srgbClr w14:val="000000"/>
                  </w14:solidFill>
                  <w14:prstDash w14:val="solid"/>
                  <w14:miter w14:val="0"/>
                </w14:textOutline>
              </w:rPr>
              <w:t>4×6]</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w:t>
            </w:r>
            <w:r>
              <w:rPr>
                <w:rFonts w:hint="eastAsia" w:ascii="宋体" w:hAnsi="宋体" w:eastAsia="宋体" w:cs="宋体"/>
                <w:spacing w:val="-3"/>
                <w:sz w:val="21"/>
                <w:szCs w:val="21"/>
                <w:lang w:val="en-US" w:eastAsia="zh-CN"/>
                <w14:textOutline w14:w="3831" w14:cap="flat" w14:cmpd="sng">
                  <w14:solidFill>
                    <w14:srgbClr w14:val="000000"/>
                  </w14:solidFill>
                  <w14:prstDash w14:val="solid"/>
                  <w14:miter w14:val="0"/>
                </w14:textOutline>
              </w:rPr>
              <w:t>不</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含税）</w:t>
            </w:r>
          </w:p>
          <w:p>
            <w:pPr>
              <w:spacing w:before="77" w:line="221" w:lineRule="auto"/>
              <w:ind w:left="747"/>
              <w:rPr>
                <w:rFonts w:ascii="宋体" w:hAnsi="宋体" w:eastAsia="宋体" w:cs="宋体"/>
                <w:sz w:val="21"/>
                <w:szCs w:val="21"/>
              </w:rPr>
            </w:pPr>
            <w:r>
              <w:rPr>
                <w:rFonts w:ascii="宋体" w:hAnsi="宋体" w:eastAsia="宋体" w:cs="宋体"/>
                <w:spacing w:val="27"/>
                <w:sz w:val="21"/>
                <w:szCs w:val="21"/>
                <w14:textOutline w14:w="3831" w14:cap="flat" w14:cmpd="sng">
                  <w14:solidFill>
                    <w14:srgbClr w14:val="000000"/>
                  </w14:solidFill>
                  <w14:prstDash w14:val="solid"/>
                  <w14:miter w14:val="0"/>
                </w14:textOutline>
              </w:rPr>
              <w:t>(</w:t>
            </w:r>
            <w:r>
              <w:rPr>
                <w:rFonts w:ascii="宋体" w:hAnsi="宋体" w:eastAsia="宋体" w:cs="宋体"/>
                <w:spacing w:val="26"/>
                <w:sz w:val="21"/>
                <w:szCs w:val="21"/>
                <w14:textOutline w14:w="3831" w14:cap="flat" w14:cmpd="sng">
                  <w14:solidFill>
                    <w14:srgbClr w14:val="000000"/>
                  </w14:solidFill>
                  <w14:prstDash w14:val="solid"/>
                  <w14:miter w14:val="0"/>
                </w14:textOutline>
              </w:rPr>
              <w:t>元)</w:t>
            </w:r>
          </w:p>
        </w:tc>
        <w:tc>
          <w:tcPr>
            <w:tcW w:w="1120" w:type="dxa"/>
            <w:vAlign w:val="top"/>
          </w:tcPr>
          <w:p>
            <w:pPr>
              <w:spacing w:before="89" w:line="327" w:lineRule="exact"/>
              <w:ind w:left="360"/>
              <w:rPr>
                <w:rFonts w:ascii="宋体" w:hAnsi="宋体" w:eastAsia="宋体" w:cs="宋体"/>
                <w:sz w:val="21"/>
                <w:szCs w:val="21"/>
              </w:rPr>
            </w:pPr>
            <w:r>
              <w:rPr>
                <w:rFonts w:ascii="宋体" w:hAnsi="宋体" w:eastAsia="宋体" w:cs="宋体"/>
                <w:spacing w:val="-3"/>
                <w:position w:val="8"/>
                <w:sz w:val="21"/>
                <w:szCs w:val="21"/>
                <w14:textOutline w14:w="3831" w14:cap="flat" w14:cmpd="sng">
                  <w14:solidFill>
                    <w14:srgbClr w14:val="000000"/>
                  </w14:solidFill>
                  <w14:prstDash w14:val="solid"/>
                  <w14:miter w14:val="0"/>
                </w14:textOutline>
              </w:rPr>
              <w:t>更</w:t>
            </w:r>
            <w:r>
              <w:rPr>
                <w:rFonts w:ascii="宋体" w:hAnsi="宋体" w:eastAsia="宋体" w:cs="宋体"/>
                <w:spacing w:val="-2"/>
                <w:position w:val="8"/>
                <w:sz w:val="21"/>
                <w:szCs w:val="21"/>
                <w14:textOutline w14:w="3831" w14:cap="flat" w14:cmpd="sng">
                  <w14:solidFill>
                    <w14:srgbClr w14:val="000000"/>
                  </w14:solidFill>
                  <w14:prstDash w14:val="solid"/>
                  <w14:miter w14:val="0"/>
                </w14:textOutline>
              </w:rPr>
              <w:t>换</w:t>
            </w:r>
          </w:p>
          <w:p>
            <w:pPr>
              <w:spacing w:line="221" w:lineRule="auto"/>
              <w:ind w:left="35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周期</w:t>
            </w:r>
          </w:p>
        </w:tc>
        <w:tc>
          <w:tcPr>
            <w:tcW w:w="1125" w:type="dxa"/>
            <w:vAlign w:val="top"/>
          </w:tcPr>
          <w:p>
            <w:pPr>
              <w:spacing w:before="253" w:line="222" w:lineRule="auto"/>
              <w:ind w:left="252"/>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备</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center"/>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hint="default" w:ascii="Arial"/>
                <w:sz w:val="21"/>
                <w:highlight w:val="red"/>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bidi w:val="0"/>
              <w:jc w:val="both"/>
              <w:rPr>
                <w:rFonts w:hint="default" w:asciiTheme="minorHAnsi" w:hAnsiTheme="minorHAnsi" w:eastAsiaTheme="minorEastAsia" w:cstheme="minorBidi"/>
                <w:kern w:val="2"/>
                <w:sz w:val="21"/>
                <w:szCs w:val="22"/>
                <w:highlight w:val="red"/>
                <w:lang w:val="en-US" w:eastAsia="zh-CN" w:bidi="ar-SA"/>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hint="default" w:ascii="Arial"/>
                <w:sz w:val="21"/>
                <w:highlight w:val="red"/>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jc w:val="both"/>
              <w:rPr>
                <w:rFonts w:hint="default" w:ascii="Arial" w:eastAsiaTheme="minorEastAsia"/>
                <w:sz w:val="21"/>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ascii="Arial"/>
                <w:sz w:val="21"/>
                <w:highlight w:val="red"/>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jc w:val="both"/>
              <w:rPr>
                <w:rFonts w:hint="default" w:ascii="Arial" w:eastAsiaTheme="minorEastAsia"/>
                <w:sz w:val="21"/>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ascii="Arial"/>
                <w:sz w:val="21"/>
                <w:highlight w:val="red"/>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jc w:val="both"/>
              <w:rPr>
                <w:rFonts w:hint="default" w:ascii="Arial" w:eastAsiaTheme="minorEastAsia"/>
                <w:sz w:val="21"/>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hint="default" w:ascii="Arial"/>
                <w:sz w:val="21"/>
                <w:highlight w:val="red"/>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bidi w:val="0"/>
              <w:jc w:val="both"/>
              <w:rPr>
                <w:rFonts w:hint="default"/>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ascii="Arial"/>
                <w:sz w:val="21"/>
                <w:highlight w:val="red"/>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jc w:val="center"/>
              <w:rPr>
                <w:rFonts w:ascii="Arial"/>
                <w:sz w:val="21"/>
                <w:highlight w:val="red"/>
              </w:rPr>
            </w:pPr>
          </w:p>
        </w:tc>
        <w:tc>
          <w:tcPr>
            <w:tcW w:w="1770" w:type="dxa"/>
            <w:vAlign w:val="top"/>
          </w:tcPr>
          <w:p>
            <w:pPr>
              <w:jc w:val="both"/>
              <w:rPr>
                <w:rFonts w:hint="default" w:ascii="Arial" w:eastAsiaTheme="minorEastAsia"/>
                <w:sz w:val="21"/>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top"/>
          </w:tcPr>
          <w:p>
            <w:pPr>
              <w:spacing w:before="207" w:line="219" w:lineRule="auto"/>
              <w:ind w:left="3416"/>
              <w:rPr>
                <w:rFonts w:hint="eastAsia" w:ascii="宋体" w:hAnsi="宋体" w:eastAsia="宋体" w:cs="宋体"/>
                <w:sz w:val="21"/>
                <w:szCs w:val="21"/>
                <w:lang w:val="en-US" w:eastAsia="zh-CN"/>
              </w:rPr>
            </w:pPr>
            <w:r>
              <w:rPr>
                <w:rFonts w:ascii="宋体" w:hAnsi="宋体" w:eastAsia="宋体" w:cs="宋体"/>
                <w:spacing w:val="-6"/>
                <w:sz w:val="21"/>
                <w:szCs w:val="21"/>
              </w:rPr>
              <w:t>总</w:t>
            </w:r>
            <w:r>
              <w:rPr>
                <w:rFonts w:ascii="宋体" w:hAnsi="宋体" w:eastAsia="宋体" w:cs="宋体"/>
                <w:spacing w:val="-4"/>
                <w:sz w:val="21"/>
                <w:szCs w:val="21"/>
              </w:rPr>
              <w:t>价合计列入价格汇总表 1-</w:t>
            </w:r>
            <w:r>
              <w:rPr>
                <w:rFonts w:hint="eastAsia" w:ascii="宋体" w:hAnsi="宋体" w:eastAsia="宋体" w:cs="宋体"/>
                <w:spacing w:val="-4"/>
                <w:sz w:val="21"/>
                <w:szCs w:val="21"/>
                <w:lang w:val="en-US" w:eastAsia="zh-CN"/>
              </w:rPr>
              <w:t>5</w:t>
            </w:r>
          </w:p>
        </w:tc>
        <w:tc>
          <w:tcPr>
            <w:tcW w:w="4133" w:type="dxa"/>
            <w:gridSpan w:val="3"/>
            <w:vAlign w:val="top"/>
          </w:tcPr>
          <w:p>
            <w:pPr>
              <w:spacing w:before="207" w:line="219" w:lineRule="auto"/>
              <w:ind w:firstLine="630" w:firstLineChars="300"/>
              <w:rPr>
                <w:rFonts w:ascii="宋体" w:hAnsi="宋体" w:eastAsia="宋体" w:cs="宋体"/>
                <w:sz w:val="21"/>
                <w:szCs w:val="21"/>
              </w:rPr>
            </w:pPr>
            <w:r>
              <w:rPr>
                <w:rFonts w:ascii="宋体" w:hAnsi="宋体" w:eastAsia="宋体" w:cs="宋体"/>
                <w:sz w:val="21"/>
                <w:szCs w:val="21"/>
              </w:rPr>
              <w:t>总价合计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不含税</w:t>
            </w:r>
            <w:r>
              <w:rPr>
                <w:rFonts w:hint="eastAsia" w:ascii="宋体" w:hAnsi="宋体" w:eastAsia="宋体" w:cs="宋体"/>
                <w:sz w:val="21"/>
                <w:szCs w:val="21"/>
                <w:lang w:eastAsia="zh-CN"/>
              </w:rPr>
              <w:t>）</w:t>
            </w:r>
            <w:r>
              <w:rPr>
                <w:rFonts w:ascii="宋体" w:hAnsi="宋体" w:eastAsia="宋体" w:cs="宋体"/>
                <w:sz w:val="21"/>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0"/>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pgNumType w:fmt="decimal"/>
          <w:cols w:space="720" w:num="1"/>
        </w:sectPr>
      </w:pPr>
    </w:p>
    <w:p>
      <w:pPr>
        <w:outlineLvl w:val="3"/>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1-5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i w:val="0"/>
          <w:iCs w:val="0"/>
          <w:caps w:val="0"/>
          <w:spacing w:val="-1"/>
          <w:sz w:val="21"/>
          <w:szCs w:val="21"/>
          <w:u w:val="none"/>
          <w:shd w:val="clear"/>
          <w14:textOutline w14:w="3835" w14:cap="flat" w14:cmpd="sng" w14:algn="ctr">
            <w14:solidFill>
              <w14:srgbClr w14:val="000000"/>
            </w14:solidFill>
            <w14:prstDash w14:val="solid"/>
            <w14:miter w14:val="0"/>
          </w14:textOutline>
        </w:rPr>
        <w:t>CGZX2023040217</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ascii="Times New Roman" w:hAnsi="Times New Roman" w:eastAsia="Times New Roman" w:cs="Times New Roman"/>
                <w:spacing w:val="-11"/>
                <w:szCs w:val="21"/>
              </w:rPr>
              <w:t xml:space="preserve">1- 1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Times New Roman" w:cs="Times New Roman"/>
                <w:spacing w:val="-6"/>
                <w:szCs w:val="21"/>
              </w:rPr>
              <w:t xml:space="preserve">1-2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Times New Roman" w:cs="Times New Roman"/>
                <w:spacing w:val="-6"/>
                <w:szCs w:val="21"/>
              </w:rPr>
              <w:t xml:space="preserve">1-3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Times New Roman" w:cs="Times New Roman"/>
                <w:spacing w:val="-6"/>
                <w:szCs w:val="21"/>
              </w:rPr>
              <w:t xml:space="preserve">1-4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宋体"/>
          <w:spacing w:val="-5"/>
          <w:sz w:val="24"/>
          <w:szCs w:val="24"/>
          <w:u w:val="single"/>
          <w:lang w:val="en-US" w:eastAsia="zh-CN"/>
        </w:rPr>
        <w:t xml:space="preserve">                                                       </w:t>
      </w:r>
      <w:r>
        <w:rPr>
          <w:rFonts w:ascii="宋体" w:hAnsi="宋体" w:eastAsia="宋体" w:cs="宋体"/>
          <w:spacing w:val="-5"/>
          <w:sz w:val="24"/>
          <w:szCs w:val="24"/>
          <w:u w:val="single"/>
        </w:rPr>
        <w:t xml:space="preserve">  </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3"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附件14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pPr>
        <w:pStyle w:val="17"/>
        <w:sectPr>
          <w:pgSz w:w="11906" w:h="16838"/>
          <w:pgMar w:top="1588" w:right="1418" w:bottom="1134" w:left="1418" w:header="851" w:footer="992" w:gutter="0"/>
          <w:pgNumType w:fmt="decimal"/>
          <w:cols w:space="720" w:num="1"/>
          <w:titlePg/>
          <w:docGrid w:type="lines" w:linePitch="312"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15</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初始密码：@2023</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5"/>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6"/>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7"/>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8"/>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9"/>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0"/>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altName w:val="Segoe UI"/>
    <w:panose1 w:val="020B0502040204020203"/>
    <w:charset w:val="00"/>
    <w:family w:val="swiss"/>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eastAsiaTheme="minorEastAsia"/>
        <w:lang w:val="en-US" w:eastAsia="zh-CN"/>
      </w:rPr>
    </w:pPr>
    <w:r>
      <w:rPr>
        <w:rFonts w:hint="eastAsia"/>
        <w:lang w:val="en-US" w:eastAsia="zh-CN"/>
      </w:rPr>
      <w:t>3</w:t>
    </w: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eastAsiaTheme="minorEastAsia"/>
        <w:lang w:val="en-US" w:eastAsia="zh-CN"/>
      </w:rPr>
    </w:pPr>
    <w:r>
      <w:rPr>
        <w:rFonts w:hint="eastAsia"/>
        <w:lang w:val="en-US" w:eastAsia="zh-CN"/>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eastAsiaTheme="minorEastAsia"/>
        <w:lang w:val="en-US" w:eastAsia="zh-CN"/>
      </w:rPr>
    </w:pPr>
    <w:r>
      <w:rPr>
        <w:rFonts w:hint="eastAsia"/>
        <w:lang w:val="en-US" w:eastAsia="zh-CN"/>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eastAsiaTheme="minorEastAsia"/>
        <w:lang w:val="en-US" w:eastAsia="zh-CN"/>
      </w:rPr>
    </w:pPr>
    <w:r>
      <w:rPr>
        <w:rFonts w:hint="eastAsia"/>
        <w:lang w:val="en-US" w:eastAsia="zh-CN"/>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num w:numId="1">
    <w:abstractNumId w:val="7"/>
  </w:num>
  <w:num w:numId="2">
    <w:abstractNumId w:val="0"/>
  </w:num>
  <w:num w:numId="3">
    <w:abstractNumId w:val="4"/>
  </w:num>
  <w:num w:numId="4">
    <w:abstractNumId w:val="2"/>
  </w:num>
  <w:num w:numId="5">
    <w:abstractNumId w:val="6"/>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mNTk2ZGYyNWYzMjY2YjUyZjVlYTQ5OTZiZDJhNTI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6248A"/>
    <w:rsid w:val="00B72516"/>
    <w:rsid w:val="00B92C97"/>
    <w:rsid w:val="00BA3C70"/>
    <w:rsid w:val="00BB4E42"/>
    <w:rsid w:val="00BD533C"/>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4832F2"/>
    <w:rsid w:val="014D51C1"/>
    <w:rsid w:val="01C43A72"/>
    <w:rsid w:val="01C52478"/>
    <w:rsid w:val="027408EE"/>
    <w:rsid w:val="02963F39"/>
    <w:rsid w:val="02BA7274"/>
    <w:rsid w:val="02C865DF"/>
    <w:rsid w:val="03251978"/>
    <w:rsid w:val="0325718A"/>
    <w:rsid w:val="042921B6"/>
    <w:rsid w:val="04AD02B8"/>
    <w:rsid w:val="04DF17D4"/>
    <w:rsid w:val="05412745"/>
    <w:rsid w:val="05491761"/>
    <w:rsid w:val="05A351AD"/>
    <w:rsid w:val="05F9748A"/>
    <w:rsid w:val="06266F78"/>
    <w:rsid w:val="063E7B7A"/>
    <w:rsid w:val="06582413"/>
    <w:rsid w:val="067E33B8"/>
    <w:rsid w:val="06D118A6"/>
    <w:rsid w:val="06E82FCB"/>
    <w:rsid w:val="06F34B95"/>
    <w:rsid w:val="07571DAC"/>
    <w:rsid w:val="077B3FEC"/>
    <w:rsid w:val="07BE7CD4"/>
    <w:rsid w:val="08E64121"/>
    <w:rsid w:val="0942017F"/>
    <w:rsid w:val="09A3345C"/>
    <w:rsid w:val="09BA1FBB"/>
    <w:rsid w:val="09CB139F"/>
    <w:rsid w:val="0A0106F5"/>
    <w:rsid w:val="0A112AB7"/>
    <w:rsid w:val="0AD71BC7"/>
    <w:rsid w:val="0AF420EB"/>
    <w:rsid w:val="0B2B2BF5"/>
    <w:rsid w:val="0B2F3908"/>
    <w:rsid w:val="0B3F6206"/>
    <w:rsid w:val="0BE12DB6"/>
    <w:rsid w:val="0C626CE4"/>
    <w:rsid w:val="0D0C2B7B"/>
    <w:rsid w:val="0D22128B"/>
    <w:rsid w:val="0D9308F8"/>
    <w:rsid w:val="0E1A1D85"/>
    <w:rsid w:val="0E750568"/>
    <w:rsid w:val="0F143EAF"/>
    <w:rsid w:val="0F2D7A80"/>
    <w:rsid w:val="0F4277E5"/>
    <w:rsid w:val="0FA75561"/>
    <w:rsid w:val="0FB83603"/>
    <w:rsid w:val="0FCA77F1"/>
    <w:rsid w:val="10270545"/>
    <w:rsid w:val="103539E9"/>
    <w:rsid w:val="108A1D4B"/>
    <w:rsid w:val="10A10111"/>
    <w:rsid w:val="10BE093E"/>
    <w:rsid w:val="111B0FE9"/>
    <w:rsid w:val="112E74E8"/>
    <w:rsid w:val="115F67A8"/>
    <w:rsid w:val="119A7465"/>
    <w:rsid w:val="11C07DA5"/>
    <w:rsid w:val="120B0EB8"/>
    <w:rsid w:val="12491386"/>
    <w:rsid w:val="129F2533"/>
    <w:rsid w:val="12E60579"/>
    <w:rsid w:val="13695B36"/>
    <w:rsid w:val="1372609F"/>
    <w:rsid w:val="13BA3B64"/>
    <w:rsid w:val="145A6A37"/>
    <w:rsid w:val="1467440F"/>
    <w:rsid w:val="15433A9B"/>
    <w:rsid w:val="15A71F89"/>
    <w:rsid w:val="15FC2F04"/>
    <w:rsid w:val="16181FAC"/>
    <w:rsid w:val="16750AB1"/>
    <w:rsid w:val="168756A0"/>
    <w:rsid w:val="16F94849"/>
    <w:rsid w:val="17045E51"/>
    <w:rsid w:val="172011D4"/>
    <w:rsid w:val="17252C3B"/>
    <w:rsid w:val="173F0A2E"/>
    <w:rsid w:val="17770BC2"/>
    <w:rsid w:val="17A119AA"/>
    <w:rsid w:val="18586F2B"/>
    <w:rsid w:val="19A766B9"/>
    <w:rsid w:val="19CE76BA"/>
    <w:rsid w:val="19F26070"/>
    <w:rsid w:val="19FF46E1"/>
    <w:rsid w:val="1A1523CE"/>
    <w:rsid w:val="1AA730BD"/>
    <w:rsid w:val="1B264783"/>
    <w:rsid w:val="1B333D5D"/>
    <w:rsid w:val="1B587618"/>
    <w:rsid w:val="1B5F19C7"/>
    <w:rsid w:val="1C1C709B"/>
    <w:rsid w:val="1D5C514E"/>
    <w:rsid w:val="1D865D14"/>
    <w:rsid w:val="1D8705EC"/>
    <w:rsid w:val="1E43150B"/>
    <w:rsid w:val="1EA93E80"/>
    <w:rsid w:val="1ED33FB6"/>
    <w:rsid w:val="1EE81332"/>
    <w:rsid w:val="1F32415A"/>
    <w:rsid w:val="1F4719E1"/>
    <w:rsid w:val="1FC55BA1"/>
    <w:rsid w:val="20107567"/>
    <w:rsid w:val="20AB56C6"/>
    <w:rsid w:val="21104A68"/>
    <w:rsid w:val="21602B55"/>
    <w:rsid w:val="2176507C"/>
    <w:rsid w:val="21BE35AF"/>
    <w:rsid w:val="21C11174"/>
    <w:rsid w:val="22244B28"/>
    <w:rsid w:val="22467FD4"/>
    <w:rsid w:val="226B5420"/>
    <w:rsid w:val="229451FD"/>
    <w:rsid w:val="22A12DB6"/>
    <w:rsid w:val="23C962E8"/>
    <w:rsid w:val="247E4FED"/>
    <w:rsid w:val="24B30BE8"/>
    <w:rsid w:val="24E34060"/>
    <w:rsid w:val="253A0491"/>
    <w:rsid w:val="25E036B2"/>
    <w:rsid w:val="25E9082A"/>
    <w:rsid w:val="25F42473"/>
    <w:rsid w:val="26584CC8"/>
    <w:rsid w:val="26AF2D79"/>
    <w:rsid w:val="26B34B91"/>
    <w:rsid w:val="270D66E8"/>
    <w:rsid w:val="272565C1"/>
    <w:rsid w:val="278B0DAB"/>
    <w:rsid w:val="27A64735"/>
    <w:rsid w:val="27CC4DF2"/>
    <w:rsid w:val="27ED433A"/>
    <w:rsid w:val="281864F2"/>
    <w:rsid w:val="286903EF"/>
    <w:rsid w:val="287F5DD3"/>
    <w:rsid w:val="288047CB"/>
    <w:rsid w:val="289E62FA"/>
    <w:rsid w:val="291E2CA6"/>
    <w:rsid w:val="29331862"/>
    <w:rsid w:val="299E147F"/>
    <w:rsid w:val="29CF26DC"/>
    <w:rsid w:val="2A1C5DA0"/>
    <w:rsid w:val="2A200D39"/>
    <w:rsid w:val="2A507EFF"/>
    <w:rsid w:val="2AA77FE8"/>
    <w:rsid w:val="2ABF3E12"/>
    <w:rsid w:val="2ADC05A4"/>
    <w:rsid w:val="2AF3189A"/>
    <w:rsid w:val="2B50127F"/>
    <w:rsid w:val="2B6F0D7F"/>
    <w:rsid w:val="2B8716BD"/>
    <w:rsid w:val="2D025012"/>
    <w:rsid w:val="2D214329"/>
    <w:rsid w:val="2D4178F0"/>
    <w:rsid w:val="2DAE631A"/>
    <w:rsid w:val="2DD877E0"/>
    <w:rsid w:val="2DE616C9"/>
    <w:rsid w:val="2DFC2451"/>
    <w:rsid w:val="2E6E566D"/>
    <w:rsid w:val="2E7F188E"/>
    <w:rsid w:val="2EBC0905"/>
    <w:rsid w:val="2EC73739"/>
    <w:rsid w:val="2F5C684F"/>
    <w:rsid w:val="2F6B3D97"/>
    <w:rsid w:val="307776D1"/>
    <w:rsid w:val="30862574"/>
    <w:rsid w:val="30B631E1"/>
    <w:rsid w:val="311933AA"/>
    <w:rsid w:val="317D15BB"/>
    <w:rsid w:val="31D07E6C"/>
    <w:rsid w:val="323F65DA"/>
    <w:rsid w:val="32412074"/>
    <w:rsid w:val="32DE0199"/>
    <w:rsid w:val="335B2774"/>
    <w:rsid w:val="33A4642E"/>
    <w:rsid w:val="33D4039C"/>
    <w:rsid w:val="33D47E05"/>
    <w:rsid w:val="3413677D"/>
    <w:rsid w:val="342B544B"/>
    <w:rsid w:val="34C06413"/>
    <w:rsid w:val="34DE1E4F"/>
    <w:rsid w:val="34F07DB1"/>
    <w:rsid w:val="35B2048C"/>
    <w:rsid w:val="35D354B8"/>
    <w:rsid w:val="35D4025C"/>
    <w:rsid w:val="362666BC"/>
    <w:rsid w:val="367B5207"/>
    <w:rsid w:val="368A6B11"/>
    <w:rsid w:val="37085B1F"/>
    <w:rsid w:val="372E04CB"/>
    <w:rsid w:val="390D33AB"/>
    <w:rsid w:val="391E6D06"/>
    <w:rsid w:val="3A074847"/>
    <w:rsid w:val="3AA90FE6"/>
    <w:rsid w:val="3AA9318F"/>
    <w:rsid w:val="3AB62DA0"/>
    <w:rsid w:val="3B7D3FD5"/>
    <w:rsid w:val="3B823DDF"/>
    <w:rsid w:val="3C237ED3"/>
    <w:rsid w:val="3CAA596A"/>
    <w:rsid w:val="3CB1587B"/>
    <w:rsid w:val="3CB735F2"/>
    <w:rsid w:val="3D186684"/>
    <w:rsid w:val="3D8560BB"/>
    <w:rsid w:val="3D8B2178"/>
    <w:rsid w:val="3DA32BB0"/>
    <w:rsid w:val="3DD115F5"/>
    <w:rsid w:val="3DE435F0"/>
    <w:rsid w:val="3DE5122C"/>
    <w:rsid w:val="3DF37E53"/>
    <w:rsid w:val="3ED26DE9"/>
    <w:rsid w:val="3EED17D0"/>
    <w:rsid w:val="3F0C0304"/>
    <w:rsid w:val="3FEC147E"/>
    <w:rsid w:val="40376375"/>
    <w:rsid w:val="412732B7"/>
    <w:rsid w:val="4127791F"/>
    <w:rsid w:val="41281794"/>
    <w:rsid w:val="413C1FDF"/>
    <w:rsid w:val="41B0259C"/>
    <w:rsid w:val="41BC6F1C"/>
    <w:rsid w:val="41EF2363"/>
    <w:rsid w:val="41F77860"/>
    <w:rsid w:val="42323A7F"/>
    <w:rsid w:val="424A4B98"/>
    <w:rsid w:val="42581D3A"/>
    <w:rsid w:val="42FE0080"/>
    <w:rsid w:val="431467C7"/>
    <w:rsid w:val="43315D2E"/>
    <w:rsid w:val="43824A1C"/>
    <w:rsid w:val="43D110E1"/>
    <w:rsid w:val="43E873C9"/>
    <w:rsid w:val="44905B1F"/>
    <w:rsid w:val="45316885"/>
    <w:rsid w:val="45A95EE9"/>
    <w:rsid w:val="45FB0F21"/>
    <w:rsid w:val="47200EE3"/>
    <w:rsid w:val="472753AE"/>
    <w:rsid w:val="47435AC2"/>
    <w:rsid w:val="47544B78"/>
    <w:rsid w:val="47587AF7"/>
    <w:rsid w:val="47745A86"/>
    <w:rsid w:val="47E239AC"/>
    <w:rsid w:val="480F4B73"/>
    <w:rsid w:val="48DB38E3"/>
    <w:rsid w:val="48DD0A15"/>
    <w:rsid w:val="49001B5E"/>
    <w:rsid w:val="49376DB0"/>
    <w:rsid w:val="49804BB7"/>
    <w:rsid w:val="49826DCB"/>
    <w:rsid w:val="499013E7"/>
    <w:rsid w:val="49C8088A"/>
    <w:rsid w:val="4A301C93"/>
    <w:rsid w:val="4A3302AB"/>
    <w:rsid w:val="4AC85D49"/>
    <w:rsid w:val="4AE308A9"/>
    <w:rsid w:val="4B9A1456"/>
    <w:rsid w:val="4BA32C82"/>
    <w:rsid w:val="4BE70627"/>
    <w:rsid w:val="4C0A5AE1"/>
    <w:rsid w:val="4C130AB8"/>
    <w:rsid w:val="4C5A284D"/>
    <w:rsid w:val="4CB96B43"/>
    <w:rsid w:val="4CD63947"/>
    <w:rsid w:val="4CFC49F4"/>
    <w:rsid w:val="4D073D73"/>
    <w:rsid w:val="4D1E27BA"/>
    <w:rsid w:val="4D23574A"/>
    <w:rsid w:val="4D4C4DB0"/>
    <w:rsid w:val="4D7322D5"/>
    <w:rsid w:val="4DD7034C"/>
    <w:rsid w:val="4DE312CB"/>
    <w:rsid w:val="4E1F4862"/>
    <w:rsid w:val="4E2E4393"/>
    <w:rsid w:val="4E535EF2"/>
    <w:rsid w:val="4EAA19A9"/>
    <w:rsid w:val="4F08773C"/>
    <w:rsid w:val="4F31409F"/>
    <w:rsid w:val="4F846A83"/>
    <w:rsid w:val="50070E2C"/>
    <w:rsid w:val="504B57F2"/>
    <w:rsid w:val="50C62BC7"/>
    <w:rsid w:val="50ED1473"/>
    <w:rsid w:val="50F72A66"/>
    <w:rsid w:val="5123368C"/>
    <w:rsid w:val="5130747C"/>
    <w:rsid w:val="515C765A"/>
    <w:rsid w:val="51905BB3"/>
    <w:rsid w:val="51946FCB"/>
    <w:rsid w:val="51DD796B"/>
    <w:rsid w:val="51DF373B"/>
    <w:rsid w:val="51F43C48"/>
    <w:rsid w:val="52EF4CB5"/>
    <w:rsid w:val="52F959F0"/>
    <w:rsid w:val="5302488E"/>
    <w:rsid w:val="539A4AC7"/>
    <w:rsid w:val="54A61722"/>
    <w:rsid w:val="54B31FAF"/>
    <w:rsid w:val="55326D63"/>
    <w:rsid w:val="555D1A10"/>
    <w:rsid w:val="56AC4A78"/>
    <w:rsid w:val="56DB16B9"/>
    <w:rsid w:val="577A3463"/>
    <w:rsid w:val="57F967AD"/>
    <w:rsid w:val="58052975"/>
    <w:rsid w:val="580F50B1"/>
    <w:rsid w:val="58E525CA"/>
    <w:rsid w:val="593D045A"/>
    <w:rsid w:val="5960739E"/>
    <w:rsid w:val="59896D0A"/>
    <w:rsid w:val="59B72684"/>
    <w:rsid w:val="5A9579AE"/>
    <w:rsid w:val="5AC468CD"/>
    <w:rsid w:val="5B342B9A"/>
    <w:rsid w:val="5B630802"/>
    <w:rsid w:val="5B807F68"/>
    <w:rsid w:val="5C034D53"/>
    <w:rsid w:val="5CA36CB7"/>
    <w:rsid w:val="5E1D6F56"/>
    <w:rsid w:val="5E52187F"/>
    <w:rsid w:val="5E6A13CD"/>
    <w:rsid w:val="5E705D15"/>
    <w:rsid w:val="5E93326C"/>
    <w:rsid w:val="5EFB4BA4"/>
    <w:rsid w:val="5F5F46B5"/>
    <w:rsid w:val="5FBA3CC0"/>
    <w:rsid w:val="5FD90D61"/>
    <w:rsid w:val="60177697"/>
    <w:rsid w:val="602329DB"/>
    <w:rsid w:val="607777D6"/>
    <w:rsid w:val="60BC76A1"/>
    <w:rsid w:val="610B7637"/>
    <w:rsid w:val="615F5624"/>
    <w:rsid w:val="61D215CF"/>
    <w:rsid w:val="625C563D"/>
    <w:rsid w:val="626A1704"/>
    <w:rsid w:val="62B362C8"/>
    <w:rsid w:val="62C1330E"/>
    <w:rsid w:val="6342085E"/>
    <w:rsid w:val="63631E53"/>
    <w:rsid w:val="636F415C"/>
    <w:rsid w:val="646E3CD1"/>
    <w:rsid w:val="64917820"/>
    <w:rsid w:val="64AA1CC5"/>
    <w:rsid w:val="65463A24"/>
    <w:rsid w:val="656B2909"/>
    <w:rsid w:val="65A3045D"/>
    <w:rsid w:val="65D97752"/>
    <w:rsid w:val="65E25E59"/>
    <w:rsid w:val="66307F76"/>
    <w:rsid w:val="66580EAF"/>
    <w:rsid w:val="66694D0D"/>
    <w:rsid w:val="66F041A8"/>
    <w:rsid w:val="6721178A"/>
    <w:rsid w:val="6739399A"/>
    <w:rsid w:val="673F39DE"/>
    <w:rsid w:val="674C5D22"/>
    <w:rsid w:val="67663AF8"/>
    <w:rsid w:val="67762CFD"/>
    <w:rsid w:val="677A678D"/>
    <w:rsid w:val="68011379"/>
    <w:rsid w:val="68252C37"/>
    <w:rsid w:val="683F5C49"/>
    <w:rsid w:val="68817BAC"/>
    <w:rsid w:val="689A5E59"/>
    <w:rsid w:val="68EE72DF"/>
    <w:rsid w:val="69485FEA"/>
    <w:rsid w:val="69677DC0"/>
    <w:rsid w:val="69937EC7"/>
    <w:rsid w:val="69D64558"/>
    <w:rsid w:val="6A042548"/>
    <w:rsid w:val="6A471EFD"/>
    <w:rsid w:val="6AB57116"/>
    <w:rsid w:val="6B17424A"/>
    <w:rsid w:val="6B2218FA"/>
    <w:rsid w:val="6B691672"/>
    <w:rsid w:val="6C5E6A51"/>
    <w:rsid w:val="6C6513C3"/>
    <w:rsid w:val="6C744268"/>
    <w:rsid w:val="6CAB788B"/>
    <w:rsid w:val="6CD62D03"/>
    <w:rsid w:val="6CD97FB6"/>
    <w:rsid w:val="6D930013"/>
    <w:rsid w:val="6E1A1656"/>
    <w:rsid w:val="6E5A5288"/>
    <w:rsid w:val="6EC07493"/>
    <w:rsid w:val="6EE013EE"/>
    <w:rsid w:val="6EE079F1"/>
    <w:rsid w:val="6EE42C42"/>
    <w:rsid w:val="6F7F7CB0"/>
    <w:rsid w:val="6FE0165C"/>
    <w:rsid w:val="70222744"/>
    <w:rsid w:val="706D2B21"/>
    <w:rsid w:val="70702842"/>
    <w:rsid w:val="707B1384"/>
    <w:rsid w:val="70857A34"/>
    <w:rsid w:val="70985D3C"/>
    <w:rsid w:val="71047C73"/>
    <w:rsid w:val="7109004F"/>
    <w:rsid w:val="71103167"/>
    <w:rsid w:val="712E56F7"/>
    <w:rsid w:val="71691ABB"/>
    <w:rsid w:val="71AE1AEA"/>
    <w:rsid w:val="71CF3B6C"/>
    <w:rsid w:val="722922C6"/>
    <w:rsid w:val="732D4B5D"/>
    <w:rsid w:val="73393C88"/>
    <w:rsid w:val="7362513F"/>
    <w:rsid w:val="73771D49"/>
    <w:rsid w:val="73A1354E"/>
    <w:rsid w:val="73A63AAE"/>
    <w:rsid w:val="74A11E7D"/>
    <w:rsid w:val="75590B0A"/>
    <w:rsid w:val="7582279F"/>
    <w:rsid w:val="75BB71AF"/>
    <w:rsid w:val="75F01962"/>
    <w:rsid w:val="75F56562"/>
    <w:rsid w:val="760E19DF"/>
    <w:rsid w:val="765D721E"/>
    <w:rsid w:val="76676A53"/>
    <w:rsid w:val="76B620A1"/>
    <w:rsid w:val="77462524"/>
    <w:rsid w:val="77A21064"/>
    <w:rsid w:val="77E34EB2"/>
    <w:rsid w:val="781564B8"/>
    <w:rsid w:val="78224ACF"/>
    <w:rsid w:val="78CD6DCC"/>
    <w:rsid w:val="78D07CAF"/>
    <w:rsid w:val="78DE12D7"/>
    <w:rsid w:val="79210683"/>
    <w:rsid w:val="799C3465"/>
    <w:rsid w:val="79B14EC4"/>
    <w:rsid w:val="79B46E76"/>
    <w:rsid w:val="7A2A6B4A"/>
    <w:rsid w:val="7A666C01"/>
    <w:rsid w:val="7A681070"/>
    <w:rsid w:val="7A860C7C"/>
    <w:rsid w:val="7AB879FE"/>
    <w:rsid w:val="7B167D97"/>
    <w:rsid w:val="7B3264DD"/>
    <w:rsid w:val="7B81188A"/>
    <w:rsid w:val="7B9E2902"/>
    <w:rsid w:val="7BC854E2"/>
    <w:rsid w:val="7C0562EC"/>
    <w:rsid w:val="7C27683F"/>
    <w:rsid w:val="7CB14B4D"/>
    <w:rsid w:val="7CF26969"/>
    <w:rsid w:val="7DB23041"/>
    <w:rsid w:val="7E5F7809"/>
    <w:rsid w:val="7ED56C53"/>
    <w:rsid w:val="7EEA1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71"/>
    <w:qFormat/>
    <w:uiPriority w:val="99"/>
    <w:pPr>
      <w:tabs>
        <w:tab w:val="center" w:pos="4153"/>
        <w:tab w:val="right" w:pos="8306"/>
      </w:tabs>
      <w:snapToGrid w:val="0"/>
      <w:jc w:val="left"/>
    </w:pPr>
    <w:rPr>
      <w:sz w:val="18"/>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0"/>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1"/>
    <w:qFormat/>
    <w:uiPriority w:val="0"/>
    <w:pPr>
      <w:ind w:left="100" w:leftChars="2500"/>
    </w:pPr>
    <w:rPr>
      <w:sz w:val="24"/>
    </w:rPr>
  </w:style>
  <w:style w:type="paragraph" w:styleId="20">
    <w:name w:val="Body Text Indent 2"/>
    <w:basedOn w:val="1"/>
    <w:link w:val="49"/>
    <w:qFormat/>
    <w:uiPriority w:val="0"/>
    <w:pPr>
      <w:spacing w:after="120" w:line="480" w:lineRule="auto"/>
      <w:ind w:left="420" w:leftChars="200"/>
    </w:pPr>
  </w:style>
  <w:style w:type="paragraph" w:styleId="21">
    <w:name w:val="Balloon Text"/>
    <w:basedOn w:val="1"/>
    <w:link w:val="65"/>
    <w:qFormat/>
    <w:uiPriority w:val="0"/>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20"/>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9"/>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1"/>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7"/>
    <w:qFormat/>
    <w:locked/>
    <w:uiPriority w:val="0"/>
    <w:rPr>
      <w:rFonts w:ascii="宋体" w:hAnsi="Courier New"/>
    </w:rPr>
  </w:style>
  <w:style w:type="character" w:customStyle="1" w:styleId="71">
    <w:name w:val="页脚 字符"/>
    <w:link w:val="2"/>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character" w:customStyle="1" w:styleId="131">
    <w:name w:val="font31"/>
    <w:basedOn w:val="3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header" Target="header5.xml"/><Relationship Id="rId34" Type="http://schemas.openxmlformats.org/officeDocument/2006/relationships/header" Target="header4.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77</Pages>
  <Words>33980</Words>
  <Characters>36073</Characters>
  <Lines>305</Lines>
  <Paragraphs>86</Paragraphs>
  <TotalTime>4</TotalTime>
  <ScaleCrop>false</ScaleCrop>
  <LinksUpToDate>false</LinksUpToDate>
  <CharactersWithSpaces>42457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Administrator</cp:lastModifiedBy>
  <cp:lastPrinted>2022-07-01T03:19:00Z</cp:lastPrinted>
  <dcterms:modified xsi:type="dcterms:W3CDTF">2023-04-24T01:28:21Z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ED02EB12B8294FE5807EAA5D2C3C24E0</vt:lpwstr>
  </property>
</Properties>
</file>