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rPr>
        <w:t>商用车驾驶室乘员保护试验台-三坐标仪器</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16"/>
        <w:rPr>
          <w:rFonts w:hint="eastAsia"/>
          <w:lang w:eastAsia="zh-CN"/>
        </w:rPr>
      </w:pPr>
    </w:p>
    <w:p>
      <w:pPr>
        <w:pStyle w:val="16"/>
        <w:rPr>
          <w:rFonts w:hint="eastAsia"/>
          <w:lang w:eastAsia="zh-CN"/>
        </w:rPr>
      </w:pPr>
    </w:p>
    <w:p>
      <w:pPr>
        <w:pStyle w:val="16"/>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34</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47</w:t>
          </w:r>
        </w:p>
        <w:p>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6"/>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rPr>
              <w:t>-三坐标</w:t>
            </w:r>
            <w:r>
              <w:rPr>
                <w:rFonts w:hint="eastAsia" w:ascii="宋体" w:hAnsi="宋体" w:eastAsia="宋体" w:cs="宋体"/>
                <w:color w:val="000000"/>
                <w:sz w:val="24"/>
                <w:szCs w:val="24"/>
                <w:highlight w:val="none"/>
                <w:u w:val="single"/>
                <w:lang w:val="en-US" w:eastAsia="zh-CN"/>
              </w:rPr>
              <w:t>仪器采购</w:t>
            </w:r>
            <w:r>
              <w:rPr>
                <w:rFonts w:hint="eastAsia" w:ascii="宋体" w:hAnsi="宋体" w:eastAsia="宋体" w:cs="宋体"/>
                <w:color w:val="000000"/>
                <w:sz w:val="24"/>
                <w:szCs w:val="24"/>
                <w:highlight w:val="none"/>
                <w:u w:val="single"/>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none"/>
                <w:u w:val="single"/>
                <w:lang w:val="en-US" w:eastAsia="zh-CN"/>
              </w:rPr>
              <w:t>CGZX2023030081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Times New Roman"/>
                <w:color w:val="000000"/>
                <w:sz w:val="24"/>
                <w:szCs w:val="24"/>
                <w:highlight w:val="none"/>
              </w:rPr>
              <w:t>激光扫描测量关节臂系统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济南市高新区华奥路777号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孔明伟</w:t>
            </w:r>
          </w:p>
          <w:p>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17860609557</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kongmingwei@sinotruk.com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20</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审计的公司财务报表（资产负债表、损益表、现金流量表）未显示异常；</w:t>
            </w:r>
          </w:p>
          <w:p>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8.拟投标人三年内无违法及重大违规情况；</w:t>
            </w:r>
          </w:p>
          <w:p>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投标人信用证明材料（中国人民银行信用代码证+征信报告）未显示异常；</w:t>
            </w:r>
          </w:p>
          <w:p>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22</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，登录后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2023年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5</w:t>
            </w:r>
            <w:r>
              <w:rPr>
                <w:rFonts w:hint="eastAsia" w:eastAsia="宋体" w:cs="宋体"/>
                <w:highlight w:val="yellow"/>
              </w:rPr>
              <w:t>日</w:t>
            </w:r>
            <w:r>
              <w:rPr>
                <w:rFonts w:hint="eastAsia" w:eastAsia="宋体" w:cs="宋体"/>
                <w:highlight w:val="yellow"/>
                <w:lang w:val="en-US" w:eastAsia="zh-CN"/>
              </w:rPr>
              <w:t>17时00分00秒</w:t>
            </w:r>
          </w:p>
          <w:p>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六</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正本一份，副本五份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6"/>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孔明伟/17860609557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8</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20000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00</w:t>
            </w:r>
            <w:r>
              <w:rPr>
                <w:rFonts w:hint="eastAsia" w:ascii="宋体" w:hAnsi="宋体" w:eastAsia="宋体" w:cs="宋体"/>
                <w:sz w:val="24"/>
                <w:szCs w:val="24"/>
                <w:highlight w:val="none"/>
              </w:rPr>
              <w:t>元</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ascii="宋体" w:hAnsi="宋体" w:eastAsia="宋体" w:cs="宋体"/>
                <w:sz w:val="24"/>
                <w:szCs w:val="24"/>
                <w:highlight w:val="none"/>
              </w:rPr>
              <w:t>中国重汽集团济南动力有限公司</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ascii="宋体" w:hAnsi="宋体" w:eastAsia="宋体" w:cs="宋体"/>
                <w:sz w:val="24"/>
                <w:szCs w:val="24"/>
                <w:highlight w:val="none"/>
              </w:rPr>
              <w:t>中国工商银行股份有限公司济南天桥支行</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ascii="宋体" w:hAnsi="宋体" w:eastAsia="宋体" w:cs="宋体"/>
                <w:sz w:val="24"/>
                <w:szCs w:val="24"/>
                <w:highlight w:val="none"/>
              </w:rPr>
              <w:t>1602005019200116248</w:t>
            </w:r>
          </w:p>
          <w:p>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ascii="宋体" w:hAnsi="宋体" w:eastAsia="宋体" w:cs="宋体"/>
                <w:sz w:val="24"/>
                <w:szCs w:val="24"/>
                <w:highlight w:val="none"/>
              </w:rPr>
              <w:t>102451000504</w:t>
            </w:r>
          </w:p>
          <w:p>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8</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济南市高新区华奥路777号重汽科技大厦2610会议室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180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10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接续</w:t>
            </w:r>
            <w:r>
              <w:rPr>
                <w:rFonts w:hint="eastAsia" w:hAnsi="宋体" w:eastAsia="宋体" w:cs="宋体"/>
                <w:color w:val="000000"/>
                <w:sz w:val="24"/>
                <w:szCs w:val="24"/>
                <w:highlight w:val="yellow"/>
                <w:lang w:val="en-US" w:eastAsia="zh-CN"/>
              </w:rPr>
              <w:t>10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rPr>
              <w:t>济南市</w:t>
            </w:r>
            <w:r>
              <w:rPr>
                <w:rFonts w:hint="eastAsia" w:ascii="宋体" w:hAnsi="宋体" w:eastAsia="宋体" w:cs="宋体"/>
                <w:color w:val="000000"/>
                <w:sz w:val="24"/>
                <w:szCs w:val="24"/>
                <w:lang w:val="en-US" w:eastAsia="zh-CN"/>
              </w:rPr>
              <w:t>莱芜区口镇重汽工业园</w:t>
            </w:r>
            <w:r>
              <w:rPr>
                <w:rFonts w:hint="eastAsia" w:ascii="宋体"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16"/>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rPr>
              <w:t>（1）</w:t>
            </w:r>
            <w:r>
              <w:rPr>
                <w:rFonts w:hint="eastAsia" w:eastAsia="宋体" w:cs="Times New Roman"/>
                <w:color w:val="000000"/>
                <w:sz w:val="24"/>
                <w:szCs w:val="24"/>
                <w:highlight w:val="none"/>
                <w:lang w:val="en-US" w:eastAsia="zh-CN"/>
              </w:rPr>
              <w:t>合同签订生效后</w:t>
            </w:r>
            <w:r>
              <w:rPr>
                <w:rFonts w:eastAsia="宋体" w:cs="Times New Roman"/>
                <w:color w:val="000000"/>
                <w:sz w:val="24"/>
                <w:szCs w:val="24"/>
                <w:highlight w:val="none"/>
              </w:rPr>
              <w:t>，</w:t>
            </w:r>
            <w:r>
              <w:rPr>
                <w:rFonts w:hint="eastAsia" w:eastAsia="宋体" w:cs="Times New Roman"/>
                <w:color w:val="000000"/>
                <w:sz w:val="24"/>
                <w:szCs w:val="24"/>
                <w:highlight w:val="none"/>
              </w:rPr>
              <w:t>中标人</w:t>
            </w:r>
            <w:r>
              <w:rPr>
                <w:rFonts w:eastAsia="宋体" w:cs="Times New Roman"/>
                <w:color w:val="000000"/>
                <w:sz w:val="24"/>
                <w:szCs w:val="24"/>
                <w:highlight w:val="none"/>
              </w:rPr>
              <w:t>提交金额为合同价款</w:t>
            </w:r>
            <w:r>
              <w:rPr>
                <w:rFonts w:eastAsia="宋体" w:cs="Times New Roman"/>
                <w:b/>
                <w:bCs/>
                <w:color w:val="000000"/>
                <w:sz w:val="24"/>
                <w:szCs w:val="24"/>
                <w:highlight w:val="none"/>
              </w:rPr>
              <w:t>30%</w:t>
            </w:r>
            <w:r>
              <w:rPr>
                <w:rFonts w:eastAsia="宋体" w:cs="Times New Roman"/>
                <w:color w:val="000000"/>
                <w:sz w:val="24"/>
                <w:szCs w:val="24"/>
                <w:highlight w:val="none"/>
              </w:rPr>
              <w:t>的收据并提供合同价款</w:t>
            </w:r>
            <w:r>
              <w:rPr>
                <w:rFonts w:eastAsia="宋体" w:cs="Times New Roman"/>
                <w:b/>
                <w:bCs/>
                <w:color w:val="000000"/>
                <w:sz w:val="24"/>
                <w:szCs w:val="24"/>
                <w:highlight w:val="none"/>
              </w:rPr>
              <w:t>30%</w:t>
            </w:r>
            <w:r>
              <w:rPr>
                <w:rFonts w:eastAsia="宋体" w:cs="Times New Roman"/>
                <w:color w:val="000000"/>
                <w:sz w:val="24"/>
                <w:szCs w:val="24"/>
                <w:highlight w:val="none"/>
              </w:rPr>
              <w:t>的增值税专用发票（含复印件二份），经</w:t>
            </w:r>
            <w:r>
              <w:rPr>
                <w:rFonts w:hint="eastAsia" w:eastAsia="宋体" w:cs="Times New Roman"/>
                <w:color w:val="000000"/>
                <w:sz w:val="24"/>
                <w:szCs w:val="24"/>
                <w:highlight w:val="none"/>
                <w:lang w:val="en-US" w:eastAsia="zh-CN"/>
              </w:rPr>
              <w:t>招标人</w:t>
            </w:r>
            <w:r>
              <w:rPr>
                <w:rFonts w:eastAsia="宋体" w:cs="Times New Roman"/>
                <w:color w:val="000000"/>
                <w:sz w:val="24"/>
                <w:szCs w:val="24"/>
                <w:highlight w:val="none"/>
              </w:rPr>
              <w:t>依照财务制度审核无误后</w:t>
            </w:r>
            <w:r>
              <w:rPr>
                <w:rFonts w:hint="eastAsia" w:eastAsia="宋体" w:cs="Times New Roman"/>
                <w:color w:val="000000"/>
                <w:sz w:val="24"/>
                <w:szCs w:val="24"/>
                <w:highlight w:val="none"/>
                <w:lang w:val="en-US" w:eastAsia="zh-CN"/>
              </w:rPr>
              <w:t>30日</w:t>
            </w:r>
            <w:r>
              <w:rPr>
                <w:rFonts w:eastAsia="宋体" w:cs="Times New Roman"/>
                <w:color w:val="000000"/>
                <w:sz w:val="24"/>
                <w:szCs w:val="24"/>
                <w:highlight w:val="none"/>
              </w:rPr>
              <w:t>支付</w:t>
            </w:r>
            <w:r>
              <w:rPr>
                <w:rFonts w:hint="eastAsia" w:eastAsia="宋体" w:cs="Times New Roman"/>
                <w:color w:val="000000"/>
                <w:sz w:val="24"/>
                <w:szCs w:val="24"/>
                <w:highlight w:val="none"/>
                <w:lang w:eastAsia="zh-CN"/>
              </w:rPr>
              <w:t>；</w:t>
            </w:r>
          </w:p>
          <w:p>
            <w:pPr>
              <w:pStyle w:val="16"/>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设备全部到齐，经现场安装调试验收合格交付使用后，卖方提交金额为合同价款</w:t>
            </w:r>
            <w:r>
              <w:rPr>
                <w:rFonts w:hint="eastAsia" w:hAnsi="宋体" w:eastAsia="宋体" w:cs="宋体"/>
                <w:b/>
                <w:bCs/>
                <w:color w:val="000000"/>
                <w:sz w:val="24"/>
                <w:szCs w:val="24"/>
                <w:highlight w:val="none"/>
                <w:lang w:val="en-US" w:eastAsia="zh-CN"/>
              </w:rPr>
              <w:t>60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的收据并附带下列单据，经买方依照财务制度审核无误后</w:t>
            </w:r>
            <w:r>
              <w:rPr>
                <w:rFonts w:hint="eastAsia" w:hAnsi="宋体" w:eastAsia="宋体" w:cs="宋体"/>
                <w:color w:val="000000"/>
                <w:sz w:val="24"/>
                <w:szCs w:val="24"/>
                <w:highlight w:val="none"/>
                <w:u w:val="single"/>
              </w:rPr>
              <w:t>30个</w:t>
            </w:r>
            <w:r>
              <w:rPr>
                <w:rFonts w:hint="eastAsia" w:hAnsi="宋体" w:eastAsia="宋体" w:cs="宋体"/>
                <w:color w:val="000000"/>
                <w:sz w:val="24"/>
                <w:szCs w:val="24"/>
                <w:highlight w:val="none"/>
              </w:rPr>
              <w:t>工作日内支付</w:t>
            </w:r>
            <w:r>
              <w:rPr>
                <w:rFonts w:hint="eastAsia" w:hAnsi="宋体" w:eastAsia="宋体" w:cs="宋体"/>
                <w:color w:val="000000"/>
                <w:sz w:val="24"/>
                <w:szCs w:val="24"/>
                <w:highlight w:val="none"/>
                <w:lang w:eastAsia="zh-CN"/>
              </w:rPr>
              <w:t>；</w:t>
            </w:r>
          </w:p>
          <w:p>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w:t>
            </w:r>
            <w:r>
              <w:rPr>
                <w:rFonts w:hint="eastAsia" w:hAnsi="宋体" w:eastAsia="宋体" w:cs="宋体"/>
                <w:b/>
                <w:bCs/>
                <w:color w:val="000000"/>
                <w:sz w:val="24"/>
                <w:szCs w:val="24"/>
                <w:highlight w:val="none"/>
                <w:lang w:val="en-US" w:eastAsia="zh-CN"/>
              </w:rPr>
              <w:t>70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的增值税专用发票（含复印件二份），具体开票信息详见发票信息表，根据表中所列分别开具增值税发票。</w:t>
            </w:r>
          </w:p>
          <w:p>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pStyle w:val="10"/>
              <w:numPr>
                <w:ilvl w:val="0"/>
                <w:numId w:val="0"/>
              </w:numPr>
              <w:rPr>
                <w:rFonts w:ascii="宋体" w:hAnsi="宋体" w:eastAsia="宋体" w:cs="宋体"/>
                <w:sz w:val="24"/>
                <w:szCs w:val="24"/>
              </w:rPr>
            </w:pPr>
            <w:r>
              <w:rPr>
                <w:rFonts w:hint="eastAsia" w:ascii="宋体"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lang w:val="en-US" w:eastAsia="zh-CN"/>
              </w:rPr>
              <w:t>3</w:t>
            </w:r>
            <w:r>
              <w:rPr>
                <w:rFonts w:hint="eastAsia" w:ascii="宋体"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合同总价款的</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eastAsia="宋体" w:cs="Times New Roman"/>
                <w:color w:val="000000"/>
                <w:sz w:val="24"/>
                <w:szCs w:val="24"/>
                <w:highlight w:val="none"/>
              </w:rPr>
              <w:t>30</w:t>
            </w:r>
            <w:r>
              <w:rPr>
                <w:rFonts w:hint="eastAsia" w:hAnsi="宋体" w:eastAsia="宋体" w:cs="宋体"/>
                <w:color w:val="000000"/>
                <w:sz w:val="24"/>
                <w:szCs w:val="24"/>
                <w:highlight w:val="none"/>
                <w:u w:val="single"/>
              </w:rPr>
              <w:t>个</w:t>
            </w:r>
            <w:r>
              <w:rPr>
                <w:rFonts w:hint="eastAsia" w:hAnsi="宋体" w:eastAsia="宋体" w:cs="宋体"/>
                <w:color w:val="000000"/>
                <w:sz w:val="24"/>
                <w:szCs w:val="24"/>
                <w:highlight w:val="none"/>
              </w:rPr>
              <w:t>工作日</w:t>
            </w:r>
            <w:r>
              <w:rPr>
                <w:rFonts w:hint="eastAsia" w:ascii="宋体" w:hAnsi="Courier New" w:eastAsia="宋体" w:cs="Times New Roman"/>
                <w:color w:val="000000"/>
                <w:sz w:val="24"/>
                <w:szCs w:val="24"/>
                <w:highlight w:val="none"/>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15日</w:t>
            </w:r>
            <w:r>
              <w:rPr>
                <w:rFonts w:hint="eastAsia" w:ascii="宋体" w:hAnsi="宋体" w:eastAsia="宋体" w:cs="宋体"/>
                <w:sz w:val="24"/>
                <w:szCs w:val="24"/>
              </w:rPr>
              <w:t>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rPr>
        <w:t>3.报价</w:t>
      </w:r>
    </w:p>
    <w:p>
      <w:pPr>
        <w:pStyle w:val="16"/>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w:t>
      </w:r>
      <w:r>
        <w:rPr>
          <w:rFonts w:hint="eastAsia" w:ascii="宋体" w:hAnsi="宋体" w:eastAsia="宋体" w:cs="宋体"/>
          <w:sz w:val="24"/>
          <w:szCs w:val="24"/>
          <w:highlight w:val="none"/>
        </w:rPr>
        <w:t>本次招投标为</w:t>
      </w:r>
      <w:r>
        <w:rPr>
          <w:rFonts w:hint="eastAsia" w:ascii="宋体" w:hAnsi="宋体" w:eastAsia="宋体" w:cs="宋体"/>
          <w:color w:val="000000"/>
          <w:sz w:val="24"/>
          <w:szCs w:val="24"/>
          <w:highlight w:val="none"/>
        </w:rPr>
        <w:t>公开招标</w:t>
      </w:r>
      <w:r>
        <w:rPr>
          <w:rFonts w:hint="eastAsia" w:ascii="宋体" w:hAnsi="宋体" w:eastAsia="宋体" w:cs="宋体"/>
          <w:b/>
          <w:sz w:val="24"/>
          <w:szCs w:val="24"/>
          <w:highlight w:val="none"/>
        </w:rPr>
        <w:t>；</w:t>
      </w:r>
      <w:r>
        <w:rPr>
          <w:rFonts w:hint="eastAsia" w:ascii="宋体" w:hAnsi="宋体" w:eastAsia="宋体" w:cs="宋体"/>
          <w:color w:val="000000"/>
          <w:sz w:val="24"/>
          <w:szCs w:val="24"/>
          <w:highlight w:val="none"/>
        </w:rPr>
        <w:t>评标流程以及规则详见</w:t>
      </w:r>
      <w:r>
        <w:rPr>
          <w:rFonts w:hint="eastAsia" w:ascii="宋体" w:hAnsi="宋体" w:eastAsia="宋体" w:cs="宋体"/>
          <w:color w:val="000000"/>
          <w:sz w:val="24"/>
          <w:szCs w:val="24"/>
          <w:highlight w:val="none"/>
          <w:lang w:val="en-US" w:eastAsia="zh-CN"/>
        </w:rPr>
        <w:t>本部分第</w:t>
      </w:r>
      <w:r>
        <w:rPr>
          <w:rFonts w:hint="eastAsia" w:ascii="宋体" w:hAnsi="宋体" w:eastAsia="宋体" w:cs="宋体"/>
          <w:color w:val="000000"/>
          <w:sz w:val="24"/>
          <w:szCs w:val="24"/>
          <w:highlight w:val="none"/>
        </w:rPr>
        <w:t>六</w:t>
      </w:r>
      <w:r>
        <w:rPr>
          <w:rFonts w:hint="eastAsia" w:ascii="宋体" w:hAnsi="宋体" w:eastAsia="宋体" w:cs="宋体"/>
          <w:color w:val="000000"/>
          <w:sz w:val="24"/>
          <w:szCs w:val="24"/>
          <w:highlight w:val="none"/>
          <w:lang w:val="en-US" w:eastAsia="zh-CN"/>
        </w:rPr>
        <w:t>条</w:t>
      </w:r>
      <w:r>
        <w:rPr>
          <w:rFonts w:hint="eastAsia" w:ascii="宋体" w:hAnsi="宋体" w:eastAsia="宋体" w:cs="宋体"/>
          <w:color w:val="000000"/>
          <w:sz w:val="24"/>
          <w:szCs w:val="24"/>
          <w:highlight w:val="none"/>
        </w:rPr>
        <w:t>评标</w:t>
      </w:r>
      <w:r>
        <w:rPr>
          <w:rFonts w:hint="eastAsia" w:ascii="宋体" w:hAnsi="宋体" w:eastAsia="宋体" w:cs="宋体"/>
          <w:color w:val="000000"/>
          <w:sz w:val="24"/>
          <w:szCs w:val="24"/>
          <w:highlight w:val="none"/>
          <w:lang w:val="en-US" w:eastAsia="zh-CN"/>
        </w:rPr>
        <w:t>原则</w:t>
      </w:r>
      <w:r>
        <w:rPr>
          <w:rFonts w:hint="eastAsia" w:ascii="宋体" w:hAnsi="宋体" w:eastAsia="宋体" w:cs="宋体"/>
          <w:color w:val="000000"/>
          <w:sz w:val="24"/>
          <w:szCs w:val="24"/>
          <w:highlight w:val="none"/>
        </w:rPr>
        <w:t>。</w:t>
      </w:r>
    </w:p>
    <w:p>
      <w:pPr>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4</w:t>
      </w:r>
      <w:r>
        <w:rPr>
          <w:rFonts w:hint="eastAsia" w:ascii="宋体" w:hAnsi="宋体" w:eastAsia="宋体" w:cs="宋体"/>
          <w:b/>
          <w:bCs/>
          <w:color w:val="000000"/>
          <w:sz w:val="24"/>
          <w:szCs w:val="24"/>
          <w:highlight w:val="none"/>
        </w:rPr>
        <w:t>.投标报名</w:t>
      </w:r>
    </w:p>
    <w:p>
      <w:pPr>
        <w:keepNext/>
        <w:keepLines/>
        <w:spacing w:line="360" w:lineRule="auto"/>
        <w:ind w:firstLine="48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1"/>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none"/>
        </w:rPr>
        <w:t>：见《投标须知前附表》2.3</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报名提交资料：均为</w:t>
      </w:r>
      <w:r>
        <w:rPr>
          <w:rFonts w:hint="eastAsia" w:ascii="宋体" w:hAnsi="宋体" w:eastAsia="宋体" w:cs="宋体"/>
          <w:sz w:val="24"/>
          <w:szCs w:val="24"/>
          <w:highlight w:val="none"/>
          <w:lang w:val="en-US" w:eastAsia="zh-CN"/>
        </w:rPr>
        <w:t>盖章</w:t>
      </w:r>
      <w:r>
        <w:rPr>
          <w:rFonts w:hint="eastAsia" w:ascii="宋体" w:hAnsi="宋体" w:eastAsia="宋体" w:cs="宋体"/>
          <w:sz w:val="24"/>
          <w:szCs w:val="24"/>
          <w:highlight w:val="none"/>
        </w:rPr>
        <w:t>电子扫描版，用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公司</w:t>
      </w:r>
      <w:r>
        <w:rPr>
          <w:rFonts w:hint="eastAsia" w:ascii="宋体" w:hAnsi="宋体" w:eastAsia="宋体" w:cs="宋体"/>
          <w:sz w:val="24"/>
          <w:szCs w:val="24"/>
          <w:highlight w:val="none"/>
          <w:lang w:val="en-US" w:eastAsia="zh-CN"/>
        </w:rPr>
        <w:t>名称+文件名称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命名</w:t>
      </w:r>
      <w:r>
        <w:rPr>
          <w:rFonts w:hint="eastAsia" w:ascii="宋体" w:hAnsi="宋体" w:eastAsia="宋体" w:cs="宋体"/>
          <w:sz w:val="24"/>
          <w:szCs w:val="24"/>
          <w:highlight w:val="none"/>
        </w:rPr>
        <w:t>。</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.开标时间</w:t>
      </w:r>
    </w:p>
    <w:p>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6</w:t>
      </w:r>
      <w:r>
        <w:rPr>
          <w:rFonts w:hint="eastAsia" w:ascii="宋体" w:hAnsi="宋体" w:eastAsia="宋体" w:cs="宋体"/>
          <w:b/>
          <w:bCs/>
          <w:color w:val="000000"/>
          <w:sz w:val="24"/>
          <w:szCs w:val="24"/>
          <w:highlight w:val="none"/>
        </w:rPr>
        <w:t>.开标方式</w:t>
      </w:r>
    </w:p>
    <w:p>
      <w:pPr>
        <w:spacing w:line="360" w:lineRule="auto"/>
        <w:ind w:firstLine="480" w:firstLineChars="200"/>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lang w:val="en-US"/>
        </w:rPr>
        <w:t>满足国务院、政府及招标人公司最新防疫政策要求，</w:t>
      </w: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其他情况请选择视频</w:t>
      </w:r>
      <w:r>
        <w:rPr>
          <w:rFonts w:hint="eastAsia" w:ascii="宋体" w:hAnsi="宋体" w:eastAsia="宋体" w:cs="宋体"/>
          <w:color w:val="000000"/>
          <w:sz w:val="24"/>
          <w:szCs w:val="24"/>
          <w:highlight w:val="none"/>
        </w:rPr>
        <w:t>参与</w:t>
      </w:r>
      <w:r>
        <w:rPr>
          <w:rFonts w:hint="eastAsia" w:ascii="宋体" w:hAnsi="宋体" w:eastAsia="宋体" w:cs="宋体"/>
          <w:color w:val="000000"/>
          <w:sz w:val="24"/>
          <w:szCs w:val="24"/>
          <w:highlight w:val="none"/>
          <w:lang w:val="en-US" w:eastAsia="zh-CN"/>
        </w:rPr>
        <w:t>开标，</w:t>
      </w:r>
      <w:r>
        <w:rPr>
          <w:rFonts w:hint="eastAsia" w:ascii="宋体" w:hAnsi="宋体" w:eastAsia="宋体" w:cs="宋体"/>
          <w:color w:val="000000"/>
          <w:sz w:val="24"/>
          <w:szCs w:val="24"/>
          <w:highlight w:val="none"/>
        </w:rPr>
        <w:t>视频链接会在报名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5752"/>
      <w:bookmarkStart w:id="8" w:name="_Toc33285487"/>
      <w:bookmarkStart w:id="9" w:name="_Toc33266627"/>
      <w:bookmarkStart w:id="10" w:name="_Toc33265653"/>
      <w:bookmarkStart w:id="11" w:name="_Toc33266914"/>
      <w:bookmarkStart w:id="12" w:name="_Toc33266950"/>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技术标入围后，合理最低价中标</w:t>
      </w:r>
      <w:bookmarkStart w:id="14" w:name="_Toc33266915"/>
      <w:bookmarkStart w:id="15" w:name="_Toc33266951"/>
      <w:bookmarkStart w:id="16" w:name="_Toc33267002"/>
      <w:bookmarkStart w:id="17" w:name="_Toc395116634"/>
      <w:bookmarkStart w:id="18" w:name="_Toc33265654"/>
      <w:bookmarkStart w:id="19" w:name="_Toc33285489"/>
      <w:bookmarkStart w:id="20" w:name="_Toc33266628"/>
      <w:bookmarkStart w:id="21" w:name="_Toc33265753"/>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资质标评审：资质标审核通过的单位，可以进入技术标评审；</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：公开唱标→商务条款相应确认→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auto"/>
          <w:sz w:val="24"/>
          <w:szCs w:val="24"/>
        </w:rPr>
        <w:t>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6"/>
      <w:bookmarkStart w:id="24" w:name="OLE_LINK29"/>
      <w:bookmarkStart w:id="25" w:name="OLE_LINK27"/>
      <w:bookmarkStart w:id="26" w:name="OLE_LINK25"/>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w:t>
      </w:r>
      <w:r>
        <w:rPr>
          <w:rFonts w:hint="eastAsia" w:ascii="宋体" w:hAnsi="宋体" w:eastAsia="宋体" w:cs="宋体"/>
          <w:kern w:val="0"/>
          <w:sz w:val="24"/>
          <w:szCs w:val="24"/>
          <w:highlight w:val="none"/>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w:t>
      </w:r>
      <w:r>
        <w:rPr>
          <w:rFonts w:hint="eastAsia" w:ascii="宋体" w:hAnsi="宋体" w:eastAsia="宋体" w:cs="宋体"/>
          <w:b/>
          <w:bCs/>
          <w:color w:val="000000"/>
          <w:sz w:val="24"/>
          <w:szCs w:val="24"/>
        </w:rPr>
        <w:t>经第三方机构审计</w:t>
      </w:r>
      <w:r>
        <w:rPr>
          <w:rFonts w:hint="eastAsia" w:ascii="宋体" w:hAnsi="宋体" w:eastAsia="宋体" w:cs="宋体"/>
          <w:color w:val="000000"/>
          <w:sz w:val="24"/>
          <w:szCs w:val="24"/>
        </w:rPr>
        <w:t>的财务报表（资产负债表、损益表、现金流量表）复印件，必须连续，同时填写投标人基本情况及资产情况汇总表（附件3）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1.7企业信用证明材料（中国人民银行信用代码证+征信报告）；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9企业最近半年的完税证明；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1.11企业</w:t>
      </w:r>
      <w:r>
        <w:rPr>
          <w:rFonts w:hint="eastAsia" w:ascii="宋体" w:hAnsi="宋体" w:eastAsia="宋体" w:cs="宋体"/>
          <w:color w:val="000000"/>
          <w:sz w:val="24"/>
          <w:szCs w:val="24"/>
        </w:rPr>
        <w:t>近三年同类项目业绩</w:t>
      </w:r>
      <w:r>
        <w:rPr>
          <w:rFonts w:hint="eastAsia" w:ascii="宋体" w:hAnsi="宋体" w:eastAsia="宋体" w:cs="宋体"/>
          <w:color w:val="000000"/>
          <w:sz w:val="24"/>
          <w:szCs w:val="24"/>
          <w:lang w:val="en-US" w:eastAsia="zh-CN"/>
        </w:rPr>
        <w:t>证明；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1.12投标保证金缴纳凭证。</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近三年同类项目业绩一览表（附件6）及有效合同复印件，</w:t>
      </w:r>
      <w:r>
        <w:rPr>
          <w:rFonts w:hint="eastAsia" w:ascii="宋体" w:hAnsi="宋体" w:eastAsia="宋体" w:cs="宋体"/>
          <w:b/>
          <w:color w:val="000000"/>
          <w:sz w:val="24"/>
          <w:szCs w:val="24"/>
          <w:highlight w:val="none"/>
        </w:rPr>
        <w:t>若</w:t>
      </w:r>
      <w:r>
        <w:rPr>
          <w:rFonts w:hint="eastAsia" w:ascii="宋体" w:hAnsi="宋体" w:eastAsia="宋体" w:cs="宋体"/>
          <w:b/>
          <w:color w:val="000000"/>
          <w:sz w:val="24"/>
          <w:szCs w:val="24"/>
          <w:highlight w:val="none"/>
          <w:lang w:val="en-US" w:eastAsia="zh-CN"/>
        </w:rPr>
        <w:t>未</w:t>
      </w:r>
      <w:r>
        <w:rPr>
          <w:rFonts w:hint="eastAsia" w:ascii="宋体" w:hAnsi="宋体" w:eastAsia="宋体" w:cs="宋体"/>
          <w:b/>
          <w:color w:val="000000"/>
          <w:sz w:val="24"/>
          <w:szCs w:val="24"/>
          <w:highlight w:val="none"/>
        </w:rPr>
        <w:t>提供相应业绩证明，</w:t>
      </w:r>
      <w:r>
        <w:rPr>
          <w:rFonts w:hint="eastAsia" w:ascii="宋体" w:hAnsi="宋体" w:eastAsia="宋体" w:cs="宋体"/>
          <w:b/>
          <w:color w:val="000000"/>
          <w:sz w:val="24"/>
          <w:szCs w:val="24"/>
          <w:highlight w:val="none"/>
          <w:lang w:val="en-US" w:eastAsia="zh-CN"/>
        </w:rPr>
        <w:t>根据技术标评分规则，</w:t>
      </w:r>
      <w:r>
        <w:rPr>
          <w:rFonts w:hint="eastAsia" w:ascii="宋体" w:hAnsi="宋体" w:eastAsia="宋体" w:cs="宋体"/>
          <w:b/>
          <w:color w:val="000000"/>
          <w:sz w:val="24"/>
          <w:szCs w:val="24"/>
          <w:highlight w:val="none"/>
        </w:rPr>
        <w:t>将影响现场评标专家组对</w:t>
      </w:r>
      <w:r>
        <w:rPr>
          <w:rFonts w:hint="eastAsia" w:ascii="宋体" w:hAnsi="宋体" w:eastAsia="宋体" w:cs="宋体"/>
          <w:b/>
          <w:color w:val="000000"/>
          <w:sz w:val="24"/>
          <w:szCs w:val="24"/>
          <w:highlight w:val="none"/>
          <w:lang w:eastAsia="zh-CN"/>
        </w:rPr>
        <w:t>投标人</w:t>
      </w:r>
      <w:r>
        <w:rPr>
          <w:rFonts w:hint="eastAsia" w:ascii="宋体" w:hAnsi="宋体" w:eastAsia="宋体" w:cs="宋体"/>
          <w:b/>
          <w:color w:val="000000"/>
          <w:sz w:val="24"/>
          <w:szCs w:val="24"/>
          <w:highlight w:val="none"/>
        </w:rPr>
        <w:t>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2.6投标产品技术支持材料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需写明质保期以外服务费用情况；</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w:t>
      </w:r>
      <w:bookmarkStart w:id="153" w:name="_GoBack"/>
      <w:bookmarkEnd w:id="153"/>
      <w:r>
        <w:rPr>
          <w:rFonts w:hint="eastAsia" w:ascii="宋体" w:hAnsi="宋体" w:eastAsia="宋体" w:cs="宋体"/>
          <w:color w:val="000000"/>
          <w:sz w:val="24"/>
          <w:szCs w:val="24"/>
        </w:rPr>
        <w:t>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16"/>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rPr>
        <w:t>商用车驾驶室乘员保护试验台-三坐标仪器</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6"/>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pPr>
    </w:p>
    <w:p>
      <w:pPr>
        <w:pStyle w:val="16"/>
        <w:rPr>
          <w:rFonts w:ascii="黑体" w:hAnsi="宋体" w:eastAsia="黑体" w:cs="Times New Roman"/>
          <w:color w:val="000000"/>
          <w:sz w:val="72"/>
          <w:szCs w:val="72"/>
        </w:rPr>
      </w:pPr>
    </w:p>
    <w:p>
      <w:pPr>
        <w:pStyle w:val="16"/>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rPr>
        <w:t>-三坐标</w:t>
      </w:r>
      <w:r>
        <w:rPr>
          <w:rFonts w:hint="eastAsia" w:ascii="宋体" w:hAnsi="宋体" w:eastAsia="宋体" w:cs="宋体"/>
          <w:color w:val="000000"/>
          <w:sz w:val="24"/>
          <w:szCs w:val="24"/>
          <w:highlight w:val="none"/>
          <w:u w:val="single"/>
          <w:lang w:val="en-US" w:eastAsia="zh-CN"/>
        </w:rPr>
        <w:t>仪器采购</w:t>
      </w:r>
      <w:r>
        <w:rPr>
          <w:rFonts w:hint="eastAsia" w:ascii="宋体" w:hAnsi="宋体" w:eastAsia="宋体" w:cs="宋体"/>
          <w:color w:val="000000"/>
          <w:sz w:val="24"/>
          <w:szCs w:val="24"/>
          <w:highlight w:val="none"/>
          <w:u w:val="single"/>
        </w:rPr>
        <w:t>项目</w:t>
      </w:r>
    </w:p>
    <w:p>
      <w:pPr>
        <w:spacing w:line="360" w:lineRule="auto"/>
        <w:outlineLvl w:val="3"/>
        <w:rPr>
          <w:rFonts w:hint="eastAsia" w:ascii="宋体" w:hAnsi="宋体" w:eastAsia="宋体" w:cs="宋体"/>
          <w:sz w:val="24"/>
          <w:szCs w:val="24"/>
          <w:highlight w:val="none"/>
        </w:rPr>
      </w:pPr>
      <w:r>
        <w:rPr>
          <w:rFonts w:hint="eastAsia" w:ascii="宋体" w:hAnsi="宋体" w:eastAsia="宋体" w:cs="宋体"/>
          <w:sz w:val="24"/>
          <w:szCs w:val="24"/>
        </w:rPr>
        <w:t>二、建设地点</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济南莱芜区口镇重汽工业园</w:t>
      </w:r>
    </w:p>
    <w:p>
      <w:pPr>
        <w:spacing w:line="360" w:lineRule="auto"/>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sz w:val="24"/>
          <w:szCs w:val="24"/>
          <w:highlight w:val="none"/>
          <w:lang w:val="en-US" w:eastAsia="zh-CN"/>
        </w:rPr>
        <w:t>济南莱芜区口镇重汽工业园</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200</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一</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yellow"/>
          <w:u w:val="single"/>
          <w:shd w:val="pct10" w:color="auto" w:fill="FFFFFF"/>
          <w:lang w:val="en-US" w:eastAsia="zh-CN"/>
        </w:rPr>
        <w:t>1600</w:t>
      </w:r>
      <w:r>
        <w:rPr>
          <w:rFonts w:hint="eastAsia" w:ascii="宋体" w:hAnsi="宋体" w:eastAsia="宋体" w:cs="宋体"/>
          <w:sz w:val="24"/>
          <w:szCs w:val="24"/>
          <w:highlight w:val="none"/>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000m以下。</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20</w:t>
      </w:r>
      <w:r>
        <w:rPr>
          <w:rFonts w:hint="eastAsia" w:ascii="宋体" w:hAnsi="宋体" w:eastAsia="宋体" w:cs="宋体"/>
          <w:bCs/>
          <w:sz w:val="24"/>
          <w:szCs w:val="24"/>
          <w:highlight w:val="none"/>
        </w:rPr>
        <w:t>℃、极端最高温度45℃。</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pPr>
        <w:spacing w:line="360" w:lineRule="auto"/>
        <w:ind w:firstLine="480" w:firstLineChars="200"/>
        <w:rPr>
          <w:rFonts w:hint="eastAsia" w:hAnsi="宋体" w:eastAsia="宋体" w:cs="宋体"/>
          <w:lang w:val="en-US" w:eastAsia="zh-CN"/>
        </w:rPr>
      </w:pPr>
      <w:r>
        <w:rPr>
          <w:rFonts w:hint="eastAsia" w:ascii="宋体" w:hAnsi="宋体" w:eastAsia="宋体" w:cs="宋体"/>
          <w:bCs/>
          <w:sz w:val="24"/>
          <w:szCs w:val="24"/>
          <w:highlight w:val="none"/>
        </w:rPr>
        <w:t>1.电力：中国制式，供电电压380V±15%/220V±15%，供电频率50Hz±2%</w:t>
      </w:r>
      <w:r>
        <w:rPr>
          <w:rFonts w:hint="eastAsia" w:ascii="宋体" w:hAnsi="宋体" w:eastAsia="宋体" w:cs="宋体"/>
          <w:bCs/>
          <w:sz w:val="24"/>
          <w:szCs w:val="24"/>
          <w:highlight w:val="none"/>
          <w:lang w:eastAsia="zh-CN"/>
        </w:rPr>
        <w:t>；</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bCs w:val="0"/>
          <w:sz w:val="24"/>
          <w:szCs w:val="24"/>
        </w:rPr>
        <w:t>激光扫描测量关节臂系统</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1套</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9182" w:type="dxa"/>
        <w:tblInd w:w="2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2929"/>
        <w:gridCol w:w="2413"/>
        <w:gridCol w:w="840"/>
        <w:gridCol w:w="71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0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929"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名称</w:t>
            </w:r>
          </w:p>
        </w:tc>
        <w:tc>
          <w:tcPr>
            <w:tcW w:w="241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型号规格</w:t>
            </w:r>
          </w:p>
        </w:tc>
        <w:tc>
          <w:tcPr>
            <w:tcW w:w="84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单位</w:t>
            </w:r>
          </w:p>
        </w:tc>
        <w:tc>
          <w:tcPr>
            <w:tcW w:w="718" w:type="dxa"/>
            <w:noWrap w:val="0"/>
            <w:vAlign w:val="center"/>
          </w:tcPr>
          <w:p>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数量</w:t>
            </w:r>
          </w:p>
        </w:tc>
        <w:tc>
          <w:tcPr>
            <w:tcW w:w="1275"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07"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lang w:val="en-US" w:eastAsia="zh-CN"/>
              </w:rPr>
            </w:pPr>
            <w:r>
              <w:rPr>
                <w:rFonts w:hint="eastAsia" w:ascii="宋体" w:hAnsi="宋体" w:eastAsia="宋体" w:cs="宋体"/>
                <w:b/>
                <w:bCs/>
                <w:color w:val="000000"/>
                <w:sz w:val="24"/>
                <w:szCs w:val="24"/>
                <w:lang w:val="en-US" w:eastAsia="zh-CN"/>
              </w:rPr>
              <w:t>1</w:t>
            </w:r>
          </w:p>
        </w:tc>
        <w:tc>
          <w:tcPr>
            <w:tcW w:w="2929"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kern w:val="0"/>
                <w:sz w:val="24"/>
                <w:szCs w:val="24"/>
                <w:lang w:val="en-US" w:eastAsia="zh-CN"/>
              </w:rPr>
            </w:pPr>
            <w:r>
              <w:rPr>
                <w:rFonts w:hint="eastAsia" w:ascii="宋体" w:hAnsi="宋体" w:eastAsia="宋体" w:cs="宋体"/>
                <w:b/>
                <w:bCs/>
                <w:color w:val="000000"/>
                <w:kern w:val="0"/>
                <w:sz w:val="24"/>
                <w:szCs w:val="24"/>
                <w:lang w:val="en-US" w:eastAsia="zh-CN"/>
              </w:rPr>
              <w:t>激光扫描测量关节臂系统</w:t>
            </w:r>
          </w:p>
        </w:tc>
        <w:tc>
          <w:tcPr>
            <w:tcW w:w="2413"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见第二章技术要求</w:t>
            </w:r>
          </w:p>
        </w:tc>
        <w:tc>
          <w:tcPr>
            <w:tcW w:w="840"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套</w:t>
            </w:r>
          </w:p>
        </w:tc>
        <w:tc>
          <w:tcPr>
            <w:tcW w:w="718"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w:t>
            </w:r>
          </w:p>
        </w:tc>
        <w:tc>
          <w:tcPr>
            <w:tcW w:w="1275" w:type="dxa"/>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color w:val="000000"/>
                <w:sz w:val="24"/>
                <w:szCs w:val="24"/>
                <w:lang w:val="en-US" w:eastAsia="zh-CN"/>
              </w:rPr>
            </w:pP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5"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5"/>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hint="eastAsia"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pPr>
        <w:spacing w:line="360" w:lineRule="auto"/>
        <w:ind w:firstLine="480" w:firstLineChars="200"/>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8.</w:t>
      </w:r>
      <w:r>
        <w:rPr>
          <w:rFonts w:hint="eastAsia" w:ascii="宋体" w:hAnsi="宋体" w:eastAsia="宋体" w:cs="Times New Roman"/>
          <w:sz w:val="24"/>
          <w:szCs w:val="24"/>
        </w:rPr>
        <w:t>本项目涉及的所有设备通讯协议需在技术方案评审时一并免费提交给招标方，并协助招标方开展设备集成工作</w:t>
      </w:r>
      <w:r>
        <w:rPr>
          <w:rFonts w:hint="eastAsia" w:ascii="宋体" w:hAnsi="宋体" w:eastAsia="宋体" w:cs="Times New Roman"/>
          <w:sz w:val="24"/>
          <w:szCs w:val="24"/>
          <w:lang w:eastAsia="zh-CN"/>
        </w:rPr>
        <w:t>。</w:t>
      </w:r>
    </w:p>
    <w:p>
      <w:pPr>
        <w:pStyle w:val="112"/>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pPr>
        <w:spacing w:line="360" w:lineRule="auto"/>
        <w:ind w:firstLine="482" w:firstLineChars="200"/>
        <w:rPr>
          <w:rFonts w:hint="eastAsia" w:ascii="宋体" w:hAnsi="宋体" w:eastAsia="宋体" w:cs="宋体"/>
          <w:b/>
          <w:bCs/>
          <w:color w:val="auto"/>
          <w:sz w:val="24"/>
          <w:szCs w:val="24"/>
          <w:highlight w:val="yellow"/>
          <w:shd w:val="clear" w:fill="auto"/>
          <w:lang w:val="en-US" w:eastAsia="zh-CN"/>
        </w:rPr>
      </w:pPr>
      <w:r>
        <w:rPr>
          <w:rFonts w:hint="eastAsia" w:ascii="宋体" w:hAnsi="宋体" w:eastAsia="宋体" w:cs="宋体"/>
          <w:b/>
          <w:bCs/>
          <w:color w:val="auto"/>
          <w:sz w:val="24"/>
          <w:szCs w:val="24"/>
          <w:highlight w:val="yellow"/>
        </w:rPr>
        <w:t>标注“</w:t>
      </w:r>
      <w:r>
        <w:rPr>
          <w:rFonts w:hint="eastAsia" w:ascii="宋体" w:hAnsi="宋体" w:eastAsia="宋体" w:cs="宋体"/>
          <w:b/>
          <w:bCs/>
          <w:color w:val="auto"/>
          <w:sz w:val="24"/>
          <w:szCs w:val="24"/>
          <w:highlight w:val="yellow"/>
          <w:lang w:eastAsia="zh-CN"/>
        </w:rPr>
        <w:t>*</w:t>
      </w:r>
      <w:r>
        <w:rPr>
          <w:rFonts w:hint="eastAsia" w:ascii="宋体" w:hAnsi="宋体" w:eastAsia="宋体" w:cs="宋体"/>
          <w:b/>
          <w:bCs/>
          <w:color w:val="auto"/>
          <w:sz w:val="24"/>
          <w:szCs w:val="24"/>
          <w:highlight w:val="yellow"/>
        </w:rPr>
        <w:t>”号的为关键参数，</w:t>
      </w:r>
      <w:r>
        <w:rPr>
          <w:rFonts w:hint="eastAsia" w:ascii="宋体" w:hAnsi="宋体" w:eastAsia="宋体" w:cs="宋体"/>
          <w:b/>
          <w:bCs/>
          <w:color w:val="auto"/>
          <w:sz w:val="24"/>
          <w:szCs w:val="24"/>
          <w:highlight w:val="yellow"/>
          <w:lang w:val="en-US" w:eastAsia="zh-CN"/>
        </w:rPr>
        <w:t>其中一项不能满足将导致投标被否决</w:t>
      </w:r>
      <w:r>
        <w:rPr>
          <w:rFonts w:hint="eastAsia" w:ascii="宋体" w:hAnsi="宋体" w:eastAsia="宋体" w:cs="宋体"/>
          <w:b/>
          <w:bCs/>
          <w:color w:val="auto"/>
          <w:sz w:val="24"/>
          <w:szCs w:val="24"/>
          <w:highlight w:val="yellow"/>
          <w:shd w:val="clear" w:fill="auto"/>
        </w:rPr>
        <w:t>。</w:t>
      </w:r>
      <w:r>
        <w:rPr>
          <w:rFonts w:hint="eastAsia" w:ascii="宋体" w:hAnsi="宋体" w:eastAsia="宋体" w:cs="宋体"/>
          <w:b/>
          <w:bCs/>
          <w:color w:val="auto"/>
          <w:sz w:val="24"/>
          <w:szCs w:val="24"/>
          <w:highlight w:val="yellow"/>
          <w:shd w:val="clear" w:fill="auto"/>
          <w:lang w:val="en-US" w:eastAsia="zh-CN"/>
        </w:rPr>
        <w:t>本项目所涉及的设备需要提供第三方机构出具的检测报告，保证测量范围及精度指标满足招标技术要求。</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
          <w:bCs/>
          <w:sz w:val="24"/>
          <w:szCs w:val="24"/>
        </w:rPr>
      </w:pPr>
      <w:bookmarkStart w:id="36" w:name="_Hlk99192562"/>
      <w:r>
        <w:rPr>
          <w:rFonts w:hint="eastAsia" w:ascii="宋体" w:hAnsi="宋体" w:eastAsia="宋体" w:cs="宋体"/>
          <w:b/>
          <w:bCs/>
          <w:sz w:val="24"/>
          <w:szCs w:val="24"/>
        </w:rPr>
        <w:t>功能用途要求</w:t>
      </w:r>
    </w:p>
    <w:p>
      <w:pPr>
        <w:keepNext w:val="0"/>
        <w:keepLines w:val="0"/>
        <w:pageBreakBefore w:val="0"/>
        <w:widowControl w:val="0"/>
        <w:numPr>
          <w:ilvl w:val="1"/>
          <w:numId w:val="11"/>
        </w:numPr>
        <w:tabs>
          <w:tab w:val="left" w:pos="420"/>
        </w:tabs>
        <w:kinsoku/>
        <w:wordWrap/>
        <w:overflowPunct/>
        <w:topLinePunct w:val="0"/>
        <w:autoSpaceDE/>
        <w:autoSpaceDN/>
        <w:bidi w:val="0"/>
        <w:adjustRightInd/>
        <w:snapToGrid/>
        <w:spacing w:line="360" w:lineRule="auto"/>
        <w:ind w:left="567" w:leftChars="0" w:hanging="567" w:firstLineChars="0"/>
        <w:textAlignment w:val="auto"/>
        <w:rPr>
          <w:rFonts w:hint="eastAsia" w:ascii="宋体" w:hAnsi="宋体" w:eastAsia="宋体" w:cs="宋体"/>
          <w:sz w:val="24"/>
          <w:szCs w:val="24"/>
        </w:rPr>
      </w:pPr>
      <w:r>
        <w:rPr>
          <w:rFonts w:hint="eastAsia" w:ascii="宋体" w:hAnsi="宋体" w:eastAsia="宋体" w:cs="宋体"/>
          <w:sz w:val="24"/>
          <w:szCs w:val="24"/>
        </w:rPr>
        <w:t>复杂结构件、复杂形状零部件的全面尺寸检测；</w:t>
      </w:r>
    </w:p>
    <w:p>
      <w:pPr>
        <w:keepNext w:val="0"/>
        <w:keepLines w:val="0"/>
        <w:pageBreakBefore w:val="0"/>
        <w:widowControl w:val="0"/>
        <w:numPr>
          <w:ilvl w:val="1"/>
          <w:numId w:val="11"/>
        </w:numPr>
        <w:tabs>
          <w:tab w:val="left" w:pos="420"/>
        </w:tabs>
        <w:kinsoku/>
        <w:wordWrap/>
        <w:overflowPunct/>
        <w:topLinePunct w:val="0"/>
        <w:autoSpaceDE/>
        <w:autoSpaceDN/>
        <w:bidi w:val="0"/>
        <w:adjustRightInd/>
        <w:snapToGrid/>
        <w:spacing w:line="360" w:lineRule="auto"/>
        <w:ind w:left="567" w:leftChars="0" w:hanging="567" w:firstLineChars="0"/>
        <w:textAlignment w:val="auto"/>
        <w:rPr>
          <w:rFonts w:hint="eastAsia" w:ascii="宋体" w:hAnsi="宋体" w:eastAsia="宋体" w:cs="宋体"/>
          <w:sz w:val="24"/>
          <w:szCs w:val="24"/>
        </w:rPr>
      </w:pPr>
      <w:r>
        <w:rPr>
          <w:rFonts w:hint="eastAsia" w:ascii="宋体" w:hAnsi="宋体" w:eastAsia="宋体" w:cs="宋体"/>
          <w:sz w:val="24"/>
          <w:szCs w:val="24"/>
        </w:rPr>
        <w:t>曲面偏差检查；</w:t>
      </w:r>
    </w:p>
    <w:p>
      <w:pPr>
        <w:keepNext w:val="0"/>
        <w:keepLines w:val="0"/>
        <w:pageBreakBefore w:val="0"/>
        <w:widowControl w:val="0"/>
        <w:numPr>
          <w:ilvl w:val="1"/>
          <w:numId w:val="11"/>
        </w:numPr>
        <w:tabs>
          <w:tab w:val="left" w:pos="420"/>
        </w:tabs>
        <w:kinsoku/>
        <w:wordWrap/>
        <w:overflowPunct/>
        <w:topLinePunct w:val="0"/>
        <w:autoSpaceDE/>
        <w:autoSpaceDN/>
        <w:bidi w:val="0"/>
        <w:adjustRightInd/>
        <w:snapToGrid/>
        <w:spacing w:line="360" w:lineRule="auto"/>
        <w:ind w:left="567" w:leftChars="0" w:hanging="567" w:firstLineChars="0"/>
        <w:textAlignment w:val="auto"/>
        <w:rPr>
          <w:rFonts w:hint="eastAsia" w:ascii="宋体" w:hAnsi="宋体" w:eastAsia="宋体" w:cs="宋体"/>
          <w:sz w:val="24"/>
          <w:szCs w:val="24"/>
        </w:rPr>
      </w:pPr>
      <w:r>
        <w:rPr>
          <w:rFonts w:hint="eastAsia" w:ascii="宋体" w:hAnsi="宋体" w:eastAsia="宋体" w:cs="宋体"/>
          <w:sz w:val="24"/>
          <w:szCs w:val="24"/>
        </w:rPr>
        <w:t>工件尺寸位置误差</w:t>
      </w:r>
      <w:r>
        <w:rPr>
          <w:rFonts w:hint="eastAsia" w:ascii="宋体" w:hAnsi="宋体" w:eastAsia="宋体" w:cs="宋体"/>
          <w:sz w:val="24"/>
          <w:szCs w:val="24"/>
          <w:lang w:val="en-US" w:eastAsia="zh-CN"/>
        </w:rPr>
        <w:t>检测；</w:t>
      </w:r>
    </w:p>
    <w:p>
      <w:pPr>
        <w:keepNext w:val="0"/>
        <w:keepLines w:val="0"/>
        <w:pageBreakBefore w:val="0"/>
        <w:widowControl w:val="0"/>
        <w:numPr>
          <w:ilvl w:val="1"/>
          <w:numId w:val="11"/>
        </w:numPr>
        <w:tabs>
          <w:tab w:val="left" w:pos="420"/>
        </w:tabs>
        <w:kinsoku/>
        <w:wordWrap/>
        <w:overflowPunct/>
        <w:topLinePunct w:val="0"/>
        <w:autoSpaceDE/>
        <w:autoSpaceDN/>
        <w:bidi w:val="0"/>
        <w:adjustRightInd/>
        <w:snapToGrid/>
        <w:spacing w:line="360" w:lineRule="auto"/>
        <w:ind w:left="567" w:leftChars="0" w:hanging="567" w:firstLineChars="0"/>
        <w:textAlignment w:val="auto"/>
        <w:rPr>
          <w:rFonts w:hint="eastAsia" w:ascii="宋体" w:hAnsi="宋体" w:eastAsia="宋体" w:cs="宋体"/>
          <w:sz w:val="24"/>
          <w:szCs w:val="24"/>
        </w:rPr>
      </w:pPr>
      <w:r>
        <w:rPr>
          <w:rFonts w:hint="eastAsia" w:ascii="宋体" w:hAnsi="宋体" w:eastAsia="宋体" w:cs="宋体"/>
          <w:sz w:val="24"/>
          <w:szCs w:val="24"/>
        </w:rPr>
        <w:t>驾驶室撞击试验特征点变形量检测</w:t>
      </w:r>
      <w:r>
        <w:rPr>
          <w:rFonts w:hint="eastAsia" w:ascii="宋体" w:hAnsi="宋体" w:eastAsia="宋体" w:cs="宋体"/>
          <w:sz w:val="24"/>
          <w:szCs w:val="24"/>
          <w:lang w:eastAsia="zh-CN"/>
        </w:rPr>
        <w:t>。</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技术性能参数要求</w:t>
      </w:r>
    </w:p>
    <w:p>
      <w:pPr>
        <w:keepNext w:val="0"/>
        <w:keepLines w:val="0"/>
        <w:pageBreakBefore w:val="0"/>
        <w:widowControl w:val="0"/>
        <w:numPr>
          <w:ilvl w:val="1"/>
          <w:numId w:val="12"/>
        </w:numPr>
        <w:tabs>
          <w:tab w:val="left" w:pos="420"/>
        </w:tabs>
        <w:kinsoku/>
        <w:wordWrap/>
        <w:overflowPunct/>
        <w:topLinePunct w:val="0"/>
        <w:autoSpaceDE/>
        <w:autoSpaceDN/>
        <w:bidi w:val="0"/>
        <w:adjustRightInd/>
        <w:snapToGrid/>
        <w:spacing w:line="360" w:lineRule="auto"/>
        <w:ind w:left="567" w:leftChars="0" w:hanging="567"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关节臂主机系统参数要求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shd w:val="clear"/>
        </w:rPr>
      </w:pPr>
      <w:r>
        <w:rPr>
          <w:rFonts w:hint="eastAsia" w:ascii="宋体" w:hAnsi="宋体" w:eastAsia="宋体" w:cs="宋体"/>
          <w:sz w:val="24"/>
          <w:szCs w:val="24"/>
          <w:lang w:val="en-US" w:eastAsia="zh-CN"/>
        </w:rPr>
        <w:t>2.1.1</w:t>
      </w:r>
      <w:r>
        <w:rPr>
          <w:rFonts w:hint="eastAsia" w:ascii="宋体" w:hAnsi="宋体" w:eastAsia="宋体" w:cs="宋体"/>
          <w:sz w:val="24"/>
          <w:szCs w:val="24"/>
        </w:rPr>
        <w:t>设备结构</w:t>
      </w:r>
      <w:r>
        <w:rPr>
          <w:rFonts w:hint="eastAsia" w:ascii="宋体" w:hAnsi="宋体" w:eastAsia="宋体" w:cs="宋体"/>
          <w:sz w:val="24"/>
          <w:szCs w:val="24"/>
          <w:highlight w:val="none"/>
          <w:shd w:val="clear"/>
        </w:rPr>
        <w:t>：7轴手臂式结构，激光扫描测头、硬测头一体化综合测量系统；</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2.1.2</w:t>
      </w:r>
      <w:r>
        <w:rPr>
          <w:rFonts w:hint="eastAsia" w:ascii="宋体" w:hAnsi="宋体" w:eastAsia="宋体" w:cs="宋体"/>
          <w:b/>
          <w:bCs/>
          <w:sz w:val="24"/>
          <w:szCs w:val="24"/>
        </w:rPr>
        <w:t>测量范围：</w:t>
      </w:r>
      <w:r>
        <w:rPr>
          <w:rFonts w:hint="eastAsia" w:ascii="宋体" w:hAnsi="宋体" w:eastAsia="宋体" w:cs="宋体"/>
          <w:sz w:val="24"/>
          <w:szCs w:val="24"/>
        </w:rPr>
        <w:t>≥</w:t>
      </w:r>
      <w:r>
        <w:rPr>
          <w:rFonts w:hint="eastAsia" w:ascii="宋体" w:hAnsi="宋体" w:eastAsia="宋体" w:cs="宋体"/>
          <w:sz w:val="24"/>
          <w:szCs w:val="24"/>
          <w:highlight w:val="none"/>
          <w:shd w:val="clear"/>
        </w:rPr>
        <w:t>4000m</w:t>
      </w:r>
      <w:r>
        <w:rPr>
          <w:rFonts w:hint="eastAsia" w:ascii="宋体" w:hAnsi="宋体" w:eastAsia="宋体" w:cs="宋体"/>
          <w:sz w:val="24"/>
          <w:szCs w:val="24"/>
          <w:highlight w:val="none"/>
        </w:rPr>
        <w:t>m</w:t>
      </w:r>
      <w:r>
        <w:rPr>
          <w:rFonts w:hint="eastAsia" w:ascii="宋体" w:hAnsi="宋体" w:eastAsia="宋体" w:cs="宋体"/>
          <w:sz w:val="24"/>
          <w:szCs w:val="24"/>
        </w:rPr>
        <w:t>（单次测量），测量无死角；</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2.1.3</w:t>
      </w:r>
      <w:r>
        <w:rPr>
          <w:rFonts w:hint="eastAsia" w:ascii="宋体" w:hAnsi="宋体" w:eastAsia="宋体" w:cs="宋体"/>
          <w:sz w:val="24"/>
          <w:szCs w:val="24"/>
        </w:rPr>
        <w:t>精度指标满足：单点重复精度（SPAT）≤</w:t>
      </w:r>
      <w:r>
        <w:rPr>
          <w:rFonts w:hint="eastAsia" w:ascii="宋体" w:hAnsi="宋体" w:eastAsia="宋体" w:cs="宋体"/>
          <w:sz w:val="24"/>
          <w:szCs w:val="24"/>
          <w:highlight w:val="none"/>
        </w:rPr>
        <w:t>0.065mm，接</w:t>
      </w:r>
      <w:r>
        <w:rPr>
          <w:rFonts w:hint="eastAsia" w:ascii="宋体" w:hAnsi="宋体" w:eastAsia="宋体" w:cs="宋体"/>
          <w:sz w:val="24"/>
          <w:szCs w:val="24"/>
        </w:rPr>
        <w:t>触式长度测量误差（EUNI）≤</w:t>
      </w:r>
      <w:r>
        <w:rPr>
          <w:rFonts w:hint="eastAsia" w:ascii="宋体" w:hAnsi="宋体" w:eastAsia="宋体" w:cs="宋体"/>
          <w:sz w:val="24"/>
          <w:szCs w:val="24"/>
          <w:highlight w:val="none"/>
        </w:rPr>
        <w:t>0.0</w:t>
      </w:r>
      <w:r>
        <w:rPr>
          <w:rFonts w:hint="eastAsia" w:ascii="宋体" w:hAnsi="宋体" w:eastAsia="宋体" w:cs="宋体"/>
          <w:sz w:val="24"/>
          <w:szCs w:val="24"/>
          <w:highlight w:val="none"/>
          <w:lang w:val="en-US" w:eastAsia="zh-CN"/>
        </w:rPr>
        <w:t>94</w:t>
      </w:r>
      <w:r>
        <w:rPr>
          <w:rFonts w:hint="eastAsia" w:ascii="宋体" w:hAnsi="宋体" w:eastAsia="宋体" w:cs="宋体"/>
          <w:sz w:val="24"/>
          <w:szCs w:val="24"/>
          <w:highlight w:val="none"/>
        </w:rPr>
        <w:t>mm</w:t>
      </w:r>
      <w:r>
        <w:rPr>
          <w:rFonts w:hint="eastAsia" w:ascii="宋体" w:hAnsi="宋体" w:eastAsia="宋体" w:cs="宋体"/>
          <w:sz w:val="24"/>
          <w:szCs w:val="24"/>
        </w:rPr>
        <w:t>；</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2.1.4</w:t>
      </w:r>
      <w:r>
        <w:rPr>
          <w:rFonts w:hint="eastAsia" w:ascii="宋体" w:hAnsi="宋体" w:eastAsia="宋体" w:cs="宋体"/>
          <w:sz w:val="24"/>
          <w:szCs w:val="24"/>
        </w:rPr>
        <w:t>配有三脚架、磁力底座、便携式仪器箱；</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2.1.5</w:t>
      </w:r>
      <w:r>
        <w:rPr>
          <w:rFonts w:hint="eastAsia" w:ascii="宋体" w:hAnsi="宋体" w:eastAsia="宋体" w:cs="宋体"/>
          <w:sz w:val="24"/>
          <w:szCs w:val="24"/>
          <w:highlight w:val="none"/>
        </w:rPr>
        <w:t>设备具有自校准功能，并提供配套的经过</w:t>
      </w:r>
      <w:r>
        <w:rPr>
          <w:rFonts w:hint="eastAsia" w:ascii="宋体" w:hAnsi="宋体" w:eastAsia="宋体" w:cs="宋体"/>
          <w:sz w:val="24"/>
          <w:szCs w:val="24"/>
          <w:highlight w:val="none"/>
          <w:lang w:val="en-US" w:eastAsia="zh-CN"/>
        </w:rPr>
        <w:t>第三方机构</w:t>
      </w:r>
      <w:r>
        <w:rPr>
          <w:rFonts w:hint="eastAsia" w:ascii="宋体" w:hAnsi="宋体" w:eastAsia="宋体" w:cs="宋体"/>
          <w:sz w:val="24"/>
          <w:szCs w:val="24"/>
          <w:highlight w:val="none"/>
        </w:rPr>
        <w:t>认证的标准校准附件，可以随时自行校准；</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lang w:val="en-US" w:eastAsia="zh-CN"/>
        </w:rPr>
        <w:t>2.1.6</w:t>
      </w:r>
      <w:r>
        <w:rPr>
          <w:rFonts w:hint="eastAsia" w:ascii="宋体" w:hAnsi="宋体" w:eastAsia="宋体" w:cs="宋体"/>
          <w:sz w:val="24"/>
          <w:szCs w:val="24"/>
        </w:rPr>
        <w:t>配有</w:t>
      </w:r>
      <w:r>
        <w:rPr>
          <w:rFonts w:hint="eastAsia" w:ascii="宋体" w:hAnsi="宋体" w:eastAsia="宋体" w:cs="宋体"/>
          <w:sz w:val="24"/>
          <w:szCs w:val="24"/>
          <w:highlight w:val="none"/>
        </w:rPr>
        <w:t>接触式测头，3mm测头1个；6mm测头 1个，测头为红宝石、锆石等测头专用材质；</w:t>
      </w:r>
    </w:p>
    <w:p>
      <w:pPr>
        <w:keepNext w:val="0"/>
        <w:keepLines w:val="0"/>
        <w:pageBreakBefore w:val="0"/>
        <w:widowControl w:val="0"/>
        <w:numPr>
          <w:ilvl w:val="0"/>
          <w:numId w:val="0"/>
        </w:numPr>
        <w:shd w:val="clea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shd w:val="clear"/>
          <w:lang w:val="en-US" w:eastAsia="zh-CN"/>
        </w:rPr>
        <w:t>2.1.7</w:t>
      </w:r>
      <w:r>
        <w:rPr>
          <w:rFonts w:hint="eastAsia" w:ascii="宋体" w:hAnsi="宋体" w:eastAsia="宋体" w:cs="宋体"/>
          <w:sz w:val="24"/>
          <w:szCs w:val="24"/>
          <w:highlight w:val="none"/>
          <w:shd w:val="clear"/>
        </w:rPr>
        <w:t>设备</w:t>
      </w:r>
      <w:r>
        <w:rPr>
          <w:rFonts w:hint="eastAsia" w:ascii="宋体" w:hAnsi="宋体" w:eastAsia="宋体" w:cs="宋体"/>
          <w:sz w:val="24"/>
          <w:szCs w:val="24"/>
          <w:highlight w:val="none"/>
        </w:rPr>
        <w:t>配有平衡系统，平衡机身重力，使设备运动灵活，便于维护保养；</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2.1.8</w:t>
      </w:r>
      <w:r>
        <w:rPr>
          <w:rFonts w:hint="eastAsia" w:ascii="宋体" w:hAnsi="宋体" w:eastAsia="宋体" w:cs="宋体"/>
          <w:sz w:val="24"/>
          <w:szCs w:val="24"/>
          <w:highlight w:val="none"/>
        </w:rPr>
        <w:t>测量过程中更换接触式测头或激光扫描测头，均无需重新校验，同时软件能够自动识别测针的类型，使用时无须重新选择和校准；</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2.1.9设备可以通过指示灯或提示音，反馈设备的应用功能和状态，为操纵人员提供便利；</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2.1.10</w:t>
      </w:r>
      <w:r>
        <w:rPr>
          <w:rFonts w:hint="eastAsia" w:ascii="宋体" w:hAnsi="宋体" w:eastAsia="宋体" w:cs="宋体"/>
          <w:sz w:val="24"/>
          <w:szCs w:val="24"/>
          <w:highlight w:val="none"/>
        </w:rPr>
        <w:t>可以通过蛙跳工具等实现测量空间扩展，配备蛙跳附件1</w:t>
      </w:r>
      <w:r>
        <w:rPr>
          <w:rFonts w:hint="eastAsia" w:ascii="宋体" w:hAnsi="宋体" w:eastAsia="宋体" w:cs="宋体"/>
          <w:sz w:val="24"/>
          <w:szCs w:val="24"/>
        </w:rPr>
        <w:t>套；</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rPr>
      </w:pPr>
      <w:r>
        <w:rPr>
          <w:rFonts w:hint="eastAsia" w:ascii="宋体" w:hAnsi="宋体" w:eastAsia="宋体" w:cs="宋体"/>
          <w:bCs w:val="0"/>
          <w:color w:val="000000"/>
          <w:sz w:val="24"/>
          <w:szCs w:val="24"/>
          <w:lang w:val="en-US" w:eastAsia="zh-CN"/>
        </w:rPr>
        <w:t>2.1.11</w:t>
      </w:r>
      <w:r>
        <w:rPr>
          <w:rFonts w:hint="eastAsia" w:ascii="宋体" w:hAnsi="宋体" w:eastAsia="宋体" w:cs="宋体"/>
          <w:bCs w:val="0"/>
          <w:color w:val="000000"/>
          <w:sz w:val="24"/>
          <w:szCs w:val="24"/>
        </w:rPr>
        <w:t>测量设备在标准测量</w:t>
      </w:r>
      <w:r>
        <w:rPr>
          <w:rFonts w:hint="eastAsia" w:ascii="宋体" w:hAnsi="宋体" w:eastAsia="宋体" w:cs="宋体"/>
          <w:bCs w:val="0"/>
          <w:color w:val="auto"/>
          <w:sz w:val="24"/>
          <w:szCs w:val="24"/>
        </w:rPr>
        <w:t>范围</w:t>
      </w:r>
      <w:r>
        <w:rPr>
          <w:rFonts w:hint="eastAsia" w:ascii="宋体" w:hAnsi="宋体" w:eastAsia="宋体" w:cs="宋体"/>
          <w:bCs w:val="0"/>
          <w:color w:val="000000"/>
          <w:sz w:val="24"/>
          <w:szCs w:val="24"/>
        </w:rPr>
        <w:t>内、无遮挡工况下，确保使用标配测头一次定位测量不</w:t>
      </w:r>
      <w:r>
        <w:rPr>
          <w:rFonts w:hint="eastAsia" w:ascii="宋体" w:hAnsi="宋体" w:eastAsia="宋体" w:cs="宋体"/>
          <w:bCs w:val="0"/>
          <w:color w:val="auto"/>
          <w:sz w:val="24"/>
          <w:szCs w:val="24"/>
        </w:rPr>
        <w:t>存在</w:t>
      </w:r>
      <w:r>
        <w:rPr>
          <w:rFonts w:hint="eastAsia" w:ascii="宋体" w:hAnsi="宋体" w:eastAsia="宋体" w:cs="宋体"/>
          <w:bCs w:val="0"/>
          <w:color w:val="000000"/>
          <w:sz w:val="24"/>
          <w:szCs w:val="24"/>
        </w:rPr>
        <w:t>测量死角，无需重新建系、定位或使用加长杆等其他附件。主轴可以无限旋转，可多角度地进行测量</w:t>
      </w:r>
      <w:r>
        <w:rPr>
          <w:rFonts w:hint="eastAsia" w:ascii="宋体" w:hAnsi="宋体" w:eastAsia="宋体" w:cs="宋体"/>
          <w:bCs w:val="0"/>
          <w:color w:val="000000"/>
          <w:sz w:val="24"/>
          <w:szCs w:val="24"/>
          <w:lang w:eastAsia="zh-CN"/>
        </w:rPr>
        <w:t>；</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2.1.12</w:t>
      </w:r>
      <w:r>
        <w:rPr>
          <w:rFonts w:hint="eastAsia" w:ascii="宋体" w:hAnsi="宋体" w:eastAsia="宋体" w:cs="宋体"/>
          <w:sz w:val="24"/>
          <w:szCs w:val="24"/>
          <w:highlight w:val="none"/>
        </w:rPr>
        <w:t>测针等更换件可以单独更换，无需更换测头整体</w:t>
      </w:r>
      <w:r>
        <w:rPr>
          <w:rFonts w:hint="eastAsia" w:ascii="宋体" w:hAnsi="宋体" w:eastAsia="宋体" w:cs="宋体"/>
          <w:sz w:val="24"/>
          <w:szCs w:val="24"/>
          <w:highlight w:val="none"/>
          <w:lang w:eastAsia="zh-CN"/>
        </w:rPr>
        <w:t>；</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2.1.13</w:t>
      </w:r>
      <w:r>
        <w:rPr>
          <w:rFonts w:hint="eastAsia" w:ascii="宋体" w:hAnsi="宋体" w:eastAsia="宋体" w:cs="宋体"/>
          <w:sz w:val="24"/>
          <w:szCs w:val="24"/>
          <w:highlight w:val="none"/>
        </w:rPr>
        <w:t>测量臂具有良好的温度稳定性，且使用前无须预热，无需激活；</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2.1.14</w:t>
      </w:r>
      <w:r>
        <w:rPr>
          <w:rFonts w:hint="eastAsia" w:ascii="宋体" w:hAnsi="宋体" w:eastAsia="宋体" w:cs="宋体"/>
          <w:sz w:val="24"/>
          <w:szCs w:val="24"/>
          <w:highlight w:val="none"/>
        </w:rPr>
        <w:t>每次开机无需回零，即开即用；</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2.1.15</w:t>
      </w:r>
      <w:r>
        <w:rPr>
          <w:rFonts w:hint="eastAsia" w:ascii="宋体" w:hAnsi="宋体" w:eastAsia="宋体" w:cs="宋体"/>
          <w:sz w:val="24"/>
          <w:szCs w:val="24"/>
          <w:highlight w:val="none"/>
        </w:rPr>
        <w:t>配备至少两块可充电锂电池供电，并配有充电器，使用硬测功能时工作时间不小于8小时，使用扫描功能时工作时间不少于4小时；</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2.1.16</w:t>
      </w:r>
      <w:r>
        <w:rPr>
          <w:rFonts w:hint="eastAsia" w:ascii="宋体" w:hAnsi="宋体" w:eastAsia="宋体" w:cs="宋体"/>
          <w:sz w:val="24"/>
          <w:szCs w:val="24"/>
        </w:rPr>
        <w:t>配有随机诊断软件可以随时知道设备的工作状态，以及调用工作日志等；</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lang w:val="en-US" w:eastAsia="zh-CN"/>
        </w:rPr>
        <w:t>2.1.17</w:t>
      </w:r>
      <w:r>
        <w:rPr>
          <w:rFonts w:hint="eastAsia" w:ascii="宋体" w:hAnsi="宋体" w:eastAsia="宋体" w:cs="宋体"/>
          <w:sz w:val="24"/>
          <w:szCs w:val="24"/>
        </w:rPr>
        <w:t>设</w:t>
      </w:r>
      <w:r>
        <w:rPr>
          <w:rFonts w:hint="eastAsia" w:ascii="宋体" w:hAnsi="宋体" w:eastAsia="宋体" w:cs="宋体"/>
          <w:sz w:val="24"/>
          <w:szCs w:val="24"/>
          <w:highlight w:val="none"/>
        </w:rPr>
        <w:t>备与软件系统之间，拥有多种通讯方式：USB、蓝牙、WI-FI等，以免接口发生故障时，设备无法使用，且使用WI-FI无线通讯功能时，测量机和笔记本电脑之间传输最大距离10米以上；</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2.1.18</w:t>
      </w:r>
      <w:r>
        <w:rPr>
          <w:rFonts w:hint="eastAsia" w:ascii="宋体" w:hAnsi="宋体" w:eastAsia="宋体" w:cs="宋体"/>
          <w:color w:val="auto"/>
          <w:sz w:val="24"/>
          <w:szCs w:val="24"/>
          <w:highlight w:val="none"/>
        </w:rPr>
        <w:t>主机整机重量≤1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kg，便于携带、搬运；</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2.1.19</w:t>
      </w:r>
      <w:r>
        <w:rPr>
          <w:rFonts w:hint="eastAsia" w:ascii="宋体" w:hAnsi="宋体" w:eastAsia="宋体" w:cs="宋体"/>
          <w:sz w:val="24"/>
          <w:szCs w:val="24"/>
          <w:highlight w:val="none"/>
        </w:rPr>
        <w:t>测量臂采用航空标准级碳素复合材料制造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具有重量轻、高硬度和抗弯曲性等特点，使用稳定可靠；</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2.1.20</w:t>
      </w:r>
      <w:r>
        <w:rPr>
          <w:rFonts w:hint="eastAsia" w:ascii="宋体" w:hAnsi="宋体" w:eastAsia="宋体" w:cs="宋体"/>
          <w:sz w:val="24"/>
          <w:szCs w:val="24"/>
          <w:highlight w:val="none"/>
        </w:rPr>
        <w:t>全封闭设计，即使在很湿或油污的条件下也可以长久稳定使用；</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2.1.21</w:t>
      </w:r>
      <w:r>
        <w:rPr>
          <w:rFonts w:hint="eastAsia" w:ascii="宋体" w:hAnsi="宋体" w:eastAsia="宋体" w:cs="宋体"/>
          <w:sz w:val="24"/>
          <w:szCs w:val="24"/>
          <w:highlight w:val="none"/>
        </w:rPr>
        <w:t>测量臂有关节应力自动感应系统，在关</w:t>
      </w:r>
      <w:r>
        <w:rPr>
          <w:rFonts w:hint="eastAsia" w:ascii="宋体" w:hAnsi="宋体" w:eastAsia="宋体" w:cs="宋体"/>
          <w:sz w:val="24"/>
          <w:szCs w:val="24"/>
        </w:rPr>
        <w:t>节处于应力过度时，自动报警，防止误取点，同时保护测量臂；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2.1.22</w:t>
      </w:r>
      <w:r>
        <w:rPr>
          <w:rFonts w:hint="eastAsia" w:ascii="宋体" w:hAnsi="宋体" w:eastAsia="宋体" w:cs="宋体"/>
          <w:sz w:val="24"/>
          <w:szCs w:val="24"/>
          <w:highlight w:val="none"/>
        </w:rPr>
        <w:t>测量臂为原装进口，配备电源适配器及电源线各1个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数据线 1个</w:t>
      </w:r>
      <w:r>
        <w:rPr>
          <w:rFonts w:hint="eastAsia" w:ascii="宋体" w:hAnsi="宋体" w:eastAsia="宋体" w:cs="宋体"/>
          <w:sz w:val="24"/>
          <w:szCs w:val="24"/>
          <w:highlight w:val="none"/>
          <w:lang w:eastAsia="zh-CN"/>
        </w:rPr>
        <w:t>。</w:t>
      </w:r>
    </w:p>
    <w:p>
      <w:pPr>
        <w:keepNext w:val="0"/>
        <w:keepLines w:val="0"/>
        <w:pageBreakBefore w:val="0"/>
        <w:widowControl w:val="0"/>
        <w:numPr>
          <w:ilvl w:val="1"/>
          <w:numId w:val="12"/>
        </w:numPr>
        <w:tabs>
          <w:tab w:val="left" w:pos="420"/>
        </w:tabs>
        <w:kinsoku/>
        <w:wordWrap/>
        <w:overflowPunct/>
        <w:topLinePunct w:val="0"/>
        <w:autoSpaceDE/>
        <w:autoSpaceDN/>
        <w:bidi w:val="0"/>
        <w:adjustRightInd/>
        <w:snapToGrid/>
        <w:spacing w:line="360" w:lineRule="auto"/>
        <w:ind w:left="567" w:leftChars="0" w:hanging="567" w:firstLineChars="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激光扫描测头参数及技术要求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2.2.1</w:t>
      </w:r>
      <w:r>
        <w:rPr>
          <w:rFonts w:hint="eastAsia" w:ascii="宋体" w:hAnsi="宋体" w:eastAsia="宋体" w:cs="宋体"/>
          <w:b/>
          <w:bCs/>
          <w:sz w:val="24"/>
          <w:szCs w:val="24"/>
          <w:highlight w:val="none"/>
        </w:rPr>
        <w:t>可拆卸式激光测头</w:t>
      </w:r>
      <w:r>
        <w:rPr>
          <w:rFonts w:hint="eastAsia" w:ascii="宋体" w:hAnsi="宋体" w:eastAsia="宋体" w:cs="宋体"/>
          <w:sz w:val="24"/>
          <w:szCs w:val="24"/>
          <w:highlight w:val="none"/>
        </w:rPr>
        <w:t>，扫描头与测量臂在无额外工具情况下可快速拆分；</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2.2.2</w:t>
      </w:r>
      <w:r>
        <w:rPr>
          <w:rFonts w:hint="eastAsia" w:ascii="宋体" w:hAnsi="宋体" w:eastAsia="宋体" w:cs="宋体"/>
          <w:sz w:val="24"/>
          <w:szCs w:val="24"/>
          <w:highlight w:val="none"/>
        </w:rPr>
        <w:t>安全认证：系统必须至少通过UL、CSA、CE安全认证中的一种，确保激光对人体的安全；</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2.2.3</w:t>
      </w:r>
      <w:r>
        <w:rPr>
          <w:rFonts w:hint="eastAsia" w:ascii="宋体" w:hAnsi="宋体" w:eastAsia="宋体" w:cs="宋体"/>
          <w:b/>
          <w:bCs/>
          <w:sz w:val="24"/>
          <w:szCs w:val="24"/>
          <w:highlight w:val="none"/>
        </w:rPr>
        <w:t>测头测量精度：</w:t>
      </w:r>
      <w:r>
        <w:rPr>
          <w:rFonts w:hint="eastAsia" w:ascii="宋体" w:hAnsi="宋体" w:eastAsia="宋体" w:cs="宋体"/>
          <w:sz w:val="24"/>
          <w:szCs w:val="24"/>
          <w:highlight w:val="none"/>
        </w:rPr>
        <w:t xml:space="preserve">≤0.026mm；与测量臂配合扫描精度：≤0.089mm；扫描速度：每秒不低于300帧；扫描线宽：≥150mm； </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2.2.4</w:t>
      </w:r>
      <w:r>
        <w:rPr>
          <w:rFonts w:hint="eastAsia" w:ascii="宋体" w:hAnsi="宋体" w:eastAsia="宋体" w:cs="宋体"/>
          <w:sz w:val="24"/>
          <w:szCs w:val="24"/>
          <w:highlight w:val="none"/>
        </w:rPr>
        <w:t>激光扫描时无需贴点、无需喷涂即可扫描高亮、高暗材质在内的各种零件，且保证精度不会损失；</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2.2.5</w:t>
      </w:r>
      <w:r>
        <w:rPr>
          <w:rFonts w:hint="eastAsia" w:ascii="宋体" w:hAnsi="宋体" w:eastAsia="宋体" w:cs="宋体"/>
          <w:sz w:val="24"/>
          <w:szCs w:val="24"/>
          <w:highlight w:val="none"/>
        </w:rPr>
        <w:t>激光测头安装和拆卸时无需关机，也无需校准；</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2.2.6</w:t>
      </w:r>
      <w:r>
        <w:rPr>
          <w:rFonts w:hint="eastAsia" w:ascii="宋体" w:hAnsi="宋体" w:eastAsia="宋体" w:cs="宋体"/>
          <w:sz w:val="24"/>
          <w:szCs w:val="24"/>
          <w:highlight w:val="none"/>
        </w:rPr>
        <w:t>配置蓝牙、WiFi等功能，扫描数据可无线传输；</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2.2.7</w:t>
      </w:r>
      <w:r>
        <w:rPr>
          <w:rFonts w:hint="eastAsia" w:ascii="宋体" w:hAnsi="宋体" w:eastAsia="宋体" w:cs="宋体"/>
          <w:b/>
          <w:bCs/>
          <w:sz w:val="24"/>
          <w:szCs w:val="24"/>
          <w:highlight w:val="none"/>
        </w:rPr>
        <w:t>激光采用蓝光光源；</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2.2.8</w:t>
      </w:r>
      <w:r>
        <w:rPr>
          <w:rFonts w:hint="eastAsia" w:ascii="宋体" w:hAnsi="宋体" w:eastAsia="宋体" w:cs="宋体"/>
          <w:sz w:val="24"/>
          <w:szCs w:val="24"/>
          <w:highlight w:val="none"/>
        </w:rPr>
        <w:t>扫描头为原装进口。</w:t>
      </w:r>
      <w:r>
        <w:rPr>
          <w:rFonts w:hint="eastAsia" w:ascii="宋体" w:hAnsi="宋体" w:eastAsia="宋体" w:cs="宋体"/>
          <w:sz w:val="24"/>
          <w:szCs w:val="24"/>
          <w:highlight w:val="none"/>
          <w:lang w:val="en-US" w:eastAsia="zh-CN"/>
        </w:rPr>
        <w:t xml:space="preserve"> </w:t>
      </w:r>
    </w:p>
    <w:p>
      <w:pPr>
        <w:keepNext w:val="0"/>
        <w:keepLines w:val="0"/>
        <w:pageBreakBefore w:val="0"/>
        <w:widowControl w:val="0"/>
        <w:numPr>
          <w:ilvl w:val="1"/>
          <w:numId w:val="12"/>
        </w:numPr>
        <w:tabs>
          <w:tab w:val="left" w:pos="420"/>
        </w:tabs>
        <w:kinsoku/>
        <w:wordWrap/>
        <w:overflowPunct/>
        <w:topLinePunct w:val="0"/>
        <w:autoSpaceDE/>
        <w:autoSpaceDN/>
        <w:bidi w:val="0"/>
        <w:adjustRightInd/>
        <w:snapToGrid/>
        <w:spacing w:line="360" w:lineRule="auto"/>
        <w:ind w:left="567" w:leftChars="0" w:hanging="567"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图形处理工作站</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2.3.1</w:t>
      </w:r>
      <w:r>
        <w:rPr>
          <w:rFonts w:hint="eastAsia" w:ascii="宋体" w:hAnsi="宋体" w:eastAsia="宋体" w:cs="宋体"/>
          <w:sz w:val="24"/>
          <w:szCs w:val="24"/>
          <w:highlight w:val="none"/>
        </w:rPr>
        <w:t>品牌笔记本电脑移动工作站</w:t>
      </w:r>
      <w:r>
        <w:rPr>
          <w:rFonts w:hint="eastAsia" w:ascii="宋体" w:hAnsi="宋体" w:eastAsia="宋体" w:cs="宋体"/>
          <w:sz w:val="24"/>
          <w:szCs w:val="24"/>
          <w:highlight w:val="none"/>
          <w:lang w:eastAsia="zh-CN"/>
        </w:rPr>
        <w:t>；</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2.3.2 </w:t>
      </w:r>
      <w:r>
        <w:rPr>
          <w:rFonts w:hint="eastAsia" w:ascii="宋体" w:hAnsi="宋体" w:eastAsia="宋体" w:cs="宋体"/>
          <w:sz w:val="24"/>
          <w:szCs w:val="24"/>
          <w:highlight w:val="none"/>
        </w:rPr>
        <w:t>CPU: 英特尔酷睿I7 运行速率≥2.6GHz</w:t>
      </w:r>
      <w:r>
        <w:rPr>
          <w:rFonts w:hint="eastAsia" w:ascii="宋体" w:hAnsi="宋体" w:eastAsia="宋体" w:cs="宋体"/>
          <w:sz w:val="24"/>
          <w:szCs w:val="24"/>
          <w:highlight w:val="none"/>
          <w:lang w:val="en-US" w:eastAsia="zh-CN"/>
        </w:rPr>
        <w:t>及以上</w:t>
      </w:r>
      <w:r>
        <w:rPr>
          <w:rFonts w:hint="eastAsia" w:ascii="宋体" w:hAnsi="宋体" w:eastAsia="宋体" w:cs="宋体"/>
          <w:sz w:val="24"/>
          <w:szCs w:val="24"/>
          <w:highlight w:val="none"/>
        </w:rPr>
        <w:t>；</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2.3.3</w:t>
      </w:r>
      <w:r>
        <w:rPr>
          <w:rFonts w:hint="eastAsia" w:ascii="宋体" w:hAnsi="宋体" w:eastAsia="宋体" w:cs="宋体"/>
          <w:sz w:val="24"/>
          <w:szCs w:val="24"/>
          <w:highlight w:val="none"/>
        </w:rPr>
        <w:t>内存：DDR4，容量≥64GB；</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2.3.4</w:t>
      </w:r>
      <w:r>
        <w:rPr>
          <w:rFonts w:hint="eastAsia" w:ascii="宋体" w:hAnsi="宋体" w:eastAsia="宋体" w:cs="宋体"/>
          <w:sz w:val="24"/>
          <w:szCs w:val="24"/>
          <w:highlight w:val="none"/>
        </w:rPr>
        <w:t>硬盘：固态硬盘≥512G；</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2.3.5</w:t>
      </w:r>
      <w:r>
        <w:rPr>
          <w:rFonts w:hint="eastAsia" w:ascii="宋体" w:hAnsi="宋体" w:eastAsia="宋体" w:cs="宋体"/>
          <w:sz w:val="24"/>
          <w:szCs w:val="24"/>
          <w:highlight w:val="none"/>
        </w:rPr>
        <w:t>独立显卡：性能NVIDIA RTX5000以上，显存≥16GB；</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2.3.6</w:t>
      </w:r>
      <w:r>
        <w:rPr>
          <w:rFonts w:hint="eastAsia" w:ascii="宋体" w:hAnsi="宋体" w:eastAsia="宋体" w:cs="宋体"/>
          <w:sz w:val="24"/>
          <w:szCs w:val="24"/>
          <w:highlight w:val="none"/>
        </w:rPr>
        <w:t>鼠标：无线鼠标；</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2.3.7</w:t>
      </w:r>
      <w:r>
        <w:rPr>
          <w:rFonts w:hint="eastAsia" w:ascii="宋体" w:hAnsi="宋体" w:eastAsia="宋体" w:cs="宋体"/>
          <w:sz w:val="24"/>
          <w:szCs w:val="24"/>
          <w:highlight w:val="none"/>
        </w:rPr>
        <w:t>显示屏：分辨率1080P及以上；</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2.3.8</w:t>
      </w:r>
      <w:r>
        <w:rPr>
          <w:rFonts w:hint="eastAsia" w:ascii="宋体" w:hAnsi="宋体" w:eastAsia="宋体" w:cs="宋体"/>
          <w:sz w:val="24"/>
          <w:szCs w:val="24"/>
          <w:highlight w:val="none"/>
        </w:rPr>
        <w:t>预装正版Windows10</w:t>
      </w:r>
      <w:r>
        <w:rPr>
          <w:rFonts w:hint="eastAsia" w:ascii="宋体" w:hAnsi="宋体" w:eastAsia="宋体" w:cs="宋体"/>
          <w:sz w:val="24"/>
          <w:szCs w:val="24"/>
          <w:highlight w:val="none"/>
          <w:lang w:val="en-US" w:eastAsia="zh-CN"/>
        </w:rPr>
        <w:t>及以上</w:t>
      </w:r>
      <w:r>
        <w:rPr>
          <w:rFonts w:hint="eastAsia" w:ascii="宋体" w:hAnsi="宋体" w:eastAsia="宋体" w:cs="宋体"/>
          <w:sz w:val="24"/>
          <w:szCs w:val="24"/>
          <w:highlight w:val="none"/>
        </w:rPr>
        <w:t>专业版操作系统。</w:t>
      </w:r>
    </w:p>
    <w:p>
      <w:pPr>
        <w:keepNext w:val="0"/>
        <w:keepLines w:val="0"/>
        <w:pageBreakBefore w:val="0"/>
        <w:widowControl w:val="0"/>
        <w:numPr>
          <w:ilvl w:val="1"/>
          <w:numId w:val="12"/>
        </w:numPr>
        <w:tabs>
          <w:tab w:val="left" w:pos="420"/>
        </w:tabs>
        <w:kinsoku/>
        <w:wordWrap/>
        <w:overflowPunct/>
        <w:topLinePunct w:val="0"/>
        <w:autoSpaceDE/>
        <w:autoSpaceDN/>
        <w:bidi w:val="0"/>
        <w:adjustRightInd/>
        <w:snapToGrid/>
        <w:spacing w:line="360" w:lineRule="auto"/>
        <w:ind w:left="567" w:leftChars="0" w:hanging="567"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分析检测软件</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2.4.1</w:t>
      </w:r>
      <w:r>
        <w:rPr>
          <w:rFonts w:hint="eastAsia" w:ascii="宋体" w:hAnsi="宋体" w:eastAsia="宋体" w:cs="宋体"/>
          <w:sz w:val="24"/>
          <w:szCs w:val="24"/>
          <w:highlight w:val="none"/>
        </w:rPr>
        <w:t>能检测点、直线、平面、圆、圆柱、圆锥、球、圆环、槽等简单几何元素；</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2.4.2</w:t>
      </w:r>
      <w:r>
        <w:rPr>
          <w:rFonts w:hint="eastAsia" w:ascii="宋体" w:hAnsi="宋体" w:eastAsia="宋体" w:cs="宋体"/>
          <w:sz w:val="24"/>
          <w:szCs w:val="24"/>
          <w:highlight w:val="none"/>
        </w:rPr>
        <w:t>能自动进行机械零部件的尺寸公差、形状公差（直线度、平面度、圆度、圆柱度、轮廓度等）、位置公差（平行度、垂直度、倾斜度、位置度、同心度、同轴度、对称度、跳动量）测量；</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2.4.3</w:t>
      </w:r>
      <w:r>
        <w:rPr>
          <w:rFonts w:hint="eastAsia" w:ascii="宋体" w:hAnsi="宋体" w:eastAsia="宋体" w:cs="宋体"/>
          <w:sz w:val="24"/>
          <w:szCs w:val="24"/>
          <w:highlight w:val="none"/>
        </w:rPr>
        <w:t>几何元素组合计算相交、对称、投影、距离、角度等；</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2.4.4</w:t>
      </w:r>
      <w:r>
        <w:rPr>
          <w:rFonts w:hint="eastAsia" w:ascii="宋体" w:hAnsi="宋体" w:eastAsia="宋体" w:cs="宋体"/>
          <w:sz w:val="24"/>
          <w:szCs w:val="24"/>
          <w:highlight w:val="none"/>
        </w:rPr>
        <w:t xml:space="preserve">位置公差分析功能：可对同心度、位置度、同轴度、对称度、角度进行测量； </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2.4.5</w:t>
      </w:r>
      <w:r>
        <w:rPr>
          <w:rFonts w:hint="eastAsia" w:ascii="宋体" w:hAnsi="宋体" w:eastAsia="宋体" w:cs="宋体"/>
          <w:sz w:val="24"/>
          <w:szCs w:val="24"/>
          <w:highlight w:val="none"/>
        </w:rPr>
        <w:t>坐标系转换功能：可进行坐标系平移、旋转，直角坐标与极坐标可相互转换及测量单位的公英制转换；</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2.4.6</w:t>
      </w:r>
      <w:r>
        <w:rPr>
          <w:rFonts w:hint="eastAsia" w:ascii="宋体" w:hAnsi="宋体" w:eastAsia="宋体" w:cs="宋体"/>
          <w:sz w:val="24"/>
          <w:szCs w:val="24"/>
          <w:highlight w:val="none"/>
        </w:rPr>
        <w:t>创建坐标系方法应包括以下三种：包括3-2-1、迭代法、最佳拟合法；</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2.4.7</w:t>
      </w:r>
      <w:r>
        <w:rPr>
          <w:rFonts w:hint="eastAsia" w:ascii="宋体" w:hAnsi="宋体" w:eastAsia="宋体" w:cs="宋体"/>
          <w:sz w:val="24"/>
          <w:szCs w:val="24"/>
          <w:highlight w:val="none"/>
        </w:rPr>
        <w:t>内置智能化功能，自动识别被测量元素，可进行倾斜角度、空间角度的圆、圆柱、锥等形状的测量；</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2.4.8</w:t>
      </w:r>
      <w:r>
        <w:rPr>
          <w:rFonts w:hint="eastAsia" w:ascii="宋体" w:hAnsi="宋体" w:eastAsia="宋体" w:cs="宋体"/>
          <w:sz w:val="24"/>
          <w:szCs w:val="24"/>
          <w:highlight w:val="none"/>
        </w:rPr>
        <w:t>具有完整的测量功能，对于孔、槽、棱点、角度点、曲线、曲面具有专门的测量方案；</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2.4.9</w:t>
      </w:r>
      <w:r>
        <w:rPr>
          <w:rFonts w:hint="eastAsia" w:ascii="宋体" w:hAnsi="宋体" w:eastAsia="宋体" w:cs="宋体"/>
          <w:sz w:val="24"/>
          <w:szCs w:val="24"/>
          <w:highlight w:val="none"/>
        </w:rPr>
        <w:t>操作系统应具有人性化的操作方法、直观的操作界面、智能化的特征自动识别，能个性化定制检测报告，软件应易学、高效、实用，适合于各种测量需求；</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2.4.10</w:t>
      </w:r>
      <w:r>
        <w:rPr>
          <w:rFonts w:hint="eastAsia" w:ascii="宋体" w:hAnsi="宋体" w:eastAsia="宋体" w:cs="宋体"/>
          <w:sz w:val="24"/>
          <w:szCs w:val="24"/>
          <w:highlight w:val="none"/>
        </w:rPr>
        <w:t>理论CAD数模读入，需能够读入各种CAD文件，实现基于CAD数模的比对测量，配置CATIA V5直读接口；具备CATIA格式、IGES、STEP、STL数据格式的输入/输出及数据转换功能；</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2.4.11</w:t>
      </w:r>
      <w:r>
        <w:rPr>
          <w:rFonts w:hint="eastAsia" w:ascii="宋体" w:hAnsi="宋体" w:eastAsia="宋体" w:cs="宋体"/>
          <w:sz w:val="24"/>
          <w:szCs w:val="24"/>
          <w:highlight w:val="none"/>
        </w:rPr>
        <w:t>具有2D和3D视图图形显示功能，可以显示测头测针的模拟运行，可以自动用CAD数模与测量值比对，以图形方式绘制偏差及公差，能够自动显示被测量元素的坐标数值；</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2.4.12</w:t>
      </w:r>
      <w:r>
        <w:rPr>
          <w:rFonts w:hint="eastAsia" w:ascii="宋体" w:hAnsi="宋体" w:eastAsia="宋体" w:cs="宋体"/>
          <w:sz w:val="24"/>
          <w:szCs w:val="24"/>
          <w:highlight w:val="none"/>
        </w:rPr>
        <w:t>测量结果可以用图文方式在线记录、编辑并打印，报告格式可根据用户需要动态调整，测量结果能够以Excel、HTML、CSV、TXT、PDF等格式输出，对于由多点组成的元素在输出报告时能够同时对组成该元素的多个点坐标值进行输出；</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2.4.13</w:t>
      </w:r>
      <w:r>
        <w:rPr>
          <w:rFonts w:hint="eastAsia" w:ascii="宋体" w:hAnsi="宋体" w:eastAsia="宋体" w:cs="宋体"/>
          <w:sz w:val="24"/>
          <w:szCs w:val="24"/>
          <w:highlight w:val="none"/>
        </w:rPr>
        <w:t>软件带有自动检测的功能，在测量时软件能够自动识别所有的测头；</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2.4.14</w:t>
      </w:r>
      <w:r>
        <w:rPr>
          <w:rFonts w:hint="eastAsia" w:ascii="宋体" w:hAnsi="宋体" w:eastAsia="宋体" w:cs="宋体"/>
          <w:sz w:val="24"/>
          <w:szCs w:val="24"/>
          <w:highlight w:val="none"/>
        </w:rPr>
        <w:t>软件同时具备接触式测量与扫描测量分析功能；</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2.4.15</w:t>
      </w:r>
      <w:r>
        <w:rPr>
          <w:rFonts w:hint="eastAsia" w:ascii="宋体" w:hAnsi="宋体" w:eastAsia="宋体" w:cs="宋体"/>
          <w:sz w:val="24"/>
          <w:szCs w:val="24"/>
          <w:highlight w:val="none"/>
        </w:rPr>
        <w:t>测量软件需要至少提供中英文版本。软件需通过国际组织认证；</w:t>
      </w:r>
    </w:p>
    <w:p>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ind w:left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2.4.16</w:t>
      </w:r>
      <w:r>
        <w:rPr>
          <w:rFonts w:hint="eastAsia" w:ascii="宋体" w:hAnsi="宋体" w:eastAsia="宋体" w:cs="宋体"/>
          <w:sz w:val="24"/>
          <w:szCs w:val="24"/>
          <w:highlight w:val="none"/>
        </w:rPr>
        <w:t>所提供的测量软件均为正版授权的最新版本。</w:t>
      </w:r>
      <w:bookmarkEnd w:id="36"/>
    </w:p>
    <w:p>
      <w:pPr>
        <w:pStyle w:val="117"/>
        <w:spacing w:line="360" w:lineRule="auto"/>
        <w:outlineLvl w:val="2"/>
        <w:rPr>
          <w:rFonts w:hint="eastAsia" w:ascii="宋体" w:hAnsi="宋体" w:cs="宋体"/>
          <w:color w:val="auto"/>
        </w:rPr>
      </w:pPr>
      <w:bookmarkStart w:id="37" w:name="_Toc169605881"/>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860"/>
        <w:gridCol w:w="2949"/>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8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9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3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38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卖方提供企业标准</w:t>
            </w:r>
          </w:p>
        </w:tc>
        <w:tc>
          <w:tcPr>
            <w:tcW w:w="29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13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38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卖方提供与设备安全和环保相关的中国、国际通用和制造国的标准</w:t>
            </w:r>
          </w:p>
        </w:tc>
        <w:tc>
          <w:tcPr>
            <w:tcW w:w="29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13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买方确认</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7"/>
    </w:p>
    <w:p/>
    <w:p>
      <w:pPr>
        <w:keepNext/>
        <w:keepLines/>
        <w:spacing w:line="360" w:lineRule="auto"/>
        <w:jc w:val="center"/>
        <w:outlineLvl w:val="2"/>
        <w:rPr>
          <w:rFonts w:ascii="宋体" w:hAnsi="宋体" w:eastAsia="宋体" w:cs="宋体"/>
          <w:b/>
          <w:bCs/>
          <w:sz w:val="24"/>
          <w:szCs w:val="32"/>
        </w:rPr>
      </w:pPr>
      <w:bookmarkStart w:id="38" w:name="_Toc169605882"/>
      <w:r>
        <w:rPr>
          <w:rFonts w:hint="eastAsia" w:ascii="宋体" w:hAnsi="宋体" w:eastAsia="宋体" w:cs="宋体"/>
          <w:b/>
          <w:bCs/>
          <w:sz w:val="24"/>
          <w:szCs w:val="32"/>
        </w:rPr>
        <w:t>第一节  供货范围</w:t>
      </w:r>
      <w:bookmarkEnd w:id="38"/>
    </w:p>
    <w:p>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977" w:type="dxa"/>
            <w:vAlign w:val="center"/>
          </w:tcPr>
          <w:p>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992" w:type="dxa"/>
            <w:vAlign w:val="center"/>
          </w:tcPr>
          <w:p>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1134" w:type="dxa"/>
            <w:vAlign w:val="center"/>
          </w:tcPr>
          <w:p>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2835" w:type="dxa"/>
            <w:vAlign w:val="center"/>
          </w:tcPr>
          <w:p>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1</w:t>
            </w:r>
          </w:p>
        </w:tc>
        <w:tc>
          <w:tcPr>
            <w:tcW w:w="2977"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0"/>
                <w:sz w:val="24"/>
                <w:szCs w:val="20"/>
                <w:lang w:val="en-US" w:eastAsia="zh-CN" w:bidi="ar-SA"/>
              </w:rPr>
            </w:pPr>
            <w:r>
              <w:rPr>
                <w:rFonts w:hint="eastAsia" w:ascii="宋体" w:hAnsi="宋体" w:eastAsia="宋体" w:cs="宋体"/>
                <w:b w:val="0"/>
                <w:bCs w:val="0"/>
                <w:color w:val="000000"/>
                <w:kern w:val="0"/>
                <w:sz w:val="24"/>
                <w:szCs w:val="24"/>
                <w:lang w:val="en-US" w:eastAsia="zh-CN"/>
              </w:rPr>
              <w:t>关节臂主机</w:t>
            </w:r>
          </w:p>
        </w:tc>
        <w:tc>
          <w:tcPr>
            <w:tcW w:w="99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台</w:t>
            </w:r>
          </w:p>
        </w:tc>
        <w:tc>
          <w:tcPr>
            <w:tcW w:w="1134"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1</w:t>
            </w:r>
          </w:p>
        </w:tc>
        <w:tc>
          <w:tcPr>
            <w:tcW w:w="283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2</w:t>
            </w:r>
          </w:p>
        </w:tc>
        <w:tc>
          <w:tcPr>
            <w:tcW w:w="2977"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0"/>
                <w:sz w:val="24"/>
                <w:szCs w:val="20"/>
                <w:lang w:val="en-US" w:eastAsia="zh-CN" w:bidi="ar-SA"/>
              </w:rPr>
            </w:pPr>
            <w:r>
              <w:rPr>
                <w:rFonts w:hint="eastAsia" w:ascii="宋体" w:hAnsi="宋体" w:eastAsia="宋体" w:cs="宋体"/>
                <w:b w:val="0"/>
                <w:bCs w:val="0"/>
                <w:sz w:val="24"/>
                <w:szCs w:val="24"/>
              </w:rPr>
              <w:t>测头组件</w:t>
            </w:r>
          </w:p>
        </w:tc>
        <w:tc>
          <w:tcPr>
            <w:tcW w:w="99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rPr>
              <w:t>套</w:t>
            </w:r>
          </w:p>
        </w:tc>
        <w:tc>
          <w:tcPr>
            <w:tcW w:w="1134"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1</w:t>
            </w:r>
          </w:p>
        </w:tc>
        <w:tc>
          <w:tcPr>
            <w:tcW w:w="283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i w:val="0"/>
                <w:iCs w:val="0"/>
                <w:color w:val="000000"/>
                <w:kern w:val="0"/>
                <w:sz w:val="24"/>
                <w:szCs w:val="24"/>
                <w:u w:val="none"/>
                <w:lang w:val="en-US" w:eastAsia="zh-CN" w:bidi="ar"/>
              </w:rPr>
              <w:t>3</w:t>
            </w:r>
          </w:p>
        </w:tc>
        <w:tc>
          <w:tcPr>
            <w:tcW w:w="2977"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sz w:val="24"/>
                <w:szCs w:val="24"/>
                <w:lang w:val="en-US" w:eastAsia="zh-CN"/>
              </w:rPr>
              <w:t>安</w:t>
            </w:r>
            <w:r>
              <w:rPr>
                <w:rFonts w:hint="eastAsia" w:ascii="宋体" w:hAnsi="宋体" w:eastAsia="宋体" w:cs="宋体"/>
                <w:b w:val="0"/>
                <w:bCs w:val="0"/>
                <w:sz w:val="24"/>
                <w:szCs w:val="24"/>
              </w:rPr>
              <w:t>装底座</w:t>
            </w:r>
          </w:p>
        </w:tc>
        <w:tc>
          <w:tcPr>
            <w:tcW w:w="99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个</w:t>
            </w:r>
          </w:p>
        </w:tc>
        <w:tc>
          <w:tcPr>
            <w:tcW w:w="1134"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1</w:t>
            </w:r>
          </w:p>
        </w:tc>
        <w:tc>
          <w:tcPr>
            <w:tcW w:w="283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i w:val="0"/>
                <w:iCs w:val="0"/>
                <w:color w:val="000000"/>
                <w:kern w:val="0"/>
                <w:sz w:val="24"/>
                <w:szCs w:val="24"/>
                <w:u w:val="none"/>
                <w:lang w:val="en-US" w:eastAsia="zh-CN" w:bidi="ar"/>
              </w:rPr>
              <w:t>4</w:t>
            </w:r>
          </w:p>
        </w:tc>
        <w:tc>
          <w:tcPr>
            <w:tcW w:w="2977" w:type="dxa"/>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sz w:val="24"/>
                <w:szCs w:val="24"/>
              </w:rPr>
              <w:t>扫描系统</w:t>
            </w:r>
          </w:p>
        </w:tc>
        <w:tc>
          <w:tcPr>
            <w:tcW w:w="99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套</w:t>
            </w:r>
          </w:p>
        </w:tc>
        <w:tc>
          <w:tcPr>
            <w:tcW w:w="1134"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1</w:t>
            </w:r>
          </w:p>
        </w:tc>
        <w:tc>
          <w:tcPr>
            <w:tcW w:w="283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i w:val="0"/>
                <w:iCs w:val="0"/>
                <w:color w:val="000000"/>
                <w:kern w:val="0"/>
                <w:sz w:val="24"/>
                <w:szCs w:val="24"/>
                <w:u w:val="none"/>
                <w:lang w:val="en-US" w:eastAsia="zh-CN" w:bidi="ar"/>
              </w:rPr>
              <w:t>5</w:t>
            </w:r>
          </w:p>
        </w:tc>
        <w:tc>
          <w:tcPr>
            <w:tcW w:w="2977" w:type="dxa"/>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sz w:val="24"/>
                <w:szCs w:val="24"/>
              </w:rPr>
              <w:t>软件系统</w:t>
            </w:r>
          </w:p>
        </w:tc>
        <w:tc>
          <w:tcPr>
            <w:tcW w:w="99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rPr>
              <w:t>套</w:t>
            </w:r>
          </w:p>
        </w:tc>
        <w:tc>
          <w:tcPr>
            <w:tcW w:w="1134"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1</w:t>
            </w:r>
          </w:p>
        </w:tc>
        <w:tc>
          <w:tcPr>
            <w:tcW w:w="283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i w:val="0"/>
                <w:iCs w:val="0"/>
                <w:color w:val="000000"/>
                <w:kern w:val="0"/>
                <w:sz w:val="24"/>
                <w:szCs w:val="24"/>
                <w:u w:val="none"/>
                <w:lang w:val="en-US" w:eastAsia="zh-CN" w:bidi="ar"/>
              </w:rPr>
              <w:t>6</w:t>
            </w:r>
          </w:p>
        </w:tc>
        <w:tc>
          <w:tcPr>
            <w:tcW w:w="2977" w:type="dxa"/>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both"/>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sz w:val="24"/>
                <w:szCs w:val="24"/>
                <w:lang w:val="en-US" w:eastAsia="zh-CN"/>
              </w:rPr>
              <w:t>包装箱、</w:t>
            </w:r>
            <w:r>
              <w:rPr>
                <w:rFonts w:hint="eastAsia" w:ascii="宋体" w:hAnsi="宋体" w:eastAsia="宋体" w:cs="宋体"/>
                <w:b w:val="0"/>
                <w:bCs w:val="0"/>
                <w:sz w:val="24"/>
                <w:szCs w:val="24"/>
              </w:rPr>
              <w:t>三脚架</w:t>
            </w:r>
          </w:p>
        </w:tc>
        <w:tc>
          <w:tcPr>
            <w:tcW w:w="99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rPr>
              <w:t>套</w:t>
            </w:r>
          </w:p>
        </w:tc>
        <w:tc>
          <w:tcPr>
            <w:tcW w:w="1134"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1</w:t>
            </w:r>
          </w:p>
        </w:tc>
        <w:tc>
          <w:tcPr>
            <w:tcW w:w="283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i w:val="0"/>
                <w:iCs w:val="0"/>
                <w:color w:val="000000"/>
                <w:kern w:val="0"/>
                <w:sz w:val="24"/>
                <w:szCs w:val="24"/>
                <w:u w:val="none"/>
                <w:lang w:val="en-US" w:eastAsia="zh-CN" w:bidi="ar"/>
              </w:rPr>
              <w:t>7</w:t>
            </w:r>
          </w:p>
        </w:tc>
        <w:tc>
          <w:tcPr>
            <w:tcW w:w="2977" w:type="dxa"/>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both"/>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sz w:val="24"/>
                <w:szCs w:val="24"/>
              </w:rPr>
              <w:t>蛙跳座</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蛙跳球</w:t>
            </w:r>
          </w:p>
        </w:tc>
        <w:tc>
          <w:tcPr>
            <w:tcW w:w="99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套</w:t>
            </w:r>
          </w:p>
        </w:tc>
        <w:tc>
          <w:tcPr>
            <w:tcW w:w="1134"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1</w:t>
            </w:r>
          </w:p>
        </w:tc>
        <w:tc>
          <w:tcPr>
            <w:tcW w:w="283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8</w:t>
            </w:r>
          </w:p>
        </w:tc>
        <w:tc>
          <w:tcPr>
            <w:tcW w:w="2977"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计算机系统</w:t>
            </w:r>
          </w:p>
        </w:tc>
        <w:tc>
          <w:tcPr>
            <w:tcW w:w="99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rPr>
              <w:t>套</w:t>
            </w:r>
          </w:p>
        </w:tc>
        <w:tc>
          <w:tcPr>
            <w:tcW w:w="1134"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lang w:val="en-US" w:eastAsia="zh-CN"/>
              </w:rPr>
              <w:t>1</w:t>
            </w:r>
          </w:p>
        </w:tc>
        <w:tc>
          <w:tcPr>
            <w:tcW w:w="283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0"/>
                <w:lang w:val="en-US" w:eastAsia="zh-CN"/>
              </w:rPr>
              <w:t>9</w:t>
            </w:r>
          </w:p>
        </w:tc>
        <w:tc>
          <w:tcPr>
            <w:tcW w:w="2977" w:type="dxa"/>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both"/>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0"/>
                <w:lang w:val="en-US" w:eastAsia="zh-CN"/>
              </w:rPr>
              <w:t>运输</w:t>
            </w:r>
          </w:p>
        </w:tc>
        <w:tc>
          <w:tcPr>
            <w:tcW w:w="99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次</w:t>
            </w:r>
          </w:p>
        </w:tc>
        <w:tc>
          <w:tcPr>
            <w:tcW w:w="1134"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1</w:t>
            </w:r>
          </w:p>
        </w:tc>
        <w:tc>
          <w:tcPr>
            <w:tcW w:w="283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i w:val="0"/>
                <w:iCs w:val="0"/>
                <w:color w:val="000000"/>
                <w:kern w:val="0"/>
                <w:sz w:val="24"/>
                <w:szCs w:val="24"/>
                <w:u w:val="none"/>
                <w:lang w:val="en-US" w:eastAsia="zh-CN" w:bidi="ar"/>
              </w:rPr>
              <w:t>10</w:t>
            </w:r>
          </w:p>
        </w:tc>
        <w:tc>
          <w:tcPr>
            <w:tcW w:w="2977"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kern w:val="2"/>
                <w:sz w:val="24"/>
                <w:szCs w:val="20"/>
                <w:lang w:val="en-US" w:eastAsia="zh-CN" w:bidi="ar-SA"/>
              </w:rPr>
              <w:t>安装调试</w:t>
            </w:r>
          </w:p>
        </w:tc>
        <w:tc>
          <w:tcPr>
            <w:tcW w:w="99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人·天</w:t>
            </w:r>
          </w:p>
        </w:tc>
        <w:tc>
          <w:tcPr>
            <w:tcW w:w="1134"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1</w:t>
            </w:r>
          </w:p>
        </w:tc>
        <w:tc>
          <w:tcPr>
            <w:tcW w:w="283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lang w:val="en-US" w:eastAsia="zh-CN"/>
              </w:rPr>
              <w:t>11</w:t>
            </w:r>
          </w:p>
        </w:tc>
        <w:tc>
          <w:tcPr>
            <w:tcW w:w="2977"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设备检定</w:t>
            </w:r>
          </w:p>
        </w:tc>
        <w:tc>
          <w:tcPr>
            <w:tcW w:w="99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次</w:t>
            </w:r>
          </w:p>
        </w:tc>
        <w:tc>
          <w:tcPr>
            <w:tcW w:w="1134"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1</w:t>
            </w:r>
          </w:p>
        </w:tc>
        <w:tc>
          <w:tcPr>
            <w:tcW w:w="283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12</w:t>
            </w:r>
          </w:p>
        </w:tc>
        <w:tc>
          <w:tcPr>
            <w:tcW w:w="2977"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培训</w:t>
            </w:r>
          </w:p>
        </w:tc>
        <w:tc>
          <w:tcPr>
            <w:tcW w:w="992"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color w:val="000000"/>
                <w:sz w:val="24"/>
                <w:szCs w:val="24"/>
                <w:lang w:val="en-US" w:eastAsia="zh-CN"/>
              </w:rPr>
              <w:t>人·天</w:t>
            </w:r>
          </w:p>
        </w:tc>
        <w:tc>
          <w:tcPr>
            <w:tcW w:w="1134"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p>
        </w:tc>
        <w:tc>
          <w:tcPr>
            <w:tcW w:w="2835"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val="0"/>
                <w:bCs w:val="0"/>
                <w:color w:val="000000"/>
                <w:kern w:val="2"/>
                <w:sz w:val="24"/>
                <w:szCs w:val="20"/>
                <w:lang w:val="en-US" w:eastAsia="zh-CN" w:bidi="ar-SA"/>
              </w:rPr>
            </w:pP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如果投标方认为能源系统接口地点以及操控地点之间的货物数量不清或难以界定，应当以书面方式询标或以单价方式报价；否则视同满足招标方要求。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r>
        <w:rPr>
          <w:rFonts w:hint="eastAsia" w:ascii="宋体" w:hAnsi="宋体" w:eastAsia="宋体" w:cs="宋体"/>
          <w:sz w:val="24"/>
          <w:szCs w:val="24"/>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lang w:val="en-US" w:eastAsia="zh-CN"/>
        </w:rPr>
        <w:t>30</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w:t>
      </w:r>
      <w:r>
        <w:rPr>
          <w:rFonts w:hint="eastAsia" w:ascii="宋体" w:hAnsi="宋体" w:eastAsia="宋体" w:cs="宋体"/>
          <w:sz w:val="24"/>
          <w:szCs w:val="24"/>
          <w:lang w:val="en-US" w:eastAsia="zh-CN"/>
        </w:rPr>
        <w:t>技术协议签订</w:t>
      </w:r>
      <w:r>
        <w:rPr>
          <w:rFonts w:hint="eastAsia" w:ascii="宋体" w:hAnsi="宋体" w:eastAsia="宋体" w:cs="宋体"/>
          <w:sz w:val="24"/>
          <w:szCs w:val="24"/>
          <w:highlight w:val="yellow"/>
          <w:lang w:val="en-US" w:eastAsia="zh-CN"/>
        </w:rPr>
        <w:t>2个月内</w:t>
      </w:r>
      <w:r>
        <w:rPr>
          <w:rFonts w:hint="eastAsia" w:ascii="宋体" w:hAnsi="宋体" w:eastAsia="宋体" w:cs="宋体"/>
          <w:sz w:val="24"/>
          <w:szCs w:val="24"/>
        </w:rPr>
        <w:t>，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9" w:name="_Toc169605883"/>
    </w:p>
    <w:p>
      <w:pPr>
        <w:pStyle w:val="16"/>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9"/>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color w:val="000000"/>
          <w:sz w:val="24"/>
          <w:szCs w:val="24"/>
        </w:rPr>
        <w:t>完全交钥匙方式，即本次招标货物至少包括以下货物及服务：非标或特需设计，制造，至交货地点的运输（含定点装卸），安装，调试，货物移交，约定培训等全流程范围</w:t>
      </w:r>
      <w:r>
        <w:rPr>
          <w:rFonts w:hint="eastAsia" w:ascii="宋体" w:hAnsi="宋体" w:eastAsia="宋体" w:cs="宋体"/>
          <w:sz w:val="24"/>
          <w:szCs w:val="24"/>
        </w:rPr>
        <w:t>。</w:t>
      </w:r>
    </w:p>
    <w:p>
      <w:pPr>
        <w:spacing w:line="360" w:lineRule="auto"/>
        <w:ind w:firstLine="482" w:firstLineChars="200"/>
        <w:outlineLvl w:val="3"/>
        <w:rPr>
          <w:rFonts w:hint="eastAsia" w:ascii="宋体" w:hAnsi="宋体" w:eastAsia="宋体" w:cs="宋体"/>
          <w:sz w:val="24"/>
          <w:szCs w:val="24"/>
          <w:highlight w:val="yellow"/>
        </w:rPr>
      </w:pPr>
      <w:r>
        <w:rPr>
          <w:rFonts w:hint="eastAsia" w:ascii="宋体" w:hAnsi="宋体" w:eastAsia="宋体" w:cs="宋体"/>
          <w:b/>
          <w:bCs/>
          <w:sz w:val="24"/>
          <w:szCs w:val="24"/>
        </w:rPr>
        <w:t>二、供货地点：</w:t>
      </w:r>
      <w:r>
        <w:rPr>
          <w:rFonts w:hint="eastAsia" w:ascii="宋体" w:hAnsi="宋体" w:eastAsia="宋体" w:cs="宋体"/>
          <w:sz w:val="24"/>
          <w:szCs w:val="24"/>
          <w:highlight w:val="yellow"/>
        </w:rPr>
        <w:t>济南市</w:t>
      </w:r>
      <w:r>
        <w:rPr>
          <w:rFonts w:hint="eastAsia" w:ascii="宋体" w:hAnsi="宋体" w:eastAsia="宋体" w:cs="宋体"/>
          <w:sz w:val="24"/>
          <w:szCs w:val="24"/>
          <w:highlight w:val="yellow"/>
          <w:lang w:val="en-US" w:eastAsia="zh-CN"/>
        </w:rPr>
        <w:t>莱芜区口镇重汽工业园</w:t>
      </w:r>
      <w:r>
        <w:rPr>
          <w:rFonts w:hint="eastAsia" w:ascii="宋体" w:hAnsi="宋体" w:eastAsia="宋体" w:cs="宋体"/>
          <w:sz w:val="24"/>
          <w:szCs w:val="24"/>
          <w:highlight w:val="yellow"/>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lang w:val="en-US" w:eastAsia="zh-CN"/>
        </w:rPr>
        <w:t>180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none"/>
          <w:shd w:val="clear" w:color="auto" w:fill="FFFFFF"/>
          <w:lang w:val="en-US" w:eastAsia="zh-CN"/>
        </w:rPr>
        <w:t>10</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接续</w:t>
      </w:r>
      <w:r>
        <w:rPr>
          <w:rFonts w:hint="eastAsia" w:ascii="宋体" w:hAnsi="宋体" w:eastAsia="宋体" w:cs="宋体"/>
          <w:sz w:val="24"/>
          <w:szCs w:val="24"/>
          <w:highlight w:val="yellow"/>
          <w:u w:val="single"/>
          <w:shd w:val="pct10" w:color="auto" w:fill="FFFFFF"/>
          <w:lang w:val="en-US" w:eastAsia="zh-CN"/>
        </w:rPr>
        <w:t>10</w:t>
      </w:r>
      <w:r>
        <w:rPr>
          <w:rFonts w:hint="eastAsia" w:ascii="宋体" w:hAnsi="宋体" w:eastAsia="宋体" w:cs="宋体"/>
          <w:sz w:val="24"/>
          <w:szCs w:val="24"/>
          <w:highlight w:val="yellow"/>
        </w:rPr>
        <w:t>个日历日之内完成终验收。</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0"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0"/>
    </w:p>
    <w:p>
      <w:pPr>
        <w:pStyle w:val="11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rPr>
          <w:rFonts w:hint="eastAsia" w:ascii="宋体" w:hAnsi="宋体" w:eastAsia="宋体" w:cs="宋体"/>
          <w:sz w:val="24"/>
          <w:szCs w:val="24"/>
          <w:lang w:eastAsia="zh-CN"/>
        </w:rPr>
      </w:pPr>
      <w:r>
        <w:rPr>
          <w:rFonts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中标方应对测试系统包含的软件提供更新和升级服务，软件license在质保期内免费升级，对于招标人在使用过程中发现的软硬件问题及时解决</w:t>
      </w:r>
      <w:r>
        <w:rPr>
          <w:rFonts w:hint="eastAsia" w:ascii="宋体" w:hAnsi="宋体" w:eastAsia="宋体" w:cs="宋体"/>
          <w:sz w:val="24"/>
          <w:szCs w:val="24"/>
          <w:lang w:eastAsia="zh-CN"/>
        </w:rPr>
        <w:t>。</w:t>
      </w:r>
    </w:p>
    <w:p>
      <w:pPr>
        <w:pStyle w:val="11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5</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7"/>
        <w:spacing w:line="360" w:lineRule="auto"/>
        <w:rPr>
          <w:rFonts w:hint="eastAsia" w:ascii="宋体" w:hAnsi="宋体" w:eastAsia="宋体" w:cs="宋体"/>
        </w:rPr>
      </w:pPr>
      <w:r>
        <w:rPr>
          <w:rFonts w:hint="eastAsia" w:ascii="宋体" w:hAnsi="宋体" w:eastAsia="宋体" w:cs="宋体"/>
        </w:rPr>
        <w:t>四、售后服务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如发现所提供的货物存在问题，需要卖方解决或配合解决时：在质保期之内，应在接到通知后</w:t>
      </w:r>
      <w:r>
        <w:rPr>
          <w:rFonts w:hint="eastAsia" w:ascii="宋体" w:hAnsi="宋体" w:eastAsia="宋体" w:cs="宋体"/>
          <w:color w:val="000000"/>
          <w:sz w:val="24"/>
          <w:szCs w:val="24"/>
          <w:highlight w:val="yellow"/>
          <w:u w:val="single"/>
          <w:shd w:val="pct10" w:color="auto" w:fill="FFFFFF"/>
          <w:lang w:val="en-US" w:eastAsia="zh-CN"/>
        </w:rPr>
        <w:t xml:space="preserve"> </w:t>
      </w:r>
      <w:r>
        <w:rPr>
          <w:rFonts w:hint="eastAsia" w:ascii="宋体" w:hAnsi="宋体" w:eastAsia="宋体" w:cs="宋体"/>
          <w:color w:val="000000"/>
          <w:sz w:val="24"/>
          <w:szCs w:val="24"/>
          <w:highlight w:val="yellow"/>
          <w:u w:val="single"/>
          <w:shd w:val="pct10" w:color="auto" w:fill="FFFFFF"/>
        </w:rPr>
        <w:t>24</w:t>
      </w:r>
      <w:r>
        <w:rPr>
          <w:rFonts w:hint="eastAsia" w:ascii="宋体" w:hAnsi="宋体" w:eastAsia="宋体" w:cs="宋体"/>
          <w:color w:val="000000"/>
          <w:sz w:val="24"/>
          <w:szCs w:val="24"/>
          <w:highlight w:val="yellow"/>
          <w:u w:val="single"/>
          <w:shd w:val="pct10" w:color="auto" w:fill="FFFFFF"/>
          <w:lang w:val="en-US" w:eastAsia="zh-CN"/>
        </w:rPr>
        <w:t xml:space="preserve"> </w:t>
      </w:r>
      <w:r>
        <w:rPr>
          <w:rFonts w:hint="eastAsia" w:ascii="宋体" w:hAnsi="宋体" w:eastAsia="宋体" w:cs="宋体"/>
          <w:color w:val="000000"/>
          <w:sz w:val="24"/>
          <w:szCs w:val="24"/>
        </w:rPr>
        <w:t>小时内提供免费技术支持（不限于电话、远程 、邮件、视频等方式）；在质保期之外，应在接到通知后</w:t>
      </w:r>
      <w:r>
        <w:rPr>
          <w:rFonts w:hint="eastAsia" w:ascii="宋体" w:hAnsi="宋体" w:eastAsia="宋体" w:cs="宋体"/>
          <w:color w:val="000000"/>
          <w:sz w:val="24"/>
          <w:szCs w:val="24"/>
          <w:highlight w:val="yellow"/>
          <w:u w:val="single"/>
          <w:shd w:val="pct10" w:color="auto" w:fill="FFFFFF"/>
          <w:lang w:val="en-US" w:eastAsia="zh-CN"/>
        </w:rPr>
        <w:t xml:space="preserve"> </w:t>
      </w:r>
      <w:r>
        <w:rPr>
          <w:rFonts w:hint="eastAsia" w:ascii="宋体" w:hAnsi="宋体" w:eastAsia="宋体" w:cs="宋体"/>
          <w:color w:val="000000"/>
          <w:sz w:val="24"/>
          <w:szCs w:val="24"/>
          <w:highlight w:val="yellow"/>
          <w:u w:val="single"/>
          <w:shd w:val="pct10" w:color="auto" w:fill="FFFFFF"/>
        </w:rPr>
        <w:t>72</w:t>
      </w:r>
      <w:r>
        <w:rPr>
          <w:rFonts w:hint="eastAsia" w:ascii="宋体" w:hAnsi="宋体" w:eastAsia="宋体" w:cs="宋体"/>
          <w:color w:val="000000"/>
          <w:sz w:val="24"/>
          <w:szCs w:val="24"/>
          <w:highlight w:val="yellow"/>
          <w:u w:val="single"/>
          <w:shd w:val="pct10" w:color="auto" w:fill="FFFFFF"/>
          <w:lang w:val="en-US" w:eastAsia="zh-CN"/>
        </w:rPr>
        <w:t xml:space="preserve"> </w:t>
      </w:r>
      <w:r>
        <w:rPr>
          <w:rFonts w:hint="eastAsia" w:ascii="宋体" w:hAnsi="宋体" w:eastAsia="宋体" w:cs="宋体"/>
          <w:color w:val="000000"/>
          <w:sz w:val="24"/>
          <w:szCs w:val="24"/>
        </w:rPr>
        <w:t>小时内提供免费技术支持（不限于电话、远程 、邮件、视频等方式）。</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卖方派往买方使用现场的人员，应具有较高的业务素质；现场解决问题时，不得无故拖延或推迟，应为买方提供最佳的服务。</w:t>
      </w:r>
    </w:p>
    <w:p>
      <w:pPr>
        <w:pStyle w:val="11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pPr>
        <w:pStyle w:val="16"/>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1" w:name="_Toc465187646"/>
      <w:r>
        <w:rPr>
          <w:rFonts w:hint="eastAsia" w:ascii="Calibri" w:hAnsi="Calibri" w:eastAsia="宋体" w:cs="Times New Roman"/>
          <w:b/>
          <w:bCs/>
          <w:kern w:val="44"/>
          <w:sz w:val="28"/>
          <w:szCs w:val="28"/>
        </w:rPr>
        <w:t>第五章  预验收和终验收</w:t>
      </w:r>
      <w:bookmarkEnd w:id="41"/>
    </w:p>
    <w:p>
      <w:pPr>
        <w:pStyle w:val="11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1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hint="eastAsia" w:ascii="宋体" w:hAnsi="宋体" w:eastAsia="宋体" w:cs="宋体"/>
        </w:rPr>
      </w:pPr>
      <w:r>
        <w:rPr>
          <w:rFonts w:hint="eastAsia" w:ascii="宋体" w:hAnsi="宋体" w:eastAsia="宋体" w:cs="宋体"/>
        </w:rPr>
        <w:t>三、验收基本条件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本项目</w:t>
      </w:r>
      <w:r>
        <w:rPr>
          <w:rFonts w:hint="eastAsia" w:ascii="宋体" w:hAnsi="宋体" w:eastAsia="宋体" w:cs="宋体"/>
          <w:color w:val="000000"/>
          <w:sz w:val="24"/>
          <w:szCs w:val="24"/>
        </w:rPr>
        <w:t>验收</w:t>
      </w:r>
      <w:r>
        <w:rPr>
          <w:rFonts w:hint="eastAsia" w:ascii="宋体" w:hAnsi="宋体" w:eastAsia="宋体" w:cs="宋体"/>
          <w:color w:val="000000"/>
          <w:sz w:val="24"/>
          <w:szCs w:val="24"/>
          <w:lang w:val="en-US" w:eastAsia="zh-CN"/>
        </w:rPr>
        <w:t>要求为</w:t>
      </w:r>
      <w:r>
        <w:rPr>
          <w:rFonts w:hint="eastAsia" w:ascii="宋体" w:hAnsi="宋体" w:eastAsia="宋体" w:cs="宋体"/>
          <w:color w:val="000000"/>
          <w:sz w:val="24"/>
          <w:szCs w:val="24"/>
        </w:rPr>
        <w:t>终</w:t>
      </w:r>
      <w:r>
        <w:rPr>
          <w:rFonts w:hint="eastAsia" w:ascii="宋体" w:hAnsi="宋体" w:eastAsia="宋体" w:cs="宋体"/>
          <w:color w:val="000000"/>
          <w:sz w:val="24"/>
          <w:szCs w:val="24"/>
          <w:lang w:val="en-US" w:eastAsia="zh-CN"/>
        </w:rPr>
        <w:t>验收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在安装调试完成及试运行后的买方现场进行。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终验收一般条件</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货物安装调试完毕，买方能够独立完成试验测试和数据分析。</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计量仪器、仪表配套合理，采用中国的法定计量单位，计量准确、灵敏可靠。保证设计指标和仪器说明书的参数的实现。</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试运行期间或之后无维修、调整等行为（特殊情况除外）。</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货物质量、技术性能等，达到签定的技术协议书和合同规定的终验收标准。</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终验收基本要求</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.1测试设备能够良好适配买方的测试</w:t>
      </w:r>
      <w:r>
        <w:rPr>
          <w:rFonts w:hint="eastAsia" w:ascii="宋体" w:hAnsi="宋体" w:eastAsia="宋体" w:cs="宋体"/>
          <w:color w:val="000000"/>
          <w:sz w:val="24"/>
          <w:szCs w:val="24"/>
          <w:highlight w:val="none"/>
          <w:lang w:val="en-US" w:eastAsia="zh-CN"/>
        </w:rPr>
        <w:t>对象</w:t>
      </w:r>
      <w:r>
        <w:rPr>
          <w:rFonts w:hint="eastAsia" w:ascii="宋体" w:hAnsi="宋体" w:eastAsia="宋体" w:cs="宋体"/>
          <w:color w:val="000000"/>
          <w:sz w:val="24"/>
          <w:szCs w:val="24"/>
          <w:highlight w:val="none"/>
        </w:rPr>
        <w:t>，其测量参数应满足</w:t>
      </w:r>
      <w:r>
        <w:rPr>
          <w:rFonts w:hint="eastAsia" w:ascii="宋体" w:hAnsi="宋体" w:eastAsia="宋体" w:cs="宋体"/>
          <w:color w:val="000000"/>
          <w:sz w:val="24"/>
          <w:szCs w:val="24"/>
          <w:highlight w:val="none"/>
          <w:lang w:val="en-US" w:eastAsia="zh-CN"/>
        </w:rPr>
        <w:t>技术协议的</w:t>
      </w:r>
      <w:r>
        <w:rPr>
          <w:rFonts w:hint="eastAsia" w:ascii="宋体" w:hAnsi="宋体" w:eastAsia="宋体" w:cs="宋体"/>
          <w:color w:val="000000"/>
          <w:sz w:val="24"/>
          <w:szCs w:val="24"/>
          <w:highlight w:val="none"/>
        </w:rPr>
        <w:t>要求；</w:t>
      </w:r>
    </w:p>
    <w:p>
      <w:pPr>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.2对于每个测试项目，试验数据经测试验证并得到买方认可</w:t>
      </w:r>
      <w:r>
        <w:rPr>
          <w:rFonts w:hint="eastAsia" w:ascii="宋体" w:hAnsi="宋体" w:eastAsia="宋体" w:cs="宋体"/>
          <w:color w:val="000000"/>
          <w:sz w:val="24"/>
          <w:szCs w:val="24"/>
          <w:highlight w:val="none"/>
          <w:lang w:eastAsia="zh-CN"/>
        </w:rPr>
        <w:t>；</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.3终验收原则上要求一次完成。若一次验收不成功，最多允许两次；如果出现第三次验收失败，重新作价或退货；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.4终验收通过后买卖双方共同签署终验收报告，并移交、核对全部供货范围内物品。</w:t>
      </w:r>
    </w:p>
    <w:p>
      <w:pPr>
        <w:pStyle w:val="16"/>
        <w:spacing w:line="360" w:lineRule="auto"/>
      </w:pPr>
    </w:p>
    <w:p>
      <w:pPr>
        <w:pStyle w:val="130"/>
        <w:spacing w:line="360" w:lineRule="auto"/>
        <w:outlineLvl w:val="1"/>
        <w:rPr>
          <w:rFonts w:eastAsia="宋体"/>
          <w:b/>
          <w:bCs w:val="0"/>
          <w:i w:val="0"/>
          <w:iCs/>
          <w:color w:val="auto"/>
          <w:sz w:val="28"/>
        </w:rPr>
      </w:pPr>
      <w:bookmarkStart w:id="42" w:name="_Toc465187647"/>
      <w:r>
        <w:rPr>
          <w:rFonts w:eastAsia="宋体"/>
          <w:b/>
          <w:bCs w:val="0"/>
          <w:i w:val="0"/>
          <w:iCs/>
          <w:color w:val="auto"/>
          <w:sz w:val="28"/>
        </w:rPr>
        <w:t>第六章  投标技术文件一般要求</w:t>
      </w:r>
      <w:bookmarkEnd w:id="42"/>
    </w:p>
    <w:p>
      <w:pPr>
        <w:pStyle w:val="117"/>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pStyle w:val="117"/>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pPr>
        <w:pStyle w:val="3"/>
        <w:spacing w:before="120" w:after="120" w:line="360" w:lineRule="auto"/>
        <w:jc w:val="center"/>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bookmarkStart w:id="43" w:name="_Toc465187648"/>
    </w:p>
    <w:p>
      <w:pPr>
        <w:pStyle w:val="130"/>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43"/>
    </w:p>
    <w:p>
      <w:pPr>
        <w:pStyle w:val="117"/>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pPr>
        <w:pStyle w:val="117"/>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pPr>
        <w:pStyle w:val="16"/>
        <w:spacing w:line="360" w:lineRule="auto"/>
        <w:rPr>
          <w:rFonts w:hint="eastAsia" w:hAnsi="宋体" w:eastAsia="宋体" w:cs="宋体"/>
          <w:sz w:val="24"/>
          <w:szCs w:val="24"/>
        </w:rPr>
        <w:sectPr>
          <w:pgSz w:w="11907" w:h="16840"/>
          <w:pgMar w:top="1304" w:right="1418" w:bottom="1304" w:left="1418" w:header="724" w:footer="851" w:gutter="0"/>
          <w:cols w:space="720" w:num="1"/>
          <w:docGrid w:linePitch="290" w:charSpace="-3931"/>
        </w:sectPr>
      </w:pPr>
    </w:p>
    <w:p>
      <w:pPr>
        <w:pStyle w:val="16"/>
      </w:pPr>
    </w:p>
    <w:p>
      <w:pPr>
        <w:spacing w:line="360" w:lineRule="auto"/>
        <w:jc w:val="center"/>
        <w:outlineLvl w:val="0"/>
        <w:rPr>
          <w:rFonts w:ascii="宋体" w:hAnsi="Calibri" w:eastAsia="宋体" w:cs="Times New Roman"/>
          <w:b/>
          <w:sz w:val="36"/>
          <w:szCs w:val="36"/>
        </w:rPr>
      </w:pPr>
      <w:bookmarkStart w:id="44"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4"/>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45" w:name="_Toc9465"/>
      <w:bookmarkStart w:id="46" w:name="_Toc17619"/>
      <w:bookmarkStart w:id="47" w:name="_Toc11823"/>
      <w:bookmarkStart w:id="48" w:name="_Toc16330018"/>
      <w:bookmarkStart w:id="49" w:name="_Toc11930"/>
      <w:r>
        <w:rPr>
          <w:rFonts w:hint="eastAsia" w:ascii="黑体" w:hAnsi="黑体" w:eastAsia="黑体" w:cstheme="minorEastAsia"/>
          <w:b w:val="0"/>
          <w:sz w:val="28"/>
          <w:szCs w:val="28"/>
        </w:rPr>
        <w:t>1 合同设备</w:t>
      </w:r>
      <w:bookmarkEnd w:id="45"/>
      <w:bookmarkEnd w:id="46"/>
      <w:bookmarkEnd w:id="47"/>
      <w:bookmarkEnd w:id="48"/>
      <w:bookmarkEnd w:id="4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0" w:name="_Toc32510"/>
      <w:bookmarkStart w:id="51" w:name="_Toc29026"/>
      <w:bookmarkStart w:id="52"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3" w:name="_Toc16330019"/>
      <w:bookmarkStart w:id="54" w:name="_Toc7716"/>
      <w:r>
        <w:rPr>
          <w:rFonts w:hint="eastAsia" w:ascii="黑体" w:hAnsi="黑体" w:eastAsia="黑体" w:cstheme="minorEastAsia"/>
          <w:b w:val="0"/>
          <w:sz w:val="28"/>
          <w:szCs w:val="28"/>
        </w:rPr>
        <w:t>2 包装</w:t>
      </w:r>
      <w:bookmarkEnd w:id="50"/>
      <w:bookmarkEnd w:id="51"/>
      <w:bookmarkEnd w:id="52"/>
      <w:bookmarkEnd w:id="53"/>
      <w:bookmarkEnd w:id="5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5" w:name="_Toc30507"/>
      <w:bookmarkStart w:id="56" w:name="_Toc16330020"/>
      <w:bookmarkStart w:id="57" w:name="_Toc27453"/>
      <w:bookmarkStart w:id="58" w:name="_Toc2833"/>
      <w:bookmarkStart w:id="59" w:name="_Toc27144"/>
      <w:r>
        <w:rPr>
          <w:rFonts w:hint="eastAsia" w:ascii="黑体" w:hAnsi="黑体" w:eastAsia="黑体" w:cstheme="minorEastAsia"/>
          <w:b w:val="0"/>
          <w:sz w:val="28"/>
          <w:szCs w:val="28"/>
        </w:rPr>
        <w:t>3 运输标记</w:t>
      </w:r>
      <w:bookmarkEnd w:id="55"/>
      <w:bookmarkEnd w:id="56"/>
      <w:bookmarkEnd w:id="57"/>
      <w:bookmarkEnd w:id="58"/>
      <w:bookmarkEnd w:id="5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0" w:name="_Toc10630"/>
      <w:bookmarkStart w:id="61" w:name="_Toc16133"/>
      <w:bookmarkStart w:id="62" w:name="_Toc16330021"/>
      <w:bookmarkStart w:id="63" w:name="_Toc7431"/>
      <w:bookmarkStart w:id="64" w:name="_Toc8624"/>
      <w:r>
        <w:rPr>
          <w:rFonts w:hint="eastAsia" w:ascii="黑体" w:hAnsi="黑体" w:eastAsia="黑体" w:cstheme="minorEastAsia"/>
          <w:b w:val="0"/>
          <w:sz w:val="28"/>
          <w:szCs w:val="28"/>
        </w:rPr>
        <w:t>4 检验</w:t>
      </w:r>
      <w:bookmarkEnd w:id="60"/>
      <w:bookmarkEnd w:id="61"/>
      <w:bookmarkEnd w:id="62"/>
      <w:bookmarkEnd w:id="63"/>
      <w:bookmarkEnd w:id="6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5" w:name="_Toc19850"/>
      <w:bookmarkStart w:id="66" w:name="_Toc16330022"/>
      <w:bookmarkStart w:id="67" w:name="_Toc24467"/>
      <w:bookmarkStart w:id="68" w:name="_Toc14275"/>
      <w:bookmarkStart w:id="69" w:name="_Toc11217"/>
      <w:r>
        <w:rPr>
          <w:rFonts w:hint="eastAsia" w:ascii="黑体" w:hAnsi="黑体" w:eastAsia="黑体" w:cstheme="minorEastAsia"/>
          <w:b w:val="0"/>
          <w:sz w:val="28"/>
          <w:szCs w:val="28"/>
        </w:rPr>
        <w:t>5 权利担保</w:t>
      </w:r>
      <w:bookmarkEnd w:id="65"/>
      <w:bookmarkEnd w:id="66"/>
      <w:bookmarkEnd w:id="67"/>
      <w:bookmarkEnd w:id="68"/>
      <w:bookmarkEnd w:id="6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0" w:name="_Toc20827"/>
      <w:bookmarkStart w:id="71" w:name="_Toc27500"/>
      <w:bookmarkStart w:id="72" w:name="_Toc11759"/>
      <w:bookmarkStart w:id="73" w:name="_Toc14809"/>
      <w:bookmarkStart w:id="74" w:name="_Toc16330023"/>
      <w:r>
        <w:rPr>
          <w:rFonts w:hint="eastAsia" w:ascii="黑体" w:hAnsi="黑体" w:eastAsia="黑体" w:cstheme="minorEastAsia"/>
          <w:b w:val="0"/>
          <w:sz w:val="28"/>
          <w:szCs w:val="28"/>
        </w:rPr>
        <w:t>6 交货</w:t>
      </w:r>
      <w:bookmarkEnd w:id="70"/>
      <w:bookmarkEnd w:id="71"/>
      <w:bookmarkEnd w:id="72"/>
      <w:bookmarkEnd w:id="73"/>
      <w:bookmarkEnd w:id="7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5" w:name="_Toc8024"/>
      <w:bookmarkStart w:id="76" w:name="_Toc16330024"/>
      <w:bookmarkStart w:id="77" w:name="_Toc23308"/>
      <w:bookmarkStart w:id="78" w:name="_Toc25510"/>
      <w:bookmarkStart w:id="79" w:name="_Toc2984"/>
      <w:r>
        <w:rPr>
          <w:rFonts w:hint="eastAsia" w:ascii="黑体" w:hAnsi="黑体" w:eastAsia="黑体" w:cstheme="minorEastAsia"/>
          <w:b w:val="0"/>
          <w:sz w:val="28"/>
          <w:szCs w:val="28"/>
        </w:rPr>
        <w:t>7 安装、调试</w:t>
      </w:r>
      <w:bookmarkEnd w:id="75"/>
      <w:bookmarkEnd w:id="76"/>
      <w:bookmarkEnd w:id="77"/>
      <w:bookmarkEnd w:id="78"/>
      <w:bookmarkEnd w:id="79"/>
    </w:p>
    <w:p>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0" w:name="_Toc15547"/>
      <w:bookmarkStart w:id="81" w:name="_Toc14260"/>
      <w:bookmarkStart w:id="82" w:name="_Toc14098"/>
      <w:bookmarkStart w:id="83" w:name="_Toc16330025"/>
      <w:bookmarkStart w:id="84" w:name="_Toc6350"/>
      <w:r>
        <w:rPr>
          <w:rFonts w:hint="eastAsia" w:ascii="黑体" w:hAnsi="黑体" w:eastAsia="黑体" w:cstheme="minorEastAsia"/>
          <w:b w:val="0"/>
          <w:sz w:val="28"/>
          <w:szCs w:val="28"/>
        </w:rPr>
        <w:t>8 价款与支付</w:t>
      </w:r>
      <w:bookmarkEnd w:id="80"/>
      <w:bookmarkEnd w:id="81"/>
      <w:bookmarkEnd w:id="82"/>
      <w:bookmarkEnd w:id="83"/>
      <w:bookmarkEnd w:id="8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85" w:name="_Toc14531628"/>
      <w:bookmarkStart w:id="86"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85"/>
      <w:bookmarkEnd w:id="86"/>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7" w:name="_Toc6726"/>
      <w:bookmarkStart w:id="88" w:name="_Toc24085"/>
      <w:bookmarkStart w:id="89" w:name="_Toc21726"/>
      <w:bookmarkStart w:id="90" w:name="_Toc25708"/>
      <w:bookmarkStart w:id="91" w:name="_Toc16330026"/>
      <w:r>
        <w:rPr>
          <w:rFonts w:hint="eastAsia" w:ascii="黑体" w:hAnsi="黑体" w:eastAsia="黑体" w:cstheme="minorEastAsia"/>
          <w:b w:val="0"/>
          <w:sz w:val="28"/>
          <w:szCs w:val="28"/>
        </w:rPr>
        <w:t>9 质量保证及售后服务</w:t>
      </w:r>
      <w:bookmarkEnd w:id="87"/>
      <w:bookmarkEnd w:id="88"/>
      <w:bookmarkEnd w:id="89"/>
      <w:bookmarkEnd w:id="90"/>
      <w:bookmarkEnd w:id="9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2" w:name="_Toc26769"/>
      <w:bookmarkStart w:id="93" w:name="_Toc16330027"/>
      <w:bookmarkStart w:id="94" w:name="_Toc10359"/>
      <w:bookmarkStart w:id="95" w:name="_Toc12927"/>
      <w:bookmarkStart w:id="96" w:name="_Toc15570"/>
      <w:r>
        <w:rPr>
          <w:rFonts w:hint="eastAsia" w:ascii="黑体" w:hAnsi="黑体" w:eastAsia="黑体" w:cstheme="minorEastAsia"/>
          <w:b w:val="0"/>
          <w:sz w:val="28"/>
          <w:szCs w:val="28"/>
        </w:rPr>
        <w:t>10法定责任</w:t>
      </w:r>
      <w:bookmarkEnd w:id="92"/>
      <w:bookmarkEnd w:id="93"/>
      <w:bookmarkEnd w:id="94"/>
      <w:bookmarkEnd w:id="95"/>
      <w:bookmarkEnd w:id="9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7" w:name="_Toc16330028"/>
      <w:bookmarkStart w:id="98" w:name="_Toc7698"/>
      <w:bookmarkStart w:id="99" w:name="_Toc27314"/>
      <w:bookmarkStart w:id="100" w:name="_Toc30381"/>
      <w:bookmarkStart w:id="101" w:name="_Toc9708"/>
      <w:r>
        <w:rPr>
          <w:rFonts w:hint="eastAsia" w:ascii="黑体" w:hAnsi="黑体" w:eastAsia="黑体" w:cstheme="minorEastAsia"/>
          <w:b w:val="0"/>
          <w:sz w:val="28"/>
          <w:szCs w:val="28"/>
        </w:rPr>
        <w:t>11 违约责任</w:t>
      </w:r>
      <w:bookmarkEnd w:id="97"/>
      <w:bookmarkEnd w:id="98"/>
      <w:bookmarkEnd w:id="99"/>
      <w:bookmarkEnd w:id="100"/>
      <w:bookmarkEnd w:id="10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02" w:name="_Toc9172"/>
      <w:bookmarkStart w:id="103" w:name="_Toc16330029"/>
      <w:bookmarkStart w:id="104" w:name="_Toc31554"/>
      <w:bookmarkStart w:id="105"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02"/>
    <w:bookmarkEnd w:id="103"/>
    <w:bookmarkEnd w:id="104"/>
    <w:bookmarkEnd w:id="105"/>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6" w:name="_Toc23793"/>
      <w:r>
        <w:rPr>
          <w:rFonts w:hint="eastAsia" w:ascii="黑体" w:hAnsi="黑体" w:eastAsia="黑体" w:cstheme="minorEastAsia"/>
          <w:b w:val="0"/>
          <w:sz w:val="28"/>
          <w:szCs w:val="28"/>
        </w:rPr>
        <w:t>12 合同的终止与解除</w:t>
      </w:r>
      <w:bookmarkEnd w:id="10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7" w:name="_Toc11937"/>
      <w:bookmarkStart w:id="108" w:name="_Toc31945"/>
      <w:bookmarkStart w:id="109" w:name="_Toc8620"/>
      <w:bookmarkStart w:id="110" w:name="_Toc13671"/>
      <w:bookmarkStart w:id="111" w:name="_Toc16330030"/>
      <w:r>
        <w:rPr>
          <w:rFonts w:hint="eastAsia" w:ascii="黑体" w:hAnsi="黑体" w:eastAsia="黑体" w:cstheme="minorEastAsia"/>
          <w:b w:val="0"/>
          <w:sz w:val="28"/>
          <w:szCs w:val="28"/>
        </w:rPr>
        <w:t>13 不可抗力</w:t>
      </w:r>
      <w:bookmarkEnd w:id="107"/>
      <w:bookmarkEnd w:id="108"/>
      <w:bookmarkEnd w:id="109"/>
      <w:bookmarkEnd w:id="110"/>
      <w:bookmarkEnd w:id="11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2" w:name="_Toc637"/>
      <w:bookmarkStart w:id="113" w:name="_Toc16330031"/>
      <w:bookmarkStart w:id="114" w:name="_Toc18772"/>
      <w:bookmarkStart w:id="115" w:name="_Toc30389"/>
      <w:bookmarkStart w:id="116" w:name="_Toc31243"/>
      <w:r>
        <w:rPr>
          <w:rFonts w:hint="eastAsia" w:ascii="黑体" w:hAnsi="黑体" w:eastAsia="黑体" w:cstheme="minorEastAsia"/>
          <w:b w:val="0"/>
          <w:sz w:val="28"/>
          <w:szCs w:val="28"/>
        </w:rPr>
        <w:t>14 通讯</w:t>
      </w:r>
      <w:bookmarkEnd w:id="112"/>
      <w:bookmarkEnd w:id="113"/>
      <w:bookmarkEnd w:id="114"/>
      <w:bookmarkEnd w:id="115"/>
      <w:bookmarkEnd w:id="11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312" w:beforeLines="100"/>
        <w:rPr>
          <w:rFonts w:ascii="黑体" w:hAnsi="黑体" w:eastAsia="黑体" w:cstheme="minorEastAsia"/>
          <w:b w:val="0"/>
          <w:sz w:val="28"/>
          <w:szCs w:val="28"/>
        </w:rPr>
      </w:pPr>
      <w:bookmarkStart w:id="117" w:name="_Toc11290"/>
      <w:bookmarkStart w:id="118" w:name="_Toc12984"/>
      <w:bookmarkStart w:id="119" w:name="_Toc16330032"/>
      <w:bookmarkStart w:id="120" w:name="_Toc9915"/>
      <w:bookmarkStart w:id="121" w:name="_Toc23011"/>
      <w:r>
        <w:rPr>
          <w:rFonts w:hint="eastAsia" w:ascii="黑体" w:hAnsi="黑体" w:eastAsia="黑体" w:cstheme="minorEastAsia"/>
          <w:b w:val="0"/>
          <w:sz w:val="28"/>
          <w:szCs w:val="28"/>
        </w:rPr>
        <w:t>15 适用法律及争议解决</w:t>
      </w:r>
      <w:bookmarkEnd w:id="117"/>
      <w:bookmarkEnd w:id="118"/>
      <w:bookmarkEnd w:id="119"/>
      <w:bookmarkEnd w:id="120"/>
      <w:bookmarkEnd w:id="12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2" w:name="_Toc23765"/>
      <w:bookmarkStart w:id="123" w:name="_Toc23906"/>
      <w:bookmarkStart w:id="124" w:name="_Toc16330033"/>
      <w:bookmarkStart w:id="125" w:name="_Toc18207"/>
      <w:bookmarkStart w:id="126" w:name="_Toc5747"/>
      <w:r>
        <w:rPr>
          <w:rFonts w:hint="eastAsia" w:ascii="黑体" w:hAnsi="黑体" w:eastAsia="黑体" w:cstheme="minorEastAsia"/>
          <w:b w:val="0"/>
          <w:sz w:val="28"/>
          <w:szCs w:val="28"/>
        </w:rPr>
        <w:t>16 附件</w:t>
      </w:r>
      <w:bookmarkEnd w:id="122"/>
      <w:bookmarkEnd w:id="123"/>
      <w:bookmarkEnd w:id="124"/>
      <w:bookmarkEnd w:id="125"/>
      <w:bookmarkEnd w:id="12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27" w:name="_Toc31331"/>
      <w:bookmarkStart w:id="128" w:name="_Toc27202"/>
      <w:bookmarkStart w:id="129" w:name="_Toc16330034"/>
      <w:bookmarkStart w:id="130" w:name="_Toc17656"/>
      <w:bookmarkStart w:id="131" w:name="_Toc9594"/>
      <w:r>
        <w:rPr>
          <w:rFonts w:hint="eastAsia" w:ascii="黑体" w:hAnsi="黑体" w:eastAsia="黑体" w:cstheme="minorEastAsia"/>
          <w:b w:val="0"/>
          <w:sz w:val="28"/>
          <w:szCs w:val="28"/>
        </w:rPr>
        <w:t>17 其他规定</w:t>
      </w:r>
      <w:bookmarkEnd w:id="127"/>
      <w:bookmarkEnd w:id="128"/>
      <w:bookmarkEnd w:id="129"/>
      <w:bookmarkEnd w:id="130"/>
      <w:bookmarkEnd w:id="13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2" w:name="_Toc16330035"/>
      <w:bookmarkStart w:id="133" w:name="_Toc29136"/>
      <w:bookmarkStart w:id="134" w:name="_Toc19077"/>
      <w:bookmarkStart w:id="135"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36" w:name="_Toc15340"/>
      <w:r>
        <w:rPr>
          <w:rFonts w:hint="eastAsia" w:ascii="黑体" w:hAnsi="黑体" w:eastAsia="黑体" w:cstheme="minorEastAsia"/>
          <w:b w:val="0"/>
          <w:sz w:val="28"/>
          <w:szCs w:val="28"/>
        </w:rPr>
        <w:t>18 签署事项</w:t>
      </w:r>
      <w:bookmarkEnd w:id="132"/>
      <w:bookmarkEnd w:id="133"/>
      <w:bookmarkEnd w:id="134"/>
      <w:bookmarkEnd w:id="135"/>
      <w:bookmarkEnd w:id="13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7" w:name="_Toc10272"/>
      <w:bookmarkStart w:id="138" w:name="_Toc16330036"/>
      <w:bookmarkStart w:id="139" w:name="_Toc28611"/>
      <w:bookmarkStart w:id="140" w:name="_Toc15689"/>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7"/>
    <w:bookmarkEnd w:id="138"/>
    <w:bookmarkEnd w:id="139"/>
    <w:bookmarkEnd w:id="140"/>
    <w:p>
      <w:pPr>
        <w:rPr>
          <w:sz w:val="24"/>
          <w:szCs w:val="24"/>
        </w:rPr>
      </w:pPr>
    </w:p>
    <w:p>
      <w:pPr>
        <w:pStyle w:val="2"/>
        <w:tabs>
          <w:tab w:val="right" w:leader="dot" w:pos="9061"/>
        </w:tabs>
        <w:rPr>
          <w:rFonts w:ascii="黑体" w:hAnsi="黑体" w:eastAsia="黑体" w:cstheme="minorEastAsia"/>
          <w:b w:val="0"/>
          <w:sz w:val="28"/>
          <w:szCs w:val="28"/>
        </w:rPr>
      </w:pPr>
      <w:bookmarkStart w:id="141" w:name="_Toc14581"/>
      <w:r>
        <w:rPr>
          <w:rFonts w:hint="eastAsia" w:ascii="黑体" w:hAnsi="黑体" w:eastAsia="黑体" w:cstheme="minorEastAsia"/>
          <w:b w:val="0"/>
          <w:sz w:val="28"/>
          <w:szCs w:val="28"/>
        </w:rPr>
        <w:t>附件一：设备清单明细表</w:t>
      </w:r>
      <w:bookmarkEnd w:id="141"/>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42" w:name="_Toc25120"/>
      <w:bookmarkStart w:id="143" w:name="_Toc3778"/>
      <w:bookmarkStart w:id="144" w:name="_Toc5379"/>
      <w:bookmarkStart w:id="145" w:name="_Toc16330037"/>
      <w:bookmarkStart w:id="146" w:name="_Toc24623"/>
    </w:p>
    <w:p>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pPr>
        <w:pStyle w:val="2"/>
        <w:tabs>
          <w:tab w:val="right" w:leader="dot" w:pos="9061"/>
        </w:tabs>
        <w:rPr>
          <w:rFonts w:ascii="黑体" w:hAnsi="黑体" w:eastAsia="黑体" w:cstheme="minorEastAsia"/>
          <w:b w:val="0"/>
          <w:sz w:val="28"/>
          <w:szCs w:val="28"/>
        </w:rPr>
      </w:pPr>
      <w:bookmarkStart w:id="147" w:name="_Toc8175"/>
      <w:r>
        <w:rPr>
          <w:rFonts w:hint="eastAsia" w:ascii="黑体" w:hAnsi="黑体" w:eastAsia="黑体" w:cstheme="minorEastAsia"/>
          <w:b w:val="0"/>
          <w:sz w:val="28"/>
          <w:szCs w:val="28"/>
        </w:rPr>
        <w:t xml:space="preserve">附件二 </w:t>
      </w:r>
      <w:bookmarkEnd w:id="142"/>
      <w:bookmarkEnd w:id="143"/>
      <w:bookmarkEnd w:id="144"/>
      <w:bookmarkEnd w:id="145"/>
      <w:bookmarkEnd w:id="146"/>
      <w:r>
        <w:rPr>
          <w:rFonts w:hint="eastAsia" w:ascii="黑体" w:hAnsi="黑体" w:eastAsia="黑体" w:cstheme="minorEastAsia"/>
          <w:b w:val="0"/>
          <w:sz w:val="28"/>
          <w:szCs w:val="28"/>
        </w:rPr>
        <w:t>技术协议书</w:t>
      </w:r>
      <w:bookmarkEnd w:id="147"/>
    </w:p>
    <w:p>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8"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8"/>
    </w:p>
    <w:p>
      <w:pPr>
        <w:keepNext/>
        <w:keepLines/>
        <w:outlineLvl w:val="9"/>
        <w:rPr>
          <w:rFonts w:hint="eastAsia" w:ascii="Times New Roman" w:hAnsi="Times New Roman" w:eastAsia="宋体" w:cs="Times New Roman"/>
          <w:b/>
          <w:bCs/>
          <w:color w:val="000000"/>
          <w:sz w:val="24"/>
          <w:szCs w:val="24"/>
        </w:rPr>
      </w:pPr>
    </w:p>
    <w:p>
      <w:pPr>
        <w:pStyle w:val="16"/>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6"/>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9" w:name="_Toc25811"/>
      <w:bookmarkStart w:id="150" w:name="_Toc639004"/>
      <w:bookmarkStart w:id="151" w:name="_Toc353881012"/>
      <w:bookmarkStart w:id="152"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9"/>
      <w:bookmarkEnd w:id="150"/>
      <w:bookmarkEnd w:id="151"/>
      <w:bookmarkEnd w:id="15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rPr>
        <w:t>-三坐标</w:t>
      </w:r>
      <w:r>
        <w:rPr>
          <w:rFonts w:hint="eastAsia" w:ascii="宋体" w:hAnsi="宋体" w:eastAsia="宋体" w:cs="宋体"/>
          <w:color w:val="000000"/>
          <w:sz w:val="24"/>
          <w:szCs w:val="24"/>
          <w:highlight w:val="none"/>
          <w:u w:val="single"/>
          <w:lang w:val="en-US" w:eastAsia="zh-CN"/>
        </w:rPr>
        <w:t>仪器采购</w:t>
      </w:r>
      <w:r>
        <w:rPr>
          <w:rFonts w:hint="eastAsia" w:ascii="宋体" w:hAnsi="宋体" w:eastAsia="宋体" w:cs="宋体"/>
          <w:color w:val="000000"/>
          <w:sz w:val="24"/>
          <w:szCs w:val="24"/>
          <w:highlight w:val="none"/>
          <w:u w:val="single"/>
        </w:rPr>
        <w:t>项目</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lang w:val="en-US" w:eastAsia="zh-CN"/>
        </w:rPr>
        <w:t>五</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rPr>
        <w:t>-三坐标</w:t>
      </w:r>
      <w:r>
        <w:rPr>
          <w:rFonts w:hint="eastAsia" w:ascii="宋体" w:hAnsi="宋体" w:eastAsia="宋体" w:cs="宋体"/>
          <w:color w:val="000000"/>
          <w:sz w:val="24"/>
          <w:szCs w:val="24"/>
          <w:highlight w:val="none"/>
          <w:u w:val="single"/>
          <w:lang w:val="en-US" w:eastAsia="zh-CN"/>
        </w:rPr>
        <w:t>仪器采购</w:t>
      </w:r>
      <w:r>
        <w:rPr>
          <w:rFonts w:hint="eastAsia" w:ascii="宋体" w:hAnsi="宋体" w:eastAsia="宋体" w:cs="宋体"/>
          <w:color w:val="000000"/>
          <w:sz w:val="24"/>
          <w:szCs w:val="24"/>
          <w:highlight w:val="none"/>
          <w:u w:val="single"/>
        </w:rPr>
        <w:t>项目</w:t>
      </w:r>
      <w:r>
        <w:rPr>
          <w:rFonts w:hint="eastAsia" w:ascii="宋体" w:hAnsi="宋体" w:eastAsia="宋体" w:cs="Times New Roman"/>
          <w:color w:val="000000"/>
          <w:sz w:val="24"/>
          <w:szCs w:val="24"/>
        </w:rPr>
        <w:t>（</w:t>
      </w:r>
      <w:r>
        <w:rPr>
          <w:rFonts w:hint="eastAsia" w:ascii="宋体" w:hAnsi="宋体" w:eastAsia="宋体" w:cs="宋体"/>
          <w:sz w:val="24"/>
          <w:szCs w:val="24"/>
          <w:highlight w:val="none"/>
          <w:u w:val="single"/>
          <w:lang w:val="en-US" w:eastAsia="zh-CN"/>
        </w:rPr>
        <w:t>CGZX2023030081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rPr>
        <w:t>-三坐标</w:t>
      </w:r>
      <w:r>
        <w:rPr>
          <w:rFonts w:hint="eastAsia" w:ascii="宋体" w:hAnsi="宋体" w:eastAsia="宋体" w:cs="宋体"/>
          <w:color w:val="000000"/>
          <w:sz w:val="24"/>
          <w:szCs w:val="24"/>
          <w:highlight w:val="none"/>
          <w:u w:val="single"/>
          <w:lang w:val="en-US" w:eastAsia="zh-CN"/>
        </w:rPr>
        <w:t>仪器采购</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rPr>
        <w:t>-三坐标</w:t>
      </w:r>
      <w:r>
        <w:rPr>
          <w:rFonts w:hint="eastAsia" w:ascii="宋体" w:hAnsi="宋体" w:eastAsia="宋体" w:cs="宋体"/>
          <w:color w:val="000000"/>
          <w:sz w:val="24"/>
          <w:szCs w:val="24"/>
          <w:highlight w:val="none"/>
          <w:u w:val="single"/>
          <w:lang w:val="en-US" w:eastAsia="zh-CN"/>
        </w:rPr>
        <w:t>仪器采购</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rPr>
        <w:t>-三坐标</w:t>
      </w:r>
      <w:r>
        <w:rPr>
          <w:rFonts w:hint="eastAsia" w:ascii="宋体" w:hAnsi="宋体" w:eastAsia="宋体" w:cs="宋体"/>
          <w:color w:val="000000"/>
          <w:sz w:val="24"/>
          <w:szCs w:val="24"/>
          <w:highlight w:val="none"/>
          <w:u w:val="single"/>
          <w:lang w:val="en-US" w:eastAsia="zh-CN"/>
        </w:rPr>
        <w:t>仪器采购</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rPr>
        <w:t>-三坐标</w:t>
      </w:r>
      <w:r>
        <w:rPr>
          <w:rFonts w:hint="eastAsia" w:ascii="宋体" w:hAnsi="宋体" w:eastAsia="宋体" w:cs="宋体"/>
          <w:color w:val="000000"/>
          <w:sz w:val="24"/>
          <w:szCs w:val="24"/>
          <w:highlight w:val="none"/>
          <w:u w:val="single"/>
          <w:lang w:val="en-US" w:eastAsia="zh-CN"/>
        </w:rPr>
        <w:t>仪器采购</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rPr>
        <w:t>-三坐标</w:t>
      </w:r>
      <w:r>
        <w:rPr>
          <w:rFonts w:hint="eastAsia" w:ascii="宋体" w:hAnsi="宋体" w:eastAsia="宋体" w:cs="宋体"/>
          <w:color w:val="000000"/>
          <w:sz w:val="24"/>
          <w:szCs w:val="24"/>
          <w:highlight w:val="none"/>
          <w:u w:val="single"/>
          <w:lang w:val="en-US" w:eastAsia="zh-CN"/>
        </w:rPr>
        <w:t>仪器采购</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rPr>
              <w:t>-三坐标</w:t>
            </w:r>
            <w:r>
              <w:rPr>
                <w:rFonts w:hint="eastAsia" w:ascii="宋体" w:hAnsi="宋体" w:eastAsia="宋体" w:cs="宋体"/>
                <w:color w:val="000000"/>
                <w:sz w:val="24"/>
                <w:szCs w:val="24"/>
                <w:highlight w:val="none"/>
                <w:u w:val="single"/>
                <w:lang w:val="en-US" w:eastAsia="zh-CN"/>
              </w:rPr>
              <w:t>仪器</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6"/>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before="0" w:line="221" w:lineRule="auto"/>
              <w:ind w:left="0" w:right="0" w:firstLine="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0"/>
                <w:sz w:val="24"/>
                <w:szCs w:val="20"/>
                <w:lang w:val="en-US" w:eastAsia="zh-CN" w:bidi="ar-SA"/>
              </w:rPr>
            </w:pPr>
            <w:r>
              <w:rPr>
                <w:rFonts w:hint="eastAsia" w:ascii="宋体" w:hAnsi="宋体" w:eastAsia="宋体" w:cs="宋体"/>
                <w:b w:val="0"/>
                <w:bCs w:val="0"/>
                <w:color w:val="000000"/>
                <w:kern w:val="0"/>
                <w:sz w:val="24"/>
                <w:szCs w:val="24"/>
                <w:lang w:val="en-US" w:eastAsia="zh-CN"/>
              </w:rPr>
              <w:t>关节臂主机</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0"/>
                <w:sz w:val="24"/>
                <w:szCs w:val="20"/>
                <w:lang w:val="en-US" w:eastAsia="zh-CN" w:bidi="ar-SA"/>
              </w:rPr>
            </w:pPr>
            <w:r>
              <w:rPr>
                <w:rFonts w:hint="eastAsia" w:ascii="宋体" w:hAnsi="宋体" w:eastAsia="宋体" w:cs="宋体"/>
                <w:b w:val="0"/>
                <w:bCs w:val="0"/>
                <w:sz w:val="24"/>
                <w:szCs w:val="24"/>
              </w:rPr>
              <w:t>测头组件</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rPr>
            </w:pPr>
            <w:r>
              <w:rPr>
                <w:rFonts w:ascii="宋体" w:hAnsi="宋体" w:eastAsia="宋体" w:cs="宋体"/>
                <w:szCs w:val="21"/>
              </w:rPr>
              <w:t>3</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sz w:val="24"/>
                <w:szCs w:val="24"/>
                <w:lang w:val="en-US" w:eastAsia="zh-CN"/>
              </w:rPr>
              <w:t>安</w:t>
            </w:r>
            <w:r>
              <w:rPr>
                <w:rFonts w:hint="eastAsia" w:ascii="宋体" w:hAnsi="宋体" w:eastAsia="宋体" w:cs="宋体"/>
                <w:b w:val="0"/>
                <w:bCs w:val="0"/>
                <w:sz w:val="24"/>
                <w:szCs w:val="24"/>
              </w:rPr>
              <w:t>装底座</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ascii="宋体" w:hAnsi="宋体" w:eastAsia="宋体" w:cs="宋体"/>
                <w:szCs w:val="21"/>
              </w:rPr>
            </w:pPr>
            <w:r>
              <w:rPr>
                <w:rFonts w:ascii="宋体" w:hAnsi="宋体" w:eastAsia="宋体" w:cs="宋体"/>
                <w:szCs w:val="21"/>
              </w:rPr>
              <w:t>4</w:t>
            </w:r>
          </w:p>
        </w:tc>
        <w:tc>
          <w:tcPr>
            <w:tcW w:w="2238" w:type="dxa"/>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sz w:val="24"/>
                <w:szCs w:val="24"/>
              </w:rPr>
              <w:t>扫描系统</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2" w:lineRule="auto"/>
              <w:ind w:left="293"/>
              <w:rPr>
                <w:rFonts w:ascii="宋体" w:hAnsi="宋体" w:eastAsia="宋体" w:cs="宋体"/>
                <w:szCs w:val="21"/>
              </w:rPr>
            </w:pPr>
            <w:r>
              <w:rPr>
                <w:rFonts w:ascii="宋体" w:hAnsi="宋体" w:eastAsia="宋体" w:cs="宋体"/>
                <w:szCs w:val="21"/>
              </w:rPr>
              <w:t>5</w:t>
            </w:r>
          </w:p>
        </w:tc>
        <w:tc>
          <w:tcPr>
            <w:tcW w:w="2238" w:type="dxa"/>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sz w:val="24"/>
                <w:szCs w:val="24"/>
              </w:rPr>
              <w:t>软件系统</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ascii="宋体" w:hAnsi="宋体" w:eastAsia="宋体" w:cs="宋体"/>
                <w:szCs w:val="21"/>
              </w:rPr>
            </w:pPr>
            <w:r>
              <w:rPr>
                <w:rFonts w:ascii="宋体" w:hAnsi="宋体" w:eastAsia="宋体" w:cs="宋体"/>
                <w:szCs w:val="21"/>
              </w:rPr>
              <w:t>6</w:t>
            </w:r>
          </w:p>
        </w:tc>
        <w:tc>
          <w:tcPr>
            <w:tcW w:w="2238" w:type="dxa"/>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both"/>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sz w:val="24"/>
                <w:szCs w:val="24"/>
                <w:lang w:val="en-US" w:eastAsia="zh-CN"/>
              </w:rPr>
              <w:t>包装箱、</w:t>
            </w:r>
            <w:r>
              <w:rPr>
                <w:rFonts w:hint="eastAsia" w:ascii="宋体" w:hAnsi="宋体" w:eastAsia="宋体" w:cs="宋体"/>
                <w:b w:val="0"/>
                <w:bCs w:val="0"/>
                <w:sz w:val="24"/>
                <w:szCs w:val="24"/>
              </w:rPr>
              <w:t>三脚架</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pPr>
              <w:spacing w:before="116" w:line="182" w:lineRule="auto"/>
              <w:ind w:left="294"/>
              <w:rPr>
                <w:rFonts w:ascii="宋体" w:hAnsi="宋体" w:eastAsia="宋体" w:cs="宋体"/>
                <w:szCs w:val="21"/>
              </w:rPr>
            </w:pPr>
            <w:r>
              <w:rPr>
                <w:rFonts w:ascii="宋体" w:hAnsi="宋体" w:eastAsia="宋体" w:cs="宋体"/>
                <w:szCs w:val="21"/>
              </w:rPr>
              <w:t>7</w:t>
            </w:r>
          </w:p>
        </w:tc>
        <w:tc>
          <w:tcPr>
            <w:tcW w:w="2238" w:type="dxa"/>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both"/>
              <w:rPr>
                <w:rFonts w:hint="eastAsia" w:ascii="宋体" w:hAnsi="宋体" w:eastAsia="宋体" w:cs="宋体"/>
                <w:b w:val="0"/>
                <w:bCs w:val="0"/>
                <w:color w:val="000000"/>
                <w:kern w:val="2"/>
                <w:sz w:val="24"/>
                <w:szCs w:val="20"/>
                <w:lang w:val="en-US" w:eastAsia="zh-CN" w:bidi="ar-SA"/>
              </w:rPr>
            </w:pPr>
            <w:r>
              <w:rPr>
                <w:rFonts w:hint="eastAsia" w:ascii="宋体" w:hAnsi="宋体" w:eastAsia="宋体" w:cs="宋体"/>
                <w:b w:val="0"/>
                <w:bCs w:val="0"/>
                <w:sz w:val="24"/>
                <w:szCs w:val="24"/>
              </w:rPr>
              <w:t>蛙跳座</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蛙跳球</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4" w:line="183" w:lineRule="auto"/>
              <w:ind w:left="290"/>
              <w:rPr>
                <w:rFonts w:ascii="宋体" w:hAnsi="宋体" w:eastAsia="宋体" w:cs="宋体"/>
                <w:szCs w:val="21"/>
              </w:rPr>
            </w:pPr>
            <w:r>
              <w:rPr>
                <w:rFonts w:ascii="宋体" w:hAnsi="宋体" w:eastAsia="宋体" w:cs="宋体"/>
                <w:szCs w:val="21"/>
              </w:rPr>
              <w:t>8</w:t>
            </w:r>
          </w:p>
        </w:tc>
        <w:tc>
          <w:tcPr>
            <w:tcW w:w="2238"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计算机系统</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4"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8" w:line="221" w:lineRule="auto"/>
              <w:jc w:val="center"/>
              <w:rPr>
                <w:rFonts w:ascii="宋体" w:hAnsi="宋体" w:eastAsia="宋体" w:cs="宋体"/>
                <w:spacing w:val="15"/>
                <w:szCs w:val="21"/>
              </w:rPr>
            </w:pPr>
            <w:r>
              <w:rPr>
                <w:rFonts w:hint="eastAsia" w:ascii="宋体" w:hAnsi="宋体" w:eastAsia="宋体" w:cs="宋体"/>
                <w:spacing w:val="15"/>
                <w:szCs w:val="21"/>
                <w:lang w:val="en-US" w:eastAsia="zh-CN"/>
              </w:rPr>
              <w:t>安装调试</w:t>
            </w:r>
          </w:p>
        </w:tc>
        <w:tc>
          <w:tcPr>
            <w:tcW w:w="1126" w:type="dxa"/>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8" w:line="221" w:lineRule="auto"/>
              <w:jc w:val="center"/>
              <w:rPr>
                <w:rFonts w:ascii="宋体" w:hAnsi="宋体" w:eastAsia="宋体" w:cs="宋体"/>
                <w:spacing w:val="15"/>
                <w:szCs w:val="21"/>
              </w:rPr>
            </w:pPr>
            <w:r>
              <w:rPr>
                <w:rFonts w:hint="eastAsia" w:ascii="宋体" w:hAnsi="宋体" w:eastAsia="宋体" w:cs="宋体"/>
                <w:spacing w:val="15"/>
                <w:szCs w:val="21"/>
                <w:lang w:val="en-US" w:eastAsia="zh-CN"/>
              </w:rPr>
              <w:t>设备检定</w:t>
            </w:r>
          </w:p>
        </w:tc>
        <w:tc>
          <w:tcPr>
            <w:tcW w:w="1126" w:type="dxa"/>
          </w:tcPr>
          <w:p>
            <w:pPr>
              <w:spacing w:before="266" w:line="221" w:lineRule="auto"/>
              <w:jc w:val="center"/>
              <w:rPr>
                <w:rFonts w:hint="eastAsia" w:ascii="宋体" w:hAnsi="宋体" w:eastAsia="宋体" w:cs="宋体"/>
                <w:spacing w:val="-2"/>
                <w:szCs w:val="21"/>
                <w:lang w:eastAsia="zh-CN"/>
              </w:rPr>
            </w:pPr>
            <w:r>
              <w:rPr>
                <w:rFonts w:hint="eastAsia" w:ascii="宋体" w:hAnsi="宋体" w:eastAsia="宋体" w:cs="宋体"/>
                <w:spacing w:val="-1"/>
                <w:sz w:val="21"/>
                <w:szCs w:val="21"/>
                <w:lang w:val="en-US" w:eastAsia="zh-CN"/>
              </w:rPr>
              <w:t>次</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8" w:line="221" w:lineRule="auto"/>
              <w:jc w:val="center"/>
              <w:rPr>
                <w:rFonts w:ascii="宋体" w:hAnsi="宋体" w:eastAsia="宋体" w:cs="宋体"/>
                <w:spacing w:val="15"/>
                <w:szCs w:val="21"/>
              </w:rPr>
            </w:pPr>
            <w:r>
              <w:rPr>
                <w:rFonts w:hint="eastAsia" w:ascii="宋体" w:hAnsi="宋体" w:eastAsia="宋体" w:cs="宋体"/>
                <w:spacing w:val="15"/>
                <w:szCs w:val="21"/>
                <w:lang w:val="en-US" w:eastAsia="zh-CN"/>
              </w:rPr>
              <w:t>培训</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6"/>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b/>
                <w:bCs/>
                <w:szCs w:val="21"/>
              </w:rPr>
            </w:pPr>
            <w:r>
              <w:rPr>
                <w:rFonts w:ascii="宋体" w:hAnsi="宋体" w:eastAsia="宋体" w:cs="宋体"/>
                <w:b/>
                <w:bCs/>
                <w:spacing w:val="-2"/>
                <w:szCs w:val="21"/>
              </w:rPr>
              <w:t>序</w:t>
            </w:r>
            <w:r>
              <w:rPr>
                <w:rFonts w:ascii="宋体" w:hAnsi="宋体" w:eastAsia="宋体" w:cs="宋体"/>
                <w:b/>
                <w:bCs/>
                <w:spacing w:val="-1"/>
                <w:szCs w:val="21"/>
              </w:rPr>
              <w:t>号</w:t>
            </w:r>
          </w:p>
        </w:tc>
        <w:tc>
          <w:tcPr>
            <w:tcW w:w="5765" w:type="dxa"/>
          </w:tcPr>
          <w:p>
            <w:pPr>
              <w:spacing w:before="276" w:line="221" w:lineRule="auto"/>
              <w:ind w:left="2544"/>
              <w:rPr>
                <w:rFonts w:ascii="宋体" w:hAnsi="宋体" w:eastAsia="宋体" w:cs="宋体"/>
                <w:b/>
                <w:bCs/>
                <w:szCs w:val="21"/>
              </w:rPr>
            </w:pPr>
            <w:r>
              <w:rPr>
                <w:rFonts w:ascii="宋体" w:hAnsi="宋体" w:eastAsia="宋体" w:cs="宋体"/>
                <w:b/>
                <w:bCs/>
                <w:spacing w:val="-6"/>
                <w:szCs w:val="21"/>
              </w:rPr>
              <w:t>内</w:t>
            </w:r>
            <w:r>
              <w:rPr>
                <w:rFonts w:ascii="宋体" w:hAnsi="宋体" w:eastAsia="宋体" w:cs="宋体"/>
                <w:b/>
                <w:bCs/>
                <w:spacing w:val="-4"/>
                <w:szCs w:val="21"/>
              </w:rPr>
              <w:t xml:space="preserve">   容</w:t>
            </w:r>
          </w:p>
        </w:tc>
        <w:tc>
          <w:tcPr>
            <w:tcW w:w="3354" w:type="dxa"/>
          </w:tcPr>
          <w:p>
            <w:pPr>
              <w:spacing w:before="276" w:line="219" w:lineRule="auto"/>
              <w:jc w:val="center"/>
              <w:rPr>
                <w:rFonts w:ascii="宋体" w:hAnsi="宋体" w:eastAsia="宋体" w:cs="宋体"/>
                <w:b/>
                <w:bCs/>
                <w:szCs w:val="21"/>
              </w:rPr>
            </w:pPr>
            <w:r>
              <w:rPr>
                <w:rFonts w:ascii="宋体" w:hAnsi="宋体" w:eastAsia="宋体" w:cs="宋体"/>
                <w:b/>
                <w:bCs/>
                <w:spacing w:val="18"/>
                <w:szCs w:val="21"/>
              </w:rPr>
              <w:t>总</w:t>
            </w:r>
            <w:r>
              <w:rPr>
                <w:rFonts w:ascii="宋体" w:hAnsi="宋体" w:eastAsia="宋体" w:cs="宋体"/>
                <w:b/>
                <w:bCs/>
                <w:spacing w:val="14"/>
                <w:szCs w:val="21"/>
              </w:rPr>
              <w:t>价(元)</w:t>
            </w:r>
            <w:r>
              <w:rPr>
                <w:rFonts w:hint="eastAsia" w:ascii="宋体" w:hAnsi="宋体" w:eastAsia="宋体" w:cs="宋体"/>
                <w:b/>
                <w:bCs/>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b/>
                <w:bCs/>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b/>
                <w:bCs/>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b/>
                <w:bCs/>
                <w:szCs w:val="21"/>
              </w:rPr>
            </w:pPr>
            <w:r>
              <w:rPr>
                <w:rFonts w:ascii="宋体" w:hAnsi="宋体" w:eastAsia="宋体" w:cs="宋体"/>
                <w:b/>
                <w:bCs/>
                <w:spacing w:val="-1"/>
                <w:szCs w:val="21"/>
              </w:rPr>
              <w:t>备</w:t>
            </w:r>
            <w:r>
              <w:rPr>
                <w:rFonts w:ascii="宋体" w:hAnsi="宋体" w:eastAsia="宋体" w:cs="宋体"/>
                <w:b/>
                <w:bCs/>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rPr>
        <w:t>-三坐标</w:t>
      </w:r>
      <w:r>
        <w:rPr>
          <w:rFonts w:hint="eastAsia" w:ascii="宋体" w:hAnsi="宋体" w:eastAsia="宋体" w:cs="宋体"/>
          <w:color w:val="000000"/>
          <w:sz w:val="24"/>
          <w:szCs w:val="24"/>
          <w:highlight w:val="none"/>
          <w:u w:val="single"/>
          <w:lang w:val="en-US" w:eastAsia="zh-CN"/>
        </w:rPr>
        <w:t>仪器采购</w:t>
      </w:r>
      <w:r>
        <w:rPr>
          <w:rFonts w:hint="eastAsia" w:ascii="宋体" w:hAnsi="宋体" w:eastAsia="宋体" w:cs="宋体"/>
          <w:color w:val="000000"/>
          <w:sz w:val="24"/>
          <w:szCs w:val="24"/>
          <w:highlight w:val="none"/>
          <w:u w:val="single"/>
        </w:rPr>
        <w:t>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color w:val="000000"/>
          <w:sz w:val="24"/>
          <w:szCs w:val="24"/>
          <w:highlight w:val="none"/>
          <w:u w:val="single"/>
          <w:lang w:eastAsia="zh-CN"/>
        </w:rPr>
        <w:t>商用车驾驶室乘员保护试验台</w:t>
      </w:r>
      <w:r>
        <w:rPr>
          <w:rFonts w:hint="eastAsia" w:ascii="宋体" w:hAnsi="宋体" w:eastAsia="宋体" w:cs="宋体"/>
          <w:color w:val="000000"/>
          <w:sz w:val="24"/>
          <w:szCs w:val="24"/>
          <w:highlight w:val="none"/>
          <w:u w:val="single"/>
        </w:rPr>
        <w:t>-三坐标</w:t>
      </w:r>
      <w:r>
        <w:rPr>
          <w:rFonts w:hint="eastAsia" w:ascii="宋体" w:hAnsi="宋体" w:eastAsia="宋体" w:cs="宋体"/>
          <w:color w:val="000000"/>
          <w:sz w:val="24"/>
          <w:szCs w:val="24"/>
          <w:highlight w:val="none"/>
          <w:u w:val="single"/>
          <w:lang w:val="en-US" w:eastAsia="zh-CN"/>
        </w:rPr>
        <w:t>仪器采购</w:t>
      </w:r>
      <w:r>
        <w:rPr>
          <w:rFonts w:hint="eastAsia" w:ascii="宋体" w:hAnsi="宋体" w:eastAsia="宋体" w:cs="宋体"/>
          <w:color w:val="000000"/>
          <w:sz w:val="24"/>
          <w:szCs w:val="24"/>
          <w:highlight w:val="none"/>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6"/>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1" w:type="first"/>
          <w:footerReference r:id="rId33" w:type="first"/>
          <w:headerReference r:id="rId30" w:type="default"/>
          <w:footerReference r:id="rId32"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ind w:firstLine="6023" w:firstLineChars="2500"/>
        <w:jc w:val="both"/>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5</w:t>
      </w:r>
      <w:r>
        <w:rPr>
          <w:rFonts w:hint="eastAsia" w:ascii="宋体" w:hAnsi="宋体" w:eastAsia="宋体" w:cs="Times New Roman"/>
          <w:b/>
          <w:bCs/>
          <w:sz w:val="24"/>
          <w:szCs w:val="24"/>
          <w:highlight w:val="none"/>
        </w:rPr>
        <w:t>0分）</w:t>
      </w:r>
    </w:p>
    <w:p>
      <w:pPr>
        <w:rPr>
          <w:rFonts w:hint="eastAsia" w:ascii="宋体" w:hAnsi="宋体" w:eastAsia="宋体" w:cs="Times New Roman"/>
          <w:b/>
          <w:bCs/>
          <w:sz w:val="24"/>
          <w:szCs w:val="24"/>
          <w:highlight w:val="none"/>
        </w:rPr>
      </w:pPr>
    </w:p>
    <w:tbl>
      <w:tblPr>
        <w:tblStyle w:val="35"/>
        <w:tblW w:w="14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40"/>
        <w:gridCol w:w="2937"/>
        <w:gridCol w:w="991"/>
        <w:gridCol w:w="8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vAlign w:val="center"/>
          </w:tcPr>
          <w:p>
            <w:pPr>
              <w:tabs>
                <w:tab w:val="left" w:pos="13965"/>
              </w:tabs>
              <w:spacing w:line="240" w:lineRule="auto"/>
              <w:ind w:right="-6"/>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评价类型</w:t>
            </w:r>
          </w:p>
        </w:tc>
        <w:tc>
          <w:tcPr>
            <w:tcW w:w="840" w:type="dxa"/>
            <w:vAlign w:val="center"/>
          </w:tcPr>
          <w:p>
            <w:pPr>
              <w:tabs>
                <w:tab w:val="left" w:pos="13965"/>
              </w:tabs>
              <w:spacing w:line="240" w:lineRule="auto"/>
              <w:ind w:right="-6"/>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2937" w:type="dxa"/>
            <w:vAlign w:val="center"/>
          </w:tcPr>
          <w:p>
            <w:pPr>
              <w:tabs>
                <w:tab w:val="left" w:pos="13965"/>
              </w:tabs>
              <w:spacing w:line="240" w:lineRule="auto"/>
              <w:ind w:right="-6"/>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内   容</w:t>
            </w:r>
          </w:p>
        </w:tc>
        <w:tc>
          <w:tcPr>
            <w:tcW w:w="991" w:type="dxa"/>
            <w:vAlign w:val="center"/>
          </w:tcPr>
          <w:p>
            <w:pPr>
              <w:tabs>
                <w:tab w:val="left" w:pos="13965"/>
              </w:tabs>
              <w:spacing w:line="240" w:lineRule="auto"/>
              <w:ind w:right="-6"/>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标准分</w:t>
            </w:r>
          </w:p>
        </w:tc>
        <w:tc>
          <w:tcPr>
            <w:tcW w:w="8604" w:type="dxa"/>
            <w:vAlign w:val="center"/>
          </w:tcPr>
          <w:p>
            <w:pPr>
              <w:tabs>
                <w:tab w:val="left" w:pos="13965"/>
              </w:tabs>
              <w:spacing w:line="240" w:lineRule="auto"/>
              <w:ind w:right="-6"/>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750" w:type="dxa"/>
            <w:vMerge w:val="restart"/>
            <w:vAlign w:val="center"/>
          </w:tcPr>
          <w:p>
            <w:pPr>
              <w:tabs>
                <w:tab w:val="left" w:pos="13965"/>
              </w:tabs>
              <w:spacing w:line="24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技术</w:t>
            </w:r>
          </w:p>
          <w:p>
            <w:pPr>
              <w:tabs>
                <w:tab w:val="left" w:pos="13965"/>
              </w:tabs>
              <w:spacing w:line="24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50</w:t>
            </w:r>
            <w:r>
              <w:rPr>
                <w:rFonts w:hint="eastAsia" w:ascii="宋体" w:hAnsi="宋体" w:eastAsia="宋体" w:cs="宋体"/>
                <w:sz w:val="21"/>
                <w:szCs w:val="21"/>
                <w:highlight w:val="none"/>
              </w:rPr>
              <w:t>分</w:t>
            </w:r>
          </w:p>
        </w:tc>
        <w:tc>
          <w:tcPr>
            <w:tcW w:w="840" w:type="dxa"/>
            <w:vAlign w:val="center"/>
          </w:tcPr>
          <w:p>
            <w:pPr>
              <w:tabs>
                <w:tab w:val="left" w:pos="13965"/>
              </w:tabs>
              <w:spacing w:line="24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937" w:type="dxa"/>
            <w:vAlign w:val="center"/>
          </w:tcPr>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设备制造商同类型项目业绩 </w:t>
            </w:r>
          </w:p>
        </w:tc>
        <w:tc>
          <w:tcPr>
            <w:tcW w:w="991" w:type="dxa"/>
            <w:vAlign w:val="center"/>
          </w:tcPr>
          <w:p>
            <w:pPr>
              <w:tabs>
                <w:tab w:val="left" w:pos="13965"/>
              </w:tabs>
              <w:spacing w:line="24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p>
        </w:tc>
        <w:tc>
          <w:tcPr>
            <w:tcW w:w="8604" w:type="dxa"/>
            <w:vAlign w:val="center"/>
          </w:tcPr>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根据在汽车行业同类型项目业绩（需在标书中提供同类型项目合同复印件）进行评定，有 </w:t>
            </w:r>
            <w:r>
              <w:rPr>
                <w:rFonts w:hint="default" w:ascii="宋体" w:hAnsi="宋体" w:eastAsia="宋体" w:cs="宋体"/>
                <w:i w:val="0"/>
                <w:iCs w:val="0"/>
                <w:color w:val="000000"/>
                <w:kern w:val="0"/>
                <w:sz w:val="21"/>
                <w:szCs w:val="21"/>
                <w:u w:val="none"/>
                <w:lang w:val="en-US" w:eastAsia="zh-CN" w:bidi="ar"/>
              </w:rPr>
              <w:t xml:space="preserve">5 </w:t>
            </w:r>
            <w:r>
              <w:rPr>
                <w:rFonts w:hint="eastAsia" w:ascii="宋体" w:hAnsi="宋体" w:eastAsia="宋体" w:cs="宋体"/>
                <w:i w:val="0"/>
                <w:iCs w:val="0"/>
                <w:color w:val="000000"/>
                <w:kern w:val="0"/>
                <w:sz w:val="21"/>
                <w:szCs w:val="21"/>
                <w:u w:val="none"/>
                <w:lang w:val="en-US" w:eastAsia="zh-CN" w:bidi="ar"/>
              </w:rPr>
              <w:t xml:space="preserve">项及以上计 </w:t>
            </w:r>
            <w:r>
              <w:rPr>
                <w:rFonts w:hint="default" w:ascii="宋体" w:hAnsi="宋体" w:eastAsia="宋体" w:cs="宋体"/>
                <w:i w:val="0"/>
                <w:iCs w:val="0"/>
                <w:color w:val="000000"/>
                <w:kern w:val="0"/>
                <w:sz w:val="21"/>
                <w:szCs w:val="21"/>
                <w:u w:val="none"/>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 xml:space="preserve">分，有 </w:t>
            </w:r>
            <w:r>
              <w:rPr>
                <w:rFonts w:hint="default" w:ascii="宋体" w:hAnsi="宋体" w:eastAsia="宋体" w:cs="宋体"/>
                <w:i w:val="0"/>
                <w:iCs w:val="0"/>
                <w:color w:val="000000"/>
                <w:kern w:val="0"/>
                <w:sz w:val="21"/>
                <w:szCs w:val="21"/>
                <w:u w:val="none"/>
                <w:lang w:val="en-US" w:eastAsia="zh-CN" w:bidi="ar"/>
              </w:rPr>
              <w:t xml:space="preserve">3-4 </w:t>
            </w:r>
            <w:r>
              <w:rPr>
                <w:rFonts w:hint="eastAsia" w:ascii="宋体" w:hAnsi="宋体" w:eastAsia="宋体" w:cs="宋体"/>
                <w:i w:val="0"/>
                <w:iCs w:val="0"/>
                <w:color w:val="000000"/>
                <w:kern w:val="0"/>
                <w:sz w:val="21"/>
                <w:szCs w:val="21"/>
                <w:u w:val="none"/>
                <w:lang w:val="en-US" w:eastAsia="zh-CN" w:bidi="ar"/>
              </w:rPr>
              <w:t xml:space="preserve">项计 </w:t>
            </w:r>
            <w:r>
              <w:rPr>
                <w:rFonts w:hint="default" w:ascii="宋体" w:hAnsi="宋体" w:eastAsia="宋体" w:cs="宋体"/>
                <w:i w:val="0"/>
                <w:iCs w:val="0"/>
                <w:color w:val="000000"/>
                <w:kern w:val="0"/>
                <w:sz w:val="21"/>
                <w:szCs w:val="21"/>
                <w:u w:val="none"/>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 xml:space="preserve">分，有 </w:t>
            </w:r>
            <w:r>
              <w:rPr>
                <w:rFonts w:hint="default" w:ascii="宋体" w:hAnsi="宋体" w:eastAsia="宋体" w:cs="宋体"/>
                <w:i w:val="0"/>
                <w:iCs w:val="0"/>
                <w:color w:val="000000"/>
                <w:kern w:val="0"/>
                <w:sz w:val="21"/>
                <w:szCs w:val="21"/>
                <w:u w:val="none"/>
                <w:lang w:val="en-US" w:eastAsia="zh-CN" w:bidi="ar"/>
              </w:rPr>
              <w:t xml:space="preserve">1-2 </w:t>
            </w:r>
            <w:r>
              <w:rPr>
                <w:rFonts w:hint="eastAsia" w:ascii="宋体" w:hAnsi="宋体" w:eastAsia="宋体" w:cs="宋体"/>
                <w:i w:val="0"/>
                <w:iCs w:val="0"/>
                <w:color w:val="000000"/>
                <w:kern w:val="0"/>
                <w:sz w:val="21"/>
                <w:szCs w:val="21"/>
                <w:u w:val="none"/>
                <w:lang w:val="en-US" w:eastAsia="zh-CN" w:bidi="ar"/>
              </w:rPr>
              <w:t>项计</w:t>
            </w:r>
            <w:r>
              <w:rPr>
                <w:rFonts w:hint="default" w:ascii="宋体" w:hAnsi="宋体" w:eastAsia="宋体" w:cs="宋体"/>
                <w:i w:val="0"/>
                <w:iCs w:val="0"/>
                <w:color w:val="000000"/>
                <w:kern w:val="0"/>
                <w:sz w:val="21"/>
                <w:szCs w:val="21"/>
                <w:u w:val="none"/>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分，没有计 </w:t>
            </w:r>
            <w:r>
              <w:rPr>
                <w:rFonts w:hint="default" w:ascii="宋体" w:hAnsi="宋体" w:eastAsia="宋体" w:cs="宋体"/>
                <w:i w:val="0"/>
                <w:iCs w:val="0"/>
                <w:color w:val="000000"/>
                <w:kern w:val="0"/>
                <w:sz w:val="21"/>
                <w:szCs w:val="21"/>
                <w:u w:val="none"/>
                <w:lang w:val="en-US" w:eastAsia="zh-CN" w:bidi="ar"/>
              </w:rPr>
              <w:t xml:space="preserve">0 </w:t>
            </w:r>
            <w:r>
              <w:rPr>
                <w:rFonts w:hint="eastAsia" w:ascii="宋体" w:hAnsi="宋体" w:eastAsia="宋体" w:cs="宋体"/>
                <w:i w:val="0"/>
                <w:iCs w:val="0"/>
                <w:color w:val="000000"/>
                <w:kern w:val="0"/>
                <w:sz w:val="21"/>
                <w:szCs w:val="21"/>
                <w:u w:val="none"/>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vMerge w:val="continue"/>
            <w:vAlign w:val="center"/>
          </w:tcPr>
          <w:p>
            <w:pPr>
              <w:spacing w:line="240" w:lineRule="auto"/>
              <w:jc w:val="center"/>
              <w:rPr>
                <w:rFonts w:hint="eastAsia" w:ascii="宋体" w:hAnsi="宋体" w:eastAsia="宋体" w:cs="宋体"/>
                <w:sz w:val="21"/>
                <w:szCs w:val="21"/>
                <w:highlight w:val="none"/>
              </w:rPr>
            </w:pPr>
          </w:p>
        </w:tc>
        <w:tc>
          <w:tcPr>
            <w:tcW w:w="840" w:type="dxa"/>
            <w:vAlign w:val="center"/>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937" w:type="dxa"/>
            <w:vAlign w:val="center"/>
          </w:tcPr>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产品方案技术先进、各系统完善、性能可靠，设备主要核心部件，具备自身技术优势</w:t>
            </w:r>
          </w:p>
        </w:tc>
        <w:tc>
          <w:tcPr>
            <w:tcW w:w="991" w:type="dxa"/>
            <w:vAlign w:val="center"/>
          </w:tcPr>
          <w:p>
            <w:pPr>
              <w:spacing w:line="24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17</w:t>
            </w:r>
          </w:p>
        </w:tc>
        <w:tc>
          <w:tcPr>
            <w:tcW w:w="8604" w:type="dxa"/>
            <w:vAlign w:val="center"/>
          </w:tcPr>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以下各项由评标委员会成员独立进行客观、公正的评价打分。 </w:t>
            </w:r>
          </w:p>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 xml:space="preserve">）设备主要核心部件，具备自身技术优势，打分 </w:t>
            </w:r>
            <w:r>
              <w:rPr>
                <w:rFonts w:hint="default" w:ascii="宋体" w:hAnsi="宋体" w:eastAsia="宋体" w:cs="宋体"/>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6</w:t>
            </w:r>
            <w:r>
              <w:rPr>
                <w:rFonts w:hint="default"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 xml:space="preserve">分。 </w:t>
            </w:r>
          </w:p>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 xml:space="preserve">）系统配置齐全，其精度、参数、技术水平、可靠性等优势明显，打分 </w:t>
            </w:r>
            <w:r>
              <w:rPr>
                <w:rFonts w:hint="default" w:ascii="宋体" w:hAnsi="宋体" w:eastAsia="宋体" w:cs="宋体"/>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 xml:space="preserve">6分。 </w:t>
            </w:r>
          </w:p>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 xml:space="preserve">）测量速度快，可达角度多，测量距离长，打分 </w:t>
            </w:r>
            <w:r>
              <w:rPr>
                <w:rFonts w:hint="default" w:ascii="宋体" w:hAnsi="宋体" w:eastAsia="宋体" w:cs="宋体"/>
                <w:i w:val="0"/>
                <w:iCs w:val="0"/>
                <w:color w:val="000000"/>
                <w:kern w:val="0"/>
                <w:sz w:val="21"/>
                <w:szCs w:val="21"/>
                <w:u w:val="none"/>
                <w:lang w:val="en-US" w:eastAsia="zh-CN" w:bidi="ar"/>
              </w:rPr>
              <w:t xml:space="preserve">0-3 </w:t>
            </w:r>
            <w:r>
              <w:rPr>
                <w:rFonts w:hint="eastAsia" w:ascii="宋体" w:hAnsi="宋体" w:eastAsia="宋体" w:cs="宋体"/>
                <w:i w:val="0"/>
                <w:iCs w:val="0"/>
                <w:color w:val="000000"/>
                <w:kern w:val="0"/>
                <w:sz w:val="21"/>
                <w:szCs w:val="21"/>
                <w:u w:val="none"/>
                <w:lang w:val="en-US" w:eastAsia="zh-CN" w:bidi="ar"/>
              </w:rPr>
              <w:t xml:space="preserve">分。 </w:t>
            </w:r>
          </w:p>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 xml:space="preserve">）综合评价，打分 </w:t>
            </w:r>
            <w:r>
              <w:rPr>
                <w:rFonts w:hint="default" w:ascii="宋体" w:hAnsi="宋体" w:eastAsia="宋体" w:cs="宋体"/>
                <w:i w:val="0"/>
                <w:iCs w:val="0"/>
                <w:color w:val="000000"/>
                <w:kern w:val="0"/>
                <w:sz w:val="21"/>
                <w:szCs w:val="21"/>
                <w:u w:val="none"/>
                <w:lang w:val="en-US" w:eastAsia="zh-CN" w:bidi="ar"/>
              </w:rPr>
              <w:t>0-</w:t>
            </w:r>
            <w:r>
              <w:rPr>
                <w:rFonts w:hint="eastAsia" w:ascii="宋体" w:hAnsi="宋体" w:eastAsia="宋体" w:cs="宋体"/>
                <w:i w:val="0"/>
                <w:iCs w:val="0"/>
                <w:color w:val="000000"/>
                <w:kern w:val="0"/>
                <w:sz w:val="21"/>
                <w:szCs w:val="21"/>
                <w:u w:val="none"/>
                <w:lang w:val="en-US" w:eastAsia="zh-CN" w:bidi="ar"/>
              </w:rPr>
              <w:t>2</w:t>
            </w:r>
            <w:r>
              <w:rPr>
                <w:rFonts w:hint="default"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vMerge w:val="continue"/>
            <w:vAlign w:val="center"/>
          </w:tcPr>
          <w:p>
            <w:pPr>
              <w:spacing w:line="240" w:lineRule="auto"/>
              <w:jc w:val="center"/>
              <w:rPr>
                <w:rFonts w:hint="eastAsia" w:ascii="宋体" w:hAnsi="宋体" w:eastAsia="宋体" w:cs="宋体"/>
                <w:sz w:val="21"/>
                <w:szCs w:val="21"/>
                <w:highlight w:val="none"/>
              </w:rPr>
            </w:pPr>
          </w:p>
        </w:tc>
        <w:tc>
          <w:tcPr>
            <w:tcW w:w="840" w:type="dxa"/>
            <w:vAlign w:val="center"/>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937" w:type="dxa"/>
            <w:vAlign w:val="center"/>
          </w:tcPr>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响应及偏离</w:t>
            </w:r>
          </w:p>
        </w:tc>
        <w:tc>
          <w:tcPr>
            <w:tcW w:w="991" w:type="dxa"/>
            <w:vAlign w:val="center"/>
          </w:tcPr>
          <w:p>
            <w:pPr>
              <w:spacing w:line="24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8604" w:type="dxa"/>
            <w:vAlign w:val="center"/>
          </w:tcPr>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投标文件中内容符合招标文件的要求赋 10</w:t>
            </w:r>
            <w:r>
              <w:rPr>
                <w:rFonts w:hint="default"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分</w:t>
            </w:r>
            <w:r>
              <w:rPr>
                <w:rFonts w:hint="default"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有一处负偏离，扣 </w:t>
            </w:r>
            <w:r>
              <w:rPr>
                <w:rFonts w:hint="default" w:ascii="宋体" w:hAnsi="宋体" w:eastAsia="宋体" w:cs="宋体"/>
                <w:i w:val="0"/>
                <w:iCs w:val="0"/>
                <w:color w:val="000000"/>
                <w:kern w:val="0"/>
                <w:sz w:val="21"/>
                <w:szCs w:val="21"/>
                <w:u w:val="none"/>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分，以此类推；有正偏离，且对项目存在实际改进作用，则加 </w:t>
            </w:r>
            <w:r>
              <w:rPr>
                <w:rFonts w:hint="default" w:ascii="宋体" w:hAnsi="宋体" w:eastAsia="宋体" w:cs="宋体"/>
                <w:i w:val="0"/>
                <w:iCs w:val="0"/>
                <w:color w:val="000000"/>
                <w:kern w:val="0"/>
                <w:sz w:val="21"/>
                <w:szCs w:val="21"/>
                <w:u w:val="none"/>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分，最高可以加到 </w:t>
            </w:r>
            <w:r>
              <w:rPr>
                <w:rFonts w:hint="default" w:ascii="宋体" w:hAnsi="宋体" w:eastAsia="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5分。加“*”处为核心参数，不能有负偏离，为否决项。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50" w:type="dxa"/>
            <w:vMerge w:val="continue"/>
            <w:vAlign w:val="center"/>
          </w:tcPr>
          <w:p>
            <w:pPr>
              <w:spacing w:line="240" w:lineRule="auto"/>
              <w:jc w:val="center"/>
              <w:rPr>
                <w:rFonts w:hint="eastAsia" w:ascii="宋体" w:hAnsi="宋体" w:eastAsia="宋体" w:cs="宋体"/>
                <w:sz w:val="21"/>
                <w:szCs w:val="21"/>
                <w:highlight w:val="none"/>
              </w:rPr>
            </w:pPr>
          </w:p>
        </w:tc>
        <w:tc>
          <w:tcPr>
            <w:tcW w:w="840" w:type="dxa"/>
            <w:vAlign w:val="center"/>
          </w:tcPr>
          <w:p>
            <w:pPr>
              <w:spacing w:line="24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2937" w:type="dxa"/>
            <w:vAlign w:val="center"/>
          </w:tcPr>
          <w:p>
            <w:pPr>
              <w:numPr>
                <w:ilvl w:val="0"/>
                <w:numId w:val="0"/>
              </w:numPr>
              <w:spacing w:line="240" w:lineRule="auto"/>
              <w:ind w:left="0" w:leftChars="0" w:firstLine="0" w:firstLineChars="0"/>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现场答疑</w:t>
            </w:r>
          </w:p>
        </w:tc>
        <w:tc>
          <w:tcPr>
            <w:tcW w:w="991" w:type="dxa"/>
            <w:vAlign w:val="center"/>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8604" w:type="dxa"/>
            <w:vAlign w:val="center"/>
          </w:tcPr>
          <w:p>
            <w:pPr>
              <w:numPr>
                <w:ilvl w:val="0"/>
                <w:numId w:val="0"/>
              </w:numPr>
              <w:spacing w:line="240" w:lineRule="auto"/>
              <w:ind w:left="0" w:leftChars="0" w:firstLine="0" w:firstLineChars="0"/>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投标人代表对方案、技术优势的讲解，以及就该项目难点回答评标专家现场提问，由评标委员会成员独立进行客观、公正的评价，按照优、良、一般进行赋分，优得4-5分，良得2-3分，一般得0-1分。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50" w:type="dxa"/>
            <w:vMerge w:val="continue"/>
            <w:vAlign w:val="center"/>
          </w:tcPr>
          <w:p>
            <w:pPr>
              <w:spacing w:line="240" w:lineRule="auto"/>
              <w:jc w:val="center"/>
              <w:rPr>
                <w:rFonts w:hint="eastAsia" w:ascii="宋体" w:hAnsi="宋体" w:eastAsia="宋体" w:cs="宋体"/>
                <w:sz w:val="21"/>
                <w:szCs w:val="21"/>
                <w:highlight w:val="none"/>
              </w:rPr>
            </w:pPr>
          </w:p>
        </w:tc>
        <w:tc>
          <w:tcPr>
            <w:tcW w:w="840" w:type="dxa"/>
            <w:vAlign w:val="center"/>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2937" w:type="dxa"/>
            <w:vAlign w:val="center"/>
          </w:tcPr>
          <w:p>
            <w:pPr>
              <w:numPr>
                <w:ilvl w:val="0"/>
                <w:numId w:val="0"/>
              </w:numPr>
              <w:spacing w:line="240" w:lineRule="auto"/>
              <w:ind w:left="0" w:leftChars="0" w:firstLine="0" w:firstLineChars="0"/>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现场安装、调试、验收阶段的的组织管理措施 </w:t>
            </w:r>
          </w:p>
        </w:tc>
        <w:tc>
          <w:tcPr>
            <w:tcW w:w="991" w:type="dxa"/>
            <w:vAlign w:val="center"/>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8604" w:type="dxa"/>
            <w:vAlign w:val="center"/>
          </w:tcPr>
          <w:p>
            <w:pPr>
              <w:numPr>
                <w:ilvl w:val="0"/>
                <w:numId w:val="0"/>
              </w:numPr>
              <w:spacing w:line="240" w:lineRule="auto"/>
              <w:ind w:left="0" w:leftChars="0" w:firstLine="0" w:firstLineChars="0"/>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由评标委员会成员独立进行客观、公正的评价，按照优、良、一般进行赋分，优得 2</w:t>
            </w:r>
            <w:r>
              <w:rPr>
                <w:rFonts w:hint="default"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分，良得 1</w:t>
            </w:r>
            <w:r>
              <w:rPr>
                <w:rFonts w:hint="default"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分，一般得 0.5</w:t>
            </w:r>
            <w:r>
              <w:rPr>
                <w:rFonts w:hint="default" w:ascii="宋体" w:hAnsi="宋体" w:eastAsia="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50" w:type="dxa"/>
            <w:vMerge w:val="continue"/>
            <w:vAlign w:val="center"/>
          </w:tcPr>
          <w:p>
            <w:pPr>
              <w:spacing w:line="240" w:lineRule="auto"/>
              <w:jc w:val="center"/>
              <w:rPr>
                <w:rFonts w:hint="eastAsia" w:ascii="宋体" w:hAnsi="宋体" w:eastAsia="宋体" w:cs="宋体"/>
                <w:sz w:val="21"/>
                <w:szCs w:val="21"/>
                <w:highlight w:val="none"/>
              </w:rPr>
            </w:pPr>
          </w:p>
        </w:tc>
        <w:tc>
          <w:tcPr>
            <w:tcW w:w="840" w:type="dxa"/>
            <w:vAlign w:val="center"/>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2937" w:type="dxa"/>
            <w:vAlign w:val="center"/>
          </w:tcPr>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技术培训方案：对采购方人员的技术培训方案安排科学、合理、可行</w:t>
            </w:r>
          </w:p>
        </w:tc>
        <w:tc>
          <w:tcPr>
            <w:tcW w:w="991" w:type="dxa"/>
            <w:vAlign w:val="center"/>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8604" w:type="dxa"/>
            <w:vAlign w:val="center"/>
          </w:tcPr>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由评标委员会成员独立进行客观、公正的评价，按照优、良、一般进行赋分，优得 </w:t>
            </w:r>
            <w:r>
              <w:rPr>
                <w:rFonts w:hint="default" w:ascii="宋体" w:hAnsi="宋体" w:eastAsia="宋体" w:cs="宋体"/>
                <w:i w:val="0"/>
                <w:iCs w:val="0"/>
                <w:color w:val="000000"/>
                <w:kern w:val="0"/>
                <w:sz w:val="21"/>
                <w:szCs w:val="21"/>
                <w:u w:val="none"/>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 xml:space="preserve">分，良得 </w:t>
            </w:r>
            <w:r>
              <w:rPr>
                <w:rFonts w:hint="default" w:ascii="宋体" w:hAnsi="宋体" w:eastAsia="宋体" w:cs="宋体"/>
                <w:i w:val="0"/>
                <w:iCs w:val="0"/>
                <w:color w:val="000000"/>
                <w:kern w:val="0"/>
                <w:sz w:val="21"/>
                <w:szCs w:val="21"/>
                <w:u w:val="none"/>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分，一般得 </w:t>
            </w:r>
            <w:r>
              <w:rPr>
                <w:rFonts w:hint="default" w:ascii="宋体" w:hAnsi="宋体" w:eastAsia="宋体" w:cs="宋体"/>
                <w:i w:val="0"/>
                <w:iCs w:val="0"/>
                <w:color w:val="000000"/>
                <w:kern w:val="0"/>
                <w:sz w:val="21"/>
                <w:szCs w:val="21"/>
                <w:u w:val="none"/>
                <w:lang w:val="en-US" w:eastAsia="zh-CN" w:bidi="ar"/>
              </w:rPr>
              <w:t xml:space="preserve">0 </w:t>
            </w:r>
            <w:r>
              <w:rPr>
                <w:rFonts w:hint="eastAsia" w:ascii="宋体" w:hAnsi="宋体" w:eastAsia="宋体" w:cs="宋体"/>
                <w:i w:val="0"/>
                <w:iCs w:val="0"/>
                <w:color w:val="000000"/>
                <w:kern w:val="0"/>
                <w:sz w:val="21"/>
                <w:szCs w:val="21"/>
                <w:u w:val="none"/>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50" w:type="dxa"/>
            <w:vMerge w:val="continue"/>
            <w:vAlign w:val="center"/>
          </w:tcPr>
          <w:p>
            <w:pPr>
              <w:spacing w:line="240" w:lineRule="auto"/>
              <w:jc w:val="center"/>
              <w:rPr>
                <w:rFonts w:hint="eastAsia" w:ascii="宋体" w:hAnsi="宋体" w:eastAsia="宋体" w:cs="宋体"/>
                <w:sz w:val="21"/>
                <w:szCs w:val="21"/>
                <w:highlight w:val="none"/>
              </w:rPr>
            </w:pPr>
          </w:p>
        </w:tc>
        <w:tc>
          <w:tcPr>
            <w:tcW w:w="840" w:type="dxa"/>
            <w:vAlign w:val="center"/>
          </w:tcPr>
          <w:p>
            <w:pPr>
              <w:spacing w:line="24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2937" w:type="dxa"/>
            <w:vAlign w:val="center"/>
          </w:tcPr>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备品备件清单的完整性、合理性、符合性</w:t>
            </w:r>
          </w:p>
        </w:tc>
        <w:tc>
          <w:tcPr>
            <w:tcW w:w="991" w:type="dxa"/>
            <w:vAlign w:val="center"/>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8604" w:type="dxa"/>
            <w:vAlign w:val="center"/>
          </w:tcPr>
          <w:p>
            <w:pPr>
              <w:numPr>
                <w:ilvl w:val="0"/>
                <w:numId w:val="0"/>
              </w:numPr>
              <w:spacing w:line="240" w:lineRule="auto"/>
              <w:jc w:val="both"/>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由评标委员会成员独立进行客观、公正的评价，按照优、良、一般进行赋分，优得 </w:t>
            </w:r>
            <w:r>
              <w:rPr>
                <w:rFonts w:hint="default" w:ascii="宋体" w:hAnsi="宋体" w:eastAsia="宋体" w:cs="宋体"/>
                <w:i w:val="0"/>
                <w:iCs w:val="0"/>
                <w:color w:val="000000"/>
                <w:kern w:val="0"/>
                <w:sz w:val="21"/>
                <w:szCs w:val="21"/>
                <w:u w:val="none"/>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 xml:space="preserve">分，良得 </w:t>
            </w:r>
            <w:r>
              <w:rPr>
                <w:rFonts w:hint="default" w:ascii="宋体" w:hAnsi="宋体" w:eastAsia="宋体" w:cs="宋体"/>
                <w:i w:val="0"/>
                <w:iCs w:val="0"/>
                <w:color w:val="000000"/>
                <w:kern w:val="0"/>
                <w:sz w:val="21"/>
                <w:szCs w:val="21"/>
                <w:u w:val="none"/>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 xml:space="preserve">分，一般得 </w:t>
            </w:r>
            <w:r>
              <w:rPr>
                <w:rFonts w:hint="default" w:ascii="宋体" w:hAnsi="宋体" w:eastAsia="宋体" w:cs="宋体"/>
                <w:i w:val="0"/>
                <w:iCs w:val="0"/>
                <w:color w:val="000000"/>
                <w:kern w:val="0"/>
                <w:sz w:val="21"/>
                <w:szCs w:val="21"/>
                <w:u w:val="none"/>
                <w:lang w:val="en-US" w:eastAsia="zh-CN" w:bidi="ar"/>
              </w:rPr>
              <w:t xml:space="preserve">0.5 </w:t>
            </w:r>
            <w:r>
              <w:rPr>
                <w:rFonts w:hint="eastAsia" w:ascii="宋体" w:hAnsi="宋体" w:eastAsia="宋体" w:cs="宋体"/>
                <w:i w:val="0"/>
                <w:iCs w:val="0"/>
                <w:color w:val="000000"/>
                <w:kern w:val="0"/>
                <w:sz w:val="21"/>
                <w:szCs w:val="21"/>
                <w:u w:val="none"/>
                <w:lang w:val="en-US" w:eastAsia="zh-CN" w:bidi="ar"/>
              </w:rPr>
              <w:t>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vMerge w:val="continue"/>
            <w:vAlign w:val="center"/>
          </w:tcPr>
          <w:p>
            <w:pPr>
              <w:spacing w:line="240" w:lineRule="auto"/>
              <w:jc w:val="center"/>
              <w:rPr>
                <w:rFonts w:hint="eastAsia" w:ascii="宋体" w:hAnsi="宋体" w:eastAsia="宋体" w:cs="宋体"/>
                <w:sz w:val="21"/>
                <w:szCs w:val="21"/>
                <w:highlight w:val="none"/>
              </w:rPr>
            </w:pPr>
          </w:p>
        </w:tc>
        <w:tc>
          <w:tcPr>
            <w:tcW w:w="840" w:type="dxa"/>
            <w:vAlign w:val="center"/>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2937" w:type="dxa"/>
            <w:vAlign w:val="center"/>
          </w:tcPr>
          <w:p>
            <w:pPr>
              <w:numPr>
                <w:ilvl w:val="0"/>
                <w:numId w:val="0"/>
              </w:numPr>
              <w:spacing w:line="240" w:lineRule="auto"/>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售后服务及时周到，有相应的服务承诺和具体的保证措施</w:t>
            </w:r>
          </w:p>
        </w:tc>
        <w:tc>
          <w:tcPr>
            <w:tcW w:w="991" w:type="dxa"/>
            <w:vAlign w:val="center"/>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8604" w:type="dxa"/>
            <w:vAlign w:val="center"/>
          </w:tcPr>
          <w:p>
            <w:pPr>
              <w:numPr>
                <w:ilvl w:val="0"/>
                <w:numId w:val="0"/>
              </w:numPr>
              <w:spacing w:line="240" w:lineRule="auto"/>
              <w:jc w:val="both"/>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由评标委员会成员独立进行客观、公正的评价，按照优、良、一般进行赋分，优得 </w:t>
            </w:r>
            <w:r>
              <w:rPr>
                <w:rFonts w:hint="default" w:ascii="宋体" w:hAnsi="宋体" w:eastAsia="宋体" w:cs="宋体"/>
                <w:i w:val="0"/>
                <w:iCs w:val="0"/>
                <w:color w:val="000000"/>
                <w:kern w:val="0"/>
                <w:sz w:val="21"/>
                <w:szCs w:val="21"/>
                <w:u w:val="none"/>
                <w:lang w:val="en-US" w:eastAsia="zh-CN" w:bidi="ar"/>
              </w:rPr>
              <w:t xml:space="preserve">3 </w:t>
            </w:r>
            <w:r>
              <w:rPr>
                <w:rFonts w:hint="eastAsia" w:ascii="宋体" w:hAnsi="宋体" w:eastAsia="宋体" w:cs="宋体"/>
                <w:i w:val="0"/>
                <w:iCs w:val="0"/>
                <w:color w:val="000000"/>
                <w:kern w:val="0"/>
                <w:sz w:val="21"/>
                <w:szCs w:val="21"/>
                <w:u w:val="none"/>
                <w:lang w:val="en-US" w:eastAsia="zh-CN" w:bidi="ar"/>
              </w:rPr>
              <w:t xml:space="preserve">分，良得 </w:t>
            </w:r>
            <w:r>
              <w:rPr>
                <w:rFonts w:hint="default" w:ascii="宋体" w:hAnsi="宋体" w:eastAsia="宋体" w:cs="宋体"/>
                <w:i w:val="0"/>
                <w:iCs w:val="0"/>
                <w:color w:val="000000"/>
                <w:kern w:val="0"/>
                <w:sz w:val="21"/>
                <w:szCs w:val="21"/>
                <w:u w:val="none"/>
                <w:lang w:val="en-US" w:eastAsia="zh-CN" w:bidi="ar"/>
              </w:rPr>
              <w:t xml:space="preserve">2 </w:t>
            </w:r>
            <w:r>
              <w:rPr>
                <w:rFonts w:hint="eastAsia" w:ascii="宋体" w:hAnsi="宋体" w:eastAsia="宋体" w:cs="宋体"/>
                <w:i w:val="0"/>
                <w:iCs w:val="0"/>
                <w:color w:val="000000"/>
                <w:kern w:val="0"/>
                <w:sz w:val="21"/>
                <w:szCs w:val="21"/>
                <w:u w:val="none"/>
                <w:lang w:val="en-US" w:eastAsia="zh-CN" w:bidi="ar"/>
              </w:rPr>
              <w:t xml:space="preserve">分，一般得 </w:t>
            </w:r>
            <w:r>
              <w:rPr>
                <w:rFonts w:hint="default" w:ascii="宋体" w:hAnsi="宋体" w:eastAsia="宋体" w:cs="宋体"/>
                <w:i w:val="0"/>
                <w:iCs w:val="0"/>
                <w:color w:val="000000"/>
                <w:kern w:val="0"/>
                <w:sz w:val="21"/>
                <w:szCs w:val="21"/>
                <w:u w:val="none"/>
                <w:lang w:val="en-US" w:eastAsia="zh-CN" w:bidi="ar"/>
              </w:rPr>
              <w:t xml:space="preserve">1 </w:t>
            </w:r>
            <w:r>
              <w:rPr>
                <w:rFonts w:hint="eastAsia" w:ascii="宋体" w:hAnsi="宋体" w:eastAsia="宋体" w:cs="宋体"/>
                <w:i w:val="0"/>
                <w:iCs w:val="0"/>
                <w:color w:val="000000"/>
                <w:kern w:val="0"/>
                <w:sz w:val="21"/>
                <w:szCs w:val="21"/>
                <w:u w:val="none"/>
                <w:lang w:val="en-US" w:eastAsia="zh-CN" w:bidi="ar"/>
              </w:rPr>
              <w:t>分。</w:t>
            </w:r>
          </w:p>
        </w:tc>
      </w:tr>
    </w:tbl>
    <w:p>
      <w:pPr>
        <w:pStyle w:val="16"/>
        <w:rPr>
          <w:rFonts w:hint="eastAsia"/>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outlineLvl w:val="9"/>
        <w:rPr>
          <w:rFonts w:hint="eastAsia" w:eastAsia="宋体"/>
          <w:b w:val="0"/>
          <w:bCs w:val="0"/>
          <w:lang w:eastAsia="zh-CN"/>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adjustRightInd w:val="0"/>
        <w:snapToGrid w:val="0"/>
        <w:spacing w:before="0" w:after="0" w:line="240" w:lineRule="auto"/>
        <w:ind w:left="0" w:right="0" w:firstLine="0" w:firstLineChars="0"/>
        <w:jc w:val="left"/>
        <w:rPr>
          <w:rFonts w:ascii="宋体" w:hAnsi="宋体" w:eastAsia="宋体" w:cs="宋体"/>
          <w:i w:val="0"/>
          <w:strike w:val="0"/>
          <w:sz w:val="24"/>
          <w:szCs w:val="24"/>
          <w:u w:val="none"/>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5"/>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6"/>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7"/>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8"/>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9"/>
                    <a:stretch>
                      <a:fillRect/>
                    </a:stretch>
                  </pic:blipFill>
                  <pic:spPr>
                    <a:xfrm>
                      <a:off x="0" y="0"/>
                      <a:ext cx="5760085" cy="2810122"/>
                    </a:xfrm>
                    <a:prstGeom prst="rect">
                      <a:avLst/>
                    </a:prstGeom>
                  </pic:spPr>
                </pic:pic>
              </a:graphicData>
            </a:graphic>
          </wp:inline>
        </w:drawing>
      </w:r>
    </w:p>
    <w:p>
      <w:pPr>
        <w:pStyle w:val="16"/>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0"/>
                    <a:stretch>
                      <a:fillRect/>
                    </a:stretch>
                  </pic:blipFill>
                  <pic:spPr>
                    <a:xfrm>
                      <a:off x="0" y="0"/>
                      <a:ext cx="5760085" cy="2820042"/>
                    </a:xfrm>
                    <a:prstGeom prst="rect">
                      <a:avLst/>
                    </a:prstGeom>
                  </pic:spPr>
                </pic:pic>
              </a:graphicData>
            </a:graphic>
          </wp:inline>
        </w:drawing>
      </w:r>
    </w:p>
    <w:p>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1"/>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strike w:val="0"/>
          <w:color w:val="000000"/>
          <w:sz w:val="24"/>
          <w:szCs w:val="28"/>
          <w:u w:val="none"/>
        </w:rPr>
        <w:t>点击投标按钮，进入详情页，输入投标报价并上传相应的附件。</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6"/>
                    <a:stretch>
                      <a:fillRect/>
                    </a:stretch>
                  </pic:blipFill>
                  <pic:spPr>
                    <a:xfrm>
                      <a:off x="0" y="0"/>
                      <a:ext cx="5760085" cy="1956600"/>
                    </a:xfrm>
                    <a:prstGeom prst="rect">
                      <a:avLst/>
                    </a:prstGeom>
                  </pic:spPr>
                </pic:pic>
              </a:graphicData>
            </a:graphic>
          </wp:inline>
        </w:drawing>
      </w:r>
    </w:p>
    <w:p>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0E819"/>
    <w:multiLevelType w:val="multilevel"/>
    <w:tmpl w:val="A2A0E819"/>
    <w:lvl w:ilvl="0" w:tentative="0">
      <w:start w:val="1"/>
      <w:numFmt w:val="decimal"/>
      <w:suff w:val="nothing"/>
      <w:lvlText w:val="%1."/>
      <w:lvlJc w:val="left"/>
      <w:pPr>
        <w:tabs>
          <w:tab w:val="left" w:pos="420"/>
        </w:tabs>
        <w:ind w:left="425" w:hanging="425"/>
      </w:pPr>
      <w:rPr>
        <w:rFonts w:hint="default"/>
      </w:rPr>
    </w:lvl>
    <w:lvl w:ilvl="1" w:tentative="0">
      <w:start w:val="1"/>
      <w:numFmt w:val="decimal"/>
      <w:suff w:val="space"/>
      <w:lvlText w:val="3.%2"/>
      <w:lvlJc w:val="left"/>
      <w:pPr>
        <w:tabs>
          <w:tab w:val="left" w:pos="420"/>
        </w:tabs>
        <w:ind w:left="567" w:hanging="567"/>
      </w:pPr>
      <w:rPr>
        <w:rFonts w:hint="default" w:ascii="宋体" w:hAnsi="宋体" w:eastAsia="宋体" w:cs="宋体"/>
        <w:sz w:val="24"/>
        <w:szCs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8101FB2"/>
    <w:multiLevelType w:val="multilevel"/>
    <w:tmpl w:val="08101FB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suff w:val="space"/>
      <w:lvlText w:val="3.1.%3"/>
      <w:lvlJc w:val="left"/>
      <w:pPr>
        <w:tabs>
          <w:tab w:val="left" w:pos="420"/>
        </w:tabs>
        <w:ind w:left="709" w:hanging="709"/>
      </w:pPr>
      <w:rPr>
        <w:rFonts w:hint="default" w:ascii="宋体" w:hAnsi="宋体" w:eastAsia="宋体" w:cs="宋体"/>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3E41D77A"/>
    <w:multiLevelType w:val="multilevel"/>
    <w:tmpl w:val="3E41D77A"/>
    <w:lvl w:ilvl="0" w:tentative="0">
      <w:start w:val="1"/>
      <w:numFmt w:val="decimal"/>
      <w:lvlText w:val="%1."/>
      <w:lvlJc w:val="left"/>
      <w:pPr>
        <w:ind w:left="425" w:hanging="425"/>
      </w:pPr>
      <w:rPr>
        <w:rFonts w:hint="default"/>
      </w:rPr>
    </w:lvl>
    <w:lvl w:ilvl="1" w:tentative="0">
      <w:start w:val="1"/>
      <w:numFmt w:val="decimal"/>
      <w:lvlText w:val="2.%2"/>
      <w:lvlJc w:val="left"/>
      <w:pPr>
        <w:ind w:left="567" w:hanging="567"/>
      </w:pPr>
      <w:rPr>
        <w:rFonts w:hint="default" w:ascii="宋体" w:hAnsi="宋体" w:eastAsia="宋体" w:cs="宋体"/>
      </w:rPr>
    </w:lvl>
    <w:lvl w:ilvl="2" w:tentative="0">
      <w:start w:val="1"/>
      <w:numFmt w:val="decimal"/>
      <w:suff w:val="space"/>
      <w:lvlText w:val="3.1.%3"/>
      <w:lvlJc w:val="left"/>
      <w:pPr>
        <w:tabs>
          <w:tab w:val="left" w:pos="420"/>
        </w:tabs>
        <w:ind w:left="709" w:hanging="709"/>
      </w:pPr>
      <w:rPr>
        <w:rFonts w:hint="default" w:ascii="宋体" w:hAnsi="宋体" w:eastAsia="宋体" w:cs="宋体"/>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
  </w:num>
  <w:num w:numId="3">
    <w:abstractNumId w:val="11"/>
  </w:num>
  <w:num w:numId="4">
    <w:abstractNumId w:val="6"/>
  </w:num>
  <w:num w:numId="5">
    <w:abstractNumId w:val="3"/>
  </w:num>
  <w:num w:numId="6">
    <w:abstractNumId w:val="9"/>
  </w:num>
  <w:num w:numId="7">
    <w:abstractNumId w:val="2"/>
  </w:num>
  <w:num w:numId="8">
    <w:abstractNumId w:val="7"/>
  </w:num>
  <w:num w:numId="9">
    <w:abstractNumId w:val="5"/>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B72BB"/>
    <w:rsid w:val="04504B3F"/>
    <w:rsid w:val="04AD02B8"/>
    <w:rsid w:val="04DF17D4"/>
    <w:rsid w:val="05412745"/>
    <w:rsid w:val="05491761"/>
    <w:rsid w:val="05A351AD"/>
    <w:rsid w:val="05F9748A"/>
    <w:rsid w:val="06266F78"/>
    <w:rsid w:val="063E7B7A"/>
    <w:rsid w:val="06582413"/>
    <w:rsid w:val="067E33B8"/>
    <w:rsid w:val="06E82FCB"/>
    <w:rsid w:val="06F34B95"/>
    <w:rsid w:val="07571DAC"/>
    <w:rsid w:val="08E64121"/>
    <w:rsid w:val="0942017F"/>
    <w:rsid w:val="09BA1FBB"/>
    <w:rsid w:val="09CB139F"/>
    <w:rsid w:val="0A0106F5"/>
    <w:rsid w:val="0A112AB7"/>
    <w:rsid w:val="0AD71BC7"/>
    <w:rsid w:val="0AF420EB"/>
    <w:rsid w:val="0B2B2BF5"/>
    <w:rsid w:val="0B2F3908"/>
    <w:rsid w:val="0B3F6206"/>
    <w:rsid w:val="0BE12DB6"/>
    <w:rsid w:val="0BFC6504"/>
    <w:rsid w:val="0C345AD1"/>
    <w:rsid w:val="0C626CE4"/>
    <w:rsid w:val="0D0C2B7B"/>
    <w:rsid w:val="0D904269"/>
    <w:rsid w:val="0D9308F8"/>
    <w:rsid w:val="0E1A1D85"/>
    <w:rsid w:val="0E750568"/>
    <w:rsid w:val="0E9C3C97"/>
    <w:rsid w:val="0F2D7A80"/>
    <w:rsid w:val="0F4277E5"/>
    <w:rsid w:val="0FA75561"/>
    <w:rsid w:val="0FB83603"/>
    <w:rsid w:val="0FCA77F1"/>
    <w:rsid w:val="0FCD5DCC"/>
    <w:rsid w:val="10270545"/>
    <w:rsid w:val="108A1D4B"/>
    <w:rsid w:val="10A10111"/>
    <w:rsid w:val="10BE093E"/>
    <w:rsid w:val="10E20BD8"/>
    <w:rsid w:val="111B0FE9"/>
    <w:rsid w:val="112C77F4"/>
    <w:rsid w:val="115F67A8"/>
    <w:rsid w:val="119A7465"/>
    <w:rsid w:val="11C07DA5"/>
    <w:rsid w:val="12491386"/>
    <w:rsid w:val="12795640"/>
    <w:rsid w:val="12E60579"/>
    <w:rsid w:val="13695B36"/>
    <w:rsid w:val="1372609F"/>
    <w:rsid w:val="14504752"/>
    <w:rsid w:val="145A6A37"/>
    <w:rsid w:val="1467440F"/>
    <w:rsid w:val="15433A9B"/>
    <w:rsid w:val="15FC2F04"/>
    <w:rsid w:val="16181FAC"/>
    <w:rsid w:val="168756A0"/>
    <w:rsid w:val="16F94849"/>
    <w:rsid w:val="17045E51"/>
    <w:rsid w:val="17152230"/>
    <w:rsid w:val="172011D4"/>
    <w:rsid w:val="17252C3B"/>
    <w:rsid w:val="173F0A2E"/>
    <w:rsid w:val="17770BC2"/>
    <w:rsid w:val="17860E2F"/>
    <w:rsid w:val="17A119AA"/>
    <w:rsid w:val="18586F2B"/>
    <w:rsid w:val="198B1935"/>
    <w:rsid w:val="19A766B9"/>
    <w:rsid w:val="19CE76BA"/>
    <w:rsid w:val="19F26070"/>
    <w:rsid w:val="19F97C8B"/>
    <w:rsid w:val="1A1523CE"/>
    <w:rsid w:val="1AA730BD"/>
    <w:rsid w:val="1B333D5D"/>
    <w:rsid w:val="1B587618"/>
    <w:rsid w:val="1B5F19C7"/>
    <w:rsid w:val="1C1C709B"/>
    <w:rsid w:val="1C4F6795"/>
    <w:rsid w:val="1C9F6814"/>
    <w:rsid w:val="1D5C514E"/>
    <w:rsid w:val="1D865D14"/>
    <w:rsid w:val="1D8705EC"/>
    <w:rsid w:val="1E43150B"/>
    <w:rsid w:val="1EA93E80"/>
    <w:rsid w:val="1ED33FB6"/>
    <w:rsid w:val="1EE81332"/>
    <w:rsid w:val="1F32415A"/>
    <w:rsid w:val="1F702632"/>
    <w:rsid w:val="1F7E2174"/>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E036B2"/>
    <w:rsid w:val="25E9082A"/>
    <w:rsid w:val="25F42473"/>
    <w:rsid w:val="26AF2D79"/>
    <w:rsid w:val="26B34B91"/>
    <w:rsid w:val="270D66E8"/>
    <w:rsid w:val="27514612"/>
    <w:rsid w:val="278B0DAB"/>
    <w:rsid w:val="279C6B0E"/>
    <w:rsid w:val="27A64735"/>
    <w:rsid w:val="27CC4DF2"/>
    <w:rsid w:val="281864F2"/>
    <w:rsid w:val="286903EF"/>
    <w:rsid w:val="287F5DD3"/>
    <w:rsid w:val="288047CB"/>
    <w:rsid w:val="289E62FA"/>
    <w:rsid w:val="29096C93"/>
    <w:rsid w:val="291E2CA6"/>
    <w:rsid w:val="29331862"/>
    <w:rsid w:val="297023C7"/>
    <w:rsid w:val="299741EC"/>
    <w:rsid w:val="299E147F"/>
    <w:rsid w:val="29C32A87"/>
    <w:rsid w:val="29CF26DC"/>
    <w:rsid w:val="2A1C5DA0"/>
    <w:rsid w:val="2A200D39"/>
    <w:rsid w:val="2A507EFF"/>
    <w:rsid w:val="2ADC05A4"/>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307776D1"/>
    <w:rsid w:val="30862574"/>
    <w:rsid w:val="30B631E1"/>
    <w:rsid w:val="311933AA"/>
    <w:rsid w:val="317D15BB"/>
    <w:rsid w:val="31D07E6C"/>
    <w:rsid w:val="323F65DA"/>
    <w:rsid w:val="32412074"/>
    <w:rsid w:val="32DE0199"/>
    <w:rsid w:val="333C2963"/>
    <w:rsid w:val="335B2774"/>
    <w:rsid w:val="33A4642E"/>
    <w:rsid w:val="33D4039C"/>
    <w:rsid w:val="33D47E05"/>
    <w:rsid w:val="3413677D"/>
    <w:rsid w:val="342B544B"/>
    <w:rsid w:val="345E036E"/>
    <w:rsid w:val="34C47852"/>
    <w:rsid w:val="34DE1E4F"/>
    <w:rsid w:val="34F07DB1"/>
    <w:rsid w:val="35D354B8"/>
    <w:rsid w:val="35D4025C"/>
    <w:rsid w:val="362666BC"/>
    <w:rsid w:val="368A6B11"/>
    <w:rsid w:val="37085B1F"/>
    <w:rsid w:val="372E04CB"/>
    <w:rsid w:val="38E070F2"/>
    <w:rsid w:val="390D33AB"/>
    <w:rsid w:val="391E6D06"/>
    <w:rsid w:val="3A074847"/>
    <w:rsid w:val="3AA90FE6"/>
    <w:rsid w:val="3AA9318F"/>
    <w:rsid w:val="3AB62DA0"/>
    <w:rsid w:val="3B7D3FD5"/>
    <w:rsid w:val="3B823DDF"/>
    <w:rsid w:val="3BD827B4"/>
    <w:rsid w:val="3C237ED3"/>
    <w:rsid w:val="3CAA596A"/>
    <w:rsid w:val="3CAF1D22"/>
    <w:rsid w:val="3CB1587B"/>
    <w:rsid w:val="3CB735F2"/>
    <w:rsid w:val="3D186684"/>
    <w:rsid w:val="3D363C36"/>
    <w:rsid w:val="3D8B2178"/>
    <w:rsid w:val="3DB34909"/>
    <w:rsid w:val="3DD115F5"/>
    <w:rsid w:val="3DE435F0"/>
    <w:rsid w:val="3DE5122C"/>
    <w:rsid w:val="3DF37E53"/>
    <w:rsid w:val="3EB5502E"/>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824A1C"/>
    <w:rsid w:val="43D110E1"/>
    <w:rsid w:val="43E873C9"/>
    <w:rsid w:val="44905B1F"/>
    <w:rsid w:val="45316885"/>
    <w:rsid w:val="458C5EA1"/>
    <w:rsid w:val="45A95EE9"/>
    <w:rsid w:val="45FB0F21"/>
    <w:rsid w:val="46167166"/>
    <w:rsid w:val="47200EE3"/>
    <w:rsid w:val="47435AC2"/>
    <w:rsid w:val="47544B78"/>
    <w:rsid w:val="47587AF7"/>
    <w:rsid w:val="47745A86"/>
    <w:rsid w:val="47E239AC"/>
    <w:rsid w:val="480F4B73"/>
    <w:rsid w:val="48DB38E3"/>
    <w:rsid w:val="49001B5E"/>
    <w:rsid w:val="49376DB0"/>
    <w:rsid w:val="49804BB7"/>
    <w:rsid w:val="49826DCB"/>
    <w:rsid w:val="499013E7"/>
    <w:rsid w:val="49C8088A"/>
    <w:rsid w:val="4A301C93"/>
    <w:rsid w:val="4A3302AB"/>
    <w:rsid w:val="4AC85D49"/>
    <w:rsid w:val="4AE308A9"/>
    <w:rsid w:val="4B260F2D"/>
    <w:rsid w:val="4B9A1456"/>
    <w:rsid w:val="4BA32C82"/>
    <w:rsid w:val="4BE70627"/>
    <w:rsid w:val="4C0A5AE1"/>
    <w:rsid w:val="4C130AB8"/>
    <w:rsid w:val="4C5A284D"/>
    <w:rsid w:val="4CB96B43"/>
    <w:rsid w:val="4CC75FCC"/>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4B57F2"/>
    <w:rsid w:val="50C62BC7"/>
    <w:rsid w:val="50D75B0C"/>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560787"/>
    <w:rsid w:val="54A61722"/>
    <w:rsid w:val="54B31FAF"/>
    <w:rsid w:val="55326D63"/>
    <w:rsid w:val="555D1A10"/>
    <w:rsid w:val="56AC4A78"/>
    <w:rsid w:val="56DB16B9"/>
    <w:rsid w:val="577A3463"/>
    <w:rsid w:val="578132B2"/>
    <w:rsid w:val="57F967AD"/>
    <w:rsid w:val="58052975"/>
    <w:rsid w:val="584D1A65"/>
    <w:rsid w:val="584F5C44"/>
    <w:rsid w:val="58744BC1"/>
    <w:rsid w:val="58E525CA"/>
    <w:rsid w:val="593D045A"/>
    <w:rsid w:val="5960739E"/>
    <w:rsid w:val="59896D0A"/>
    <w:rsid w:val="59B72684"/>
    <w:rsid w:val="5A9579AE"/>
    <w:rsid w:val="5AC468CD"/>
    <w:rsid w:val="5B342B9A"/>
    <w:rsid w:val="5B5953B0"/>
    <w:rsid w:val="5B630802"/>
    <w:rsid w:val="5B807F68"/>
    <w:rsid w:val="5C034D53"/>
    <w:rsid w:val="5E0E1A5B"/>
    <w:rsid w:val="5E1D6F56"/>
    <w:rsid w:val="5E52187F"/>
    <w:rsid w:val="5E6A13CD"/>
    <w:rsid w:val="5E705D15"/>
    <w:rsid w:val="5E93326C"/>
    <w:rsid w:val="5E9F1A7A"/>
    <w:rsid w:val="5EFB4BA4"/>
    <w:rsid w:val="5F5F46B5"/>
    <w:rsid w:val="5FB25360"/>
    <w:rsid w:val="5FBA3CC0"/>
    <w:rsid w:val="5FD90D61"/>
    <w:rsid w:val="60177697"/>
    <w:rsid w:val="602329DB"/>
    <w:rsid w:val="607777D6"/>
    <w:rsid w:val="60BC76A1"/>
    <w:rsid w:val="60FE0F8B"/>
    <w:rsid w:val="610B7637"/>
    <w:rsid w:val="612279BA"/>
    <w:rsid w:val="615F5624"/>
    <w:rsid w:val="61D215CF"/>
    <w:rsid w:val="625C563D"/>
    <w:rsid w:val="626A1704"/>
    <w:rsid w:val="62B362C8"/>
    <w:rsid w:val="62C1330E"/>
    <w:rsid w:val="633A4F52"/>
    <w:rsid w:val="6342085E"/>
    <w:rsid w:val="636F415C"/>
    <w:rsid w:val="63AD1D26"/>
    <w:rsid w:val="64917820"/>
    <w:rsid w:val="64AA1CC5"/>
    <w:rsid w:val="6528341F"/>
    <w:rsid w:val="656B2909"/>
    <w:rsid w:val="65A3045D"/>
    <w:rsid w:val="65D97752"/>
    <w:rsid w:val="65E25E59"/>
    <w:rsid w:val="661D0A78"/>
    <w:rsid w:val="66307F76"/>
    <w:rsid w:val="66580EAF"/>
    <w:rsid w:val="66694D0D"/>
    <w:rsid w:val="667B4472"/>
    <w:rsid w:val="66F041A8"/>
    <w:rsid w:val="6721178A"/>
    <w:rsid w:val="6739399A"/>
    <w:rsid w:val="673F39DE"/>
    <w:rsid w:val="674C5D22"/>
    <w:rsid w:val="67663AF8"/>
    <w:rsid w:val="67762CFD"/>
    <w:rsid w:val="677A678D"/>
    <w:rsid w:val="68011379"/>
    <w:rsid w:val="68252C37"/>
    <w:rsid w:val="68817BAC"/>
    <w:rsid w:val="689A5E59"/>
    <w:rsid w:val="68A94E70"/>
    <w:rsid w:val="68EE72DF"/>
    <w:rsid w:val="69485FEA"/>
    <w:rsid w:val="69677DC0"/>
    <w:rsid w:val="69937EC7"/>
    <w:rsid w:val="69D64558"/>
    <w:rsid w:val="6A042548"/>
    <w:rsid w:val="6A471EFD"/>
    <w:rsid w:val="6AB57116"/>
    <w:rsid w:val="6AFE07CC"/>
    <w:rsid w:val="6B17424A"/>
    <w:rsid w:val="6B2218FA"/>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31E6A"/>
    <w:rsid w:val="71CF3B6C"/>
    <w:rsid w:val="71F80F33"/>
    <w:rsid w:val="7227506B"/>
    <w:rsid w:val="722922C6"/>
    <w:rsid w:val="72CB03A1"/>
    <w:rsid w:val="732D4B5D"/>
    <w:rsid w:val="73393C88"/>
    <w:rsid w:val="7362513F"/>
    <w:rsid w:val="73771D49"/>
    <w:rsid w:val="73A1354E"/>
    <w:rsid w:val="74A11E7D"/>
    <w:rsid w:val="75590B0A"/>
    <w:rsid w:val="7582279F"/>
    <w:rsid w:val="75843EB5"/>
    <w:rsid w:val="75BB71AF"/>
    <w:rsid w:val="75F01962"/>
    <w:rsid w:val="760E19DF"/>
    <w:rsid w:val="76676A53"/>
    <w:rsid w:val="76B620A1"/>
    <w:rsid w:val="76F20814"/>
    <w:rsid w:val="77462524"/>
    <w:rsid w:val="779A6594"/>
    <w:rsid w:val="77A21064"/>
    <w:rsid w:val="77E34EB2"/>
    <w:rsid w:val="781564B8"/>
    <w:rsid w:val="78224ACF"/>
    <w:rsid w:val="78CD6DCC"/>
    <w:rsid w:val="78D07CAF"/>
    <w:rsid w:val="78DE12D7"/>
    <w:rsid w:val="79210683"/>
    <w:rsid w:val="799C3465"/>
    <w:rsid w:val="79B14EC4"/>
    <w:rsid w:val="7A2A6B4A"/>
    <w:rsid w:val="7A681070"/>
    <w:rsid w:val="7A860C7C"/>
    <w:rsid w:val="7AB879FE"/>
    <w:rsid w:val="7B3264DD"/>
    <w:rsid w:val="7B81188A"/>
    <w:rsid w:val="7B9E2902"/>
    <w:rsid w:val="7BC854E2"/>
    <w:rsid w:val="7C0562EC"/>
    <w:rsid w:val="7C27683F"/>
    <w:rsid w:val="7CB14B4D"/>
    <w:rsid w:val="7CF26969"/>
    <w:rsid w:val="7D25523C"/>
    <w:rsid w:val="7DB2304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2">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2"/>
    <w:qFormat/>
    <w:uiPriority w:val="9"/>
    <w:rPr>
      <w:rFonts w:ascii="Arial" w:hAnsi="Arial" w:eastAsia="宋体" w:cs="Times New Roman"/>
      <w:b/>
      <w:bCs/>
      <w:sz w:val="24"/>
      <w:szCs w:val="32"/>
    </w:rPr>
  </w:style>
  <w:style w:type="character" w:customStyle="1" w:styleId="47">
    <w:name w:val="标题 3 字符"/>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0"/>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2"/>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header" Target="header5.xml"/><Relationship Id="rId30" Type="http://schemas.openxmlformats.org/officeDocument/2006/relationships/header" Target="header4.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74</Pages>
  <Words>32827</Words>
  <Characters>34583</Characters>
  <Lines>305</Lines>
  <Paragraphs>86</Paragraphs>
  <TotalTime>20</TotalTime>
  <ScaleCrop>false</ScaleCrop>
  <LinksUpToDate>false</LinksUpToDate>
  <CharactersWithSpaces>40731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2022-07-01T03:19:00Z</cp:lastPrinted>
  <dcterms:modified xsi:type="dcterms:W3CDTF">2023-04-24T02:30:47Z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ED02EB12B8294FE5807EAA5D2C3C24E0</vt:lpwstr>
  </property>
</Properties>
</file>