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商用车驾驶室乘员保护试验</w:t>
      </w:r>
      <w:r>
        <w:rPr>
          <w:rFonts w:hint="eastAsia" w:ascii="Calibri" w:hAnsi="宋体" w:eastAsia="宋体" w:cs="Times New Roman"/>
          <w:b/>
          <w:bCs/>
          <w:color w:val="000000"/>
          <w:spacing w:val="-8"/>
          <w:sz w:val="48"/>
          <w:szCs w:val="44"/>
          <w:lang w:val="en-US" w:eastAsia="zh-CN"/>
        </w:rPr>
        <w:t>台</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6"/>
        <w:rPr>
          <w:rFonts w:hint="eastAsia"/>
          <w:lang w:eastAsia="zh-CN"/>
        </w:rPr>
      </w:pPr>
    </w:p>
    <w:p>
      <w:pPr>
        <w:pStyle w:val="16"/>
        <w:rPr>
          <w:rFonts w:hint="eastAsia"/>
          <w:lang w:eastAsia="zh-CN"/>
        </w:rPr>
      </w:pP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39</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52</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none"/>
                <w:u w:val="single"/>
                <w:lang w:val="en-US" w:eastAsia="zh-CN"/>
              </w:rPr>
              <w:t>CGZX2023040163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Courier New" w:eastAsia="宋体" w:cs="Times New Roman"/>
                <w:color w:val="000000"/>
                <w:sz w:val="24"/>
                <w:szCs w:val="24"/>
                <w:highlight w:val="none"/>
                <w:lang w:eastAsia="zh-CN"/>
              </w:rPr>
              <w:t>商用车驾驶室乘员保护试验台</w:t>
            </w:r>
            <w:r>
              <w:rPr>
                <w:rFonts w:hint="eastAsia" w:ascii="宋体" w:hAnsi="Courier New" w:eastAsia="宋体" w:cs="Times New Roman"/>
                <w:color w:val="000000"/>
                <w:sz w:val="24"/>
                <w:szCs w:val="24"/>
                <w:highlight w:val="none"/>
              </w:rPr>
              <w:t>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投标人信用证明材料（中国人民银行信用代码证+征信报告）未显示异常；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w:t>
            </w:r>
            <w:bookmarkStart w:id="152" w:name="_GoBack"/>
            <w:bookmarkEnd w:id="152"/>
            <w:r>
              <w:rPr>
                <w:rFonts w:hint="eastAsia" w:ascii="宋体" w:hAnsi="宋体" w:eastAsia="宋体" w:cs="宋体"/>
                <w:sz w:val="24"/>
                <w:szCs w:val="24"/>
                <w:highlight w:val="none"/>
              </w:rPr>
              <w:t>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5</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六</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正本一份，副本五份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山东省济南市历城区华奥路</w:t>
            </w:r>
            <w:r>
              <w:rPr>
                <w:rFonts w:ascii="宋体" w:hAnsi="宋体" w:eastAsia="宋体" w:cs="Times New Roman"/>
                <w:color w:val="000000"/>
                <w:sz w:val="24"/>
                <w:szCs w:val="24"/>
                <w:highlight w:val="none"/>
              </w:rPr>
              <w:t>777</w:t>
            </w:r>
            <w:r>
              <w:rPr>
                <w:rFonts w:hint="eastAsia" w:ascii="宋体" w:hAnsi="宋体" w:eastAsia="宋体" w:cs="Times New Roman"/>
                <w:color w:val="000000"/>
                <w:sz w:val="24"/>
                <w:szCs w:val="24"/>
                <w:highlight w:val="none"/>
              </w:rPr>
              <w:t>号</w:t>
            </w:r>
          </w:p>
          <w:p>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ascii="Times New Roman" w:hAnsi="Times New Roman" w:eastAsia="宋体" w:cs="Times New Roman"/>
                <w:color w:val="000000"/>
                <w:sz w:val="24"/>
                <w:szCs w:val="24"/>
                <w:highlight w:val="none"/>
                <w:lang w:val="en-US" w:eastAsia="zh-CN"/>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20000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highlight w:val="none"/>
              </w:rPr>
              <w:t>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ascii="宋体" w:hAnsi="宋体" w:eastAsia="宋体" w:cs="宋体"/>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ascii="宋体" w:hAnsi="宋体" w:eastAsia="宋体" w:cs="宋体"/>
                <w:sz w:val="24"/>
                <w:szCs w:val="24"/>
                <w:highlight w:val="none"/>
              </w:rPr>
              <w:t>中国工商银行股份有限公司济南天桥支行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ascii="宋体" w:hAnsi="宋体" w:eastAsia="宋体" w:cs="宋体"/>
                <w:sz w:val="24"/>
                <w:szCs w:val="24"/>
                <w:highlight w:val="none"/>
              </w:rPr>
              <w:t>1602005019200116248</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ascii="宋体" w:hAnsi="宋体" w:eastAsia="宋体" w:cs="宋体"/>
                <w:sz w:val="24"/>
                <w:szCs w:val="24"/>
                <w:highlight w:val="none"/>
              </w:rPr>
              <w:t>102451000504</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lang w:val="en-US" w:eastAsia="zh-CN"/>
              </w:rPr>
              <w:t>1:00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济南市高新区华奥路777号重汽科技大厦2610会议室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180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w:t>
            </w:r>
            <w:r>
              <w:rPr>
                <w:rFonts w:hint="eastAsia" w:hAnsi="宋体" w:eastAsia="宋体" w:cs="宋体"/>
                <w:color w:val="000000"/>
                <w:sz w:val="24"/>
                <w:szCs w:val="24"/>
                <w:highlight w:val="none"/>
              </w:rPr>
              <w:t>过</w:t>
            </w:r>
            <w:r>
              <w:rPr>
                <w:rFonts w:hint="eastAsia" w:hAnsi="宋体" w:eastAsia="宋体" w:cs="宋体"/>
                <w:color w:val="000000"/>
                <w:sz w:val="24"/>
                <w:szCs w:val="24"/>
                <w:highlight w:val="none"/>
                <w:lang w:val="en-US" w:eastAsia="zh-CN"/>
              </w:rPr>
              <w:t>规定时间</w:t>
            </w:r>
            <w:r>
              <w:rPr>
                <w:rFonts w:hint="eastAsia" w:hAnsi="宋体" w:eastAsia="宋体" w:cs="宋体"/>
                <w:color w:val="000000"/>
                <w:sz w:val="24"/>
                <w:szCs w:val="24"/>
                <w:highlight w:val="none"/>
              </w:rPr>
              <w:t>的，</w:t>
            </w:r>
            <w:r>
              <w:rPr>
                <w:rFonts w:hint="eastAsia" w:hAnsi="宋体" w:eastAsia="宋体" w:cs="宋体"/>
                <w:color w:val="000000"/>
                <w:sz w:val="24"/>
                <w:szCs w:val="24"/>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lang w:val="en-US" w:eastAsia="zh-CN"/>
              </w:rPr>
              <w:t>济南莱芜区口镇重汽工业园</w:t>
            </w:r>
            <w:r>
              <w:rPr>
                <w:rFonts w:hint="eastAsia" w:ascii="宋体"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付款</w:t>
            </w:r>
            <w:r>
              <w:rPr>
                <w:rFonts w:hint="eastAsia" w:hAnsi="宋体" w:eastAsia="宋体" w:cs="宋体"/>
                <w:b/>
                <w:bCs/>
                <w:color w:val="000000"/>
                <w:sz w:val="24"/>
                <w:szCs w:val="24"/>
                <w:highlight w:val="none"/>
              </w:rPr>
              <w:t>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eastAsia="宋体" w:cs="Times New Roman"/>
                <w:color w:val="000000"/>
                <w:sz w:val="24"/>
                <w:szCs w:val="24"/>
                <w:highlight w:val="none"/>
                <w:lang w:val="en-US" w:eastAsia="zh-CN"/>
              </w:rPr>
              <w:t>合同签订生效后</w:t>
            </w:r>
            <w:r>
              <w:rPr>
                <w:rFonts w:eastAsia="宋体" w:cs="Times New Roman"/>
                <w:color w:val="000000"/>
                <w:sz w:val="24"/>
                <w:szCs w:val="24"/>
                <w:highlight w:val="none"/>
              </w:rPr>
              <w:t>，</w:t>
            </w:r>
            <w:r>
              <w:rPr>
                <w:rFonts w:hint="eastAsia" w:eastAsia="宋体" w:cs="Times New Roman"/>
                <w:color w:val="000000"/>
                <w:sz w:val="24"/>
                <w:szCs w:val="24"/>
                <w:highlight w:val="none"/>
              </w:rPr>
              <w:t>中标人</w:t>
            </w:r>
            <w:r>
              <w:rPr>
                <w:rFonts w:eastAsia="宋体" w:cs="Times New Roman"/>
                <w:color w:val="000000"/>
                <w:sz w:val="24"/>
                <w:szCs w:val="24"/>
                <w:highlight w:val="none"/>
              </w:rPr>
              <w:t>提交金额为合同价款</w:t>
            </w:r>
            <w:r>
              <w:rPr>
                <w:rFonts w:eastAsia="宋体" w:cs="Times New Roman"/>
                <w:b/>
                <w:bCs/>
                <w:color w:val="000000"/>
                <w:sz w:val="24"/>
                <w:szCs w:val="24"/>
                <w:highlight w:val="none"/>
              </w:rPr>
              <w:t>30%</w:t>
            </w:r>
            <w:r>
              <w:rPr>
                <w:rFonts w:eastAsia="宋体" w:cs="Times New Roman"/>
                <w:color w:val="000000"/>
                <w:sz w:val="24"/>
                <w:szCs w:val="24"/>
                <w:highlight w:val="none"/>
              </w:rPr>
              <w:t>的收据并提供合同价款</w:t>
            </w:r>
            <w:r>
              <w:rPr>
                <w:rFonts w:eastAsia="宋体" w:cs="Times New Roman"/>
                <w:b/>
                <w:bCs/>
                <w:color w:val="000000"/>
                <w:sz w:val="24"/>
                <w:szCs w:val="24"/>
                <w:highlight w:val="none"/>
              </w:rPr>
              <w:t>30%</w:t>
            </w:r>
            <w:r>
              <w:rPr>
                <w:rFonts w:eastAsia="宋体" w:cs="Times New Roman"/>
                <w:color w:val="000000"/>
                <w:sz w:val="24"/>
                <w:szCs w:val="24"/>
                <w:highlight w:val="none"/>
              </w:rPr>
              <w:t>的增值税专用发票（含复印件二份），经</w:t>
            </w:r>
            <w:r>
              <w:rPr>
                <w:rFonts w:hint="eastAsia" w:eastAsia="宋体" w:cs="Times New Roman"/>
                <w:color w:val="000000"/>
                <w:sz w:val="24"/>
                <w:szCs w:val="24"/>
                <w:highlight w:val="none"/>
                <w:lang w:val="en-US" w:eastAsia="zh-CN"/>
              </w:rPr>
              <w:t>招标人</w:t>
            </w:r>
            <w:r>
              <w:rPr>
                <w:rFonts w:eastAsia="宋体" w:cs="Times New Roman"/>
                <w:color w:val="000000"/>
                <w:sz w:val="24"/>
                <w:szCs w:val="24"/>
                <w:highlight w:val="none"/>
              </w:rPr>
              <w:t>依照财务制度审核无误后</w:t>
            </w:r>
            <w:r>
              <w:rPr>
                <w:rFonts w:hint="eastAsia" w:eastAsia="宋体" w:cs="Times New Roman"/>
                <w:color w:val="000000"/>
                <w:sz w:val="24"/>
                <w:szCs w:val="24"/>
                <w:highlight w:val="none"/>
                <w:lang w:val="en-US" w:eastAsia="zh-CN"/>
              </w:rPr>
              <w:t>30日</w:t>
            </w:r>
            <w:r>
              <w:rPr>
                <w:rFonts w:eastAsia="宋体" w:cs="Times New Roman"/>
                <w:color w:val="000000"/>
                <w:sz w:val="24"/>
                <w:szCs w:val="24"/>
                <w:highlight w:val="none"/>
              </w:rPr>
              <w:t>支付</w:t>
            </w:r>
            <w:r>
              <w:rPr>
                <w:rFonts w:hint="eastAsia" w:eastAsia="宋体" w:cs="Times New Roman"/>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设备全部到齐，经现场安装调试验收合格交付使用后，卖方提交金额为合同价款</w:t>
            </w:r>
            <w:r>
              <w:rPr>
                <w:rFonts w:hint="eastAsia" w:hAnsi="宋体" w:eastAsia="宋体" w:cs="宋体"/>
                <w:b/>
                <w:bCs/>
                <w:color w:val="000000"/>
                <w:sz w:val="24"/>
                <w:szCs w:val="24"/>
                <w:highlight w:val="none"/>
                <w:lang w:val="en-US" w:eastAsia="zh-CN"/>
              </w:rPr>
              <w:t>60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w:t>
            </w:r>
            <w:r>
              <w:rPr>
                <w:rFonts w:hint="eastAsia" w:hAnsi="宋体" w:eastAsia="宋体" w:cs="宋体"/>
                <w:color w:val="000000"/>
                <w:sz w:val="24"/>
                <w:szCs w:val="24"/>
                <w:highlight w:val="none"/>
                <w:lang w:eastAsia="zh-CN"/>
              </w:rPr>
              <w:t>；</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w:t>
            </w:r>
            <w:r>
              <w:rPr>
                <w:rFonts w:hint="eastAsia" w:ascii="宋体" w:hAnsi="宋体" w:eastAsia="宋体" w:cs="宋体"/>
                <w:sz w:val="24"/>
                <w:szCs w:val="24"/>
              </w:rPr>
              <w:t>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w:t>
      </w:r>
      <w:r>
        <w:rPr>
          <w:rFonts w:hint="eastAsia" w:ascii="宋体" w:hAnsi="宋体" w:eastAsia="宋体" w:cs="宋体"/>
          <w:sz w:val="24"/>
          <w:szCs w:val="24"/>
          <w:highlight w:val="none"/>
        </w:rPr>
        <w:t>本次招投标为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none"/>
        </w:rPr>
        <w:t>：见《投标须知前附表》2.3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7001"/>
      <w:bookmarkStart w:id="8" w:name="_Toc33266627"/>
      <w:bookmarkStart w:id="9" w:name="_Toc33265752"/>
      <w:bookmarkStart w:id="10" w:name="_Toc33266950"/>
      <w:bookmarkStart w:id="11" w:name="_Toc33266914"/>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95116634"/>
      <w:bookmarkStart w:id="15" w:name="_Toc33266915"/>
      <w:bookmarkStart w:id="16" w:name="_Toc33285489"/>
      <w:bookmarkStart w:id="17" w:name="_Toc33265654"/>
      <w:bookmarkStart w:id="18" w:name="_Toc33267002"/>
      <w:bookmarkStart w:id="19" w:name="_Toc33266951"/>
      <w:bookmarkStart w:id="20" w:name="_Toc33265753"/>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8"/>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1.7企业信用证明材料（中国人民银行信用代码证+征信报告）；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近三年同类项目业绩一览表（附件6）及有效合同复印件，</w:t>
      </w:r>
      <w:r>
        <w:rPr>
          <w:rFonts w:hint="eastAsia" w:ascii="宋体" w:hAnsi="宋体" w:eastAsia="宋体" w:cs="宋体"/>
          <w:b/>
          <w:color w:val="000000"/>
          <w:sz w:val="24"/>
          <w:szCs w:val="24"/>
          <w:highlight w:val="none"/>
        </w:rPr>
        <w:t>若</w:t>
      </w:r>
      <w:r>
        <w:rPr>
          <w:rFonts w:hint="eastAsia" w:ascii="宋体" w:hAnsi="宋体" w:eastAsia="宋体" w:cs="宋体"/>
          <w:b/>
          <w:color w:val="000000"/>
          <w:sz w:val="24"/>
          <w:szCs w:val="24"/>
          <w:highlight w:val="none"/>
          <w:lang w:val="en-US" w:eastAsia="zh-CN"/>
        </w:rPr>
        <w:t>未</w:t>
      </w:r>
      <w:r>
        <w:rPr>
          <w:rFonts w:hint="eastAsia" w:ascii="宋体" w:hAnsi="宋体" w:eastAsia="宋体" w:cs="宋体"/>
          <w:b/>
          <w:color w:val="000000"/>
          <w:sz w:val="24"/>
          <w:szCs w:val="24"/>
          <w:highlight w:val="none"/>
        </w:rPr>
        <w:t>提供相应业绩证明，</w:t>
      </w:r>
      <w:r>
        <w:rPr>
          <w:rFonts w:hint="eastAsia" w:ascii="宋体" w:hAnsi="宋体" w:eastAsia="宋体" w:cs="宋体"/>
          <w:b/>
          <w:color w:val="000000"/>
          <w:sz w:val="24"/>
          <w:szCs w:val="24"/>
          <w:highlight w:val="none"/>
          <w:lang w:val="en-US" w:eastAsia="zh-CN"/>
        </w:rPr>
        <w:t>根据技术标评分规则，</w:t>
      </w:r>
      <w:r>
        <w:rPr>
          <w:rFonts w:hint="eastAsia" w:ascii="宋体" w:hAnsi="宋体" w:eastAsia="宋体" w:cs="宋体"/>
          <w:b/>
          <w:color w:val="000000"/>
          <w:sz w:val="24"/>
          <w:szCs w:val="24"/>
          <w:highlight w:val="none"/>
        </w:rPr>
        <w:t>将影响现场评标专家组对</w:t>
      </w:r>
      <w:r>
        <w:rPr>
          <w:rFonts w:hint="eastAsia" w:ascii="宋体" w:hAnsi="宋体" w:eastAsia="宋体" w:cs="宋体"/>
          <w:b/>
          <w:color w:val="000000"/>
          <w:sz w:val="24"/>
          <w:szCs w:val="24"/>
          <w:highlight w:val="none"/>
          <w:lang w:eastAsia="zh-CN"/>
        </w:rPr>
        <w:t>投标人</w:t>
      </w:r>
      <w:r>
        <w:rPr>
          <w:rFonts w:hint="eastAsia" w:ascii="宋体" w:hAnsi="宋体" w:eastAsia="宋体" w:cs="宋体"/>
          <w:b/>
          <w:color w:val="000000"/>
          <w:sz w:val="24"/>
          <w:szCs w:val="24"/>
          <w:highlight w:val="none"/>
        </w:rPr>
        <w:t>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2.6投标产品技术支持材料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16"/>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商用车驾驶室乘员保护试验</w:t>
      </w:r>
      <w:r>
        <w:rPr>
          <w:rFonts w:hint="eastAsia" w:ascii="Calibri" w:hAnsi="宋体" w:eastAsia="宋体" w:cs="Times New Roman"/>
          <w:b/>
          <w:bCs/>
          <w:color w:val="000000"/>
          <w:spacing w:val="-8"/>
          <w:sz w:val="48"/>
          <w:szCs w:val="44"/>
          <w:lang w:val="en-US" w:eastAsia="zh-CN"/>
        </w:rPr>
        <w:t>台</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一、项目名称：</w:t>
      </w:r>
      <w:r>
        <w:rPr>
          <w:rFonts w:hint="eastAsia" w:ascii="宋体" w:hAnsi="宋体" w:eastAsia="宋体" w:cs="宋体"/>
          <w:sz w:val="24"/>
          <w:szCs w:val="24"/>
          <w:lang w:val="en-US" w:eastAsia="zh-CN"/>
        </w:rPr>
        <w:t>商用车驾驶室乘员保护试验台项目</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二、建设地点：</w:t>
      </w:r>
      <w:r>
        <w:rPr>
          <w:rFonts w:hint="eastAsia" w:ascii="宋体" w:hAnsi="宋体" w:eastAsia="宋体" w:cs="宋体"/>
          <w:sz w:val="24"/>
          <w:szCs w:val="24"/>
          <w:lang w:val="en-US" w:eastAsia="zh-CN"/>
        </w:rPr>
        <w:t>济南莱芜区口镇重汽工业园</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lang w:val="en-US" w:eastAsia="zh-CN"/>
        </w:rPr>
        <w:t>济南莱芜区口镇重汽工业园</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200</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1000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000m以下。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℃、极端最高温度45℃。</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1.电力：中国制式，供电电压380V±15%/220V±15%，供电频率50Hz±2%</w:t>
      </w:r>
      <w:r>
        <w:rPr>
          <w:rFonts w:hint="eastAsia" w:ascii="宋体" w:hAnsi="宋体" w:eastAsia="宋体" w:cs="宋体"/>
          <w:bCs/>
          <w:sz w:val="24"/>
          <w:szCs w:val="24"/>
          <w:highlight w:val="none"/>
          <w:lang w:eastAsia="zh-CN"/>
        </w:rPr>
        <w:t>；</w:t>
      </w:r>
    </w:p>
    <w:p>
      <w:pPr>
        <w:pStyle w:val="16"/>
        <w:rPr>
          <w:rFonts w:hint="eastAsia" w:hAnsi="宋体" w:eastAsia="宋体" w:cs="宋体"/>
          <w:lang w:val="en-US" w:eastAsia="zh-CN"/>
        </w:rPr>
      </w:pPr>
      <w:r>
        <w:rPr>
          <w:rFonts w:hint="eastAsia" w:hAnsi="宋体" w:eastAsia="宋体" w:cs="宋体"/>
          <w:bCs/>
          <w:sz w:val="24"/>
          <w:szCs w:val="24"/>
          <w:highlight w:val="none"/>
          <w:lang w:val="en-US" w:eastAsia="zh-CN"/>
        </w:rPr>
        <w:t xml:space="preserve">    </w:t>
      </w:r>
      <w:r>
        <w:rPr>
          <w:rFonts w:hint="eastAsia" w:hAnsi="宋体" w:eastAsia="宋体" w:cs="宋体"/>
          <w:bCs/>
          <w:sz w:val="24"/>
          <w:szCs w:val="24"/>
          <w:highlight w:val="none"/>
        </w:rPr>
        <w:t>2</w:t>
      </w:r>
      <w:r>
        <w:rPr>
          <w:rFonts w:hint="eastAsia" w:hAnsi="宋体" w:eastAsia="宋体" w:cs="宋体"/>
          <w:bCs/>
          <w:sz w:val="24"/>
          <w:szCs w:val="24"/>
          <w:highlight w:val="none"/>
          <w:lang w:val="en-US" w:eastAsia="zh-CN"/>
        </w:rPr>
        <w:t>.</w:t>
      </w:r>
      <w:r>
        <w:rPr>
          <w:rFonts w:hint="eastAsia" w:ascii="宋体" w:hAnsi="宋体" w:eastAsia="宋体" w:cs="宋体"/>
          <w:bCs/>
          <w:kern w:val="2"/>
          <w:sz w:val="24"/>
          <w:szCs w:val="24"/>
          <w:highlight w:val="none"/>
          <w:lang w:val="en-US" w:eastAsia="zh-CN" w:bidi="ar-SA"/>
        </w:rPr>
        <w:t>压缩空气：压力：0.6～0.8MPa，流量：40L/min。</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highlight w:val="none"/>
          <w:lang w:eastAsia="zh-CN"/>
        </w:rPr>
        <w:t>商用车驾驶室乘员保护试验台</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69"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025"/>
        <w:gridCol w:w="2670"/>
        <w:gridCol w:w="1170"/>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序号</w:t>
            </w:r>
          </w:p>
        </w:tc>
        <w:tc>
          <w:tcPr>
            <w:tcW w:w="302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名称</w:t>
            </w:r>
          </w:p>
        </w:tc>
        <w:tc>
          <w:tcPr>
            <w:tcW w:w="26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型号规格</w:t>
            </w:r>
          </w:p>
        </w:tc>
        <w:tc>
          <w:tcPr>
            <w:tcW w:w="11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val="en-US" w:eastAsia="zh-CN"/>
              </w:rPr>
              <w:t>单位</w:t>
            </w:r>
          </w:p>
        </w:tc>
        <w:tc>
          <w:tcPr>
            <w:tcW w:w="119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w:t>
            </w:r>
          </w:p>
        </w:tc>
        <w:tc>
          <w:tcPr>
            <w:tcW w:w="30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商用车驾驶室撞击试验台</w:t>
            </w:r>
          </w:p>
        </w:tc>
        <w:tc>
          <w:tcPr>
            <w:tcW w:w="26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见第二章技术要求</w:t>
            </w:r>
          </w:p>
        </w:tc>
        <w:tc>
          <w:tcPr>
            <w:tcW w:w="11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9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2</w:t>
            </w:r>
          </w:p>
        </w:tc>
        <w:tc>
          <w:tcPr>
            <w:tcW w:w="30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sz w:val="24"/>
                <w:szCs w:val="24"/>
                <w:lang w:val="en-US" w:eastAsia="zh-CN"/>
              </w:rPr>
              <w:t>商用车</w:t>
            </w:r>
            <w:r>
              <w:rPr>
                <w:rFonts w:hint="eastAsia" w:ascii="宋体" w:hAnsi="宋体" w:eastAsia="宋体" w:cs="宋体"/>
                <w:b w:val="0"/>
                <w:bCs w:val="0"/>
                <w:color w:val="000000"/>
                <w:sz w:val="24"/>
                <w:szCs w:val="24"/>
              </w:rPr>
              <w:t>驾驶室</w:t>
            </w:r>
            <w:r>
              <w:rPr>
                <w:rFonts w:hint="eastAsia" w:ascii="宋体" w:hAnsi="宋体" w:eastAsia="宋体" w:cs="宋体"/>
                <w:b w:val="0"/>
                <w:bCs w:val="0"/>
                <w:color w:val="000000"/>
                <w:sz w:val="24"/>
                <w:szCs w:val="24"/>
                <w:lang w:val="en-US" w:eastAsia="zh-CN"/>
              </w:rPr>
              <w:t>强度</w:t>
            </w:r>
            <w:r>
              <w:rPr>
                <w:rFonts w:hint="eastAsia" w:ascii="宋体" w:hAnsi="宋体" w:eastAsia="宋体" w:cs="宋体"/>
                <w:b w:val="0"/>
                <w:bCs w:val="0"/>
                <w:color w:val="000000"/>
                <w:sz w:val="24"/>
                <w:szCs w:val="24"/>
              </w:rPr>
              <w:t>试验台</w:t>
            </w:r>
          </w:p>
        </w:tc>
        <w:tc>
          <w:tcPr>
            <w:tcW w:w="26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见第二章技术要求</w:t>
            </w:r>
          </w:p>
        </w:tc>
        <w:tc>
          <w:tcPr>
            <w:tcW w:w="11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rPr>
              <w:t>套</w:t>
            </w:r>
          </w:p>
        </w:tc>
        <w:tc>
          <w:tcPr>
            <w:tcW w:w="119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w:t>
            </w:r>
          </w:p>
        </w:tc>
        <w:tc>
          <w:tcPr>
            <w:tcW w:w="30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高速摄像系统 </w:t>
            </w:r>
          </w:p>
        </w:tc>
        <w:tc>
          <w:tcPr>
            <w:tcW w:w="26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见第二章技术要求</w:t>
            </w:r>
          </w:p>
        </w:tc>
        <w:tc>
          <w:tcPr>
            <w:tcW w:w="11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9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w:t>
            </w:r>
          </w:p>
        </w:tc>
        <w:tc>
          <w:tcPr>
            <w:tcW w:w="30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高速摄像机补光系统</w:t>
            </w:r>
          </w:p>
        </w:tc>
        <w:tc>
          <w:tcPr>
            <w:tcW w:w="26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见第二章技术要求</w:t>
            </w:r>
          </w:p>
        </w:tc>
        <w:tc>
          <w:tcPr>
            <w:tcW w:w="117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97"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1</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color w:val="000000"/>
          <w:sz w:val="24"/>
          <w:szCs w:val="24"/>
        </w:rPr>
        <w:t>本表所列采购货物仅为货物的主要构成部分，应配套供货以及招标方所列其它货物（或设备）和服务，请投标方认真阅读“供货范围”。若有异议，不管是多么微小，都应在投标文件“商务偏离”章节中予以详细说明</w:t>
      </w:r>
      <w:r>
        <w:rPr>
          <w:rFonts w:hint="eastAsia" w:ascii="宋体" w:hAnsi="宋体" w:eastAsia="宋体" w:cs="宋体"/>
          <w:bCs/>
          <w:sz w:val="24"/>
          <w:szCs w:val="24"/>
        </w:rPr>
        <w:t>。</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8.本项目涉及的所有设备通讯协议需在技术方案评审时一并免费提交给招标方，并协助招标方开展设备集成工作。</w:t>
      </w:r>
    </w:p>
    <w:p>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2" w:firstLineChars="200"/>
        <w:rPr>
          <w:rFonts w:hint="eastAsia" w:ascii="宋体" w:hAnsi="宋体" w:eastAsia="宋体" w:cs="宋体"/>
          <w:b/>
          <w:bCs/>
          <w:color w:val="auto"/>
          <w:sz w:val="24"/>
          <w:szCs w:val="24"/>
          <w:highlight w:val="yellow"/>
          <w:lang w:val="en-US" w:eastAsia="zh-CN"/>
        </w:rPr>
      </w:pPr>
      <w:r>
        <w:rPr>
          <w:rFonts w:hint="eastAsia" w:ascii="宋体" w:hAnsi="宋体" w:eastAsia="宋体" w:cs="宋体"/>
          <w:b/>
          <w:bCs/>
          <w:color w:val="auto"/>
          <w:sz w:val="24"/>
          <w:szCs w:val="24"/>
          <w:highlight w:val="yellow"/>
        </w:rPr>
        <w:t>标注“</w:t>
      </w:r>
      <w:r>
        <w:rPr>
          <w:rFonts w:hint="eastAsia" w:ascii="宋体" w:hAnsi="宋体" w:eastAsia="宋体" w:cs="宋体"/>
          <w:b/>
          <w:bCs/>
          <w:color w:val="auto"/>
          <w:sz w:val="24"/>
          <w:szCs w:val="24"/>
          <w:highlight w:val="yellow"/>
          <w:lang w:eastAsia="zh-CN"/>
        </w:rPr>
        <w:t>*</w:t>
      </w:r>
      <w:r>
        <w:rPr>
          <w:rFonts w:hint="eastAsia" w:ascii="宋体" w:hAnsi="宋体" w:eastAsia="宋体" w:cs="宋体"/>
          <w:b/>
          <w:bCs/>
          <w:color w:val="auto"/>
          <w:sz w:val="24"/>
          <w:szCs w:val="24"/>
          <w:highlight w:val="yellow"/>
        </w:rPr>
        <w:t>”号的为关键参数，</w:t>
      </w:r>
      <w:r>
        <w:rPr>
          <w:rFonts w:hint="eastAsia" w:ascii="宋体" w:hAnsi="宋体" w:eastAsia="宋体" w:cs="宋体"/>
          <w:b/>
          <w:bCs/>
          <w:color w:val="auto"/>
          <w:sz w:val="24"/>
          <w:szCs w:val="24"/>
          <w:highlight w:val="yellow"/>
          <w:lang w:val="en-US" w:eastAsia="zh-CN"/>
        </w:rPr>
        <w:t>其中一项不能满足将导致投标被否决</w:t>
      </w:r>
      <w:r>
        <w:rPr>
          <w:rFonts w:hint="eastAsia" w:ascii="宋体" w:hAnsi="宋体" w:eastAsia="宋体" w:cs="宋体"/>
          <w:b/>
          <w:bCs/>
          <w:color w:val="auto"/>
          <w:sz w:val="24"/>
          <w:szCs w:val="24"/>
          <w:highlight w:val="yellow"/>
        </w:rPr>
        <w:t>。</w:t>
      </w:r>
      <w:r>
        <w:rPr>
          <w:rFonts w:hint="eastAsia" w:ascii="宋体" w:hAnsi="宋体" w:eastAsia="宋体" w:cs="宋体"/>
          <w:b/>
          <w:bCs/>
          <w:color w:val="auto"/>
          <w:sz w:val="24"/>
          <w:szCs w:val="24"/>
          <w:highlight w:val="yellow"/>
          <w:lang w:val="en-US" w:eastAsia="zh-CN"/>
        </w:rPr>
        <w:t>本项目所涉及的设备及传感器需要提供第三方机构出具的检测报告，保证测量范围及精度指标满足招标技术要求。</w:t>
      </w:r>
    </w:p>
    <w:p>
      <w:pPr>
        <w:spacing w:line="360" w:lineRule="auto"/>
        <w:ind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lang w:eastAsia="zh-CN"/>
        </w:rPr>
        <w:t>.1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商用车</w:t>
      </w:r>
      <w:r>
        <w:rPr>
          <w:rFonts w:hint="eastAsia" w:ascii="宋体" w:hAnsi="宋体" w:eastAsia="宋体" w:cs="宋体"/>
          <w:b/>
          <w:bCs/>
          <w:color w:val="000000"/>
          <w:sz w:val="24"/>
          <w:szCs w:val="24"/>
          <w:lang w:val="en-US" w:eastAsia="zh-CN"/>
        </w:rPr>
        <w:t>驾驶室撞击试验台</w:t>
      </w:r>
    </w:p>
    <w:tbl>
      <w:tblPr>
        <w:tblStyle w:val="3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217"/>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31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0</w:t>
            </w:r>
          </w:p>
        </w:tc>
        <w:tc>
          <w:tcPr>
            <w:tcW w:w="221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总体要求</w:t>
            </w:r>
          </w:p>
        </w:tc>
        <w:tc>
          <w:tcPr>
            <w:tcW w:w="6314" w:type="dxa"/>
            <w:noWrap w:val="0"/>
            <w:vAlign w:val="center"/>
          </w:tcPr>
          <w:p>
            <w:pPr>
              <w:keepNext w:val="0"/>
              <w:keepLines w:val="0"/>
              <w:widowControl/>
              <w:numPr>
                <w:ilvl w:val="0"/>
                <w:numId w:val="10"/>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lang w:eastAsia="zh-CN"/>
              </w:rPr>
              <w:t>*能够完成</w:t>
            </w:r>
            <w:r>
              <w:rPr>
                <w:rFonts w:hint="eastAsia" w:ascii="宋体" w:hAnsi="宋体" w:eastAsia="宋体" w:cs="宋体"/>
                <w:sz w:val="24"/>
                <w:szCs w:val="24"/>
              </w:rPr>
              <w:t>GB 26512-20</w:t>
            </w:r>
            <w:r>
              <w:rPr>
                <w:rFonts w:hint="eastAsia" w:ascii="宋体" w:hAnsi="宋体" w:eastAsia="宋体" w:cs="宋体"/>
                <w:sz w:val="24"/>
                <w:szCs w:val="24"/>
                <w:lang w:val="en-US" w:eastAsia="zh-CN"/>
              </w:rPr>
              <w:t>2</w:t>
            </w:r>
            <w:r>
              <w:rPr>
                <w:rFonts w:hint="eastAsia" w:ascii="宋体" w:hAnsi="宋体" w:eastAsia="宋体" w:cs="宋体"/>
                <w:sz w:val="24"/>
                <w:szCs w:val="24"/>
              </w:rPr>
              <w:t>1《商用车驾驶室乘员保护》</w:t>
            </w:r>
            <w:r>
              <w:rPr>
                <w:rFonts w:hint="eastAsia" w:ascii="宋体" w:hAnsi="宋体" w:eastAsia="宋体" w:cs="宋体"/>
                <w:sz w:val="24"/>
                <w:szCs w:val="24"/>
                <w:lang w:eastAsia="zh-CN"/>
              </w:rPr>
              <w:t>、</w:t>
            </w:r>
            <w:r>
              <w:rPr>
                <w:rFonts w:hint="eastAsia" w:ascii="宋体" w:hAnsi="宋体" w:eastAsia="宋体" w:cs="宋体"/>
                <w:sz w:val="24"/>
                <w:szCs w:val="24"/>
              </w:rPr>
              <w:t xml:space="preserve"> JT</w:t>
            </w:r>
            <w:r>
              <w:rPr>
                <w:rFonts w:hint="eastAsia" w:ascii="宋体" w:hAnsi="宋体" w:eastAsia="宋体" w:cs="宋体"/>
                <w:sz w:val="24"/>
                <w:szCs w:val="24"/>
                <w:lang w:val="en-US" w:eastAsia="zh-CN"/>
              </w:rPr>
              <w:t>/</w:t>
            </w:r>
            <w:r>
              <w:rPr>
                <w:rFonts w:hint="eastAsia" w:ascii="宋体" w:hAnsi="宋体" w:eastAsia="宋体" w:cs="宋体"/>
                <w:sz w:val="24"/>
                <w:szCs w:val="24"/>
              </w:rPr>
              <w:t>T 1178.1-2018《营运货车安全技术条件》</w:t>
            </w:r>
            <w:r>
              <w:rPr>
                <w:rFonts w:hint="eastAsia" w:ascii="宋体" w:hAnsi="宋体" w:eastAsia="宋体" w:cs="宋体"/>
                <w:sz w:val="24"/>
                <w:szCs w:val="24"/>
                <w:lang w:eastAsia="zh-CN"/>
              </w:rPr>
              <w:t>中所要求的关于</w:t>
            </w:r>
            <w:r>
              <w:rPr>
                <w:rFonts w:hint="eastAsia" w:ascii="宋体" w:hAnsi="宋体" w:eastAsia="宋体" w:cs="宋体"/>
                <w:sz w:val="24"/>
                <w:szCs w:val="24"/>
              </w:rPr>
              <w:t>商用车驾驶室正面撞击</w:t>
            </w:r>
            <w:r>
              <w:rPr>
                <w:rFonts w:hint="eastAsia" w:ascii="宋体" w:hAnsi="宋体" w:eastAsia="宋体" w:cs="宋体"/>
                <w:sz w:val="24"/>
                <w:szCs w:val="24"/>
                <w:lang w:val="en-US" w:eastAsia="zh-CN"/>
              </w:rPr>
              <w:t>试验</w:t>
            </w:r>
            <w:r>
              <w:rPr>
                <w:rFonts w:hint="eastAsia" w:ascii="宋体" w:hAnsi="宋体" w:eastAsia="宋体" w:cs="宋体"/>
                <w:sz w:val="24"/>
                <w:szCs w:val="24"/>
              </w:rPr>
              <w:t>、驾驶室A柱撞击</w:t>
            </w:r>
            <w:r>
              <w:rPr>
                <w:rFonts w:hint="eastAsia" w:ascii="宋体" w:hAnsi="宋体" w:eastAsia="宋体" w:cs="宋体"/>
                <w:sz w:val="24"/>
                <w:szCs w:val="24"/>
                <w:lang w:val="en-US" w:eastAsia="zh-CN"/>
              </w:rPr>
              <w:t>试验</w:t>
            </w:r>
            <w:r>
              <w:rPr>
                <w:rFonts w:hint="eastAsia" w:ascii="宋体" w:hAnsi="宋体" w:eastAsia="宋体" w:cs="宋体"/>
                <w:sz w:val="24"/>
                <w:szCs w:val="24"/>
              </w:rPr>
              <w:t>、驾驶室顶部强度试验中的动态预加载试验；</w:t>
            </w:r>
          </w:p>
          <w:p>
            <w:pPr>
              <w:keepNext w:val="0"/>
              <w:keepLines w:val="0"/>
              <w:widowControl/>
              <w:numPr>
                <w:ilvl w:val="0"/>
                <w:numId w:val="10"/>
              </w:numPr>
              <w:suppressLineNumbers w:val="0"/>
              <w:spacing w:before="0" w:beforeAutospacing="0" w:after="0" w:afterAutospacing="0" w:line="240" w:lineRule="auto"/>
              <w:ind w:left="0" w:right="0" w:firstLine="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正面撞击、A柱撞击、</w:t>
            </w:r>
            <w:r>
              <w:rPr>
                <w:rFonts w:hint="eastAsia" w:ascii="宋体" w:hAnsi="宋体" w:eastAsia="宋体" w:cs="宋体"/>
                <w:sz w:val="24"/>
                <w:szCs w:val="24"/>
                <w:highlight w:val="none"/>
              </w:rPr>
              <w:t>动态预加载</w:t>
            </w:r>
            <w:r>
              <w:rPr>
                <w:rFonts w:hint="eastAsia" w:ascii="宋体" w:hAnsi="宋体" w:eastAsia="宋体" w:cs="宋体"/>
                <w:sz w:val="24"/>
                <w:szCs w:val="24"/>
                <w:highlight w:val="none"/>
                <w:lang w:val="en-US" w:eastAsia="zh-CN"/>
              </w:rPr>
              <w:t>撞击布置成三个独立的工位</w:t>
            </w:r>
            <w:r>
              <w:rPr>
                <w:rFonts w:hint="eastAsia" w:ascii="宋体" w:hAnsi="宋体" w:eastAsia="宋体" w:cs="宋体"/>
                <w:sz w:val="24"/>
                <w:szCs w:val="24"/>
                <w:highlight w:val="none"/>
                <w:lang w:eastAsia="zh-CN"/>
              </w:rPr>
              <w:t>；</w:t>
            </w:r>
          </w:p>
          <w:p>
            <w:pPr>
              <w:keepNext w:val="0"/>
              <w:keepLines w:val="0"/>
              <w:widowControl/>
              <w:numPr>
                <w:ilvl w:val="0"/>
                <w:numId w:val="10"/>
              </w:numPr>
              <w:suppressLineNumbers w:val="0"/>
              <w:spacing w:before="0" w:beforeAutospacing="0" w:after="0" w:afterAutospacing="0" w:line="240" w:lineRule="auto"/>
              <w:ind w:right="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设备的布置方案应成熟稳定，至少有一个同类型成功实用案例，并提供相关可靠证明。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设备框架</w:t>
            </w:r>
          </w:p>
        </w:tc>
        <w:tc>
          <w:tcPr>
            <w:tcW w:w="6314" w:type="dxa"/>
            <w:noWrap w:val="0"/>
            <w:vAlign w:val="center"/>
          </w:tcPr>
          <w:p>
            <w:pPr>
              <w:keepNext w:val="0"/>
              <w:keepLines w:val="0"/>
              <w:widowControl/>
              <w:numPr>
                <w:ilvl w:val="0"/>
                <w:numId w:val="11"/>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设备框架</w:t>
            </w:r>
            <w:r>
              <w:rPr>
                <w:rFonts w:hint="eastAsia" w:ascii="宋体" w:hAnsi="宋体" w:eastAsia="宋体" w:cs="宋体"/>
                <w:color w:val="auto"/>
                <w:sz w:val="24"/>
                <w:szCs w:val="24"/>
              </w:rPr>
              <w:t>为立式龙门框架结构，满足试验的强度要求，保证碰撞后框架不应因摆锤的振动作用而有明显晃动</w:t>
            </w:r>
            <w:r>
              <w:rPr>
                <w:rFonts w:hint="eastAsia" w:ascii="宋体" w:hAnsi="宋体" w:eastAsia="宋体" w:cs="宋体"/>
                <w:color w:val="auto"/>
                <w:sz w:val="24"/>
                <w:szCs w:val="24"/>
                <w:lang w:eastAsia="zh-CN"/>
              </w:rPr>
              <w:t>；</w:t>
            </w:r>
          </w:p>
          <w:p>
            <w:pPr>
              <w:keepNext w:val="0"/>
              <w:keepLines w:val="0"/>
              <w:widowControl/>
              <w:numPr>
                <w:ilvl w:val="0"/>
                <w:numId w:val="11"/>
              </w:numPr>
              <w:suppressLineNumbers w:val="0"/>
              <w:spacing w:before="0" w:beforeAutospacing="0" w:after="0" w:afterAutospacing="0" w:line="240" w:lineRule="auto"/>
              <w:ind w:right="0"/>
              <w:rPr>
                <w:rFonts w:hint="eastAsia" w:ascii="宋体" w:hAnsi="宋体" w:eastAsia="宋体" w:cs="宋体"/>
                <w:color w:val="auto"/>
                <w:sz w:val="24"/>
                <w:szCs w:val="24"/>
              </w:rPr>
            </w:pPr>
            <w:r>
              <w:rPr>
                <w:rFonts w:hint="eastAsia" w:ascii="宋体" w:hAnsi="宋体" w:eastAsia="宋体" w:cs="宋体"/>
                <w:color w:val="auto"/>
                <w:sz w:val="24"/>
                <w:szCs w:val="24"/>
              </w:rPr>
              <w:t>采用国标优质H型钢焊接而成，表面多层涂装保护，可保障设备主架长期免维护使用</w:t>
            </w:r>
            <w:r>
              <w:rPr>
                <w:rFonts w:hint="eastAsia" w:ascii="宋体" w:hAnsi="宋体" w:eastAsia="宋体" w:cs="宋体"/>
                <w:color w:val="auto"/>
                <w:sz w:val="24"/>
                <w:szCs w:val="24"/>
                <w:lang w:eastAsia="zh-CN"/>
              </w:rPr>
              <w:t>；</w:t>
            </w:r>
          </w:p>
          <w:p>
            <w:pPr>
              <w:keepNext w:val="0"/>
              <w:keepLines w:val="0"/>
              <w:widowControl/>
              <w:numPr>
                <w:ilvl w:val="0"/>
                <w:numId w:val="11"/>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摆臂为刚性</w:t>
            </w:r>
            <w:r>
              <w:rPr>
                <w:rFonts w:hint="eastAsia" w:ascii="宋体" w:hAnsi="宋体" w:eastAsia="宋体" w:cs="宋体"/>
                <w:color w:val="auto"/>
                <w:sz w:val="24"/>
                <w:szCs w:val="24"/>
                <w:highlight w:val="none"/>
                <w:lang w:val="en-US" w:eastAsia="zh-CN"/>
              </w:rPr>
              <w:t>摆臂，预留柔性摆臂接口；</w:t>
            </w:r>
          </w:p>
          <w:p>
            <w:pPr>
              <w:keepNext w:val="0"/>
              <w:keepLines w:val="0"/>
              <w:widowControl/>
              <w:numPr>
                <w:ilvl w:val="0"/>
                <w:numId w:val="11"/>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摆臂长度≥3500mm（悬吊轴到摆锤的几何中心）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摆臂间距≥1000mm</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正面撞击试验摆锤尺寸及控制要求</w:t>
            </w:r>
          </w:p>
        </w:tc>
        <w:tc>
          <w:tcPr>
            <w:tcW w:w="6314" w:type="dxa"/>
            <w:noWrap w:val="0"/>
            <w:vAlign w:val="center"/>
          </w:tcPr>
          <w:p>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摆锤撞击面尺寸：平整矩形，2500mm（长）×800mm（高）；</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摆锤质量：≥1500kg，材料为钢制且质量均匀分布；</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摆锤撞击面棱边的圆角半径：10mm±5mm；</w:t>
            </w:r>
          </w:p>
          <w:p>
            <w:pPr>
              <w:keepNext w:val="0"/>
              <w:keepLines w:val="0"/>
              <w:widowControl/>
              <w:numPr>
                <w:ilvl w:val="0"/>
                <w:numId w:val="12"/>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lang w:val="en-US" w:eastAsia="zh-CN"/>
              </w:rPr>
              <w:t>摆锤最大撞击能量：不低于6</w:t>
            </w:r>
            <w:r>
              <w:rPr>
                <w:rFonts w:hint="eastAsia" w:ascii="宋体" w:hAnsi="宋体" w:eastAsia="宋体" w:cs="宋体"/>
                <w:color w:val="auto"/>
                <w:sz w:val="24"/>
                <w:szCs w:val="24"/>
              </w:rPr>
              <w:t>5kJ</w:t>
            </w:r>
            <w:r>
              <w:rPr>
                <w:rFonts w:hint="eastAsia" w:ascii="宋体" w:hAnsi="宋体" w:eastAsia="宋体" w:cs="宋体"/>
                <w:color w:val="auto"/>
                <w:sz w:val="24"/>
                <w:szCs w:val="24"/>
                <w:lang w:eastAsia="zh-CN"/>
              </w:rPr>
              <w:t>；</w:t>
            </w:r>
          </w:p>
          <w:p>
            <w:pPr>
              <w:keepNext w:val="0"/>
              <w:keepLines w:val="0"/>
              <w:widowControl/>
              <w:numPr>
                <w:ilvl w:val="0"/>
                <w:numId w:val="12"/>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摆锤要有足够的刚度，在试验过程中不发生明显变形。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A柱撞击试验摆锤尺寸及控制要求</w:t>
            </w:r>
          </w:p>
        </w:tc>
        <w:tc>
          <w:tcPr>
            <w:tcW w:w="6314"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摆锤撞击面尺寸：外径φ60</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highlight w:val="none"/>
                <w:lang w:val="en-US" w:eastAsia="zh-CN"/>
              </w:rPr>
              <w:t>50mm，长度2600mm；</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摆锤质量：≥1000kg，材料为钢制且质量均匀分布；</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摆锤撞击面棱边的圆角半径：≥1.5mm；</w:t>
            </w:r>
          </w:p>
          <w:p>
            <w:pPr>
              <w:keepNext w:val="0"/>
              <w:keepLines w:val="0"/>
              <w:widowControl/>
              <w:numPr>
                <w:ilvl w:val="0"/>
                <w:numId w:val="13"/>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lang w:val="en-US" w:eastAsia="zh-CN"/>
              </w:rPr>
              <w:t>摆锤最大撞击能量：不低于36</w:t>
            </w:r>
            <w:r>
              <w:rPr>
                <w:rFonts w:hint="eastAsia" w:ascii="宋体" w:hAnsi="宋体" w:eastAsia="宋体" w:cs="宋体"/>
                <w:color w:val="auto"/>
                <w:sz w:val="24"/>
                <w:szCs w:val="24"/>
              </w:rPr>
              <w:t>kJ</w:t>
            </w:r>
            <w:r>
              <w:rPr>
                <w:rFonts w:hint="eastAsia" w:ascii="宋体" w:hAnsi="宋体" w:eastAsia="宋体" w:cs="宋体"/>
                <w:color w:val="auto"/>
                <w:sz w:val="24"/>
                <w:szCs w:val="24"/>
                <w:lang w:eastAsia="zh-CN"/>
              </w:rPr>
              <w:t>；</w:t>
            </w:r>
          </w:p>
          <w:p>
            <w:pPr>
              <w:keepNext w:val="0"/>
              <w:keepLines w:val="0"/>
              <w:widowControl/>
              <w:numPr>
                <w:ilvl w:val="0"/>
                <w:numId w:val="13"/>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摆锤要有足够的刚度，在试验过程中不发生明显变形。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4</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动态预加载试验摆锤</w:t>
            </w:r>
            <w:r>
              <w:rPr>
                <w:rFonts w:hint="eastAsia" w:ascii="宋体" w:hAnsi="宋体" w:eastAsia="宋体" w:cs="宋体"/>
                <w:sz w:val="24"/>
                <w:szCs w:val="24"/>
                <w:lang w:val="en-US" w:eastAsia="zh-CN"/>
              </w:rPr>
              <w:t>尺寸及控制要求</w:t>
            </w:r>
          </w:p>
        </w:tc>
        <w:tc>
          <w:tcPr>
            <w:tcW w:w="6314"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摆锤撞击面尺寸：平整矩形，3200mm(长)×2500mm（高）；</w:t>
            </w:r>
          </w:p>
          <w:p>
            <w:pPr>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摆锤质量：≥1500kg，材料为钢制且质量均匀分布；</w:t>
            </w:r>
          </w:p>
          <w:p>
            <w:pPr>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摆锤撞击面棱边的圆角半径：≥1.5mm；</w:t>
            </w:r>
          </w:p>
          <w:p>
            <w:pPr>
              <w:keepNext w:val="0"/>
              <w:keepLines w:val="0"/>
              <w:widowControl/>
              <w:numPr>
                <w:ilvl w:val="0"/>
                <w:numId w:val="14"/>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摆锤最大撞击能量：不低于24</w:t>
            </w:r>
            <w:r>
              <w:rPr>
                <w:rFonts w:hint="eastAsia" w:ascii="宋体" w:hAnsi="宋体" w:eastAsia="宋体" w:cs="宋体"/>
                <w:color w:val="auto"/>
                <w:sz w:val="24"/>
                <w:szCs w:val="24"/>
              </w:rPr>
              <w:t>kJ</w:t>
            </w:r>
            <w:r>
              <w:rPr>
                <w:rFonts w:hint="eastAsia" w:ascii="宋体" w:hAnsi="宋体" w:eastAsia="宋体" w:cs="宋体"/>
                <w:color w:val="auto"/>
                <w:sz w:val="24"/>
                <w:szCs w:val="24"/>
                <w:lang w:eastAsia="zh-CN"/>
              </w:rPr>
              <w:t>；</w:t>
            </w:r>
          </w:p>
          <w:p>
            <w:pPr>
              <w:keepNext w:val="0"/>
              <w:keepLines w:val="0"/>
              <w:widowControl/>
              <w:numPr>
                <w:ilvl w:val="0"/>
                <w:numId w:val="14"/>
              </w:numPr>
              <w:suppressLineNumbers w:val="0"/>
              <w:spacing w:before="0" w:beforeAutospacing="0" w:after="0" w:afterAutospacing="0" w:line="24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进行撞击</w:t>
            </w:r>
            <w:r>
              <w:rPr>
                <w:rFonts w:hint="eastAsia" w:ascii="宋体" w:hAnsi="宋体" w:eastAsia="宋体" w:cs="宋体"/>
                <w:color w:val="auto"/>
                <w:sz w:val="24"/>
                <w:szCs w:val="24"/>
              </w:rPr>
              <w:t>试验时，样品平放于地面，</w:t>
            </w:r>
            <w:r>
              <w:rPr>
                <w:rFonts w:hint="eastAsia" w:ascii="宋体" w:hAnsi="宋体" w:eastAsia="宋体" w:cs="宋体"/>
                <w:color w:val="auto"/>
                <w:sz w:val="24"/>
                <w:szCs w:val="24"/>
                <w:lang w:val="en-US" w:eastAsia="zh-CN"/>
              </w:rPr>
              <w:t>撞击时</w:t>
            </w:r>
            <w:r>
              <w:rPr>
                <w:rFonts w:hint="eastAsia" w:ascii="宋体" w:hAnsi="宋体" w:eastAsia="宋体" w:cs="宋体"/>
                <w:sz w:val="24"/>
                <w:szCs w:val="24"/>
              </w:rPr>
              <w:t>摆锤撞击面与驾驶室纵向中心平面成20°夹角</w:t>
            </w:r>
            <w:r>
              <w:rPr>
                <w:rFonts w:hint="eastAsia" w:ascii="宋体" w:hAnsi="宋体" w:eastAsia="宋体" w:cs="宋体"/>
                <w:sz w:val="24"/>
                <w:szCs w:val="24"/>
                <w:lang w:eastAsia="zh-CN"/>
              </w:rPr>
              <w:t>；</w:t>
            </w:r>
          </w:p>
          <w:p>
            <w:pPr>
              <w:keepNext w:val="0"/>
              <w:keepLines w:val="0"/>
              <w:widowControl/>
              <w:numPr>
                <w:ilvl w:val="0"/>
                <w:numId w:val="14"/>
              </w:numPr>
              <w:suppressLineNumbers w:val="0"/>
              <w:spacing w:before="0" w:beforeAutospacing="0" w:after="0" w:afterAutospacing="0" w:line="24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摆锤要有足够的刚度，在试验过程中不发生明显变形。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摆锤高度调节机构</w:t>
            </w:r>
          </w:p>
        </w:tc>
        <w:tc>
          <w:tcPr>
            <w:tcW w:w="6314" w:type="dxa"/>
            <w:noWrap w:val="0"/>
            <w:vAlign w:val="center"/>
          </w:tcPr>
          <w:p>
            <w:pPr>
              <w:keepNext w:val="0"/>
              <w:keepLines w:val="0"/>
              <w:widowControl/>
              <w:numPr>
                <w:ilvl w:val="0"/>
                <w:numId w:val="15"/>
              </w:numPr>
              <w:suppressLineNumbers w:val="0"/>
              <w:spacing w:before="0" w:beforeAutospacing="0" w:after="0" w:afterAutospacing="0" w:line="240" w:lineRule="auto"/>
              <w:ind w:left="0" w:right="0" w:firstLine="0"/>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val="en-US" w:eastAsia="zh-CN"/>
              </w:rPr>
              <w:t>正面撞击摆锤质心撞击高度调节范围：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不少于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1000mm～3500mm；</w:t>
            </w:r>
          </w:p>
          <w:p>
            <w:pPr>
              <w:keepNext w:val="0"/>
              <w:keepLines w:val="0"/>
              <w:widowControl/>
              <w:numPr>
                <w:ilvl w:val="0"/>
                <w:numId w:val="15"/>
              </w:numPr>
              <w:suppressLineNumbers w:val="0"/>
              <w:spacing w:before="0" w:beforeAutospacing="0" w:after="0" w:afterAutospacing="0" w:line="240" w:lineRule="auto"/>
              <w:ind w:left="0" w:right="0"/>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lang w:val="en-US" w:eastAsia="zh-CN"/>
              </w:rPr>
              <w:t>A柱撞击</w:t>
            </w:r>
            <w:r>
              <w:rPr>
                <w:rFonts w:hint="eastAsia" w:ascii="宋体" w:hAnsi="宋体" w:eastAsia="宋体" w:cs="宋体"/>
                <w:color w:val="auto"/>
                <w:sz w:val="24"/>
                <w:szCs w:val="24"/>
                <w:highlight w:val="none"/>
                <w:lang w:val="en-US" w:eastAsia="zh-CN"/>
              </w:rPr>
              <w:t>摆锤质心撞击高度调节范围：（不少于）800mm～3500mm；</w:t>
            </w:r>
          </w:p>
          <w:p>
            <w:pPr>
              <w:keepNext w:val="0"/>
              <w:keepLines w:val="0"/>
              <w:widowControl/>
              <w:numPr>
                <w:ilvl w:val="0"/>
                <w:numId w:val="15"/>
              </w:numPr>
              <w:suppressLineNumbers w:val="0"/>
              <w:spacing w:before="0" w:beforeAutospacing="0" w:after="0" w:afterAutospacing="0" w:line="240" w:lineRule="auto"/>
              <w:ind w:left="0" w:right="0"/>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rPr>
              <w:t>动态预加载</w:t>
            </w:r>
            <w:r>
              <w:rPr>
                <w:rFonts w:hint="eastAsia" w:ascii="宋体" w:hAnsi="宋体" w:eastAsia="宋体" w:cs="宋体"/>
                <w:color w:val="auto"/>
                <w:sz w:val="24"/>
                <w:szCs w:val="24"/>
                <w:lang w:val="en-US" w:eastAsia="zh-CN"/>
              </w:rPr>
              <w:t>撞击</w:t>
            </w:r>
            <w:r>
              <w:rPr>
                <w:rFonts w:hint="eastAsia" w:ascii="宋体" w:hAnsi="宋体" w:eastAsia="宋体" w:cs="宋体"/>
                <w:color w:val="auto"/>
                <w:sz w:val="24"/>
                <w:szCs w:val="24"/>
                <w:highlight w:val="none"/>
                <w:lang w:val="en-US" w:eastAsia="zh-CN"/>
              </w:rPr>
              <w:t>摆锤质心碰撞高度调节范围：（不少于）1500mm～3500mm；</w:t>
            </w:r>
          </w:p>
          <w:p>
            <w:pPr>
              <w:keepNext w:val="0"/>
              <w:keepLines w:val="0"/>
              <w:widowControl/>
              <w:numPr>
                <w:ilvl w:val="0"/>
                <w:numId w:val="15"/>
              </w:numPr>
              <w:suppressLineNumbers w:val="0"/>
              <w:spacing w:before="0" w:beforeAutospacing="0" w:after="0" w:afterAutospacing="0" w:line="240" w:lineRule="auto"/>
              <w:ind w:left="0" w:right="0"/>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rPr>
              <w:t>高度调节精度：±5mm</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6</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摆锤角度提升机构</w:t>
            </w:r>
          </w:p>
        </w:tc>
        <w:tc>
          <w:tcPr>
            <w:tcW w:w="6314" w:type="dxa"/>
            <w:noWrap w:val="0"/>
            <w:vAlign w:val="center"/>
          </w:tcPr>
          <w:p>
            <w:pPr>
              <w:keepNext w:val="0"/>
              <w:keepLines w:val="0"/>
              <w:widowControl/>
              <w:numPr>
                <w:ilvl w:val="0"/>
                <w:numId w:val="16"/>
              </w:numPr>
              <w:suppressLineNumbers w:val="0"/>
              <w:spacing w:before="0" w:beforeAutospacing="0" w:after="0" w:afterAutospacing="0" w:line="240" w:lineRule="auto"/>
              <w:ind w:left="0" w:right="0" w:firstLine="0"/>
              <w:jc w:val="left"/>
              <w:rPr>
                <w:rFonts w:hint="eastAsia" w:ascii="宋体" w:hAnsi="宋体" w:eastAsia="宋体" w:cs="宋体"/>
                <w:color w:val="FF0000"/>
                <w:sz w:val="24"/>
                <w:szCs w:val="24"/>
                <w:highlight w:val="none"/>
                <w:lang w:val="en-US" w:eastAsia="zh-CN"/>
              </w:rPr>
            </w:pPr>
            <w:r>
              <w:rPr>
                <w:rFonts w:hint="eastAsia" w:ascii="宋体" w:hAnsi="宋体" w:eastAsia="宋体" w:cs="宋体"/>
                <w:color w:val="000000"/>
                <w:sz w:val="24"/>
                <w:szCs w:val="24"/>
                <w:lang w:val="en-US" w:eastAsia="zh-CN"/>
              </w:rPr>
              <w:t>摆锤角度提升机构</w:t>
            </w:r>
            <w:r>
              <w:rPr>
                <w:rFonts w:hint="eastAsia" w:ascii="宋体" w:hAnsi="宋体" w:eastAsia="宋体" w:cs="宋体"/>
                <w:sz w:val="24"/>
                <w:szCs w:val="24"/>
              </w:rPr>
              <w:t>额定拉力不低于50kN，通过角度传感器，实现偏摆角度的实时、精确控制</w:t>
            </w:r>
            <w:r>
              <w:rPr>
                <w:rFonts w:hint="eastAsia" w:ascii="宋体" w:hAnsi="宋体" w:eastAsia="宋体" w:cs="宋体"/>
                <w:sz w:val="24"/>
                <w:szCs w:val="24"/>
                <w:lang w:eastAsia="zh-CN"/>
              </w:rPr>
              <w:t>；</w:t>
            </w:r>
          </w:p>
          <w:p>
            <w:pPr>
              <w:keepNext w:val="0"/>
              <w:keepLines w:val="0"/>
              <w:widowControl/>
              <w:numPr>
                <w:ilvl w:val="0"/>
                <w:numId w:val="16"/>
              </w:numPr>
              <w:suppressLineNumbers w:val="0"/>
              <w:spacing w:before="0" w:beforeAutospacing="0" w:after="0" w:afterAutospacing="0" w:line="240" w:lineRule="auto"/>
              <w:ind w:left="0" w:right="0" w:firstLine="0"/>
              <w:jc w:val="left"/>
              <w:rPr>
                <w:rFonts w:hint="eastAsia" w:ascii="宋体" w:hAnsi="宋体" w:eastAsia="宋体" w:cs="宋体"/>
                <w:color w:val="auto"/>
                <w:sz w:val="24"/>
                <w:szCs w:val="24"/>
              </w:rPr>
            </w:pPr>
            <w:r>
              <w:rPr>
                <w:rFonts w:hint="eastAsia" w:ascii="宋体" w:hAnsi="宋体" w:eastAsia="宋体" w:cs="宋体"/>
                <w:color w:val="auto"/>
                <w:sz w:val="24"/>
                <w:szCs w:val="24"/>
              </w:rPr>
              <w:t>摆锤提升角静态测量精度：±0.5%FS</w:t>
            </w:r>
            <w:r>
              <w:rPr>
                <w:rFonts w:hint="eastAsia" w:ascii="宋体" w:hAnsi="宋体" w:eastAsia="宋体" w:cs="宋体"/>
                <w:color w:val="auto"/>
                <w:sz w:val="24"/>
                <w:szCs w:val="24"/>
                <w:lang w:eastAsia="zh-CN"/>
              </w:rPr>
              <w:t>；</w:t>
            </w:r>
          </w:p>
          <w:p>
            <w:pPr>
              <w:keepNext w:val="0"/>
              <w:keepLines w:val="0"/>
              <w:widowControl/>
              <w:numPr>
                <w:ilvl w:val="0"/>
                <w:numId w:val="16"/>
              </w:numPr>
              <w:suppressLineNumbers w:val="0"/>
              <w:spacing w:before="0" w:beforeAutospacing="0" w:after="0" w:afterAutospacing="0" w:line="240" w:lineRule="auto"/>
              <w:ind w:left="0" w:right="0"/>
              <w:jc w:val="left"/>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shd w:val="clear" w:color="auto" w:fill="auto"/>
              </w:rPr>
              <w:t>摆锤提升角动态控制精度：示值的±1%</w:t>
            </w:r>
            <w:r>
              <w:rPr>
                <w:rFonts w:hint="eastAsia" w:ascii="宋体" w:hAnsi="宋体" w:eastAsia="宋体" w:cs="宋体"/>
                <w:color w:val="auto"/>
                <w:sz w:val="24"/>
                <w:szCs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sz w:val="24"/>
                <w:szCs w:val="24"/>
              </w:rPr>
            </w:pPr>
            <w:r>
              <w:rPr>
                <w:rFonts w:hint="eastAsia" w:ascii="宋体" w:hAnsi="宋体" w:eastAsia="宋体" w:cs="宋体"/>
                <w:sz w:val="24"/>
                <w:szCs w:val="24"/>
              </w:rPr>
              <w:t>摆锤脱</w:t>
            </w:r>
            <w:r>
              <w:rPr>
                <w:rFonts w:hint="eastAsia" w:ascii="宋体" w:hAnsi="宋体" w:eastAsia="宋体" w:cs="宋体"/>
                <w:sz w:val="24"/>
                <w:szCs w:val="24"/>
                <w:lang w:val="en-US" w:eastAsia="zh-CN"/>
              </w:rPr>
              <w:t>钩</w:t>
            </w:r>
            <w:r>
              <w:rPr>
                <w:rFonts w:hint="eastAsia" w:ascii="宋体" w:hAnsi="宋体" w:eastAsia="宋体" w:cs="宋体"/>
                <w:sz w:val="24"/>
                <w:szCs w:val="24"/>
              </w:rPr>
              <w:t>机构</w:t>
            </w:r>
          </w:p>
        </w:tc>
        <w:tc>
          <w:tcPr>
            <w:tcW w:w="6314" w:type="dxa"/>
            <w:noWrap w:val="0"/>
            <w:vAlign w:val="center"/>
          </w:tcPr>
          <w:p>
            <w:pPr>
              <w:keepNext w:val="0"/>
              <w:keepLines w:val="0"/>
              <w:widowControl/>
              <w:numPr>
                <w:ilvl w:val="0"/>
                <w:numId w:val="17"/>
              </w:numPr>
              <w:suppressLineNumbers w:val="0"/>
              <w:spacing w:before="0" w:beforeAutospacing="0" w:after="0" w:afterAutospacing="0" w:line="240" w:lineRule="auto"/>
              <w:ind w:left="0" w:right="0"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摆锤释放装置具有足够安全性，通过机械自锁的方式保证在气动系统失效时，摆锤释放装置不会开启；</w:t>
            </w:r>
          </w:p>
          <w:p>
            <w:pPr>
              <w:keepNext w:val="0"/>
              <w:keepLines w:val="0"/>
              <w:widowControl/>
              <w:numPr>
                <w:ilvl w:val="0"/>
                <w:numId w:val="17"/>
              </w:numPr>
              <w:suppressLineNumbers w:val="0"/>
              <w:spacing w:before="0" w:beforeAutospacing="0" w:after="0" w:afterAutospacing="0" w:line="240" w:lineRule="auto"/>
              <w:ind w:left="0" w:right="0"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当出现挂钩未锁定和未释放、保险销未锁定和未打开等异常故障，应有报警信号；</w:t>
            </w:r>
          </w:p>
          <w:p>
            <w:pPr>
              <w:keepNext w:val="0"/>
              <w:keepLines w:val="0"/>
              <w:widowControl/>
              <w:numPr>
                <w:ilvl w:val="0"/>
                <w:numId w:val="17"/>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脱钩</w:t>
            </w:r>
            <w:r>
              <w:rPr>
                <w:rFonts w:hint="eastAsia" w:ascii="宋体" w:hAnsi="宋体" w:eastAsia="宋体" w:cs="宋体"/>
                <w:sz w:val="24"/>
                <w:szCs w:val="24"/>
                <w:lang w:val="en-US" w:eastAsia="zh-CN"/>
              </w:rPr>
              <w:t>机构释放摆锤的同时可输出两路开关或5伏TTL电平触发信号，用于触发高速摄像机进行拍摄记录。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8</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kern w:val="2"/>
                <w:sz w:val="24"/>
                <w:szCs w:val="24"/>
              </w:rPr>
            </w:pPr>
            <w:r>
              <w:rPr>
                <w:rFonts w:hint="eastAsia" w:ascii="宋体" w:hAnsi="宋体" w:eastAsia="宋体" w:cs="宋体"/>
                <w:color w:val="000000"/>
                <w:sz w:val="24"/>
                <w:szCs w:val="24"/>
                <w:lang w:val="en-US" w:eastAsia="zh-CN"/>
              </w:rPr>
              <w:t>防止二次碰撞制动装置</w:t>
            </w:r>
          </w:p>
        </w:tc>
        <w:tc>
          <w:tcPr>
            <w:tcW w:w="6314" w:type="dxa"/>
            <w:noWrap w:val="0"/>
            <w:vAlign w:val="center"/>
          </w:tcPr>
          <w:p>
            <w:pPr>
              <w:keepNext w:val="0"/>
              <w:keepLines w:val="0"/>
              <w:widowControl/>
              <w:numPr>
                <w:ilvl w:val="0"/>
                <w:numId w:val="18"/>
              </w:numPr>
              <w:suppressLineNumbers w:val="0"/>
              <w:spacing w:before="0" w:beforeAutospacing="0" w:after="0" w:afterAutospacing="0" w:line="240" w:lineRule="auto"/>
              <w:ind w:right="0" w:rightChars="0"/>
              <w:jc w:val="left"/>
              <w:rPr>
                <w:rFonts w:hint="eastAsia" w:ascii="宋体" w:hAnsi="宋体" w:eastAsia="宋体" w:cs="宋体"/>
                <w:color w:val="auto"/>
                <w:sz w:val="24"/>
                <w:szCs w:val="24"/>
              </w:rPr>
            </w:pPr>
            <w:r>
              <w:rPr>
                <w:rFonts w:hint="eastAsia" w:ascii="宋体" w:hAnsi="宋体" w:eastAsia="宋体" w:cs="宋体"/>
                <w:color w:val="auto"/>
                <w:sz w:val="24"/>
                <w:szCs w:val="24"/>
              </w:rPr>
              <w:t>需</w:t>
            </w:r>
            <w:r>
              <w:rPr>
                <w:rFonts w:hint="eastAsia" w:ascii="宋体" w:hAnsi="宋体" w:eastAsia="宋体" w:cs="宋体"/>
                <w:color w:val="auto"/>
                <w:sz w:val="24"/>
                <w:szCs w:val="24"/>
                <w:lang w:val="en-US" w:eastAsia="zh-CN"/>
              </w:rPr>
              <w:t>配备</w:t>
            </w:r>
            <w:r>
              <w:rPr>
                <w:rFonts w:hint="eastAsia" w:ascii="宋体" w:hAnsi="宋体" w:eastAsia="宋体" w:cs="宋体"/>
                <w:color w:val="auto"/>
                <w:sz w:val="24"/>
                <w:szCs w:val="24"/>
              </w:rPr>
              <w:t>防止二次碰撞功能；</w:t>
            </w:r>
          </w:p>
          <w:p>
            <w:pPr>
              <w:keepNext w:val="0"/>
              <w:keepLines w:val="0"/>
              <w:widowControl/>
              <w:numPr>
                <w:ilvl w:val="0"/>
                <w:numId w:val="18"/>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lang w:val="en-US" w:eastAsia="zh-CN"/>
              </w:rPr>
              <w:t>防止二次碰撞功能可根据需求设置禁用。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sz w:val="24"/>
                <w:szCs w:val="24"/>
                <w:lang w:val="en-US" w:eastAsia="zh-CN"/>
              </w:rPr>
            </w:pPr>
            <w:r>
              <w:rPr>
                <w:rFonts w:hint="eastAsia" w:ascii="宋体" w:hAnsi="宋体" w:eastAsia="宋体" w:cs="宋体"/>
                <w:color w:val="auto"/>
                <w:kern w:val="2"/>
                <w:sz w:val="24"/>
                <w:szCs w:val="24"/>
                <w:lang w:val="en-US" w:eastAsia="zh-CN"/>
              </w:rPr>
              <w:t>固车系统</w:t>
            </w:r>
          </w:p>
        </w:tc>
        <w:tc>
          <w:tcPr>
            <w:tcW w:w="6314" w:type="dxa"/>
            <w:noWrap w:val="0"/>
            <w:vAlign w:val="center"/>
          </w:tcPr>
          <w:p>
            <w:pPr>
              <w:keepNext w:val="0"/>
              <w:keepLines w:val="0"/>
              <w:widowControl/>
              <w:numPr>
                <w:ilvl w:val="0"/>
                <w:numId w:val="19"/>
              </w:numPr>
              <w:suppressLineNumbers w:val="0"/>
              <w:spacing w:before="0" w:beforeAutospacing="0" w:after="0" w:afterAutospacing="0" w:line="240" w:lineRule="auto"/>
              <w:ind w:right="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正面撞击试验应设置足够多的系固点满足不同车型（轻卡、中重卡）的系固要求，系固点的设置需符合</w:t>
            </w:r>
            <w:r>
              <w:rPr>
                <w:rFonts w:hint="eastAsia" w:ascii="宋体" w:hAnsi="宋体" w:eastAsia="宋体" w:cs="宋体"/>
                <w:sz w:val="24"/>
                <w:szCs w:val="24"/>
              </w:rPr>
              <w:t>GB 26512-20</w:t>
            </w:r>
            <w:r>
              <w:rPr>
                <w:rFonts w:hint="eastAsia" w:ascii="宋体" w:hAnsi="宋体" w:eastAsia="宋体" w:cs="宋体"/>
                <w:sz w:val="24"/>
                <w:szCs w:val="24"/>
                <w:lang w:val="en-US" w:eastAsia="zh-CN"/>
              </w:rPr>
              <w:t>2</w:t>
            </w:r>
            <w:r>
              <w:rPr>
                <w:rFonts w:hint="eastAsia" w:ascii="宋体" w:hAnsi="宋体" w:eastAsia="宋体" w:cs="宋体"/>
                <w:sz w:val="24"/>
                <w:szCs w:val="24"/>
              </w:rPr>
              <w:t>1《商用车驾驶室乘员保护》附录</w:t>
            </w:r>
            <w:r>
              <w:rPr>
                <w:rFonts w:hint="eastAsia" w:ascii="宋体" w:hAnsi="宋体" w:eastAsia="宋体" w:cs="宋体"/>
                <w:sz w:val="24"/>
                <w:szCs w:val="24"/>
                <w:lang w:val="en-US" w:eastAsia="zh-CN"/>
              </w:rPr>
              <w:t>C</w:t>
            </w:r>
            <w:r>
              <w:rPr>
                <w:rFonts w:hint="eastAsia" w:ascii="宋体" w:hAnsi="宋体" w:eastAsia="宋体" w:cs="宋体"/>
                <w:sz w:val="24"/>
                <w:szCs w:val="24"/>
              </w:rPr>
              <w:t>的要求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试验车辆最大长度不小于12000mm</w:t>
            </w:r>
            <w:r>
              <w:rPr>
                <w:rFonts w:hint="eastAsia" w:ascii="宋体" w:hAnsi="宋体" w:eastAsia="宋体" w:cs="宋体"/>
                <w:sz w:val="24"/>
                <w:szCs w:val="24"/>
                <w:lang w:eastAsia="zh-CN"/>
              </w:rPr>
              <w:t>；</w:t>
            </w:r>
          </w:p>
          <w:p>
            <w:pPr>
              <w:keepNext w:val="0"/>
              <w:keepLines w:val="0"/>
              <w:widowControl/>
              <w:numPr>
                <w:ilvl w:val="0"/>
                <w:numId w:val="19"/>
              </w:numPr>
              <w:suppressLineNumbers w:val="0"/>
              <w:spacing w:before="0" w:beforeAutospacing="0" w:after="0" w:afterAutospacing="0" w:line="240" w:lineRule="auto"/>
              <w:ind w:right="0"/>
              <w:jc w:val="both"/>
              <w:rPr>
                <w:rFonts w:hint="eastAsia" w:ascii="宋体" w:hAnsi="宋体" w:eastAsia="宋体" w:cs="宋体"/>
                <w:sz w:val="24"/>
                <w:szCs w:val="24"/>
                <w:lang w:eastAsia="zh-CN"/>
              </w:rPr>
            </w:pPr>
            <w:r>
              <w:rPr>
                <w:rFonts w:hint="eastAsia" w:ascii="宋体" w:hAnsi="宋体" w:eastAsia="宋体" w:cs="宋体"/>
                <w:sz w:val="24"/>
                <w:szCs w:val="24"/>
              </w:rPr>
              <w:t>固定</w:t>
            </w:r>
            <w:r>
              <w:rPr>
                <w:rFonts w:hint="eastAsia" w:ascii="宋体" w:hAnsi="宋体" w:eastAsia="宋体" w:cs="宋体"/>
                <w:sz w:val="24"/>
                <w:szCs w:val="24"/>
                <w:lang w:val="en-US" w:eastAsia="zh-CN"/>
              </w:rPr>
              <w:t>车辆</w:t>
            </w:r>
            <w:r>
              <w:rPr>
                <w:rFonts w:hint="eastAsia" w:ascii="宋体" w:hAnsi="宋体" w:eastAsia="宋体" w:cs="宋体"/>
                <w:sz w:val="24"/>
                <w:szCs w:val="24"/>
              </w:rPr>
              <w:t>钢索能承受至少10000kg的拉力，</w:t>
            </w:r>
            <w:r>
              <w:rPr>
                <w:rFonts w:hint="eastAsia" w:ascii="宋体" w:hAnsi="宋体" w:eastAsia="宋体" w:cs="宋体"/>
                <w:sz w:val="24"/>
                <w:szCs w:val="24"/>
                <w:lang w:val="en-US" w:eastAsia="zh-CN"/>
              </w:rPr>
              <w:t>数量不少于6根，长度满足不同车型（皮卡、轻卡、中重卡）正面撞击试验的系固要求</w:t>
            </w:r>
            <w:r>
              <w:rPr>
                <w:rFonts w:hint="eastAsia" w:ascii="宋体" w:hAnsi="宋体" w:eastAsia="宋体" w:cs="宋体"/>
                <w:sz w:val="24"/>
                <w:szCs w:val="24"/>
                <w:lang w:eastAsia="zh-CN"/>
              </w:rPr>
              <w:t>；</w:t>
            </w:r>
          </w:p>
          <w:p>
            <w:pPr>
              <w:keepNext w:val="0"/>
              <w:keepLines w:val="0"/>
              <w:widowControl/>
              <w:numPr>
                <w:ilvl w:val="0"/>
                <w:numId w:val="19"/>
              </w:numPr>
              <w:suppressLineNumbers w:val="0"/>
              <w:spacing w:before="0" w:beforeAutospacing="0" w:after="0" w:afterAutospacing="0" w:line="240" w:lineRule="auto"/>
              <w:ind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w:t>
            </w:r>
            <w:r>
              <w:rPr>
                <w:rFonts w:hint="eastAsia" w:ascii="宋体" w:hAnsi="宋体" w:eastAsia="宋体" w:cs="宋体"/>
                <w:sz w:val="24"/>
                <w:szCs w:val="24"/>
              </w:rPr>
              <w:t>钢索</w:t>
            </w:r>
            <w:r>
              <w:rPr>
                <w:rFonts w:hint="eastAsia" w:ascii="宋体" w:hAnsi="宋体" w:eastAsia="宋体" w:cs="宋体"/>
                <w:sz w:val="24"/>
                <w:szCs w:val="24"/>
                <w:lang w:val="en-US" w:eastAsia="zh-CN"/>
              </w:rPr>
              <w:t>具备棘轮张紧功能；</w:t>
            </w:r>
          </w:p>
          <w:p>
            <w:pPr>
              <w:keepNext w:val="0"/>
              <w:keepLines w:val="0"/>
              <w:widowControl/>
              <w:numPr>
                <w:ilvl w:val="0"/>
                <w:numId w:val="19"/>
              </w:numPr>
              <w:suppressLineNumbers w:val="0"/>
              <w:spacing w:before="0" w:beforeAutospacing="0" w:after="0" w:afterAutospacing="0" w:line="240" w:lineRule="auto"/>
              <w:ind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用于固定车辆尾部的钢索具备拉力读数功能，量程不小于10kN；</w:t>
            </w:r>
          </w:p>
          <w:p>
            <w:pPr>
              <w:keepNext w:val="0"/>
              <w:keepLines w:val="0"/>
              <w:widowControl/>
              <w:numPr>
                <w:ilvl w:val="0"/>
                <w:numId w:val="19"/>
              </w:numPr>
              <w:suppressLineNumbers w:val="0"/>
              <w:spacing w:before="0" w:beforeAutospacing="0" w:after="0" w:afterAutospacing="0" w:line="240" w:lineRule="auto"/>
              <w:ind w:right="0"/>
              <w:jc w:val="left"/>
              <w:rPr>
                <w:rFonts w:hint="eastAsia" w:ascii="宋体" w:hAnsi="宋体" w:eastAsia="宋体" w:cs="宋体"/>
                <w:sz w:val="24"/>
                <w:szCs w:val="24"/>
              </w:rPr>
            </w:pPr>
            <w:r>
              <w:rPr>
                <w:rFonts w:hint="eastAsia" w:ascii="宋体" w:hAnsi="宋体" w:eastAsia="宋体" w:cs="宋体"/>
                <w:sz w:val="24"/>
                <w:szCs w:val="24"/>
              </w:rPr>
              <w:t>枕木</w:t>
            </w:r>
            <w:r>
              <w:rPr>
                <w:rFonts w:hint="eastAsia" w:ascii="宋体" w:hAnsi="宋体" w:eastAsia="宋体" w:cs="宋体"/>
                <w:sz w:val="24"/>
                <w:szCs w:val="24"/>
                <w:lang w:val="en-US" w:eastAsia="zh-CN"/>
              </w:rPr>
              <w:t>及</w:t>
            </w:r>
            <w:r>
              <w:rPr>
                <w:rFonts w:hint="eastAsia" w:ascii="宋体" w:hAnsi="宋体" w:eastAsia="宋体" w:cs="宋体"/>
                <w:sz w:val="24"/>
                <w:szCs w:val="24"/>
              </w:rPr>
              <w:t>垫架2套，长度≥150mm，</w:t>
            </w:r>
            <w:r>
              <w:rPr>
                <w:rFonts w:hint="eastAsia" w:ascii="宋体" w:hAnsi="宋体" w:eastAsia="宋体" w:cs="宋体"/>
                <w:sz w:val="24"/>
                <w:szCs w:val="24"/>
                <w:lang w:val="en-US" w:eastAsia="zh-CN"/>
              </w:rPr>
              <w:t>可适应不同车辆高度，用于固定枕木及垫架的链条2套，</w:t>
            </w:r>
            <w:r>
              <w:rPr>
                <w:rFonts w:hint="eastAsia" w:ascii="宋体" w:hAnsi="宋体" w:eastAsia="宋体" w:cs="宋体"/>
                <w:sz w:val="24"/>
                <w:szCs w:val="24"/>
              </w:rPr>
              <w:t>楔块4个</w:t>
            </w:r>
            <w:r>
              <w:rPr>
                <w:rFonts w:hint="eastAsia" w:ascii="宋体" w:hAnsi="宋体" w:eastAsia="宋体" w:cs="宋体"/>
                <w:sz w:val="24"/>
                <w:szCs w:val="24"/>
                <w:lang w:eastAsia="zh-CN"/>
              </w:rPr>
              <w:t>。</w:t>
            </w:r>
          </w:p>
          <w:p>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strike w:val="0"/>
                <w:dstrike w:val="0"/>
                <w:color w:val="auto"/>
                <w:sz w:val="24"/>
                <w:szCs w:val="24"/>
                <w:lang w:val="en-US" w:eastAsia="zh-CN"/>
              </w:rPr>
              <w:t>应提供铁地板尺寸规格及安装图纸，配备配套的工装夹具或紧固件用于在铁地板上固定车辆或带车架的驾驶室。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安全系统</w:t>
            </w:r>
          </w:p>
        </w:tc>
        <w:tc>
          <w:tcPr>
            <w:tcW w:w="6314" w:type="dxa"/>
            <w:noWrap w:val="0"/>
            <w:vAlign w:val="center"/>
          </w:tcPr>
          <w:p>
            <w:pPr>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具有手动急停功能；</w:t>
            </w:r>
          </w:p>
          <w:p>
            <w:pPr>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具有超位移等保护功能；</w:t>
            </w:r>
          </w:p>
          <w:p>
            <w:pPr>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试验台设有声光警示装置，在试验期间，以声光形式警示试验人员及周围其他人员退出试验区域；</w:t>
            </w:r>
          </w:p>
          <w:p>
            <w:pPr>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*需具备无线遥控功能，可调节摆锤高度及角度，用于试验准备阶段调整撞击位置，集成手动急停功能。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电器柜、电器原件、线缆</w:t>
            </w:r>
          </w:p>
        </w:tc>
        <w:tc>
          <w:tcPr>
            <w:tcW w:w="6314" w:type="dxa"/>
            <w:noWrap w:val="0"/>
            <w:vAlign w:val="center"/>
          </w:tcPr>
          <w:p>
            <w:pPr>
              <w:keepNext w:val="0"/>
              <w:keepLines w:val="0"/>
              <w:widowControl/>
              <w:numPr>
                <w:ilvl w:val="0"/>
                <w:numId w:val="21"/>
              </w:numPr>
              <w:suppressLineNumbers w:val="0"/>
              <w:spacing w:before="0" w:beforeAutospacing="0" w:after="0" w:afterAutospacing="0" w:line="240" w:lineRule="auto"/>
              <w:ind w:right="0"/>
              <w:rPr>
                <w:rFonts w:hint="eastAsia" w:ascii="宋体" w:hAnsi="宋体" w:eastAsia="宋体" w:cs="宋体"/>
                <w:sz w:val="24"/>
                <w:szCs w:val="24"/>
              </w:rPr>
            </w:pPr>
            <w:r>
              <w:rPr>
                <w:rFonts w:hint="eastAsia" w:ascii="宋体" w:hAnsi="宋体" w:eastAsia="宋体" w:cs="宋体"/>
                <w:sz w:val="24"/>
                <w:szCs w:val="24"/>
              </w:rPr>
              <w:t>应有足够的操作提示、报警显示、故障原因和位置显示；</w:t>
            </w:r>
          </w:p>
          <w:p>
            <w:pPr>
              <w:keepNext w:val="0"/>
              <w:keepLines w:val="0"/>
              <w:widowControl/>
              <w:numPr>
                <w:ilvl w:val="0"/>
                <w:numId w:val="21"/>
              </w:numPr>
              <w:suppressLineNumbers w:val="0"/>
              <w:spacing w:before="0" w:beforeAutospacing="0" w:after="0" w:afterAutospacing="0" w:line="240" w:lineRule="auto"/>
              <w:ind w:right="0"/>
              <w:rPr>
                <w:rFonts w:hint="eastAsia" w:ascii="宋体" w:hAnsi="宋体" w:eastAsia="宋体" w:cs="宋体"/>
                <w:color w:val="auto"/>
                <w:sz w:val="24"/>
                <w:szCs w:val="24"/>
                <w:lang w:val="en-US" w:eastAsia="zh-CN"/>
              </w:rPr>
            </w:pPr>
            <w:r>
              <w:rPr>
                <w:rFonts w:hint="eastAsia" w:ascii="宋体" w:hAnsi="宋体" w:eastAsia="宋体" w:cs="宋体"/>
                <w:sz w:val="24"/>
                <w:szCs w:val="24"/>
              </w:rPr>
              <w:t>应具有完善的过载、超压、漏电、短路等自动保护功能</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sz w:val="24"/>
                <w:szCs w:val="24"/>
              </w:rPr>
            </w:pPr>
            <w:r>
              <w:rPr>
                <w:rFonts w:hint="eastAsia" w:ascii="宋体" w:hAnsi="宋体" w:eastAsia="宋体" w:cs="宋体"/>
                <w:sz w:val="24"/>
                <w:szCs w:val="24"/>
                <w:lang w:val="en-US" w:eastAsia="zh-CN"/>
              </w:rPr>
              <w:t>软件功能</w:t>
            </w:r>
          </w:p>
        </w:tc>
        <w:tc>
          <w:tcPr>
            <w:tcW w:w="6314" w:type="dxa"/>
            <w:noWrap w:val="0"/>
            <w:vAlign w:val="center"/>
          </w:tcPr>
          <w:p>
            <w:pPr>
              <w:keepNext w:val="0"/>
              <w:keepLines w:val="0"/>
              <w:pageBreakBefore w:val="0"/>
              <w:widowControl/>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具有分级操作管理功能；</w:t>
            </w:r>
          </w:p>
          <w:p>
            <w:pPr>
              <w:keepNext w:val="0"/>
              <w:keepLines w:val="0"/>
              <w:pageBreakBefore w:val="0"/>
              <w:widowControl/>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运行参数可以在计算机上设定及显示；</w:t>
            </w:r>
          </w:p>
          <w:p>
            <w:pPr>
              <w:keepNext w:val="0"/>
              <w:keepLines w:val="0"/>
              <w:pageBreakBefore w:val="0"/>
              <w:widowControl/>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试验数据采用数据库方式管理，可按品种类型、年、月、日进行试验结果的检索和调用；</w:t>
            </w:r>
          </w:p>
          <w:p>
            <w:pPr>
              <w:keepNext w:val="0"/>
              <w:keepLines w:val="0"/>
              <w:widowControl/>
              <w:numPr>
                <w:ilvl w:val="0"/>
                <w:numId w:val="22"/>
              </w:numPr>
              <w:suppressLineNumbers w:val="0"/>
              <w:spacing w:before="0" w:beforeAutospacing="0" w:after="0" w:afterAutospacing="0" w:line="240" w:lineRule="auto"/>
              <w:ind w:right="0"/>
              <w:rPr>
                <w:rFonts w:hint="eastAsia" w:ascii="宋体" w:hAnsi="宋体" w:eastAsia="宋体" w:cs="宋体"/>
                <w:color w:val="auto"/>
                <w:sz w:val="24"/>
                <w:szCs w:val="24"/>
              </w:rPr>
            </w:pPr>
            <w:r>
              <w:rPr>
                <w:rFonts w:hint="eastAsia" w:ascii="宋体" w:hAnsi="宋体" w:eastAsia="宋体" w:cs="宋体"/>
                <w:color w:val="auto"/>
                <w:sz w:val="24"/>
                <w:szCs w:val="24"/>
              </w:rPr>
              <w:t>可根据要求的撞击能量自动计算摆锤提升角度，也可手动输入摆锤提升角大小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摆锤提升角一经确定，系统可自动将摆锤准确提升到相应位置</w:t>
            </w:r>
            <w:r>
              <w:rPr>
                <w:rFonts w:hint="eastAsia" w:ascii="宋体" w:hAnsi="宋体" w:eastAsia="宋体" w:cs="宋体"/>
                <w:color w:val="auto"/>
                <w:sz w:val="24"/>
                <w:szCs w:val="24"/>
                <w:lang w:eastAsia="zh-CN"/>
              </w:rPr>
              <w:t>；</w:t>
            </w:r>
          </w:p>
          <w:p>
            <w:pPr>
              <w:keepNext w:val="0"/>
              <w:keepLines w:val="0"/>
              <w:pageBreakBefore w:val="0"/>
              <w:widowControl/>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试验结束后，可生成试验报告，可编辑、修改、打印；</w:t>
            </w:r>
          </w:p>
          <w:p>
            <w:pPr>
              <w:keepNext w:val="0"/>
              <w:keepLines w:val="0"/>
              <w:pageBreakBefore w:val="0"/>
              <w:widowControl/>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rPr>
            </w:pPr>
            <w:r>
              <w:rPr>
                <w:rFonts w:hint="eastAsia" w:ascii="宋体" w:hAnsi="宋体" w:eastAsia="宋体" w:cs="宋体"/>
                <w:color w:val="auto"/>
                <w:sz w:val="24"/>
                <w:szCs w:val="24"/>
                <w:lang w:val="en-US" w:eastAsia="zh-CN"/>
              </w:rPr>
              <w:t>提供操作系统和试验台软件备份文件。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主控计算机系统</w:t>
            </w:r>
          </w:p>
        </w:tc>
        <w:tc>
          <w:tcPr>
            <w:tcW w:w="6314" w:type="dxa"/>
            <w:noWrap w:val="0"/>
            <w:vAlign w:val="center"/>
          </w:tcPr>
          <w:p>
            <w:pPr>
              <w:keepNext w:val="0"/>
              <w:keepLines w:val="0"/>
              <w:widowControl/>
              <w:numPr>
                <w:ilvl w:val="0"/>
                <w:numId w:val="23"/>
              </w:numPr>
              <w:suppressLineNumbers w:val="0"/>
              <w:spacing w:before="0" w:beforeAutospacing="0" w:after="0" w:afterAutospacing="0" w:line="240" w:lineRule="auto"/>
              <w:ind w:right="0"/>
              <w:rPr>
                <w:rFonts w:hint="eastAsia" w:ascii="宋体" w:hAnsi="宋体" w:eastAsia="宋体" w:cs="宋体"/>
                <w:color w:val="auto"/>
                <w:sz w:val="24"/>
                <w:szCs w:val="24"/>
                <w:lang w:val="en-US" w:eastAsia="zh-CN"/>
              </w:rPr>
            </w:pPr>
            <w:r>
              <w:rPr>
                <w:rFonts w:hint="eastAsia" w:ascii="宋体" w:hAnsi="宋体" w:eastAsia="宋体" w:cs="宋体"/>
                <w:color w:val="000000"/>
                <w:sz w:val="24"/>
                <w:szCs w:val="24"/>
                <w:lang w:val="en-US" w:eastAsia="zh-CN"/>
              </w:rPr>
              <w:t>每个独立的试验台应配</w:t>
            </w:r>
            <w:r>
              <w:rPr>
                <w:rFonts w:hint="eastAsia" w:ascii="宋体" w:hAnsi="宋体" w:eastAsia="宋体" w:cs="宋体"/>
                <w:color w:val="auto"/>
                <w:sz w:val="24"/>
                <w:szCs w:val="24"/>
                <w:lang w:val="en-US" w:eastAsia="zh-CN"/>
              </w:rPr>
              <w:t>置一台控制计算机；</w:t>
            </w:r>
          </w:p>
          <w:p>
            <w:pPr>
              <w:keepNext w:val="0"/>
              <w:keepLines w:val="0"/>
              <w:widowControl/>
              <w:numPr>
                <w:ilvl w:val="0"/>
                <w:numId w:val="23"/>
              </w:numPr>
              <w:suppressLineNumbers w:val="0"/>
              <w:spacing w:before="0" w:beforeAutospacing="0" w:after="0" w:afterAutospacing="0" w:line="240" w:lineRule="auto"/>
              <w:ind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CPU：I7处理器及以上；</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硬盘：≥1TB；</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内存：≥16GB；</w:t>
            </w:r>
          </w:p>
          <w:p>
            <w:pPr>
              <w:keepNext w:val="0"/>
              <w:keepLines w:val="0"/>
              <w:widowControl/>
              <w:numPr>
                <w:ilvl w:val="0"/>
                <w:numId w:val="23"/>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lang w:val="en-US" w:eastAsia="zh-CN"/>
              </w:rPr>
              <w:t>显示器：≥19英寸；</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主控计算机软件操作系统为WINDOWS10及以上系统；</w:t>
            </w:r>
          </w:p>
          <w:p>
            <w:pPr>
              <w:keepNext w:val="0"/>
              <w:keepLines w:val="0"/>
              <w:widowControl/>
              <w:numPr>
                <w:ilvl w:val="0"/>
                <w:numId w:val="23"/>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通讯线缆应布置在地下。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p>
        </w:tc>
        <w:tc>
          <w:tcPr>
            <w:tcW w:w="221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检验用人体模型</w:t>
            </w:r>
          </w:p>
        </w:tc>
        <w:tc>
          <w:tcPr>
            <w:tcW w:w="6314" w:type="dxa"/>
            <w:noWrap w:val="0"/>
            <w:vAlign w:val="center"/>
          </w:tcPr>
          <w:p>
            <w:pPr>
              <w:keepNext w:val="0"/>
              <w:keepLines w:val="0"/>
              <w:pageBreakBefore w:val="0"/>
              <w:widowControl/>
              <w:numPr>
                <w:ilvl w:val="0"/>
                <w:numId w:val="2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应</w:t>
            </w:r>
            <w:r>
              <w:rPr>
                <w:rFonts w:hint="eastAsia" w:ascii="宋体" w:hAnsi="宋体" w:eastAsia="宋体" w:cs="宋体"/>
                <w:color w:val="auto"/>
                <w:sz w:val="24"/>
                <w:szCs w:val="24"/>
              </w:rPr>
              <w:t>配备</w:t>
            </w:r>
            <w:r>
              <w:rPr>
                <w:rFonts w:hint="eastAsia" w:ascii="宋体" w:hAnsi="宋体" w:eastAsia="宋体" w:cs="宋体"/>
                <w:color w:val="auto"/>
                <w:sz w:val="24"/>
                <w:szCs w:val="24"/>
                <w:lang w:val="en-US" w:eastAsia="zh-CN"/>
              </w:rPr>
              <w:t>10个</w:t>
            </w:r>
            <w:r>
              <w:rPr>
                <w:rFonts w:hint="eastAsia" w:ascii="宋体" w:hAnsi="宋体" w:eastAsia="宋体" w:cs="宋体"/>
                <w:color w:val="auto"/>
                <w:sz w:val="24"/>
                <w:szCs w:val="24"/>
              </w:rPr>
              <w:t>用于检验生存空间的人体模型</w:t>
            </w:r>
            <w:r>
              <w:rPr>
                <w:rFonts w:hint="eastAsia" w:ascii="宋体" w:hAnsi="宋体" w:eastAsia="宋体" w:cs="宋体"/>
                <w:color w:val="auto"/>
                <w:sz w:val="24"/>
                <w:szCs w:val="24"/>
                <w:lang w:eastAsia="zh-CN"/>
              </w:rPr>
              <w:t>；</w:t>
            </w:r>
          </w:p>
          <w:p>
            <w:pPr>
              <w:keepNext w:val="0"/>
              <w:keepLines w:val="0"/>
              <w:widowControl/>
              <w:numPr>
                <w:ilvl w:val="0"/>
                <w:numId w:val="24"/>
              </w:numPr>
              <w:suppressLineNumbers w:val="0"/>
              <w:spacing w:before="0" w:beforeAutospacing="0" w:after="0" w:afterAutospacing="0" w:line="240" w:lineRule="auto"/>
              <w:ind w:left="0" w:right="0" w:firstLine="0"/>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color w:val="auto"/>
                <w:sz w:val="24"/>
                <w:szCs w:val="24"/>
              </w:rPr>
              <w:t>人体模型</w:t>
            </w:r>
            <w:r>
              <w:rPr>
                <w:rFonts w:hint="eastAsia" w:ascii="宋体" w:hAnsi="宋体" w:eastAsia="宋体" w:cs="宋体"/>
                <w:color w:val="auto"/>
                <w:sz w:val="24"/>
                <w:szCs w:val="24"/>
                <w:lang w:val="en-US" w:eastAsia="zh-CN"/>
              </w:rPr>
              <w:t>的尺寸</w:t>
            </w:r>
            <w:r>
              <w:rPr>
                <w:rFonts w:hint="eastAsia" w:ascii="宋体" w:hAnsi="宋体" w:eastAsia="宋体" w:cs="宋体"/>
                <w:color w:val="auto"/>
                <w:sz w:val="24"/>
                <w:szCs w:val="24"/>
              </w:rPr>
              <w:t>、材料等要求需满足GB 26512-20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1《商用车驾驶室乘员保护》附录</w:t>
            </w:r>
            <w:r>
              <w:rPr>
                <w:rFonts w:hint="eastAsia" w:ascii="宋体" w:hAnsi="宋体" w:eastAsia="宋体" w:cs="宋体"/>
                <w:color w:val="auto"/>
                <w:sz w:val="24"/>
                <w:szCs w:val="24"/>
                <w:lang w:val="en-US" w:eastAsia="zh-CN"/>
              </w:rPr>
              <w:t>A</w:t>
            </w:r>
            <w:r>
              <w:rPr>
                <w:rFonts w:hint="eastAsia" w:ascii="宋体" w:hAnsi="宋体" w:eastAsia="宋体" w:cs="宋体"/>
                <w:color w:val="auto"/>
                <w:sz w:val="24"/>
                <w:szCs w:val="24"/>
              </w:rPr>
              <w:t>中的全部要求</w:t>
            </w:r>
            <w:r>
              <w:rPr>
                <w:rFonts w:hint="eastAsia" w:ascii="宋体" w:hAnsi="宋体" w:eastAsia="宋体" w:cs="宋体"/>
                <w:color w:val="auto"/>
                <w:sz w:val="24"/>
                <w:szCs w:val="24"/>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3.2 </w:t>
      </w:r>
      <w:r>
        <w:rPr>
          <w:rFonts w:hint="eastAsia" w:ascii="宋体" w:hAnsi="宋体" w:eastAsia="宋体" w:cs="宋体"/>
          <w:b/>
          <w:bCs/>
          <w:color w:val="000000"/>
          <w:sz w:val="24"/>
          <w:szCs w:val="24"/>
        </w:rPr>
        <w:t>商用车</w:t>
      </w:r>
      <w:r>
        <w:rPr>
          <w:rFonts w:hint="eastAsia" w:ascii="宋体" w:hAnsi="宋体" w:eastAsia="宋体" w:cs="宋体"/>
          <w:b/>
          <w:bCs/>
          <w:color w:val="000000"/>
          <w:sz w:val="24"/>
          <w:szCs w:val="24"/>
          <w:lang w:val="en-US" w:eastAsia="zh-CN"/>
        </w:rPr>
        <w:t>驾驶室强度试验台</w:t>
      </w:r>
    </w:p>
    <w:tbl>
      <w:tblPr>
        <w:tblStyle w:val="3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217"/>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31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0</w:t>
            </w:r>
          </w:p>
        </w:tc>
        <w:tc>
          <w:tcPr>
            <w:tcW w:w="221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总体要求</w:t>
            </w:r>
          </w:p>
        </w:tc>
        <w:tc>
          <w:tcPr>
            <w:tcW w:w="6314" w:type="dxa"/>
            <w:noWrap w:val="0"/>
            <w:vAlign w:val="center"/>
          </w:tcPr>
          <w:p>
            <w:pPr>
              <w:keepNext w:val="0"/>
              <w:keepLines w:val="0"/>
              <w:widowControl/>
              <w:numPr>
                <w:ilvl w:val="0"/>
                <w:numId w:val="25"/>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lang w:eastAsia="zh-CN"/>
              </w:rPr>
              <w:t>*能够完成</w:t>
            </w:r>
            <w:r>
              <w:rPr>
                <w:rFonts w:hint="eastAsia" w:ascii="宋体" w:hAnsi="宋体" w:eastAsia="宋体" w:cs="宋体"/>
                <w:sz w:val="24"/>
                <w:szCs w:val="24"/>
              </w:rPr>
              <w:t>GB 26512-20</w:t>
            </w:r>
            <w:r>
              <w:rPr>
                <w:rFonts w:hint="eastAsia" w:ascii="宋体" w:hAnsi="宋体" w:eastAsia="宋体" w:cs="宋体"/>
                <w:sz w:val="24"/>
                <w:szCs w:val="24"/>
                <w:lang w:val="en-US" w:eastAsia="zh-CN"/>
              </w:rPr>
              <w:t>2</w:t>
            </w:r>
            <w:r>
              <w:rPr>
                <w:rFonts w:hint="eastAsia" w:ascii="宋体" w:hAnsi="宋体" w:eastAsia="宋体" w:cs="宋体"/>
                <w:sz w:val="24"/>
                <w:szCs w:val="24"/>
              </w:rPr>
              <w:t>1《商用车驾驶室乘员保护》</w:t>
            </w:r>
            <w:r>
              <w:rPr>
                <w:rFonts w:hint="eastAsia" w:ascii="宋体" w:hAnsi="宋体" w:eastAsia="宋体" w:cs="宋体"/>
                <w:sz w:val="24"/>
                <w:szCs w:val="24"/>
                <w:lang w:eastAsia="zh-CN"/>
              </w:rPr>
              <w:t>、</w:t>
            </w:r>
            <w:r>
              <w:rPr>
                <w:rFonts w:hint="eastAsia" w:ascii="宋体" w:hAnsi="宋体" w:eastAsia="宋体" w:cs="宋体"/>
                <w:sz w:val="24"/>
                <w:szCs w:val="24"/>
              </w:rPr>
              <w:t xml:space="preserve"> JT</w:t>
            </w:r>
            <w:r>
              <w:rPr>
                <w:rFonts w:hint="eastAsia" w:ascii="宋体" w:hAnsi="宋体" w:eastAsia="宋体" w:cs="宋体"/>
                <w:sz w:val="24"/>
                <w:szCs w:val="24"/>
                <w:lang w:val="en-US" w:eastAsia="zh-CN"/>
              </w:rPr>
              <w:t>/</w:t>
            </w:r>
            <w:r>
              <w:rPr>
                <w:rFonts w:hint="eastAsia" w:ascii="宋体" w:hAnsi="宋体" w:eastAsia="宋体" w:cs="宋体"/>
                <w:sz w:val="24"/>
                <w:szCs w:val="24"/>
              </w:rPr>
              <w:t>T 1178.1-2018《营运货车安全技术条件》</w:t>
            </w:r>
            <w:r>
              <w:rPr>
                <w:rFonts w:hint="eastAsia" w:ascii="宋体" w:hAnsi="宋体" w:eastAsia="宋体" w:cs="宋体"/>
                <w:sz w:val="24"/>
                <w:szCs w:val="24"/>
                <w:lang w:eastAsia="zh-CN"/>
              </w:rPr>
              <w:t>中所要求的关于</w:t>
            </w:r>
            <w:r>
              <w:rPr>
                <w:rFonts w:hint="eastAsia" w:ascii="宋体" w:hAnsi="宋体" w:eastAsia="宋体" w:cs="宋体"/>
                <w:sz w:val="24"/>
                <w:szCs w:val="24"/>
              </w:rPr>
              <w:t>商用车驾驶室顶部静</w:t>
            </w:r>
            <w:r>
              <w:rPr>
                <w:rFonts w:hint="eastAsia" w:ascii="宋体" w:hAnsi="宋体" w:eastAsia="宋体" w:cs="宋体"/>
                <w:sz w:val="24"/>
                <w:szCs w:val="24"/>
                <w:lang w:eastAsia="zh-CN"/>
              </w:rPr>
              <w:t>压</w:t>
            </w:r>
            <w:r>
              <w:rPr>
                <w:rFonts w:hint="eastAsia" w:ascii="宋体" w:hAnsi="宋体" w:eastAsia="宋体" w:cs="宋体"/>
                <w:sz w:val="24"/>
                <w:szCs w:val="24"/>
              </w:rPr>
              <w:t>试验及</w:t>
            </w:r>
            <w:r>
              <w:rPr>
                <w:rFonts w:hint="eastAsia" w:ascii="宋体" w:hAnsi="宋体" w:eastAsia="宋体" w:cs="宋体"/>
                <w:sz w:val="24"/>
                <w:szCs w:val="24"/>
                <w:lang w:eastAsia="zh-CN"/>
              </w:rPr>
              <w:t>驾驶室</w:t>
            </w:r>
            <w:r>
              <w:rPr>
                <w:rFonts w:hint="eastAsia" w:ascii="宋体" w:hAnsi="宋体" w:eastAsia="宋体" w:cs="宋体"/>
                <w:sz w:val="24"/>
                <w:szCs w:val="24"/>
              </w:rPr>
              <w:t>后围强度试验；</w:t>
            </w:r>
          </w:p>
          <w:p>
            <w:pPr>
              <w:keepNext w:val="0"/>
              <w:keepLines w:val="0"/>
              <w:widowControl/>
              <w:numPr>
                <w:ilvl w:val="0"/>
                <w:numId w:val="25"/>
              </w:numPr>
              <w:suppressLineNumbers w:val="0"/>
              <w:spacing w:before="0" w:beforeAutospacing="0" w:after="0" w:afterAutospacing="0" w:line="240" w:lineRule="auto"/>
              <w:ind w:left="0" w:right="0" w:firstLine="0"/>
              <w:rPr>
                <w:rFonts w:hint="eastAsia" w:ascii="宋体" w:hAnsi="宋体" w:eastAsia="宋体" w:cs="宋体"/>
                <w:sz w:val="24"/>
                <w:szCs w:val="24"/>
                <w:lang w:eastAsia="zh-CN"/>
              </w:rPr>
            </w:pPr>
            <w:r>
              <w:rPr>
                <w:rFonts w:hint="eastAsia" w:ascii="宋体" w:hAnsi="宋体" w:eastAsia="宋体" w:cs="宋体"/>
                <w:sz w:val="24"/>
                <w:szCs w:val="24"/>
                <w:lang w:val="en-US" w:eastAsia="zh-CN"/>
              </w:rPr>
              <w:t>设备的布置形式可以采用组合（一个试验台通过翻转机构完成两项试验）的或者是独立（两台独立的试验台）的布置方案</w:t>
            </w:r>
            <w:r>
              <w:rPr>
                <w:rFonts w:hint="eastAsia" w:ascii="宋体" w:hAnsi="宋体" w:eastAsia="宋体" w:cs="宋体"/>
                <w:sz w:val="24"/>
                <w:szCs w:val="24"/>
                <w:lang w:eastAsia="zh-CN"/>
              </w:rPr>
              <w:t>；</w:t>
            </w:r>
          </w:p>
          <w:p>
            <w:pPr>
              <w:keepNext w:val="0"/>
              <w:keepLines w:val="0"/>
              <w:widowControl/>
              <w:numPr>
                <w:ilvl w:val="0"/>
                <w:numId w:val="25"/>
              </w:numPr>
              <w:suppressLineNumbers w:val="0"/>
              <w:spacing w:before="0" w:beforeAutospacing="0" w:after="0" w:afterAutospacing="0" w:line="240" w:lineRule="auto"/>
              <w:ind w:right="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设备的布置方案应成熟稳定，至少有一个同类型成功实用案例，并提供相关可靠证明。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设备框架</w:t>
            </w:r>
          </w:p>
        </w:tc>
        <w:tc>
          <w:tcPr>
            <w:tcW w:w="6314" w:type="dxa"/>
            <w:noWrap w:val="0"/>
            <w:vAlign w:val="center"/>
          </w:tcPr>
          <w:p>
            <w:pPr>
              <w:keepNext w:val="0"/>
              <w:keepLines w:val="0"/>
              <w:widowControl/>
              <w:numPr>
                <w:ilvl w:val="0"/>
                <w:numId w:val="26"/>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设备框架由钢结构焊接而成，作为各个驱动单元、加载单元及测试单元等的机械安装基座，满足试验的强度要求；</w:t>
            </w:r>
          </w:p>
          <w:p>
            <w:pPr>
              <w:keepNext w:val="0"/>
              <w:keepLines w:val="0"/>
              <w:widowControl/>
              <w:numPr>
                <w:ilvl w:val="0"/>
                <w:numId w:val="26"/>
              </w:numPr>
              <w:suppressLineNumbers w:val="0"/>
              <w:spacing w:before="0" w:beforeAutospacing="0" w:after="0" w:afterAutospacing="0" w:line="240" w:lineRule="auto"/>
              <w:ind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lang w:eastAsia="zh-CN"/>
              </w:rPr>
              <w:t>有足够的强度，</w:t>
            </w:r>
            <w:r>
              <w:rPr>
                <w:rFonts w:hint="eastAsia" w:ascii="宋体" w:hAnsi="宋体" w:eastAsia="宋体" w:cs="宋体"/>
                <w:color w:val="auto"/>
                <w:sz w:val="24"/>
                <w:szCs w:val="24"/>
                <w:lang w:val="en-US" w:eastAsia="zh-CN"/>
              </w:rPr>
              <w:t>试验过程中</w:t>
            </w:r>
            <w:r>
              <w:rPr>
                <w:rFonts w:hint="eastAsia" w:ascii="宋体" w:hAnsi="宋体" w:eastAsia="宋体" w:cs="宋体"/>
                <w:color w:val="auto"/>
                <w:sz w:val="24"/>
                <w:szCs w:val="24"/>
                <w:lang w:eastAsia="zh-CN"/>
              </w:rPr>
              <w:t>不能而有明显变形；</w:t>
            </w:r>
          </w:p>
          <w:p>
            <w:pPr>
              <w:keepNext w:val="0"/>
              <w:keepLines w:val="0"/>
              <w:widowControl/>
              <w:numPr>
                <w:ilvl w:val="0"/>
                <w:numId w:val="26"/>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采用国标优质H型钢焊接而成，表面多层涂装保护，可保障设备主架长期免维护使用。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驾驶室顶部静</w:t>
            </w:r>
            <w:r>
              <w:rPr>
                <w:rFonts w:hint="eastAsia" w:ascii="宋体" w:hAnsi="宋体" w:eastAsia="宋体" w:cs="宋体"/>
                <w:sz w:val="24"/>
                <w:szCs w:val="24"/>
                <w:lang w:eastAsia="zh-CN"/>
              </w:rPr>
              <w:t>压</w:t>
            </w:r>
            <w:r>
              <w:rPr>
                <w:rFonts w:hint="eastAsia" w:ascii="宋体" w:hAnsi="宋体" w:eastAsia="宋体" w:cs="宋体"/>
                <w:sz w:val="24"/>
                <w:szCs w:val="24"/>
              </w:rPr>
              <w:t>试验</w:t>
            </w:r>
            <w:r>
              <w:rPr>
                <w:rFonts w:hint="eastAsia" w:ascii="宋体" w:hAnsi="宋体" w:eastAsia="宋体" w:cs="宋体"/>
                <w:sz w:val="24"/>
                <w:szCs w:val="24"/>
                <w:lang w:val="en-US" w:eastAsia="zh-CN"/>
              </w:rPr>
              <w:t>压板尺寸及控制要求</w:t>
            </w:r>
          </w:p>
        </w:tc>
        <w:tc>
          <w:tcPr>
            <w:tcW w:w="6314" w:type="dxa"/>
            <w:noWrap w:val="0"/>
            <w:vAlign w:val="center"/>
          </w:tcPr>
          <w:p>
            <w:pPr>
              <w:keepNext w:val="0"/>
              <w:keepLines w:val="0"/>
              <w:pageBreakBefore w:val="0"/>
              <w:widowControl/>
              <w:numPr>
                <w:ilvl w:val="0"/>
                <w:numId w:val="27"/>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lang w:val="en-US" w:eastAsia="zh-CN"/>
              </w:rPr>
              <w:t>压板尺寸：</w:t>
            </w:r>
            <w:r>
              <w:rPr>
                <w:rFonts w:hint="eastAsia" w:ascii="宋体" w:hAnsi="宋体" w:eastAsia="宋体" w:cs="宋体"/>
                <w:color w:val="auto"/>
                <w:sz w:val="24"/>
                <w:szCs w:val="24"/>
                <w:highlight w:val="none"/>
                <w:lang w:val="en-US" w:eastAsia="zh-CN"/>
              </w:rPr>
              <w:t>3200mm(长)×2500mm（宽）；</w:t>
            </w:r>
          </w:p>
          <w:p>
            <w:pPr>
              <w:keepNext w:val="0"/>
              <w:keepLines w:val="0"/>
              <w:pageBreakBefore w:val="0"/>
              <w:widowControl/>
              <w:numPr>
                <w:ilvl w:val="0"/>
                <w:numId w:val="27"/>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压板最大加载行程:≥800mm；</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压板最大加载力：≥</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k</w:t>
            </w:r>
            <w:r>
              <w:rPr>
                <w:rFonts w:hint="eastAsia" w:ascii="宋体" w:hAnsi="宋体" w:eastAsia="宋体" w:cs="宋体"/>
                <w:color w:val="auto"/>
                <w:sz w:val="24"/>
                <w:szCs w:val="24"/>
                <w:highlight w:val="none"/>
              </w:rPr>
              <w:t>N</w:t>
            </w:r>
            <w:r>
              <w:rPr>
                <w:rFonts w:hint="eastAsia" w:ascii="宋体" w:hAnsi="宋体" w:eastAsia="宋体" w:cs="宋体"/>
                <w:color w:val="auto"/>
                <w:sz w:val="24"/>
                <w:szCs w:val="24"/>
                <w:highlight w:val="none"/>
                <w:lang w:eastAsia="zh-CN"/>
              </w:rPr>
              <w:t>；</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单个压板压力传感器量程：≥50kN ；</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力传感器测量精度：0.5%F.S</w:t>
            </w:r>
            <w:r>
              <w:rPr>
                <w:rFonts w:hint="eastAsia" w:ascii="宋体" w:hAnsi="宋体" w:eastAsia="宋体" w:cs="宋体"/>
                <w:color w:val="auto"/>
                <w:sz w:val="24"/>
                <w:szCs w:val="24"/>
                <w:lang w:eastAsia="zh-CN"/>
              </w:rPr>
              <w:t>；</w:t>
            </w:r>
          </w:p>
          <w:p>
            <w:pPr>
              <w:keepNext w:val="0"/>
              <w:keepLines w:val="0"/>
              <w:widowControl/>
              <w:numPr>
                <w:ilvl w:val="0"/>
                <w:numId w:val="27"/>
              </w:numPr>
              <w:suppressLineNumbers w:val="0"/>
              <w:spacing w:before="0" w:beforeAutospacing="0" w:after="0" w:afterAutospacing="0" w:line="24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压板距地面最大高度：≥3500mm；</w:t>
            </w:r>
          </w:p>
          <w:p>
            <w:pPr>
              <w:keepNext w:val="0"/>
              <w:keepLines w:val="0"/>
              <w:widowControl/>
              <w:numPr>
                <w:ilvl w:val="0"/>
                <w:numId w:val="27"/>
              </w:numPr>
              <w:suppressLineNumbers w:val="0"/>
              <w:spacing w:before="0" w:beforeAutospacing="0" w:after="0" w:afterAutospacing="0" w:line="24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压板距地面最低高度：≤1500mm；</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压板加载位移传器测量行程：≥</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0mm</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不小于压板最大加载行程</w:t>
            </w:r>
            <w:r>
              <w:rPr>
                <w:rFonts w:hint="eastAsia" w:ascii="宋体" w:hAnsi="宋体" w:eastAsia="宋体" w:cs="宋体"/>
                <w:color w:val="auto"/>
                <w:sz w:val="24"/>
                <w:szCs w:val="24"/>
                <w:lang w:eastAsia="zh-CN"/>
              </w:rPr>
              <w:t>）；</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压板上下调整位移传器测量行程：≥</w:t>
            </w: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mm</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不小于</w:t>
            </w:r>
            <w:r>
              <w:rPr>
                <w:rFonts w:hint="eastAsia" w:ascii="宋体" w:hAnsi="宋体" w:eastAsia="宋体" w:cs="宋体"/>
                <w:color w:val="auto"/>
                <w:sz w:val="24"/>
                <w:szCs w:val="24"/>
              </w:rPr>
              <w:t>压板上下</w:t>
            </w:r>
            <w:r>
              <w:rPr>
                <w:rFonts w:hint="eastAsia" w:ascii="宋体" w:hAnsi="宋体" w:eastAsia="宋体" w:cs="宋体"/>
                <w:color w:val="auto"/>
                <w:sz w:val="24"/>
                <w:szCs w:val="24"/>
                <w:lang w:val="en-US" w:eastAsia="zh-CN"/>
              </w:rPr>
              <w:t>高度</w:t>
            </w:r>
            <w:r>
              <w:rPr>
                <w:rFonts w:hint="eastAsia" w:ascii="宋体" w:hAnsi="宋体" w:eastAsia="宋体" w:cs="宋体"/>
                <w:color w:val="auto"/>
                <w:sz w:val="24"/>
                <w:szCs w:val="24"/>
              </w:rPr>
              <w:t>调整行程</w:t>
            </w:r>
            <w:r>
              <w:rPr>
                <w:rFonts w:hint="eastAsia" w:ascii="宋体" w:hAnsi="宋体" w:eastAsia="宋体" w:cs="宋体"/>
                <w:color w:val="auto"/>
                <w:sz w:val="24"/>
                <w:szCs w:val="24"/>
                <w:lang w:eastAsia="zh-CN"/>
              </w:rPr>
              <w:t>）；</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位移传感器测量精度：0.5%F.S</w:t>
            </w:r>
            <w:r>
              <w:rPr>
                <w:rFonts w:hint="eastAsia" w:ascii="宋体" w:hAnsi="宋体" w:eastAsia="宋体" w:cs="宋体"/>
                <w:color w:val="auto"/>
                <w:sz w:val="24"/>
                <w:szCs w:val="24"/>
                <w:lang w:eastAsia="zh-CN"/>
              </w:rPr>
              <w:t>；</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压板材料要有足够的刚度，在试验过程中不发生明显变形；</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高度调节机构：保证</w:t>
            </w:r>
            <w:r>
              <w:rPr>
                <w:rFonts w:hint="eastAsia" w:ascii="宋体" w:hAnsi="宋体" w:eastAsia="宋体" w:cs="宋体"/>
                <w:color w:val="auto"/>
                <w:sz w:val="24"/>
                <w:szCs w:val="24"/>
                <w:lang w:val="en-US" w:eastAsia="zh-CN"/>
              </w:rPr>
              <w:t>压板移动</w:t>
            </w:r>
            <w:r>
              <w:rPr>
                <w:rFonts w:hint="eastAsia" w:ascii="宋体" w:hAnsi="宋体" w:eastAsia="宋体" w:cs="宋体"/>
                <w:color w:val="auto"/>
                <w:sz w:val="24"/>
                <w:szCs w:val="24"/>
              </w:rPr>
              <w:t>的同步性，运行过程中不得出现卡滞、偏摆等异常</w:t>
            </w:r>
            <w:r>
              <w:rPr>
                <w:rFonts w:hint="eastAsia" w:ascii="宋体" w:hAnsi="宋体" w:eastAsia="宋体" w:cs="宋体"/>
                <w:color w:val="auto"/>
                <w:sz w:val="24"/>
                <w:szCs w:val="24"/>
                <w:lang w:eastAsia="zh-CN"/>
              </w:rPr>
              <w:t>；</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lang w:val="en-US" w:eastAsia="zh-CN"/>
              </w:rPr>
              <w:t>加载速度可调节，最大加载速度不小于13mm/s；</w:t>
            </w:r>
          </w:p>
          <w:p>
            <w:pPr>
              <w:keepNext w:val="0"/>
              <w:keepLines w:val="0"/>
              <w:widowControl/>
              <w:numPr>
                <w:ilvl w:val="0"/>
                <w:numId w:val="27"/>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rPr>
              <w:t>加载机构：加载机构</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具有足够刚度及稳定性，不得出现变形、侧翻等异常</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驾驶室</w:t>
            </w:r>
            <w:r>
              <w:rPr>
                <w:rFonts w:hint="eastAsia" w:ascii="宋体" w:hAnsi="宋体" w:eastAsia="宋体" w:cs="宋体"/>
                <w:sz w:val="24"/>
                <w:szCs w:val="24"/>
                <w:lang w:val="en-US" w:eastAsia="zh-CN"/>
              </w:rPr>
              <w:t>后围强度</w:t>
            </w:r>
            <w:r>
              <w:rPr>
                <w:rFonts w:hint="eastAsia" w:ascii="宋体" w:hAnsi="宋体" w:eastAsia="宋体" w:cs="宋体"/>
                <w:sz w:val="24"/>
                <w:szCs w:val="24"/>
              </w:rPr>
              <w:t>试验</w:t>
            </w:r>
            <w:r>
              <w:rPr>
                <w:rFonts w:hint="eastAsia" w:ascii="宋体" w:hAnsi="宋体" w:eastAsia="宋体" w:cs="宋体"/>
                <w:sz w:val="24"/>
                <w:szCs w:val="24"/>
                <w:lang w:val="en-US" w:eastAsia="zh-CN"/>
              </w:rPr>
              <w:t>压板尺寸及控制要求</w:t>
            </w:r>
          </w:p>
        </w:tc>
        <w:tc>
          <w:tcPr>
            <w:tcW w:w="6314" w:type="dxa"/>
            <w:noWrap w:val="0"/>
            <w:vAlign w:val="center"/>
          </w:tcPr>
          <w:p>
            <w:pPr>
              <w:keepNext w:val="0"/>
              <w:keepLines w:val="0"/>
              <w:pageBreakBefore w:val="0"/>
              <w:widowControl/>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压板尺寸：2500mm(长)×2500mm（宽）；</w:t>
            </w:r>
          </w:p>
          <w:p>
            <w:pPr>
              <w:keepNext w:val="0"/>
              <w:keepLines w:val="0"/>
              <w:pageBreakBefore w:val="0"/>
              <w:widowControl/>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压板最大加载行程:≥650mm；</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压板最大加载力：≥</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k</w:t>
            </w:r>
            <w:r>
              <w:rPr>
                <w:rFonts w:hint="eastAsia" w:ascii="宋体" w:hAnsi="宋体" w:eastAsia="宋体" w:cs="宋体"/>
                <w:color w:val="auto"/>
                <w:sz w:val="24"/>
                <w:szCs w:val="24"/>
                <w:highlight w:val="none"/>
              </w:rPr>
              <w:t>N</w:t>
            </w:r>
            <w:r>
              <w:rPr>
                <w:rFonts w:hint="eastAsia" w:ascii="宋体" w:hAnsi="宋体" w:eastAsia="宋体" w:cs="宋体"/>
                <w:color w:val="auto"/>
                <w:sz w:val="24"/>
                <w:szCs w:val="24"/>
                <w:highlight w:val="none"/>
                <w:lang w:eastAsia="zh-CN"/>
              </w:rPr>
              <w:t>；</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单个压板压力传感器量程：≥50kN ；</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力传感器测量精度：0.5%F.S</w:t>
            </w:r>
            <w:r>
              <w:rPr>
                <w:rFonts w:hint="eastAsia" w:ascii="宋体" w:hAnsi="宋体" w:eastAsia="宋体" w:cs="宋体"/>
                <w:color w:val="auto"/>
                <w:sz w:val="24"/>
                <w:szCs w:val="24"/>
                <w:highlight w:val="none"/>
                <w:lang w:eastAsia="zh-CN"/>
              </w:rPr>
              <w:t>；</w:t>
            </w:r>
          </w:p>
          <w:p>
            <w:pPr>
              <w:keepNext w:val="0"/>
              <w:keepLines w:val="0"/>
              <w:widowControl/>
              <w:numPr>
                <w:ilvl w:val="0"/>
                <w:numId w:val="28"/>
              </w:numPr>
              <w:suppressLineNumbers w:val="0"/>
              <w:spacing w:before="0" w:beforeAutospacing="0" w:after="0" w:afterAutospacing="0" w:line="24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压板最低点距地面最大高度：≥1200mm；</w:t>
            </w:r>
          </w:p>
          <w:p>
            <w:pPr>
              <w:keepNext w:val="0"/>
              <w:keepLines w:val="0"/>
              <w:widowControl/>
              <w:numPr>
                <w:ilvl w:val="0"/>
                <w:numId w:val="28"/>
              </w:numPr>
              <w:suppressLineNumbers w:val="0"/>
              <w:spacing w:before="0" w:beforeAutospacing="0" w:after="0" w:afterAutospacing="0" w:line="24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压板最低点距地面最低高度：≤600mm；</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压板加载位移传器测量行程：≥650mm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不小于压板最大加载行程</w:t>
            </w:r>
            <w:r>
              <w:rPr>
                <w:rFonts w:hint="eastAsia" w:ascii="宋体" w:hAnsi="宋体" w:eastAsia="宋体" w:cs="宋体"/>
                <w:color w:val="auto"/>
                <w:sz w:val="24"/>
                <w:szCs w:val="24"/>
                <w:highlight w:val="none"/>
                <w:lang w:eastAsia="zh-CN"/>
              </w:rPr>
              <w:t>）；</w:t>
            </w:r>
          </w:p>
          <w:p>
            <w:pPr>
              <w:keepNext w:val="0"/>
              <w:keepLines w:val="0"/>
              <w:widowControl/>
              <w:numPr>
                <w:ilvl w:val="0"/>
                <w:numId w:val="28"/>
              </w:numPr>
              <w:suppressLineNumbers w:val="0"/>
              <w:spacing w:before="0" w:beforeAutospacing="0" w:after="0" w:afterAutospacing="0" w:line="24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压板上下调整位移传器测量行程：≥600mm（不小于压板上下调整行程）；</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位移传感器测量精度：0.5%F.S</w:t>
            </w:r>
            <w:r>
              <w:rPr>
                <w:rFonts w:hint="eastAsia" w:ascii="宋体" w:hAnsi="宋体" w:eastAsia="宋体" w:cs="宋体"/>
                <w:color w:val="auto"/>
                <w:sz w:val="24"/>
                <w:szCs w:val="24"/>
                <w:highlight w:val="none"/>
                <w:lang w:eastAsia="zh-CN"/>
              </w:rPr>
              <w:t>；</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压板材料要有足够的刚度，在试验过程中不发生明显变形；</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高度调节机构：保证</w:t>
            </w:r>
            <w:r>
              <w:rPr>
                <w:rFonts w:hint="eastAsia" w:ascii="宋体" w:hAnsi="宋体" w:eastAsia="宋体" w:cs="宋体"/>
                <w:color w:val="auto"/>
                <w:sz w:val="24"/>
                <w:szCs w:val="24"/>
                <w:highlight w:val="none"/>
                <w:lang w:val="en-US" w:eastAsia="zh-CN"/>
              </w:rPr>
              <w:t>压板</w:t>
            </w:r>
            <w:r>
              <w:rPr>
                <w:rFonts w:hint="eastAsia" w:ascii="宋体" w:hAnsi="宋体" w:eastAsia="宋体" w:cs="宋体"/>
                <w:color w:val="auto"/>
                <w:sz w:val="24"/>
                <w:szCs w:val="24"/>
                <w:highlight w:val="none"/>
              </w:rPr>
              <w:t>运动的同步性，运行过程中不得出现卡滞、偏摆等异常</w:t>
            </w:r>
            <w:r>
              <w:rPr>
                <w:rFonts w:hint="eastAsia" w:ascii="宋体" w:hAnsi="宋体" w:eastAsia="宋体" w:cs="宋体"/>
                <w:color w:val="auto"/>
                <w:sz w:val="24"/>
                <w:szCs w:val="24"/>
                <w:highlight w:val="none"/>
                <w:lang w:eastAsia="zh-CN"/>
              </w:rPr>
              <w:t>；</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lang w:val="en-US" w:eastAsia="zh-CN"/>
              </w:rPr>
              <w:t>加载速度可调节，最大加载速度不小于13mm/s；</w:t>
            </w:r>
          </w:p>
          <w:p>
            <w:pPr>
              <w:keepNext w:val="0"/>
              <w:keepLines w:val="0"/>
              <w:widowControl/>
              <w:numPr>
                <w:ilvl w:val="0"/>
                <w:numId w:val="28"/>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highlight w:val="none"/>
              </w:rPr>
              <w:t>加载机构：有足够刚度及稳定性，</w:t>
            </w:r>
            <w:r>
              <w:rPr>
                <w:rFonts w:hint="eastAsia" w:ascii="宋体" w:hAnsi="宋体" w:eastAsia="宋体" w:cs="宋体"/>
                <w:color w:val="auto"/>
                <w:sz w:val="24"/>
                <w:szCs w:val="24"/>
                <w:highlight w:val="none"/>
                <w:lang w:val="en-US" w:eastAsia="zh-CN"/>
              </w:rPr>
              <w:t>试验过程中</w:t>
            </w:r>
            <w:r>
              <w:rPr>
                <w:rFonts w:hint="eastAsia" w:ascii="宋体" w:hAnsi="宋体" w:eastAsia="宋体" w:cs="宋体"/>
                <w:color w:val="auto"/>
                <w:sz w:val="24"/>
                <w:szCs w:val="24"/>
                <w:highlight w:val="none"/>
              </w:rPr>
              <w:t>不得出现变形、侧翻等异常</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4</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kern w:val="2"/>
                <w:sz w:val="24"/>
                <w:szCs w:val="24"/>
              </w:rPr>
            </w:pPr>
            <w:r>
              <w:rPr>
                <w:rFonts w:hint="eastAsia" w:ascii="宋体" w:hAnsi="宋体" w:eastAsia="宋体" w:cs="宋体"/>
                <w:sz w:val="24"/>
                <w:szCs w:val="24"/>
                <w:lang w:val="en-US" w:eastAsia="zh-CN"/>
              </w:rPr>
              <w:t>固车</w:t>
            </w:r>
            <w:r>
              <w:rPr>
                <w:rFonts w:hint="eastAsia" w:ascii="宋体" w:hAnsi="宋体" w:eastAsia="宋体" w:cs="宋体"/>
                <w:sz w:val="24"/>
                <w:szCs w:val="24"/>
              </w:rPr>
              <w:t>系统</w:t>
            </w:r>
          </w:p>
        </w:tc>
        <w:tc>
          <w:tcPr>
            <w:tcW w:w="6314" w:type="dxa"/>
            <w:noWrap w:val="0"/>
            <w:vAlign w:val="center"/>
          </w:tcPr>
          <w:p>
            <w:pPr>
              <w:keepNext w:val="0"/>
              <w:keepLines w:val="0"/>
              <w:widowControl/>
              <w:numPr>
                <w:ilvl w:val="0"/>
                <w:numId w:val="29"/>
              </w:numPr>
              <w:suppressLineNumbers w:val="0"/>
              <w:spacing w:before="0" w:beforeAutospacing="0" w:after="0" w:afterAutospacing="0" w:line="240" w:lineRule="auto"/>
              <w:ind w:right="0"/>
              <w:jc w:val="left"/>
              <w:rPr>
                <w:rFonts w:hint="eastAsia" w:ascii="宋体" w:hAnsi="宋体" w:eastAsia="宋体" w:cs="宋体"/>
                <w:color w:val="auto"/>
                <w:sz w:val="24"/>
                <w:szCs w:val="24"/>
                <w:lang w:val="en-US" w:eastAsia="zh-CN"/>
              </w:rPr>
            </w:pPr>
            <w:r>
              <w:rPr>
                <w:rFonts w:hint="eastAsia" w:ascii="宋体" w:hAnsi="宋体" w:eastAsia="宋体" w:cs="宋体"/>
                <w:strike w:val="0"/>
                <w:dstrike w:val="0"/>
                <w:color w:val="auto"/>
                <w:sz w:val="24"/>
                <w:szCs w:val="24"/>
                <w:lang w:val="en-US" w:eastAsia="zh-CN"/>
              </w:rPr>
              <w:t>应提供铁地板尺寸规格及安装图纸，</w:t>
            </w:r>
            <w:r>
              <w:rPr>
                <w:rFonts w:hint="eastAsia" w:ascii="宋体" w:hAnsi="宋体" w:eastAsia="宋体" w:cs="宋体"/>
                <w:color w:val="auto"/>
                <w:sz w:val="24"/>
                <w:szCs w:val="24"/>
                <w:lang w:val="en-US" w:eastAsia="zh-CN"/>
              </w:rPr>
              <w:t>用于固定试验对象（带车架的驾驶室）；</w:t>
            </w:r>
          </w:p>
          <w:p>
            <w:pPr>
              <w:keepNext w:val="0"/>
              <w:keepLines w:val="0"/>
              <w:widowControl/>
              <w:numPr>
                <w:ilvl w:val="0"/>
                <w:numId w:val="29"/>
              </w:numPr>
              <w:suppressLineNumbers w:val="0"/>
              <w:spacing w:before="0" w:beforeAutospacing="0" w:after="0" w:afterAutospacing="0" w:line="240" w:lineRule="auto"/>
              <w:ind w:right="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可固定最大驾驶室的尺寸为2500mm(宽)×3500mm（长）；</w:t>
            </w:r>
          </w:p>
          <w:p>
            <w:pPr>
              <w:keepNext w:val="0"/>
              <w:keepLines w:val="0"/>
              <w:widowControl/>
              <w:numPr>
                <w:ilvl w:val="0"/>
                <w:numId w:val="29"/>
              </w:numPr>
              <w:suppressLineNumbers w:val="0"/>
              <w:spacing w:before="0" w:beforeAutospacing="0" w:after="0" w:afterAutospacing="0" w:line="240" w:lineRule="auto"/>
              <w:ind w:right="0"/>
              <w:jc w:val="left"/>
              <w:rPr>
                <w:rFonts w:hint="eastAsia" w:ascii="宋体" w:hAnsi="宋体" w:eastAsia="宋体" w:cs="宋体"/>
                <w:sz w:val="24"/>
                <w:szCs w:val="24"/>
                <w:lang w:val="en-US" w:eastAsia="zh-CN"/>
              </w:rPr>
            </w:pPr>
            <w:r>
              <w:rPr>
                <w:rFonts w:hint="eastAsia" w:ascii="宋体" w:hAnsi="宋体" w:eastAsia="宋体" w:cs="宋体"/>
                <w:strike w:val="0"/>
                <w:dstrike w:val="0"/>
                <w:color w:val="auto"/>
                <w:sz w:val="24"/>
                <w:szCs w:val="24"/>
                <w:lang w:val="en-US" w:eastAsia="zh-CN"/>
              </w:rPr>
              <w:t>配备配套的工装夹具或紧固件；</w:t>
            </w:r>
          </w:p>
          <w:p>
            <w:pPr>
              <w:keepNext w:val="0"/>
              <w:keepLines w:val="0"/>
              <w:widowControl/>
              <w:numPr>
                <w:ilvl w:val="0"/>
                <w:numId w:val="29"/>
              </w:numPr>
              <w:suppressLineNumbers w:val="0"/>
              <w:spacing w:before="0" w:beforeAutospacing="0" w:after="0" w:afterAutospacing="0" w:line="240" w:lineRule="auto"/>
              <w:ind w:right="0"/>
              <w:jc w:val="left"/>
              <w:rPr>
                <w:rFonts w:hint="eastAsia" w:ascii="宋体" w:hAnsi="宋体" w:eastAsia="宋体" w:cs="宋体"/>
                <w:sz w:val="24"/>
                <w:szCs w:val="24"/>
              </w:rPr>
            </w:pPr>
            <w:r>
              <w:rPr>
                <w:rFonts w:hint="eastAsia" w:ascii="宋体" w:hAnsi="宋体" w:eastAsia="宋体" w:cs="宋体"/>
                <w:color w:val="auto"/>
                <w:sz w:val="24"/>
                <w:szCs w:val="24"/>
                <w:lang w:val="en-US" w:eastAsia="zh-CN"/>
              </w:rPr>
              <w:t>固车系统应保证在试验中车架无明显的移动。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安全系统</w:t>
            </w:r>
          </w:p>
        </w:tc>
        <w:tc>
          <w:tcPr>
            <w:tcW w:w="6314" w:type="dxa"/>
            <w:noWrap w:val="0"/>
            <w:vAlign w:val="center"/>
          </w:tcPr>
          <w:p>
            <w:pPr>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具有手动急停功能；</w:t>
            </w:r>
          </w:p>
          <w:p>
            <w:pPr>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具有超位移等保护功能；</w:t>
            </w:r>
          </w:p>
          <w:p>
            <w:pPr>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试验台设有声光警示装置，在试验期间，以声光形式警示试验人员及周围其他人员退出试验区域；</w:t>
            </w:r>
          </w:p>
          <w:p>
            <w:pPr>
              <w:keepNext w:val="0"/>
              <w:keepLines w:val="0"/>
              <w:widowControl/>
              <w:numPr>
                <w:ilvl w:val="0"/>
                <w:numId w:val="30"/>
              </w:numPr>
              <w:suppressLineNumbers w:val="0"/>
              <w:spacing w:before="0" w:beforeAutospacing="0" w:after="0" w:afterAutospacing="0" w:line="240" w:lineRule="auto"/>
              <w:ind w:left="0" w:right="0" w:firstLine="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*需具备无线遥控功能，可调节压板位置，用于试验准备阶段，集成手动急停功能。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电器柜、电器原件、线缆</w:t>
            </w:r>
          </w:p>
        </w:tc>
        <w:tc>
          <w:tcPr>
            <w:tcW w:w="6314" w:type="dxa"/>
            <w:noWrap w:val="0"/>
            <w:vAlign w:val="center"/>
          </w:tcPr>
          <w:p>
            <w:pPr>
              <w:keepNext w:val="0"/>
              <w:keepLines w:val="0"/>
              <w:widowControl/>
              <w:numPr>
                <w:ilvl w:val="0"/>
                <w:numId w:val="31"/>
              </w:numPr>
              <w:suppressLineNumbers w:val="0"/>
              <w:spacing w:before="0" w:beforeAutospacing="0" w:after="0" w:afterAutospacing="0" w:line="240" w:lineRule="auto"/>
              <w:ind w:right="0"/>
              <w:rPr>
                <w:rFonts w:hint="eastAsia" w:ascii="宋体" w:hAnsi="宋体" w:eastAsia="宋体" w:cs="宋体"/>
                <w:sz w:val="24"/>
                <w:szCs w:val="24"/>
              </w:rPr>
            </w:pPr>
            <w:r>
              <w:rPr>
                <w:rFonts w:hint="eastAsia" w:ascii="宋体" w:hAnsi="宋体" w:eastAsia="宋体" w:cs="宋体"/>
                <w:sz w:val="24"/>
                <w:szCs w:val="24"/>
              </w:rPr>
              <w:t>应有足够的操作提示、报警显示、故障原因和位置显示；</w:t>
            </w:r>
          </w:p>
          <w:p>
            <w:pPr>
              <w:keepNext w:val="0"/>
              <w:keepLines w:val="0"/>
              <w:widowControl/>
              <w:numPr>
                <w:ilvl w:val="0"/>
                <w:numId w:val="31"/>
              </w:numPr>
              <w:suppressLineNumbers w:val="0"/>
              <w:spacing w:before="0" w:beforeAutospacing="0" w:after="0" w:afterAutospacing="0" w:line="240" w:lineRule="auto"/>
              <w:ind w:right="0"/>
              <w:rPr>
                <w:rFonts w:hint="eastAsia" w:ascii="宋体" w:hAnsi="宋体" w:eastAsia="宋体" w:cs="宋体"/>
                <w:color w:val="auto"/>
                <w:sz w:val="24"/>
                <w:szCs w:val="24"/>
                <w:lang w:val="en-US" w:eastAsia="zh-CN"/>
              </w:rPr>
            </w:pPr>
            <w:r>
              <w:rPr>
                <w:rFonts w:hint="eastAsia" w:ascii="宋体" w:hAnsi="宋体" w:eastAsia="宋体" w:cs="宋体"/>
                <w:sz w:val="24"/>
                <w:szCs w:val="24"/>
              </w:rPr>
              <w:t>应具有完善的过载、超压、漏电、短路等自动保护功能</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7</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sz w:val="24"/>
                <w:szCs w:val="24"/>
              </w:rPr>
            </w:pPr>
            <w:r>
              <w:rPr>
                <w:rFonts w:hint="eastAsia" w:ascii="宋体" w:hAnsi="宋体" w:eastAsia="宋体" w:cs="宋体"/>
                <w:sz w:val="24"/>
                <w:szCs w:val="24"/>
                <w:lang w:val="en-US" w:eastAsia="zh-CN"/>
              </w:rPr>
              <w:t>软件功能</w:t>
            </w:r>
          </w:p>
        </w:tc>
        <w:tc>
          <w:tcPr>
            <w:tcW w:w="6314" w:type="dxa"/>
            <w:noWrap w:val="0"/>
            <w:vAlign w:val="center"/>
          </w:tcPr>
          <w:p>
            <w:pPr>
              <w:keepNext w:val="0"/>
              <w:keepLines w:val="0"/>
              <w:widowControl/>
              <w:numPr>
                <w:ilvl w:val="0"/>
                <w:numId w:val="32"/>
              </w:numPr>
              <w:suppressLineNumbers w:val="0"/>
              <w:spacing w:before="0" w:beforeAutospacing="0" w:after="0" w:afterAutospacing="0" w:line="240" w:lineRule="auto"/>
              <w:ind w:right="0" w:rightChars="0"/>
              <w:rPr>
                <w:rFonts w:hint="eastAsia" w:ascii="宋体" w:hAnsi="宋体" w:eastAsia="宋体" w:cs="宋体"/>
                <w:color w:val="auto"/>
                <w:sz w:val="24"/>
                <w:szCs w:val="24"/>
              </w:rPr>
            </w:pPr>
            <w:r>
              <w:rPr>
                <w:rFonts w:hint="eastAsia" w:ascii="宋体" w:hAnsi="宋体" w:eastAsia="宋体" w:cs="宋体"/>
                <w:color w:val="auto"/>
                <w:sz w:val="24"/>
                <w:szCs w:val="24"/>
              </w:rPr>
              <w:t>具有分级操作管理功能</w:t>
            </w:r>
            <w:r>
              <w:rPr>
                <w:rFonts w:hint="eastAsia" w:ascii="宋体" w:hAnsi="宋体" w:eastAsia="宋体" w:cs="宋体"/>
                <w:color w:val="auto"/>
                <w:sz w:val="24"/>
                <w:szCs w:val="24"/>
                <w:lang w:eastAsia="zh-CN"/>
              </w:rPr>
              <w:t>；</w:t>
            </w:r>
          </w:p>
          <w:p>
            <w:pPr>
              <w:keepNext w:val="0"/>
              <w:keepLines w:val="0"/>
              <w:widowControl/>
              <w:numPr>
                <w:ilvl w:val="0"/>
                <w:numId w:val="32"/>
              </w:numPr>
              <w:suppressLineNumbers w:val="0"/>
              <w:spacing w:before="0" w:beforeAutospacing="0" w:after="0" w:afterAutospacing="0" w:line="240" w:lineRule="auto"/>
              <w:ind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运行参数可以在计算机上设定及显示；</w:t>
            </w:r>
          </w:p>
          <w:p>
            <w:pPr>
              <w:keepNext w:val="0"/>
              <w:keepLines w:val="0"/>
              <w:widowControl/>
              <w:numPr>
                <w:ilvl w:val="0"/>
                <w:numId w:val="32"/>
              </w:numPr>
              <w:suppressLineNumbers w:val="0"/>
              <w:spacing w:before="0" w:beforeAutospacing="0" w:after="0" w:afterAutospacing="0" w:line="240" w:lineRule="auto"/>
              <w:ind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试验数据采用数据库方式管理，可按品种类型、年、月、日进行实验结果的检索和调用；</w:t>
            </w:r>
          </w:p>
          <w:p>
            <w:pPr>
              <w:keepNext w:val="0"/>
              <w:keepLines w:val="0"/>
              <w:widowControl/>
              <w:numPr>
                <w:ilvl w:val="0"/>
                <w:numId w:val="32"/>
              </w:numPr>
              <w:suppressLineNumbers w:val="0"/>
              <w:spacing w:before="0" w:beforeAutospacing="0" w:after="0" w:afterAutospacing="0" w:line="240" w:lineRule="auto"/>
              <w:ind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能独立实时动态显示试验加载过程中的力、位移数据，绘制位移（横坐标）—力（纵坐标）过程变化曲线，</w:t>
            </w:r>
            <w:r>
              <w:rPr>
                <w:rFonts w:hint="eastAsia" w:ascii="宋体" w:hAnsi="宋体" w:eastAsia="宋体" w:cs="宋体"/>
                <w:sz w:val="24"/>
                <w:szCs w:val="24"/>
              </w:rPr>
              <w:t>曲线数据可导成excel等支持的可编辑的数据文件</w:t>
            </w:r>
            <w:r>
              <w:rPr>
                <w:rFonts w:hint="eastAsia" w:ascii="宋体" w:hAnsi="宋体" w:eastAsia="宋体" w:cs="宋体"/>
                <w:color w:val="auto"/>
                <w:sz w:val="24"/>
                <w:szCs w:val="24"/>
                <w:lang w:eastAsia="zh-CN"/>
              </w:rPr>
              <w:t>；</w:t>
            </w:r>
          </w:p>
          <w:p>
            <w:pPr>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试验结束后，可生成试验报告，可编辑、修改、打印；</w:t>
            </w:r>
          </w:p>
          <w:p>
            <w:pPr>
              <w:keepNext w:val="0"/>
              <w:keepLines w:val="0"/>
              <w:widowControl/>
              <w:numPr>
                <w:ilvl w:val="0"/>
                <w:numId w:val="32"/>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lang w:val="en-US" w:eastAsia="zh-CN"/>
              </w:rPr>
              <w:t>提供操作系统和试验台软件备份文件。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trPr>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8</w:t>
            </w:r>
          </w:p>
        </w:tc>
        <w:tc>
          <w:tcPr>
            <w:tcW w:w="2217" w:type="dxa"/>
            <w:noWrap w:val="0"/>
            <w:vAlign w:val="center"/>
          </w:tcPr>
          <w:p>
            <w:pPr>
              <w:keepNext w:val="0"/>
              <w:keepLines w:val="0"/>
              <w:widowControl/>
              <w:numPr>
                <w:ilvl w:val="-1"/>
                <w:numId w:val="0"/>
              </w:numPr>
              <w:suppressLineNumbers w:val="0"/>
              <w:spacing w:before="0" w:beforeAutospacing="0" w:after="0" w:afterAutospacing="0" w:line="240" w:lineRule="auto"/>
              <w:ind w:left="0" w:right="0" w:firstLine="0"/>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主控计算机系统</w:t>
            </w:r>
          </w:p>
        </w:tc>
        <w:tc>
          <w:tcPr>
            <w:tcW w:w="6314" w:type="dxa"/>
            <w:noWrap w:val="0"/>
            <w:vAlign w:val="center"/>
          </w:tcPr>
          <w:p>
            <w:pPr>
              <w:keepNext w:val="0"/>
              <w:keepLines w:val="0"/>
              <w:widowControl/>
              <w:numPr>
                <w:ilvl w:val="0"/>
                <w:numId w:val="33"/>
              </w:numPr>
              <w:suppressLineNumbers w:val="0"/>
              <w:spacing w:before="0" w:beforeAutospacing="0" w:after="0" w:afterAutospacing="0" w:line="240" w:lineRule="auto"/>
              <w:ind w:right="0"/>
              <w:rPr>
                <w:rFonts w:hint="eastAsia" w:ascii="宋体" w:hAnsi="宋体" w:eastAsia="宋体" w:cs="宋体"/>
                <w:color w:val="auto"/>
                <w:sz w:val="24"/>
                <w:szCs w:val="24"/>
                <w:lang w:val="en-US" w:eastAsia="zh-CN"/>
              </w:rPr>
            </w:pPr>
            <w:r>
              <w:rPr>
                <w:rFonts w:hint="eastAsia" w:ascii="宋体" w:hAnsi="宋体" w:eastAsia="宋体" w:cs="宋体"/>
                <w:color w:val="000000"/>
                <w:sz w:val="24"/>
                <w:szCs w:val="24"/>
                <w:lang w:val="en-US" w:eastAsia="zh-CN"/>
              </w:rPr>
              <w:t>每个独立的试验台应</w:t>
            </w:r>
            <w:r>
              <w:rPr>
                <w:rFonts w:hint="eastAsia" w:ascii="宋体" w:hAnsi="宋体" w:eastAsia="宋体" w:cs="宋体"/>
                <w:color w:val="auto"/>
                <w:sz w:val="24"/>
                <w:szCs w:val="24"/>
                <w:lang w:val="en-US" w:eastAsia="zh-CN"/>
              </w:rPr>
              <w:t>配置一台控制算计机；</w:t>
            </w:r>
          </w:p>
          <w:p>
            <w:pPr>
              <w:keepNext w:val="0"/>
              <w:keepLines w:val="0"/>
              <w:widowControl/>
              <w:numPr>
                <w:ilvl w:val="0"/>
                <w:numId w:val="33"/>
              </w:numPr>
              <w:suppressLineNumbers w:val="0"/>
              <w:spacing w:before="0" w:beforeAutospacing="0" w:after="0" w:afterAutospacing="0" w:line="240" w:lineRule="auto"/>
              <w:ind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CPU：I7处理器及以上</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硬盘：≥1TB；</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内存：≥16GB；</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显示器：≥19英寸；</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主控计算机软件操作系统为WINDOWS10及以上系统；</w:t>
            </w:r>
          </w:p>
          <w:p>
            <w:pPr>
              <w:keepNext w:val="0"/>
              <w:keepLines w:val="0"/>
              <w:widowControl/>
              <w:numPr>
                <w:ilvl w:val="0"/>
                <w:numId w:val="33"/>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通讯线缆应布置在地下。</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3.3 高速摄像机系统</w:t>
      </w:r>
    </w:p>
    <w:tbl>
      <w:tblPr>
        <w:tblStyle w:val="3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217"/>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31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0</w:t>
            </w:r>
          </w:p>
        </w:tc>
        <w:tc>
          <w:tcPr>
            <w:tcW w:w="221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总体要求</w:t>
            </w:r>
          </w:p>
        </w:tc>
        <w:tc>
          <w:tcPr>
            <w:tcW w:w="6314" w:type="dxa"/>
            <w:noWrap w:val="0"/>
            <w:vAlign w:val="center"/>
          </w:tcPr>
          <w:p>
            <w:pPr>
              <w:keepNext w:val="0"/>
              <w:keepLines w:val="0"/>
              <w:widowControl/>
              <w:numPr>
                <w:ilvl w:val="-1"/>
                <w:numId w:val="0"/>
              </w:numPr>
              <w:suppressLineNumbers w:val="0"/>
              <w:spacing w:before="0" w:beforeAutospacing="0" w:after="0" w:afterAutospacing="0" w:line="240" w:lineRule="auto"/>
              <w:ind w:left="0" w:right="0"/>
              <w:rPr>
                <w:rFonts w:hint="eastAsia" w:ascii="宋体" w:hAnsi="宋体" w:eastAsia="宋体" w:cs="宋体"/>
                <w:sz w:val="24"/>
                <w:szCs w:val="24"/>
                <w:lang w:eastAsia="zh-CN"/>
              </w:rPr>
            </w:pPr>
            <w:r>
              <w:rPr>
                <w:rFonts w:hint="eastAsia" w:ascii="宋体" w:hAnsi="宋体" w:eastAsia="宋体" w:cs="宋体"/>
                <w:color w:val="auto"/>
                <w:sz w:val="24"/>
                <w:szCs w:val="24"/>
              </w:rPr>
              <w:t xml:space="preserve">高速摄像机主要用于记录GB 26512-2021《商用车驾驶室乘员保护》、 </w:t>
            </w:r>
            <w:r>
              <w:rPr>
                <w:rFonts w:hint="eastAsia" w:ascii="宋体" w:hAnsi="宋体" w:eastAsia="宋体" w:cs="宋体"/>
                <w:color w:val="auto"/>
                <w:sz w:val="24"/>
                <w:szCs w:val="24"/>
                <w:lang w:eastAsia="zh-CN"/>
              </w:rPr>
              <w:t>JT/T</w:t>
            </w:r>
            <w:r>
              <w:rPr>
                <w:rFonts w:hint="eastAsia" w:ascii="宋体" w:hAnsi="宋体" w:eastAsia="宋体" w:cs="宋体"/>
                <w:color w:val="auto"/>
                <w:sz w:val="24"/>
                <w:szCs w:val="24"/>
              </w:rPr>
              <w:t xml:space="preserve"> 1178.1-2018《营运货车安全技术条件》、中所要求的商用车驾驶室</w:t>
            </w:r>
            <w:r>
              <w:rPr>
                <w:rFonts w:hint="eastAsia" w:ascii="宋体" w:hAnsi="宋体" w:eastAsia="宋体" w:cs="宋体"/>
                <w:color w:val="auto"/>
                <w:sz w:val="24"/>
                <w:szCs w:val="24"/>
                <w:lang w:val="en-US" w:eastAsia="zh-CN"/>
              </w:rPr>
              <w:t>撞击</w:t>
            </w:r>
            <w:r>
              <w:rPr>
                <w:rFonts w:hint="eastAsia" w:ascii="宋体" w:hAnsi="宋体" w:eastAsia="宋体" w:cs="宋体"/>
                <w:color w:val="auto"/>
                <w:sz w:val="24"/>
                <w:szCs w:val="24"/>
              </w:rPr>
              <w:t>试验过程中转瞬即逝的变形及冲击</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高速摄像机</w:t>
            </w:r>
          </w:p>
        </w:tc>
        <w:tc>
          <w:tcPr>
            <w:tcW w:w="6314" w:type="dxa"/>
            <w:noWrap w:val="0"/>
            <w:vAlign w:val="center"/>
          </w:tcPr>
          <w:p>
            <w:pPr>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规格型号：</w:t>
            </w:r>
            <w:r>
              <w:rPr>
                <w:rFonts w:hint="eastAsia" w:ascii="宋体" w:hAnsi="宋体" w:eastAsia="宋体" w:cs="宋体"/>
                <w:color w:val="auto"/>
                <w:sz w:val="24"/>
                <w:szCs w:val="24"/>
                <w:lang w:val="en-US" w:eastAsia="zh-CN"/>
              </w:rPr>
              <w:t>NAC HX-7S、Phantom VEO440L或同等级</w:t>
            </w:r>
            <w:r>
              <w:rPr>
                <w:rFonts w:hint="eastAsia" w:ascii="宋体" w:hAnsi="宋体" w:eastAsia="宋体" w:cs="宋体"/>
                <w:b/>
                <w:bCs/>
                <w:color w:val="auto"/>
                <w:sz w:val="24"/>
                <w:szCs w:val="24"/>
                <w:lang w:val="en-US" w:eastAsia="zh-CN"/>
              </w:rPr>
              <w:t>进口产品</w:t>
            </w:r>
            <w:r>
              <w:rPr>
                <w:rFonts w:hint="eastAsia" w:ascii="宋体" w:hAnsi="宋体" w:eastAsia="宋体" w:cs="宋体"/>
                <w:color w:val="auto"/>
                <w:sz w:val="24"/>
                <w:szCs w:val="24"/>
                <w:lang w:val="en-US" w:eastAsia="zh-CN"/>
              </w:rPr>
              <w:t>；</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图像传感器类型为彩色CMOS；</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图像传感器的满分辨率不低于2560×1600（400万像素），在1000fps的拍摄速度下分辨率不低于400万像素；在2000fps的拍摄速度下分辨率不低于200万像素；</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最高拍摄速度</w:t>
            </w:r>
            <w:r>
              <w:rPr>
                <w:rFonts w:hint="eastAsia" w:ascii="宋体" w:hAnsi="宋体" w:eastAsia="宋体" w:cs="宋体"/>
                <w:sz w:val="24"/>
                <w:szCs w:val="24"/>
              </w:rPr>
              <w:t>≥</w:t>
            </w:r>
            <w:r>
              <w:rPr>
                <w:rFonts w:hint="eastAsia" w:ascii="宋体" w:hAnsi="宋体" w:eastAsia="宋体" w:cs="宋体"/>
                <w:sz w:val="24"/>
                <w:szCs w:val="24"/>
                <w:lang w:val="en-US" w:eastAsia="zh-CN"/>
              </w:rPr>
              <w:t>200000fps；</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像素尺寸不小于10µm；</w:t>
            </w:r>
          </w:p>
          <w:p>
            <w:pPr>
              <w:keepNext w:val="0"/>
              <w:keepLines w:val="0"/>
              <w:widowControl/>
              <w:numPr>
                <w:ilvl w:val="0"/>
                <w:numId w:val="34"/>
              </w:numPr>
              <w:suppressLineNumbers w:val="0"/>
              <w:spacing w:before="0" w:beforeAutospacing="0" w:after="0" w:afterAutospacing="0" w:line="240" w:lineRule="auto"/>
              <w:ind w:left="0" w:right="0" w:firstLine="0"/>
              <w:rPr>
                <w:rFonts w:hint="eastAsia" w:ascii="宋体" w:hAnsi="宋体" w:eastAsia="宋体" w:cs="宋体"/>
                <w:color w:val="0000FF"/>
                <w:sz w:val="24"/>
                <w:szCs w:val="24"/>
              </w:rPr>
            </w:pPr>
            <w:r>
              <w:rPr>
                <w:rFonts w:hint="eastAsia" w:ascii="宋体" w:hAnsi="宋体" w:eastAsia="宋体" w:cs="宋体"/>
                <w:color w:val="auto"/>
                <w:sz w:val="24"/>
                <w:szCs w:val="24"/>
                <w:lang w:eastAsia="zh-CN"/>
              </w:rPr>
              <w:t>感光灵敏度不小于ISO 2000彩色</w:t>
            </w:r>
            <w:r>
              <w:rPr>
                <w:rFonts w:hint="eastAsia" w:ascii="宋体" w:hAnsi="宋体" w:eastAsia="宋体" w:cs="宋体"/>
                <w:color w:val="0000FF"/>
                <w:sz w:val="24"/>
                <w:szCs w:val="24"/>
                <w:lang w:eastAsia="zh-CN"/>
              </w:rPr>
              <w:t>；</w:t>
            </w:r>
          </w:p>
          <w:p>
            <w:pPr>
              <w:keepNext w:val="0"/>
              <w:keepLines w:val="0"/>
              <w:widowControl/>
              <w:numPr>
                <w:ilvl w:val="0"/>
                <w:numId w:val="34"/>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bCs w:val="0"/>
                <w:sz w:val="24"/>
                <w:szCs w:val="24"/>
              </w:rPr>
              <w:t>快门时间可调节，最小快门时间不高于</w:t>
            </w:r>
            <w:r>
              <w:rPr>
                <w:rFonts w:hint="eastAsia" w:ascii="宋体" w:hAnsi="宋体" w:eastAsia="宋体" w:cs="宋体"/>
                <w:bCs w:val="0"/>
                <w:sz w:val="24"/>
                <w:szCs w:val="24"/>
                <w:lang w:eastAsia="zh-CN"/>
              </w:rPr>
              <w:t>1.</w:t>
            </w:r>
            <w:r>
              <w:rPr>
                <w:rFonts w:hint="eastAsia" w:ascii="宋体" w:hAnsi="宋体" w:eastAsia="宋体" w:cs="宋体"/>
                <w:bCs w:val="0"/>
                <w:sz w:val="24"/>
                <w:szCs w:val="24"/>
              </w:rPr>
              <w:t>1µs</w:t>
            </w:r>
            <w:r>
              <w:rPr>
                <w:rFonts w:hint="eastAsia" w:ascii="宋体" w:hAnsi="宋体" w:eastAsia="宋体" w:cs="宋体"/>
                <w:bCs w:val="0"/>
                <w:sz w:val="24"/>
                <w:szCs w:val="24"/>
                <w:lang w:eastAsia="zh-CN"/>
              </w:rPr>
              <w:t>；</w:t>
            </w:r>
          </w:p>
          <w:p>
            <w:pPr>
              <w:keepNext w:val="0"/>
              <w:keepLines w:val="0"/>
              <w:widowControl/>
              <w:numPr>
                <w:ilvl w:val="0"/>
                <w:numId w:val="34"/>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rPr>
              <w:t>摄像机内部存储≥32GB，且在2560</w:t>
            </w:r>
            <w:r>
              <w:rPr>
                <w:rFonts w:hint="eastAsia" w:ascii="宋体" w:hAnsi="宋体" w:eastAsia="宋体" w:cs="宋体"/>
                <w:sz w:val="24"/>
                <w:szCs w:val="24"/>
                <w:lang w:val="en-US" w:eastAsia="zh-CN"/>
              </w:rPr>
              <w:t>×</w:t>
            </w:r>
            <w:r>
              <w:rPr>
                <w:rFonts w:hint="eastAsia" w:ascii="宋体" w:hAnsi="宋体" w:eastAsia="宋体" w:cs="宋体"/>
                <w:sz w:val="24"/>
                <w:szCs w:val="24"/>
              </w:rPr>
              <w:t>1600@1000fps时，拍摄时间不少于7秒</w:t>
            </w:r>
            <w:r>
              <w:rPr>
                <w:rFonts w:hint="eastAsia" w:ascii="宋体" w:hAnsi="宋体" w:eastAsia="宋体" w:cs="宋体"/>
                <w:sz w:val="24"/>
                <w:szCs w:val="24"/>
                <w:lang w:eastAsia="zh-CN"/>
              </w:rPr>
              <w:t>；</w:t>
            </w:r>
          </w:p>
          <w:p>
            <w:pPr>
              <w:keepNext w:val="0"/>
              <w:keepLines w:val="0"/>
              <w:widowControl/>
              <w:numPr>
                <w:ilvl w:val="0"/>
                <w:numId w:val="34"/>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rPr>
              <w:t>摄像机可以接收外部输入的脉冲、开关量等信号触发，能在0-100%范围内任意设置触发点，并可在记录图像中标识该触发时刻点</w:t>
            </w:r>
            <w:r>
              <w:rPr>
                <w:rFonts w:hint="eastAsia" w:ascii="宋体" w:hAnsi="宋体" w:eastAsia="宋体" w:cs="宋体"/>
                <w:sz w:val="24"/>
                <w:szCs w:val="24"/>
                <w:lang w:eastAsia="zh-CN"/>
              </w:rPr>
              <w:t>；</w:t>
            </w:r>
          </w:p>
          <w:p>
            <w:pPr>
              <w:keepNext w:val="0"/>
              <w:keepLines w:val="0"/>
              <w:widowControl/>
              <w:numPr>
                <w:ilvl w:val="0"/>
                <w:numId w:val="34"/>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rPr>
              <w:t>具有断电数据保护功能。摄像机内置电池供电，在意外断电后内存数据具有自动保存功能，</w:t>
            </w:r>
            <w:r>
              <w:rPr>
                <w:rFonts w:hint="eastAsia" w:ascii="宋体" w:hAnsi="宋体" w:eastAsia="宋体" w:cs="宋体"/>
                <w:sz w:val="24"/>
                <w:szCs w:val="24"/>
                <w:lang w:val="en-US" w:eastAsia="zh-CN"/>
              </w:rPr>
              <w:t>供电</w:t>
            </w:r>
            <w:r>
              <w:rPr>
                <w:rFonts w:hint="eastAsia" w:ascii="宋体" w:hAnsi="宋体" w:eastAsia="宋体" w:cs="宋体"/>
                <w:sz w:val="24"/>
                <w:szCs w:val="24"/>
              </w:rPr>
              <w:t>时间≥60分钟。内置电池在摄像机外接电源时能自动充电，当电量不足时，系统具有提示功能</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w:t>
            </w:r>
          </w:p>
        </w:tc>
        <w:tc>
          <w:tcPr>
            <w:tcW w:w="6314" w:type="dxa"/>
            <w:noWrap w:val="0"/>
            <w:vAlign w:val="center"/>
          </w:tcPr>
          <w:p>
            <w:pPr>
              <w:keepNext w:val="0"/>
              <w:keepLines w:val="0"/>
              <w:widowControl/>
              <w:numPr>
                <w:ilvl w:val="0"/>
                <w:numId w:val="35"/>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rPr>
              <w:t>配套镜头：</w:t>
            </w:r>
            <w:r>
              <w:rPr>
                <w:rFonts w:hint="eastAsia" w:ascii="宋体" w:hAnsi="宋体" w:eastAsia="宋体" w:cs="宋体"/>
                <w:sz w:val="24"/>
                <w:szCs w:val="24"/>
                <w:highlight w:val="none"/>
                <w:lang w:val="en-US" w:eastAsia="zh-CN"/>
              </w:rPr>
              <w:t>尼康24-85mm F口变焦镜头，2个；</w:t>
            </w:r>
          </w:p>
          <w:p>
            <w:pPr>
              <w:keepNext w:val="0"/>
              <w:keepLines w:val="0"/>
              <w:widowControl/>
              <w:numPr>
                <w:ilvl w:val="0"/>
                <w:numId w:val="35"/>
              </w:numPr>
              <w:suppressLineNumbers w:val="0"/>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rPr>
              <w:t>配套F型镜头接口：2个</w:t>
            </w:r>
            <w:r>
              <w:rPr>
                <w:rFonts w:hint="eastAsia" w:ascii="宋体" w:hAnsi="宋体" w:eastAsia="宋体" w:cs="宋体"/>
                <w:sz w:val="24"/>
                <w:szCs w:val="24"/>
                <w:lang w:eastAsia="zh-CN"/>
              </w:rPr>
              <w:t>；</w:t>
            </w:r>
          </w:p>
          <w:p>
            <w:pPr>
              <w:keepNext w:val="0"/>
              <w:keepLines w:val="0"/>
              <w:widowControl/>
              <w:numPr>
                <w:ilvl w:val="0"/>
                <w:numId w:val="35"/>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配套制造商原装仪器箱：2个</w:t>
            </w:r>
            <w:r>
              <w:rPr>
                <w:rFonts w:hint="eastAsia" w:ascii="宋体" w:hAnsi="宋体" w:eastAsia="宋体" w:cs="宋体"/>
                <w:sz w:val="24"/>
                <w:szCs w:val="24"/>
                <w:lang w:eastAsia="zh-CN"/>
              </w:rPr>
              <w:t>；</w:t>
            </w:r>
          </w:p>
          <w:p>
            <w:pPr>
              <w:keepNext w:val="0"/>
              <w:keepLines w:val="0"/>
              <w:widowControl/>
              <w:numPr>
                <w:ilvl w:val="0"/>
                <w:numId w:val="35"/>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高速摄像机触发线：</w:t>
            </w:r>
            <w:r>
              <w:rPr>
                <w:rFonts w:hint="eastAsia" w:ascii="宋体" w:hAnsi="宋体" w:eastAsia="宋体" w:cs="宋体"/>
                <w:sz w:val="24"/>
                <w:szCs w:val="24"/>
                <w:lang w:val="en-US" w:eastAsia="zh-CN"/>
              </w:rPr>
              <w:t>10</w:t>
            </w:r>
            <w:r>
              <w:rPr>
                <w:rFonts w:hint="eastAsia" w:ascii="宋体" w:hAnsi="宋体" w:eastAsia="宋体" w:cs="宋体"/>
                <w:sz w:val="24"/>
                <w:szCs w:val="24"/>
              </w:rPr>
              <w:t>根，每根不小于10</w:t>
            </w:r>
            <w:r>
              <w:rPr>
                <w:rFonts w:hint="eastAsia" w:ascii="宋体" w:hAnsi="宋体" w:eastAsia="宋体" w:cs="宋体"/>
                <w:sz w:val="24"/>
                <w:szCs w:val="24"/>
                <w:lang w:val="en-US" w:eastAsia="zh-CN"/>
              </w:rPr>
              <w:t>米；</w:t>
            </w:r>
          </w:p>
          <w:p>
            <w:pPr>
              <w:keepNext w:val="0"/>
              <w:keepLines w:val="0"/>
              <w:widowControl/>
              <w:numPr>
                <w:ilvl w:val="0"/>
                <w:numId w:val="35"/>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高速摄像机通讯线：2根六类网线，每根不小于10米</w:t>
            </w:r>
            <w:r>
              <w:rPr>
                <w:rFonts w:hint="eastAsia" w:ascii="宋体" w:hAnsi="宋体" w:eastAsia="宋体" w:cs="宋体"/>
                <w:sz w:val="24"/>
                <w:szCs w:val="24"/>
                <w:lang w:eastAsia="zh-CN"/>
              </w:rPr>
              <w:t>；</w:t>
            </w:r>
          </w:p>
          <w:p>
            <w:pPr>
              <w:keepNext w:val="0"/>
              <w:keepLines w:val="0"/>
              <w:widowControl/>
              <w:numPr>
                <w:ilvl w:val="0"/>
                <w:numId w:val="35"/>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三脚架</w:t>
            </w:r>
            <w:r>
              <w:rPr>
                <w:rFonts w:hint="eastAsia" w:ascii="宋体" w:hAnsi="宋体" w:eastAsia="宋体" w:cs="宋体"/>
                <w:sz w:val="24"/>
                <w:szCs w:val="24"/>
                <w:lang w:val="en-US" w:eastAsia="zh-CN"/>
              </w:rPr>
              <w:t>及</w:t>
            </w:r>
            <w:r>
              <w:rPr>
                <w:rFonts w:hint="eastAsia" w:ascii="宋体" w:hAnsi="宋体" w:eastAsia="宋体" w:cs="宋体"/>
                <w:sz w:val="24"/>
                <w:szCs w:val="24"/>
              </w:rPr>
              <w:t>云台：2套曼富图（Manfrotto）三脚架云台，</w:t>
            </w:r>
            <w:r>
              <w:rPr>
                <w:rFonts w:hint="eastAsia" w:ascii="宋体" w:hAnsi="宋体" w:eastAsia="宋体" w:cs="宋体"/>
                <w:sz w:val="24"/>
                <w:szCs w:val="24"/>
                <w:lang w:val="en-US" w:eastAsia="zh-CN"/>
              </w:rPr>
              <w:t>型号</w:t>
            </w:r>
            <w:r>
              <w:rPr>
                <w:rFonts w:hint="eastAsia" w:ascii="宋体" w:hAnsi="宋体" w:eastAsia="宋体" w:cs="宋体"/>
                <w:sz w:val="24"/>
                <w:szCs w:val="24"/>
              </w:rPr>
              <w:t>475B+229</w:t>
            </w:r>
            <w:r>
              <w:rPr>
                <w:rFonts w:hint="eastAsia" w:ascii="宋体" w:hAnsi="宋体" w:eastAsia="宋体" w:cs="宋体"/>
                <w:sz w:val="24"/>
                <w:szCs w:val="24"/>
                <w:lang w:eastAsia="zh-CN"/>
              </w:rPr>
              <w:t>；</w:t>
            </w:r>
          </w:p>
          <w:p>
            <w:pPr>
              <w:keepNext w:val="0"/>
              <w:keepLines w:val="0"/>
              <w:widowControl/>
              <w:numPr>
                <w:ilvl w:val="0"/>
                <w:numId w:val="35"/>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控制电脑：笔记本电脑1台，</w:t>
            </w:r>
            <w:r>
              <w:rPr>
                <w:rFonts w:hint="eastAsia" w:ascii="宋体" w:hAnsi="宋体" w:eastAsia="宋体" w:cs="宋体"/>
                <w:sz w:val="24"/>
                <w:szCs w:val="24"/>
                <w:lang w:val="en-US" w:eastAsia="zh-CN"/>
              </w:rPr>
              <w:t>预装正版</w:t>
            </w:r>
            <w:r>
              <w:rPr>
                <w:rFonts w:hint="eastAsia" w:ascii="宋体" w:hAnsi="宋体" w:eastAsia="宋体" w:cs="宋体"/>
                <w:sz w:val="24"/>
                <w:szCs w:val="24"/>
              </w:rPr>
              <w:t>Windows</w:t>
            </w:r>
            <w:r>
              <w:rPr>
                <w:rFonts w:hint="eastAsia" w:ascii="宋体" w:hAnsi="宋体" w:eastAsia="宋体" w:cs="宋体"/>
                <w:sz w:val="24"/>
                <w:szCs w:val="24"/>
                <w:lang w:val="en-US" w:eastAsia="zh-CN"/>
              </w:rPr>
              <w:t>10及以上操作</w:t>
            </w:r>
            <w:r>
              <w:rPr>
                <w:rFonts w:hint="eastAsia" w:ascii="宋体" w:hAnsi="宋体" w:eastAsia="宋体" w:cs="宋体"/>
                <w:sz w:val="24"/>
                <w:szCs w:val="24"/>
              </w:rPr>
              <w:t>系统，处理器Core i7</w:t>
            </w:r>
            <w:r>
              <w:rPr>
                <w:rFonts w:hint="eastAsia" w:ascii="宋体" w:hAnsi="宋体" w:eastAsia="宋体" w:cs="宋体"/>
                <w:sz w:val="24"/>
                <w:szCs w:val="24"/>
                <w:lang w:val="en-US" w:eastAsia="zh-CN"/>
              </w:rPr>
              <w:t>或以上</w:t>
            </w:r>
            <w:r>
              <w:rPr>
                <w:rFonts w:hint="eastAsia" w:ascii="宋体" w:hAnsi="宋体" w:eastAsia="宋体" w:cs="宋体"/>
                <w:sz w:val="24"/>
                <w:szCs w:val="24"/>
              </w:rPr>
              <w:t>，内存≥</w:t>
            </w:r>
            <w:r>
              <w:rPr>
                <w:rFonts w:hint="eastAsia" w:ascii="宋体" w:hAnsi="宋体" w:eastAsia="宋体" w:cs="宋体"/>
                <w:sz w:val="24"/>
                <w:szCs w:val="24"/>
                <w:lang w:val="en-US" w:eastAsia="zh-CN"/>
              </w:rPr>
              <w:t>16</w:t>
            </w:r>
            <w:r>
              <w:rPr>
                <w:rFonts w:hint="eastAsia" w:ascii="宋体" w:hAnsi="宋体" w:eastAsia="宋体" w:cs="宋体"/>
                <w:sz w:val="24"/>
                <w:szCs w:val="24"/>
              </w:rPr>
              <w:t>G，</w:t>
            </w:r>
            <w:r>
              <w:rPr>
                <w:rFonts w:hint="eastAsia" w:ascii="宋体" w:hAnsi="宋体" w:eastAsia="宋体" w:cs="宋体"/>
                <w:sz w:val="24"/>
                <w:szCs w:val="24"/>
                <w:lang w:val="en-US" w:eastAsia="zh-CN"/>
              </w:rPr>
              <w:t>固体</w:t>
            </w:r>
            <w:r>
              <w:rPr>
                <w:rFonts w:hint="eastAsia" w:ascii="宋体" w:hAnsi="宋体" w:eastAsia="宋体" w:cs="宋体"/>
                <w:sz w:val="24"/>
                <w:szCs w:val="24"/>
              </w:rPr>
              <w:t>硬盘≥1T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独立显卡显存≥2G</w:t>
            </w:r>
            <w:r>
              <w:rPr>
                <w:rFonts w:hint="eastAsia" w:ascii="宋体" w:hAnsi="宋体" w:eastAsia="宋体" w:cs="宋体"/>
                <w:sz w:val="24"/>
                <w:szCs w:val="24"/>
                <w:lang w:eastAsia="zh-CN"/>
              </w:rPr>
              <w:t>；</w:t>
            </w:r>
          </w:p>
          <w:p>
            <w:pPr>
              <w:keepNext w:val="0"/>
              <w:keepLines w:val="0"/>
              <w:widowControl/>
              <w:numPr>
                <w:ilvl w:val="0"/>
                <w:numId w:val="35"/>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系统附件应包含高速摄像系统所需的所有物件，包含但不仅限于线缆、云台、控制电脑等</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高</w:t>
            </w:r>
            <w:r>
              <w:rPr>
                <w:rFonts w:hint="eastAsia" w:ascii="宋体" w:hAnsi="宋体" w:eastAsia="宋体" w:cs="宋体"/>
                <w:bCs w:val="0"/>
                <w:sz w:val="24"/>
                <w:szCs w:val="24"/>
              </w:rPr>
              <w:t>速摄像机控制软件</w:t>
            </w:r>
          </w:p>
        </w:tc>
        <w:tc>
          <w:tcPr>
            <w:tcW w:w="6314" w:type="dxa"/>
            <w:noWrap w:val="0"/>
            <w:vAlign w:val="center"/>
          </w:tcPr>
          <w:p>
            <w:pPr>
              <w:keepNext w:val="0"/>
              <w:keepLines w:val="0"/>
              <w:widowControl/>
              <w:numPr>
                <w:ilvl w:val="0"/>
                <w:numId w:val="36"/>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bCs w:val="0"/>
                <w:sz w:val="24"/>
                <w:szCs w:val="24"/>
              </w:rPr>
              <w:t>提供一套高速摄像机控制软件（含永久许可证），通过此软件，可以在同一网络中连接本次招标方现采购的高速摄像机，并能修改拍摄频率及分辨率设置、修改曝光及增益设置、拍摄下载、格式转换等。软件应该流畅运行无卡顿</w:t>
            </w:r>
            <w:r>
              <w:rPr>
                <w:rFonts w:hint="eastAsia" w:ascii="宋体" w:hAnsi="宋体" w:eastAsia="宋体" w:cs="宋体"/>
                <w:bCs w:val="0"/>
                <w:sz w:val="24"/>
                <w:szCs w:val="24"/>
                <w:lang w:eastAsia="zh-CN"/>
              </w:rPr>
              <w:t>；</w:t>
            </w:r>
          </w:p>
          <w:p>
            <w:pPr>
              <w:keepNext w:val="0"/>
              <w:keepLines w:val="0"/>
              <w:widowControl/>
              <w:numPr>
                <w:ilvl w:val="0"/>
                <w:numId w:val="36"/>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bCs w:val="0"/>
                <w:sz w:val="24"/>
                <w:szCs w:val="24"/>
              </w:rPr>
              <w:t>本次购买的高速摄像机原厂自带的摄像机控制软件交货时必须是最新版本，并能及时对该软件进行终身免费升级</w:t>
            </w:r>
            <w:r>
              <w:rPr>
                <w:rFonts w:hint="eastAsia" w:ascii="宋体" w:hAnsi="宋体" w:eastAsia="宋体" w:cs="宋体"/>
                <w:bCs w:val="0"/>
                <w:sz w:val="24"/>
                <w:szCs w:val="24"/>
                <w:lang w:eastAsia="zh-CN"/>
              </w:rPr>
              <w:t>；</w:t>
            </w:r>
          </w:p>
          <w:p>
            <w:pPr>
              <w:keepNext w:val="0"/>
              <w:keepLines w:val="0"/>
              <w:widowControl/>
              <w:numPr>
                <w:ilvl w:val="0"/>
                <w:numId w:val="36"/>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lang w:val="en-US" w:eastAsia="zh-CN"/>
              </w:rPr>
              <w:t>用户可根据需求自行在不同终端安装使用该控制软件；</w:t>
            </w:r>
          </w:p>
          <w:p>
            <w:pPr>
              <w:keepNext w:val="0"/>
              <w:keepLines w:val="0"/>
              <w:widowControl/>
              <w:numPr>
                <w:ilvl w:val="0"/>
                <w:numId w:val="36"/>
              </w:numPr>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bCs w:val="0"/>
                <w:sz w:val="24"/>
                <w:szCs w:val="24"/>
              </w:rPr>
              <w:t>高速摄像机控制软件</w:t>
            </w:r>
            <w:r>
              <w:rPr>
                <w:rFonts w:hint="eastAsia" w:ascii="宋体" w:hAnsi="宋体" w:eastAsia="宋体" w:cs="宋体"/>
                <w:bCs w:val="0"/>
                <w:sz w:val="24"/>
                <w:szCs w:val="24"/>
                <w:lang w:val="en-US" w:eastAsia="zh-CN"/>
              </w:rPr>
              <w:t>应可设置</w:t>
            </w:r>
            <w:r>
              <w:rPr>
                <w:rFonts w:hint="eastAsia" w:ascii="宋体" w:hAnsi="宋体" w:eastAsia="宋体" w:cs="宋体"/>
                <w:bCs w:val="0"/>
                <w:sz w:val="24"/>
                <w:szCs w:val="24"/>
              </w:rPr>
              <w:t>中文操作界面</w:t>
            </w:r>
            <w:r>
              <w:rPr>
                <w:rFonts w:hint="eastAsia" w:ascii="宋体" w:hAnsi="宋体" w:eastAsia="宋体" w:cs="宋体"/>
                <w:bCs w:val="0"/>
                <w:sz w:val="24"/>
                <w:szCs w:val="24"/>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3.4 高速摄像机补光系统</w:t>
      </w:r>
    </w:p>
    <w:tbl>
      <w:tblPr>
        <w:tblStyle w:val="3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217"/>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序号</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名称</w:t>
            </w:r>
          </w:p>
        </w:tc>
        <w:tc>
          <w:tcPr>
            <w:tcW w:w="631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总体要求</w:t>
            </w:r>
          </w:p>
        </w:tc>
        <w:tc>
          <w:tcPr>
            <w:tcW w:w="631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提供高速摄像机拍摄GB 26512-2021《商用车驾驶室乘员保护》、 JT/T 1178.1-2018《营运货车安全技术条件》中所要求的商用车驾驶撞击试验时的光照条件。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5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2217" w:type="dxa"/>
            <w:noWrap w:val="0"/>
            <w:vAlign w:val="center"/>
          </w:tcPr>
          <w:p>
            <w:pPr>
              <w:keepNext w:val="0"/>
              <w:keepLines w:val="0"/>
              <w:suppressLineNumbers w:val="0"/>
              <w:spacing w:before="0" w:beforeAutospacing="0" w:after="0" w:afterAutospacing="0" w:line="240" w:lineRule="auto"/>
              <w:ind w:left="0" w:right="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技术要求</w:t>
            </w:r>
          </w:p>
        </w:tc>
        <w:tc>
          <w:tcPr>
            <w:tcW w:w="631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可移动式（轮式）常亮灯光系统：两套；</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每套灯光补光的最大范围为4000mm（高）×2500mm（宽）(试验样品大小)；</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补光高度变化范围为2000mm到4000mm（样品高度）；</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灯架结构稳定牢靠，使用或移到时不能有明显晃动；</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灯架高度可调，以应对不同高度的样品；</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灯架最低高度小于2400mm；</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灯架最大高度大于3000mm；</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单套灯光的灯头不少于2个，上下排布；</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单个灯头的功率不小于2000w，单套灯的功率不小于 4000w；</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单个灯头距离被照射目标2.5m且照射范围不小于2m（高）×2.5m（宽）时，中心点照度不低于25,000Lux；</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LED 灯珠芯片，色温5000K-6000K，进口 ；</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灯光输出稳定，≥10000fps拍摄情况下无频闪；</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单套灯光电源线缆长度不小于15m，方便试验室内接线。需要提供存线盒，方便取用；</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根据系统需要，灯光需满足本技术要求书中所有高速摄像系统进行所涉及的摆锤冲击试验的拍摄。</w:t>
            </w:r>
          </w:p>
        </w:tc>
      </w:tr>
    </w:tbl>
    <w:p>
      <w:pPr>
        <w:pStyle w:val="117"/>
        <w:spacing w:line="360" w:lineRule="auto"/>
        <w:outlineLvl w:val="2"/>
        <w:rPr>
          <w:rFonts w:hint="eastAsia" w:ascii="宋体" w:hAnsi="宋体" w:cs="宋体"/>
          <w:color w:val="auto"/>
        </w:rPr>
      </w:pPr>
      <w:bookmarkStart w:id="36"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860"/>
        <w:gridCol w:w="2949"/>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860"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949"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860"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rPr>
            </w:pPr>
            <w:r>
              <w:rPr>
                <w:rFonts w:hint="eastAsia" w:ascii="宋体" w:hAnsi="宋体" w:eastAsia="宋体" w:cs="宋体"/>
                <w:color w:val="000000"/>
                <w:sz w:val="24"/>
                <w:szCs w:val="24"/>
              </w:rPr>
              <w:t>卖方提供企业标准</w:t>
            </w:r>
          </w:p>
        </w:tc>
        <w:tc>
          <w:tcPr>
            <w:tcW w:w="2949"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3860"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rPr>
            </w:pPr>
            <w:r>
              <w:rPr>
                <w:rFonts w:hint="eastAsia" w:ascii="宋体" w:hAnsi="宋体" w:eastAsia="宋体" w:cs="宋体"/>
                <w:color w:val="000000"/>
                <w:sz w:val="24"/>
                <w:szCs w:val="24"/>
              </w:rPr>
              <w:t>卖方提供与设备安全和环保相关的中国、国际通用和制造国的标准</w:t>
            </w:r>
          </w:p>
        </w:tc>
        <w:tc>
          <w:tcPr>
            <w:tcW w:w="2949"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Cs/>
                <w:color w:val="000000"/>
                <w:sz w:val="24"/>
                <w:szCs w:val="24"/>
              </w:rPr>
            </w:pP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3860"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rPr>
            </w:pPr>
            <w:r>
              <w:rPr>
                <w:rFonts w:hint="eastAsia" w:ascii="宋体" w:hAnsi="宋体" w:eastAsia="宋体" w:cs="宋体"/>
                <w:sz w:val="24"/>
                <w:szCs w:val="24"/>
              </w:rPr>
              <w:t>商用车驾驶室乘员保护</w:t>
            </w:r>
          </w:p>
        </w:tc>
        <w:tc>
          <w:tcPr>
            <w:tcW w:w="2949"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rPr>
              <w:t xml:space="preserve">GB 26512-2021 </w:t>
            </w:r>
          </w:p>
        </w:tc>
        <w:tc>
          <w:tcPr>
            <w:tcW w:w="1366" w:type="dxa"/>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4</w:t>
            </w:r>
          </w:p>
        </w:tc>
        <w:tc>
          <w:tcPr>
            <w:tcW w:w="3860"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sz w:val="24"/>
                <w:szCs w:val="24"/>
              </w:rPr>
            </w:pPr>
            <w:r>
              <w:rPr>
                <w:rFonts w:hint="eastAsia" w:ascii="宋体" w:hAnsi="宋体" w:eastAsia="宋体" w:cs="宋体"/>
                <w:sz w:val="24"/>
                <w:szCs w:val="24"/>
              </w:rPr>
              <w:t xml:space="preserve">营运货车安全技术条件 </w:t>
            </w:r>
          </w:p>
        </w:tc>
        <w:tc>
          <w:tcPr>
            <w:tcW w:w="2949"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sz w:val="24"/>
                <w:szCs w:val="24"/>
                <w:lang w:eastAsia="zh-CN"/>
              </w:rPr>
              <w:t>JT/T</w:t>
            </w:r>
            <w:r>
              <w:rPr>
                <w:rFonts w:hint="eastAsia" w:ascii="宋体" w:hAnsi="宋体" w:eastAsia="宋体" w:cs="宋体"/>
                <w:sz w:val="24"/>
                <w:szCs w:val="24"/>
              </w:rPr>
              <w:t xml:space="preserve"> 1178.1-2018</w:t>
            </w:r>
          </w:p>
        </w:tc>
        <w:tc>
          <w:tcPr>
            <w:tcW w:w="1366" w:type="dxa"/>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bCs/>
                <w:color w:val="000000"/>
                <w:sz w:val="24"/>
                <w:szCs w:val="24"/>
              </w:rPr>
            </w:pPr>
            <w:r>
              <w:rPr>
                <w:rFonts w:hint="eastAsia" w:ascii="宋体" w:hAnsi="宋体" w:eastAsia="宋体" w:cs="宋体"/>
                <w:bCs/>
                <w:color w:val="000000"/>
                <w:sz w:val="24"/>
                <w:szCs w:val="24"/>
              </w:rPr>
              <w:t>买方确认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p>
      <w:pPr>
        <w:keepNext/>
        <w:keepLines/>
        <w:spacing w:line="360" w:lineRule="auto"/>
        <w:jc w:val="center"/>
        <w:outlineLvl w:val="2"/>
        <w:rPr>
          <w:rFonts w:ascii="宋体" w:hAnsi="宋体" w:eastAsia="宋体" w:cs="宋体"/>
          <w:b/>
          <w:bCs/>
          <w:sz w:val="24"/>
          <w:szCs w:val="32"/>
        </w:rPr>
      </w:pPr>
      <w:bookmarkStart w:id="37" w:name="_Toc169605882"/>
      <w:r>
        <w:rPr>
          <w:rFonts w:hint="eastAsia" w:ascii="宋体" w:hAnsi="宋体" w:eastAsia="宋体" w:cs="宋体"/>
          <w:b/>
          <w:bCs/>
          <w:sz w:val="24"/>
          <w:szCs w:val="32"/>
        </w:rPr>
        <w:t>第一节  供货范围</w:t>
      </w:r>
      <w:bookmarkEnd w:id="37"/>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p>
    <w:tbl>
      <w:tblPr>
        <w:tblStyle w:val="35"/>
        <w:tblW w:w="9069"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925"/>
        <w:gridCol w:w="1492"/>
        <w:gridCol w:w="1493"/>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92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数量</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lang w:val="en-US" w:eastAsia="zh-CN"/>
              </w:rPr>
              <w:t>1</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4"/>
                <w:szCs w:val="24"/>
                <w:lang w:val="en-US" w:eastAsia="zh-CN"/>
              </w:rPr>
            </w:pPr>
            <w:r>
              <w:rPr>
                <w:rFonts w:hint="eastAsia" w:ascii="宋体" w:hAnsi="宋体" w:eastAsia="宋体" w:cs="宋体"/>
                <w:b/>
                <w:bCs/>
                <w:color w:val="000000"/>
                <w:kern w:val="0"/>
                <w:sz w:val="24"/>
                <w:szCs w:val="24"/>
                <w:lang w:val="en-US" w:eastAsia="zh-CN"/>
              </w:rPr>
              <w:t>商用车驾驶室撞击试验台</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7" w:type="dxa"/>
            <w:noWrap w:val="0"/>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eastAsia="zh-CN"/>
              </w:rPr>
              <w:t>1.1</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b w:val="0"/>
                <w:bCs w:val="0"/>
                <w:color w:val="000000"/>
                <w:sz w:val="24"/>
                <w:szCs w:val="24"/>
                <w:lang w:val="en-US" w:eastAsia="zh-CN"/>
              </w:rPr>
              <w:t>驾驶室正面撞击试验台</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1.1.1</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设备框架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1.1.2</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正面撞击摆锤</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1.1.3</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摆锤高度调节机构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1.1.4</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摆锤角度提升机构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1.1.5</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摆锤脱钩机构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1.1.6</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防止二次碰撞制动装置</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rPr>
            </w:pPr>
            <w:r>
              <w:rPr>
                <w:rFonts w:hint="eastAsia" w:ascii="宋体" w:hAnsi="宋体" w:eastAsia="宋体" w:cs="宋体"/>
                <w:b w:val="0"/>
                <w:bCs w:val="0"/>
                <w:color w:val="000000"/>
                <w:sz w:val="24"/>
                <w:szCs w:val="24"/>
                <w:lang w:val="en-US" w:eastAsia="zh-CN"/>
              </w:rPr>
              <w:t>驾驶室A柱撞击试验台</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1.2.1</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设备框架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1.2.2</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A柱撞击摆锤</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1.2.3</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摆锤高度调节机构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1.2.4</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摆锤角度提升机构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1.2.5</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摆锤脱钩机构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1.2.6</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防止二次碰撞制动装置</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1.3</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b w:val="0"/>
                <w:bCs w:val="0"/>
                <w:sz w:val="24"/>
                <w:szCs w:val="24"/>
              </w:rPr>
              <w:t>动态预加载</w:t>
            </w:r>
            <w:r>
              <w:rPr>
                <w:rFonts w:hint="eastAsia" w:ascii="宋体" w:hAnsi="宋体" w:eastAsia="宋体" w:cs="宋体"/>
                <w:b w:val="0"/>
                <w:bCs w:val="0"/>
                <w:sz w:val="24"/>
                <w:szCs w:val="24"/>
                <w:lang w:val="en-US" w:eastAsia="zh-CN"/>
              </w:rPr>
              <w:t>撞击</w:t>
            </w:r>
            <w:r>
              <w:rPr>
                <w:rFonts w:hint="eastAsia" w:ascii="宋体" w:hAnsi="宋体" w:eastAsia="宋体" w:cs="宋体"/>
                <w:b w:val="0"/>
                <w:bCs w:val="0"/>
                <w:sz w:val="24"/>
                <w:szCs w:val="24"/>
              </w:rPr>
              <w:t>试验</w:t>
            </w:r>
            <w:r>
              <w:rPr>
                <w:rFonts w:hint="eastAsia" w:ascii="宋体" w:hAnsi="宋体" w:eastAsia="宋体" w:cs="宋体"/>
                <w:b w:val="0"/>
                <w:bCs w:val="0"/>
                <w:sz w:val="24"/>
                <w:szCs w:val="24"/>
                <w:lang w:val="en-US" w:eastAsia="zh-CN"/>
              </w:rPr>
              <w:t>台</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1.3.1</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设备框架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1.3.2</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动态预加载</w:t>
            </w:r>
            <w:r>
              <w:rPr>
                <w:rFonts w:hint="eastAsia" w:ascii="宋体" w:hAnsi="宋体" w:eastAsia="宋体" w:cs="宋体"/>
                <w:sz w:val="24"/>
                <w:szCs w:val="24"/>
                <w:lang w:val="en-US" w:eastAsia="zh-CN"/>
              </w:rPr>
              <w:t>撞击</w:t>
            </w:r>
            <w:r>
              <w:rPr>
                <w:rFonts w:hint="eastAsia" w:ascii="宋体" w:hAnsi="宋体" w:eastAsia="宋体" w:cs="宋体"/>
                <w:color w:val="000000"/>
                <w:sz w:val="24"/>
                <w:szCs w:val="24"/>
                <w:lang w:val="en-US" w:eastAsia="zh-CN"/>
              </w:rPr>
              <w:t>摆锤</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1.3.3</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摆锤高度调节机构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1.3.4</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摆锤角度提升机构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1.3.5</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摆锤脱钩机构</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1.3.6</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防止二次碰撞制动装置</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固车系统</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安全系统</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电器柜、电器原件、线缆</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软件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主控计算机</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台</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见第二章技术要求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检验用人体模型</w:t>
            </w:r>
          </w:p>
        </w:tc>
        <w:tc>
          <w:tcPr>
            <w:tcW w:w="1492"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个</w:t>
            </w:r>
          </w:p>
        </w:tc>
        <w:tc>
          <w:tcPr>
            <w:tcW w:w="1493"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10</w:t>
            </w:r>
          </w:p>
        </w:tc>
        <w:tc>
          <w:tcPr>
            <w:tcW w:w="2152" w:type="dxa"/>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sz w:val="24"/>
                <w:szCs w:val="24"/>
                <w:lang w:val="en-US" w:eastAsia="zh-CN"/>
              </w:rPr>
              <w:t>2</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0"/>
                <w:lang w:val="en-US" w:eastAsia="zh-CN" w:bidi="ar-SA"/>
              </w:rPr>
            </w:pPr>
            <w:r>
              <w:rPr>
                <w:rFonts w:hint="eastAsia" w:ascii="宋体" w:hAnsi="宋体" w:eastAsia="宋体" w:cs="宋体"/>
                <w:b/>
                <w:bCs/>
                <w:color w:val="000000"/>
                <w:sz w:val="24"/>
                <w:szCs w:val="24"/>
                <w:lang w:val="en-US" w:eastAsia="zh-CN"/>
              </w:rPr>
              <w:t>商用车</w:t>
            </w:r>
            <w:r>
              <w:rPr>
                <w:rFonts w:hint="eastAsia" w:ascii="宋体" w:hAnsi="宋体" w:eastAsia="宋体" w:cs="宋体"/>
                <w:b/>
                <w:bCs/>
                <w:color w:val="000000"/>
                <w:sz w:val="24"/>
                <w:szCs w:val="24"/>
              </w:rPr>
              <w:t>驾驶室</w:t>
            </w:r>
            <w:r>
              <w:rPr>
                <w:rFonts w:hint="eastAsia" w:ascii="宋体" w:hAnsi="宋体" w:eastAsia="宋体" w:cs="宋体"/>
                <w:b/>
                <w:bCs/>
                <w:color w:val="000000"/>
                <w:sz w:val="24"/>
                <w:szCs w:val="24"/>
                <w:lang w:val="en-US" w:eastAsia="zh-CN"/>
              </w:rPr>
              <w:t>强度</w:t>
            </w:r>
            <w:r>
              <w:rPr>
                <w:rFonts w:hint="eastAsia" w:ascii="宋体" w:hAnsi="宋体" w:eastAsia="宋体" w:cs="宋体"/>
                <w:b/>
                <w:bCs/>
                <w:color w:val="000000"/>
                <w:sz w:val="24"/>
                <w:szCs w:val="24"/>
              </w:rPr>
              <w:t>试验台</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0"/>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2.1</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设备框架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2.2</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压板装置</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2.3</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加载系统</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2.4</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高度调节装置</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2.5</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固车系统</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2.6</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安全系统</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2.7</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电器柜、电器原件、线缆</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highlight w:val="none"/>
                <w:lang w:val="en-US" w:eastAsia="zh-CN"/>
              </w:rPr>
              <w:t>软件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2.9</w:t>
            </w:r>
          </w:p>
        </w:tc>
        <w:tc>
          <w:tcPr>
            <w:tcW w:w="2925" w:type="dxa"/>
            <w:noWrap w:val="0"/>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主控计算机</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台</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highlight w:val="none"/>
                <w:lang w:val="en-US" w:eastAsia="zh-CN"/>
              </w:rPr>
              <w:t>/</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highlight w:val="none"/>
                <w:lang w:val="en-US" w:eastAsia="zh-CN" w:bidi="ar-SA"/>
              </w:rPr>
              <w:t>见第二章技术要求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高速摄像系统 </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3.1</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rPr>
              <w:t>一体式高速摄像机</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台</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3.2</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lang w:val="en-US" w:eastAsia="zh-CN"/>
              </w:rPr>
              <w:t>配套镜头</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3.3</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lang w:val="en-US" w:eastAsia="zh-CN"/>
              </w:rPr>
              <w:t>配套线缆</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3.4</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lang w:val="en-US" w:eastAsia="zh-CN"/>
              </w:rPr>
              <w:t>三角架及附件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3.5</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笔记本电脑</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3.6</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lang w:val="en-US" w:eastAsia="zh-CN"/>
              </w:rPr>
              <w:t>高速摄像机控制软件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4</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高速摄像机补光系统</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4.1</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补光光源</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光源支架</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5</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运输</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次</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6</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安装调试</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人·天</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7</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设备检定</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次</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8</w:t>
            </w:r>
          </w:p>
        </w:tc>
        <w:tc>
          <w:tcPr>
            <w:tcW w:w="292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sz w:val="24"/>
                <w:szCs w:val="20"/>
                <w:lang w:val="en-US" w:eastAsia="zh-CN"/>
              </w:rPr>
            </w:pPr>
            <w:r>
              <w:rPr>
                <w:rFonts w:hint="eastAsia" w:ascii="宋体" w:hAnsi="宋体" w:eastAsia="宋体" w:cs="宋体"/>
                <w:b/>
                <w:bCs/>
                <w:color w:val="000000"/>
                <w:sz w:val="24"/>
                <w:szCs w:val="24"/>
                <w:lang w:val="en-US" w:eastAsia="zh-CN"/>
              </w:rPr>
              <w:t>培训</w:t>
            </w:r>
          </w:p>
        </w:tc>
        <w:tc>
          <w:tcPr>
            <w:tcW w:w="149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人·天</w:t>
            </w:r>
          </w:p>
        </w:tc>
        <w:tc>
          <w:tcPr>
            <w:tcW w:w="149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1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如果终验收完成后，卖方有需要收回的配件、附件、材料等，应当在投标文件的技术偏离条款中，予以详细说明；否则视同包括在供货范围之内。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numPr>
          <w:ilvl w:val="-1"/>
          <w:numId w:val="0"/>
        </w:num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在</w:t>
      </w:r>
      <w:r>
        <w:rPr>
          <w:rFonts w:hint="eastAsia" w:ascii="宋体" w:hAnsi="宋体" w:eastAsia="宋体" w:cs="宋体"/>
          <w:bCs/>
          <w:color w:val="auto"/>
          <w:sz w:val="24"/>
          <w:szCs w:val="24"/>
        </w:rPr>
        <w:t>合同签订后</w:t>
      </w:r>
      <w:r>
        <w:rPr>
          <w:rFonts w:hint="eastAsia" w:ascii="宋体" w:hAnsi="宋体" w:eastAsia="宋体" w:cs="宋体"/>
          <w:bCs/>
          <w:color w:val="auto"/>
          <w:sz w:val="24"/>
          <w:szCs w:val="24"/>
          <w:highlight w:val="yellow"/>
          <w:u w:val="single"/>
          <w:shd w:val="pct10" w:color="auto" w:fill="FFFFFF"/>
        </w:rPr>
        <w:t xml:space="preserve"> 30 </w:t>
      </w:r>
      <w:r>
        <w:rPr>
          <w:rFonts w:hint="eastAsia" w:ascii="宋体" w:hAnsi="宋体" w:eastAsia="宋体" w:cs="宋体"/>
          <w:bCs/>
          <w:color w:val="auto"/>
          <w:sz w:val="24"/>
          <w:szCs w:val="24"/>
        </w:rPr>
        <w:t>个日历日内，提供货物基础及相关的设计、制作所需的纸质及电子版资料；电子版文件应当能够使用常用版本软件可以阅读甚至使用，进口货物、设</w:t>
      </w:r>
      <w:r>
        <w:rPr>
          <w:rFonts w:hint="eastAsia" w:ascii="宋体" w:hAnsi="宋体" w:eastAsia="宋体" w:cs="宋体"/>
          <w:bCs/>
          <w:color w:val="auto"/>
          <w:sz w:val="24"/>
          <w:szCs w:val="24"/>
          <w:highlight w:val="none"/>
        </w:rPr>
        <w:t>备应有中外文对照。</w:t>
      </w:r>
    </w:p>
    <w:p>
      <w:pPr>
        <w:numPr>
          <w:ilvl w:val="-1"/>
          <w:numId w:val="0"/>
        </w:numPr>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预验收前</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rPr>
        <w:t>提</w:t>
      </w:r>
      <w:r>
        <w:rPr>
          <w:rFonts w:hint="eastAsia" w:ascii="宋体" w:hAnsi="宋体" w:eastAsia="宋体" w:cs="宋体"/>
          <w:bCs/>
          <w:color w:val="auto"/>
          <w:sz w:val="24"/>
          <w:szCs w:val="24"/>
        </w:rPr>
        <w:t>供货物各部分的功能描述文件、图片、影像等资料（进口、设备应有中外文对照）</w:t>
      </w:r>
      <w:r>
        <w:rPr>
          <w:rFonts w:hint="eastAsia" w:ascii="宋体" w:hAnsi="宋体" w:eastAsia="宋体" w:cs="宋体"/>
          <w:color w:val="auto"/>
          <w:sz w:val="24"/>
          <w:szCs w:val="24"/>
          <w:highlight w:val="none"/>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w:t>
      </w:r>
      <w:r>
        <w:rPr>
          <w:rFonts w:hint="eastAsia" w:ascii="宋体" w:hAnsi="宋体" w:eastAsia="宋体" w:cs="宋体"/>
          <w:color w:val="auto"/>
          <w:sz w:val="24"/>
          <w:szCs w:val="24"/>
          <w:lang w:val="en-US" w:eastAsia="zh-CN"/>
        </w:rPr>
        <w:t>技术协议签订</w:t>
      </w:r>
      <w:r>
        <w:rPr>
          <w:rFonts w:hint="eastAsia" w:ascii="宋体" w:hAnsi="宋体" w:eastAsia="宋体" w:cs="宋体"/>
          <w:color w:val="auto"/>
          <w:sz w:val="24"/>
          <w:szCs w:val="24"/>
          <w:highlight w:val="yellow"/>
          <w:lang w:val="en-US" w:eastAsia="zh-CN"/>
        </w:rPr>
        <w:t>2个月内</w:t>
      </w:r>
      <w:r>
        <w:rPr>
          <w:rFonts w:hint="eastAsia" w:ascii="宋体" w:hAnsi="宋体" w:eastAsia="宋体" w:cs="宋体"/>
          <w:color w:val="auto"/>
          <w:sz w:val="24"/>
          <w:szCs w:val="24"/>
        </w:rPr>
        <w:t>，提供关于采购货物的电气资料</w:t>
      </w:r>
      <w:r>
        <w:rPr>
          <w:rFonts w:hint="eastAsia" w:ascii="宋体" w:hAnsi="宋体" w:eastAsia="宋体" w:cs="宋体"/>
          <w:color w:val="000000"/>
          <w:sz w:val="24"/>
          <w:szCs w:val="24"/>
        </w:rPr>
        <w:t>（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本条款所列的技术资料、图片、影像等，投标方应各提供5套，其中2套为电子版光盘；每份技术文件应装有目录清单。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本条款所列要求，如招标方认为投标方提供的资料不能满足要求时，有权要求投标方免费补充或增加</w:t>
      </w:r>
      <w:r>
        <w:rPr>
          <w:rFonts w:hint="eastAsia" w:ascii="宋体" w:hAnsi="宋体" w:eastAsia="宋体" w:cs="宋体"/>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8" w:name="_Toc169605883"/>
    </w:p>
    <w:p>
      <w:pPr>
        <w:pStyle w:val="16"/>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8"/>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完全交钥匙方式，即本次招标货物至少包括以下货物及服务：非标或特需设计，制造，至交货地点的运输（含定点装卸），安装，调试，货物移交，约定培训等全流程范围</w:t>
      </w:r>
      <w:r>
        <w:rPr>
          <w:rFonts w:hint="eastAsia" w:ascii="宋体" w:hAnsi="宋体" w:eastAsia="宋体" w:cs="宋体"/>
          <w:sz w:val="24"/>
          <w:szCs w:val="24"/>
        </w:rPr>
        <w:t>。</w:t>
      </w:r>
    </w:p>
    <w:p>
      <w:pPr>
        <w:spacing w:line="360" w:lineRule="auto"/>
        <w:ind w:firstLine="482" w:firstLineChars="200"/>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sz w:val="24"/>
          <w:szCs w:val="24"/>
          <w:highlight w:val="none"/>
        </w:rPr>
        <w:t>济南市</w:t>
      </w:r>
      <w:r>
        <w:rPr>
          <w:rFonts w:hint="eastAsia" w:ascii="宋体" w:hAnsi="宋体" w:eastAsia="宋体" w:cs="宋体"/>
          <w:sz w:val="24"/>
          <w:szCs w:val="24"/>
          <w:highlight w:val="none"/>
          <w:lang w:val="en-US" w:eastAsia="zh-CN"/>
        </w:rPr>
        <w:t>莱芜区口镇重汽工业园</w:t>
      </w:r>
      <w:r>
        <w:rPr>
          <w:rFonts w:hint="eastAsia" w:ascii="宋体" w:hAnsi="宋体" w:eastAsia="宋体" w:cs="宋体"/>
          <w:sz w:val="24"/>
          <w:szCs w:val="24"/>
          <w:highlight w:val="none"/>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180</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none"/>
          <w:shd w:val="clear" w:color="auto" w:fill="FFFFFF"/>
          <w:lang w:val="en-US" w:eastAsia="zh-CN"/>
        </w:rPr>
        <w:t>50</w:t>
      </w:r>
      <w:r>
        <w:rPr>
          <w:rFonts w:hint="eastAsia" w:ascii="宋体" w:hAnsi="宋体" w:eastAsia="宋体" w:cs="宋体"/>
          <w:sz w:val="24"/>
          <w:szCs w:val="24"/>
          <w:highlight w:val="none"/>
        </w:rPr>
        <w:t>个日历日之内安装调试完毕</w:t>
      </w:r>
      <w:r>
        <w:rPr>
          <w:rFonts w:hint="eastAsia" w:ascii="宋体" w:hAnsi="宋体" w:eastAsia="宋体" w:cs="宋体"/>
          <w:sz w:val="24"/>
          <w:szCs w:val="24"/>
          <w:highlight w:val="none"/>
          <w:lang w:val="en-US" w:eastAsia="zh-CN"/>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接续</w:t>
      </w:r>
      <w:r>
        <w:rPr>
          <w:rFonts w:hint="eastAsia" w:ascii="宋体" w:hAnsi="宋体" w:eastAsia="宋体" w:cs="宋体"/>
          <w:sz w:val="24"/>
          <w:szCs w:val="24"/>
          <w:highlight w:val="none"/>
          <w:u w:val="single"/>
          <w:shd w:val="pct10" w:color="auto" w:fill="FFFFFF"/>
          <w:lang w:val="en-US" w:eastAsia="zh-CN"/>
        </w:rPr>
        <w:t>15</w:t>
      </w:r>
      <w:r>
        <w:rPr>
          <w:rFonts w:hint="eastAsia" w:ascii="宋体" w:hAnsi="宋体" w:eastAsia="宋体" w:cs="宋体"/>
          <w:sz w:val="24"/>
          <w:szCs w:val="24"/>
          <w:highlight w:val="none"/>
        </w:rPr>
        <w:t>个日历日之内完成终验收。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sz w:val="24"/>
          <w:szCs w:val="24"/>
          <w:highlight w:val="none"/>
        </w:rPr>
        <w:t>投标方应当随标书提供详细的工期计划</w:t>
      </w:r>
      <w:r>
        <w:rPr>
          <w:rFonts w:hint="eastAsia" w:ascii="宋体" w:hAnsi="宋体" w:eastAsia="宋体" w:cs="宋体"/>
          <w:sz w:val="24"/>
          <w:szCs w:val="24"/>
          <w:highlight w:val="none"/>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在不受到外界破坏情况下，包装应保证自交货日起一年内货物（或设备）完好无损</w:t>
      </w:r>
      <w:r>
        <w:rPr>
          <w:rFonts w:hint="eastAsia" w:ascii="宋体" w:hAnsi="宋体" w:eastAsia="宋体" w:cs="宋体"/>
          <w:sz w:val="24"/>
          <w:szCs w:val="24"/>
        </w:rPr>
        <w:t>。</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同批货物（或设备）应统一包装、编号运输。</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货物（或设备）运抵交货地点后，应负责货物（或设备）的卸货、搬运、保管等事宜；或按照合同约定</w:t>
      </w:r>
      <w:r>
        <w:rPr>
          <w:rFonts w:hint="eastAsia" w:ascii="宋体" w:hAnsi="宋体" w:eastAsia="宋体" w:cs="宋体"/>
          <w:sz w:val="24"/>
          <w:szCs w:val="24"/>
        </w:rPr>
        <w:t>。</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9"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9"/>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中标方应对测试系统包含的</w:t>
      </w:r>
      <w:r>
        <w:rPr>
          <w:rFonts w:hint="eastAsia" w:ascii="宋体" w:hAnsi="宋体" w:eastAsia="宋体" w:cs="宋体"/>
          <w:b/>
          <w:bCs/>
          <w:sz w:val="24"/>
          <w:szCs w:val="24"/>
        </w:rPr>
        <w:t>软件提供更新和升级服务</w:t>
      </w:r>
      <w:r>
        <w:rPr>
          <w:rFonts w:hint="eastAsia" w:ascii="宋体" w:hAnsi="宋体" w:eastAsia="宋体" w:cs="宋体"/>
          <w:sz w:val="24"/>
          <w:szCs w:val="24"/>
        </w:rPr>
        <w:t>，软件license在质保期内免费升级，对于招标人在使用过程中发现的软硬件问题及时解决</w:t>
      </w:r>
      <w:r>
        <w:rPr>
          <w:rFonts w:hint="eastAsia" w:ascii="宋体" w:hAnsi="宋体" w:eastAsia="宋体" w:cs="宋体"/>
          <w:sz w:val="24"/>
          <w:szCs w:val="24"/>
          <w:lang w:eastAsia="zh-CN"/>
        </w:rPr>
        <w:t>。</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5</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如发现所提供的货物存在问题，需要卖方解决或配合解决时：在质保期之内，应在接到通知后</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highlight w:val="yellow"/>
          <w:u w:val="single"/>
          <w:shd w:val="pct10" w:color="auto" w:fill="FFFFFF"/>
        </w:rPr>
        <w:t>24</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rPr>
        <w:t>小时内提供免费技术支持（不限于电话、远程 、邮件、视频等方式）；在质保期之外，应在接到通知后</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highlight w:val="yellow"/>
          <w:u w:val="single"/>
          <w:shd w:val="pct10" w:color="auto" w:fill="FFFFFF"/>
        </w:rPr>
        <w:t>72</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rPr>
        <w:t>小时内提供免费技术支持（不限于电话、远程 、邮件、视频等方式）。</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除招标文件、投标文件、答疑文件、技术协议、合同等约定之外，卖方应免费负责必要的或强制性的货物的检验、试验、化验等直接费用。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本章节条款所列“免费”，并非指定不可收费，而是指招标文件、投标文件、答疑文件、技术交流文件、技术协议书和合同等范围之外，投标方不可另行收取的费用。</w:t>
      </w:r>
    </w:p>
    <w:p>
      <w:pPr>
        <w:pStyle w:val="16"/>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0" w:name="_Toc465187646"/>
      <w:r>
        <w:rPr>
          <w:rFonts w:hint="eastAsia" w:ascii="Calibri" w:hAnsi="Calibri" w:eastAsia="宋体" w:cs="Times New Roman"/>
          <w:b/>
          <w:bCs/>
          <w:kern w:val="44"/>
          <w:sz w:val="28"/>
          <w:szCs w:val="28"/>
        </w:rPr>
        <w:t>第五章  预验收和终验收</w:t>
      </w:r>
      <w:bookmarkEnd w:id="40"/>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货物应完整且所有的零部件到达目的地，外观完整无损伤，货物标牌完整、清晰、明确。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货物安装调试完毕，买方能够独立完成试验测试和数据分析。</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货物质量、技术性能等，达到签定的技术协议书和合同规定的终验收标准。</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.1测试设备能够良好适配买方的测试</w:t>
      </w:r>
      <w:r>
        <w:rPr>
          <w:rFonts w:hint="eastAsia" w:ascii="宋体" w:hAnsi="宋体" w:eastAsia="宋体" w:cs="宋体"/>
          <w:color w:val="000000"/>
          <w:sz w:val="24"/>
          <w:szCs w:val="24"/>
          <w:highlight w:val="none"/>
          <w:lang w:val="en-US" w:eastAsia="zh-CN"/>
        </w:rPr>
        <w:t>对象</w:t>
      </w:r>
      <w:r>
        <w:rPr>
          <w:rFonts w:hint="eastAsia" w:ascii="宋体" w:hAnsi="宋体" w:eastAsia="宋体" w:cs="宋体"/>
          <w:color w:val="000000"/>
          <w:sz w:val="24"/>
          <w:szCs w:val="24"/>
          <w:highlight w:val="none"/>
        </w:rPr>
        <w:t>，其测量参数应满足</w:t>
      </w:r>
      <w:r>
        <w:rPr>
          <w:rFonts w:hint="eastAsia" w:ascii="宋体" w:hAnsi="宋体" w:eastAsia="宋体" w:cs="宋体"/>
          <w:color w:val="000000"/>
          <w:sz w:val="24"/>
          <w:szCs w:val="24"/>
          <w:highlight w:val="none"/>
          <w:lang w:val="en-US" w:eastAsia="zh-CN"/>
        </w:rPr>
        <w:t>技术协议的</w:t>
      </w:r>
      <w:r>
        <w:rPr>
          <w:rFonts w:hint="eastAsia" w:ascii="宋体" w:hAnsi="宋体" w:eastAsia="宋体" w:cs="宋体"/>
          <w:color w:val="000000"/>
          <w:sz w:val="24"/>
          <w:szCs w:val="24"/>
          <w:highlight w:val="none"/>
        </w:rPr>
        <w:t>要求；</w:t>
      </w:r>
    </w:p>
    <w:p>
      <w:pPr>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.2对于每个测试项目，试验数据经测试验证并得到买方认可</w:t>
      </w:r>
      <w:r>
        <w:rPr>
          <w:rFonts w:hint="eastAsia" w:ascii="宋体" w:hAnsi="宋体" w:eastAsia="宋体" w:cs="宋体"/>
          <w:color w:val="000000"/>
          <w:sz w:val="24"/>
          <w:szCs w:val="24"/>
          <w:highlight w:val="none"/>
          <w:lang w:eastAsia="zh-CN"/>
        </w:rPr>
        <w:t>；</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.3终验收原则上要求一次完成。若一次验收不成功，最多允许两次；如果出现第三次验收失败，重新作价或退货；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.4终验收通过后买卖双方共同签署终验收报告，并移交、核对全部供货范围内物品</w:t>
      </w:r>
      <w:r>
        <w:rPr>
          <w:rFonts w:hint="eastAsia" w:ascii="宋体" w:hAnsi="宋体" w:eastAsia="宋体" w:cs="宋体"/>
          <w:color w:val="000000"/>
          <w:sz w:val="24"/>
          <w:szCs w:val="24"/>
        </w:rPr>
        <w:t>。</w:t>
      </w:r>
    </w:p>
    <w:p>
      <w:pPr>
        <w:pStyle w:val="130"/>
        <w:spacing w:line="360" w:lineRule="auto"/>
        <w:outlineLvl w:val="1"/>
        <w:rPr>
          <w:rFonts w:eastAsia="宋体"/>
          <w:b/>
          <w:bCs w:val="0"/>
          <w:i w:val="0"/>
          <w:iCs/>
          <w:color w:val="auto"/>
          <w:sz w:val="28"/>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41" w:name="_Toc465187647"/>
    </w:p>
    <w:p>
      <w:pPr>
        <w:pStyle w:val="130"/>
        <w:spacing w:line="360" w:lineRule="auto"/>
        <w:outlineLvl w:val="1"/>
        <w:rPr>
          <w:rFonts w:eastAsia="宋体"/>
          <w:b/>
          <w:bCs w:val="0"/>
          <w:i w:val="0"/>
          <w:iCs/>
          <w:color w:val="auto"/>
          <w:sz w:val="28"/>
        </w:rPr>
      </w:pPr>
      <w:r>
        <w:rPr>
          <w:rFonts w:eastAsia="宋体"/>
          <w:b/>
          <w:bCs w:val="0"/>
          <w:i w:val="0"/>
          <w:iCs/>
          <w:color w:val="auto"/>
          <w:sz w:val="28"/>
        </w:rPr>
        <w:t>第六章  投标技术文件一般要求</w:t>
      </w:r>
      <w:bookmarkEnd w:id="41"/>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42"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2"/>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w:t>
      </w:r>
      <w:r>
        <w:rPr>
          <w:rFonts w:hint="eastAsia" w:ascii="宋体" w:hAnsi="宋体" w:eastAsia="宋体" w:cs="宋体"/>
          <w:sz w:val="24"/>
          <w:szCs w:val="24"/>
          <w:lang w:val="en-US" w:eastAsia="zh-CN"/>
        </w:rPr>
        <w:t>协议</w:t>
      </w:r>
      <w:r>
        <w:rPr>
          <w:rFonts w:hint="eastAsia" w:ascii="宋体" w:hAnsi="宋体" w:eastAsia="宋体" w:cs="宋体"/>
          <w:sz w:val="24"/>
          <w:szCs w:val="24"/>
        </w:rPr>
        <w:t>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16"/>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p>
      <w:pPr>
        <w:pStyle w:val="16"/>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4" w:name="_Toc11823"/>
      <w:bookmarkStart w:id="45" w:name="_Toc11930"/>
      <w:bookmarkStart w:id="46" w:name="_Toc17619"/>
      <w:bookmarkStart w:id="47" w:name="_Toc16330018"/>
      <w:bookmarkStart w:id="48" w:name="_Toc9465"/>
      <w:r>
        <w:rPr>
          <w:rFonts w:hint="eastAsia" w:ascii="黑体" w:hAnsi="黑体" w:eastAsia="黑体" w:cstheme="minorEastAsia"/>
          <w:b w:val="0"/>
          <w:sz w:val="28"/>
          <w:szCs w:val="28"/>
        </w:rPr>
        <w:t>1 合同设备</w:t>
      </w:r>
      <w:bookmarkEnd w:id="44"/>
      <w:bookmarkEnd w:id="45"/>
      <w:bookmarkEnd w:id="46"/>
      <w:bookmarkEnd w:id="47"/>
      <w:bookmarkEnd w:id="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9" w:name="_Toc29026"/>
      <w:bookmarkStart w:id="50" w:name="_Toc32510"/>
      <w:bookmarkStart w:id="51"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2" w:name="_Toc16330019"/>
      <w:bookmarkStart w:id="53" w:name="_Toc7716"/>
      <w:r>
        <w:rPr>
          <w:rFonts w:hint="eastAsia" w:ascii="黑体" w:hAnsi="黑体" w:eastAsia="黑体" w:cstheme="minorEastAsia"/>
          <w:b w:val="0"/>
          <w:sz w:val="28"/>
          <w:szCs w:val="28"/>
        </w:rPr>
        <w:t>2 包装</w:t>
      </w:r>
      <w:bookmarkEnd w:id="49"/>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4" w:name="_Toc30507"/>
      <w:bookmarkStart w:id="55" w:name="_Toc27453"/>
      <w:bookmarkStart w:id="56" w:name="_Toc16330020"/>
      <w:bookmarkStart w:id="57" w:name="_Toc27144"/>
      <w:bookmarkStart w:id="58" w:name="_Toc2833"/>
      <w:r>
        <w:rPr>
          <w:rFonts w:hint="eastAsia" w:ascii="黑体" w:hAnsi="黑体" w:eastAsia="黑体" w:cstheme="minorEastAsia"/>
          <w:b w:val="0"/>
          <w:sz w:val="28"/>
          <w:szCs w:val="28"/>
        </w:rPr>
        <w:t>3 运输标记</w:t>
      </w:r>
      <w:bookmarkEnd w:id="54"/>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9" w:name="_Toc10630"/>
      <w:bookmarkStart w:id="60" w:name="_Toc8624"/>
      <w:bookmarkStart w:id="61" w:name="_Toc16133"/>
      <w:bookmarkStart w:id="62" w:name="_Toc7431"/>
      <w:bookmarkStart w:id="63" w:name="_Toc16330021"/>
      <w:r>
        <w:rPr>
          <w:rFonts w:hint="eastAsia" w:ascii="黑体" w:hAnsi="黑体" w:eastAsia="黑体" w:cstheme="minorEastAsia"/>
          <w:b w:val="0"/>
          <w:sz w:val="28"/>
          <w:szCs w:val="28"/>
        </w:rPr>
        <w:t>4 检验</w:t>
      </w:r>
      <w:bookmarkEnd w:id="59"/>
      <w:bookmarkEnd w:id="60"/>
      <w:bookmarkEnd w:id="61"/>
      <w:bookmarkEnd w:id="62"/>
      <w:bookmarkEnd w:id="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4" w:name="_Toc16330022"/>
      <w:bookmarkStart w:id="65" w:name="_Toc11217"/>
      <w:bookmarkStart w:id="66" w:name="_Toc19850"/>
      <w:bookmarkStart w:id="67" w:name="_Toc14275"/>
      <w:bookmarkStart w:id="68" w:name="_Toc24467"/>
      <w:r>
        <w:rPr>
          <w:rFonts w:hint="eastAsia" w:ascii="黑体" w:hAnsi="黑体" w:eastAsia="黑体" w:cstheme="minorEastAsia"/>
          <w:b w:val="0"/>
          <w:sz w:val="28"/>
          <w:szCs w:val="28"/>
        </w:rPr>
        <w:t>5 权利担保</w:t>
      </w:r>
      <w:bookmarkEnd w:id="64"/>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9" w:name="_Toc11759"/>
      <w:bookmarkStart w:id="70" w:name="_Toc20827"/>
      <w:bookmarkStart w:id="71" w:name="_Toc27500"/>
      <w:bookmarkStart w:id="72" w:name="_Toc16330023"/>
      <w:bookmarkStart w:id="73" w:name="_Toc14809"/>
      <w:r>
        <w:rPr>
          <w:rFonts w:hint="eastAsia" w:ascii="黑体" w:hAnsi="黑体" w:eastAsia="黑体" w:cstheme="minorEastAsia"/>
          <w:b w:val="0"/>
          <w:sz w:val="28"/>
          <w:szCs w:val="28"/>
        </w:rPr>
        <w:t>6 交货</w:t>
      </w:r>
      <w:bookmarkEnd w:id="69"/>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4" w:name="_Toc16330024"/>
      <w:bookmarkStart w:id="75" w:name="_Toc25510"/>
      <w:bookmarkStart w:id="76" w:name="_Toc23308"/>
      <w:bookmarkStart w:id="77" w:name="_Toc2984"/>
      <w:bookmarkStart w:id="78" w:name="_Toc8024"/>
      <w:r>
        <w:rPr>
          <w:rFonts w:hint="eastAsia" w:ascii="黑体" w:hAnsi="黑体" w:eastAsia="黑体" w:cstheme="minorEastAsia"/>
          <w:b w:val="0"/>
          <w:sz w:val="28"/>
          <w:szCs w:val="28"/>
        </w:rPr>
        <w:t>7 安装、调试</w:t>
      </w:r>
      <w:bookmarkEnd w:id="74"/>
      <w:bookmarkEnd w:id="75"/>
      <w:bookmarkEnd w:id="76"/>
      <w:bookmarkEnd w:id="77"/>
      <w:bookmarkEnd w:id="78"/>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9" w:name="_Toc6350"/>
      <w:bookmarkStart w:id="80" w:name="_Toc16330025"/>
      <w:bookmarkStart w:id="81" w:name="_Toc15547"/>
      <w:bookmarkStart w:id="82" w:name="_Toc14098"/>
      <w:bookmarkStart w:id="83" w:name="_Toc14260"/>
      <w:r>
        <w:rPr>
          <w:rFonts w:hint="eastAsia" w:ascii="黑体" w:hAnsi="黑体" w:eastAsia="黑体" w:cstheme="minorEastAsia"/>
          <w:b w:val="0"/>
          <w:sz w:val="28"/>
          <w:szCs w:val="28"/>
        </w:rPr>
        <w:t>8 价款与支付</w:t>
      </w:r>
      <w:bookmarkEnd w:id="79"/>
      <w:bookmarkEnd w:id="80"/>
      <w:bookmarkEnd w:id="81"/>
      <w:bookmarkEnd w:id="82"/>
      <w:bookmarkEnd w:id="8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4" w:name="_Toc14531628"/>
      <w:bookmarkStart w:id="85"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4"/>
      <w:bookmarkEnd w:id="85"/>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6" w:name="_Toc6726"/>
      <w:bookmarkStart w:id="87" w:name="_Toc24085"/>
      <w:bookmarkStart w:id="88" w:name="_Toc21726"/>
      <w:bookmarkStart w:id="89" w:name="_Toc25708"/>
      <w:bookmarkStart w:id="90" w:name="_Toc16330026"/>
      <w:r>
        <w:rPr>
          <w:rFonts w:hint="eastAsia" w:ascii="黑体" w:hAnsi="黑体" w:eastAsia="黑体" w:cstheme="minorEastAsia"/>
          <w:b w:val="0"/>
          <w:sz w:val="28"/>
          <w:szCs w:val="28"/>
        </w:rPr>
        <w:t>9 质量保证及售后服务</w:t>
      </w:r>
      <w:bookmarkEnd w:id="86"/>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1" w:name="_Toc12927"/>
      <w:bookmarkStart w:id="92" w:name="_Toc26769"/>
      <w:bookmarkStart w:id="93" w:name="_Toc16330027"/>
      <w:bookmarkStart w:id="94" w:name="_Toc15570"/>
      <w:bookmarkStart w:id="95" w:name="_Toc10359"/>
      <w:r>
        <w:rPr>
          <w:rFonts w:hint="eastAsia" w:ascii="黑体" w:hAnsi="黑体" w:eastAsia="黑体" w:cstheme="minorEastAsia"/>
          <w:b w:val="0"/>
          <w:sz w:val="28"/>
          <w:szCs w:val="28"/>
        </w:rPr>
        <w:t>10法定责任</w:t>
      </w:r>
      <w:bookmarkEnd w:id="91"/>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6" w:name="_Toc30381"/>
      <w:bookmarkStart w:id="97" w:name="_Toc16330028"/>
      <w:bookmarkStart w:id="98" w:name="_Toc9708"/>
      <w:bookmarkStart w:id="99" w:name="_Toc7698"/>
      <w:bookmarkStart w:id="100" w:name="_Toc27314"/>
      <w:r>
        <w:rPr>
          <w:rFonts w:hint="eastAsia" w:ascii="黑体" w:hAnsi="黑体" w:eastAsia="黑体" w:cstheme="minorEastAsia"/>
          <w:b w:val="0"/>
          <w:sz w:val="28"/>
          <w:szCs w:val="28"/>
        </w:rPr>
        <w:t>11 违约责任</w:t>
      </w:r>
      <w:bookmarkEnd w:id="96"/>
      <w:bookmarkEnd w:id="97"/>
      <w:bookmarkEnd w:id="98"/>
      <w:bookmarkEnd w:id="99"/>
      <w:bookmarkEnd w:id="10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1" w:name="_Toc9172"/>
      <w:bookmarkStart w:id="102" w:name="_Toc31554"/>
      <w:bookmarkStart w:id="103" w:name="_Toc1827"/>
      <w:bookmarkStart w:id="104"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1"/>
    <w:bookmarkEnd w:id="102"/>
    <w:bookmarkEnd w:id="103"/>
    <w:bookmarkEnd w:id="104"/>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5" w:name="_Toc23793"/>
      <w:r>
        <w:rPr>
          <w:rFonts w:hint="eastAsia" w:ascii="黑体" w:hAnsi="黑体" w:eastAsia="黑体" w:cstheme="minorEastAsia"/>
          <w:b w:val="0"/>
          <w:sz w:val="28"/>
          <w:szCs w:val="28"/>
        </w:rPr>
        <w:t>12 合同的终止与解除</w:t>
      </w:r>
      <w:bookmarkEnd w:id="10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6" w:name="_Toc16330030"/>
      <w:bookmarkStart w:id="107" w:name="_Toc31945"/>
      <w:bookmarkStart w:id="108" w:name="_Toc8620"/>
      <w:bookmarkStart w:id="109" w:name="_Toc13671"/>
      <w:bookmarkStart w:id="110" w:name="_Toc11937"/>
      <w:r>
        <w:rPr>
          <w:rFonts w:hint="eastAsia" w:ascii="黑体" w:hAnsi="黑体" w:eastAsia="黑体" w:cstheme="minorEastAsia"/>
          <w:b w:val="0"/>
          <w:sz w:val="28"/>
          <w:szCs w:val="28"/>
        </w:rPr>
        <w:t>13 不可抗力</w:t>
      </w:r>
      <w:bookmarkEnd w:id="106"/>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1" w:name="_Toc31243"/>
      <w:bookmarkStart w:id="112" w:name="_Toc16330031"/>
      <w:bookmarkStart w:id="113" w:name="_Toc18772"/>
      <w:bookmarkStart w:id="114" w:name="_Toc30389"/>
      <w:bookmarkStart w:id="115" w:name="_Toc637"/>
      <w:r>
        <w:rPr>
          <w:rFonts w:hint="eastAsia" w:ascii="黑体" w:hAnsi="黑体" w:eastAsia="黑体" w:cstheme="minorEastAsia"/>
          <w:b w:val="0"/>
          <w:sz w:val="28"/>
          <w:szCs w:val="28"/>
        </w:rPr>
        <w:t>14 通讯</w:t>
      </w:r>
      <w:bookmarkEnd w:id="111"/>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16" w:name="_Toc12984"/>
      <w:bookmarkStart w:id="117" w:name="_Toc23011"/>
      <w:bookmarkStart w:id="118" w:name="_Toc16330032"/>
      <w:bookmarkStart w:id="119" w:name="_Toc9915"/>
      <w:bookmarkStart w:id="120" w:name="_Toc11290"/>
      <w:r>
        <w:rPr>
          <w:rFonts w:hint="eastAsia" w:ascii="黑体" w:hAnsi="黑体" w:eastAsia="黑体" w:cstheme="minorEastAsia"/>
          <w:b w:val="0"/>
          <w:sz w:val="28"/>
          <w:szCs w:val="28"/>
        </w:rPr>
        <w:t>15 适用法律及争议解决</w:t>
      </w:r>
      <w:bookmarkEnd w:id="116"/>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1" w:name="_Toc18207"/>
      <w:bookmarkStart w:id="122" w:name="_Toc16330033"/>
      <w:bookmarkStart w:id="123" w:name="_Toc23906"/>
      <w:bookmarkStart w:id="124" w:name="_Toc23765"/>
      <w:bookmarkStart w:id="125" w:name="_Toc5747"/>
      <w:r>
        <w:rPr>
          <w:rFonts w:hint="eastAsia" w:ascii="黑体" w:hAnsi="黑体" w:eastAsia="黑体" w:cstheme="minorEastAsia"/>
          <w:b w:val="0"/>
          <w:sz w:val="28"/>
          <w:szCs w:val="28"/>
        </w:rPr>
        <w:t>16 附件</w:t>
      </w:r>
      <w:bookmarkEnd w:id="121"/>
      <w:bookmarkEnd w:id="122"/>
      <w:bookmarkEnd w:id="123"/>
      <w:bookmarkEnd w:id="124"/>
      <w:bookmarkEnd w:id="1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6" w:name="_Toc9594"/>
      <w:bookmarkStart w:id="127" w:name="_Toc16330034"/>
      <w:bookmarkStart w:id="128" w:name="_Toc17656"/>
      <w:bookmarkStart w:id="129" w:name="_Toc27202"/>
      <w:bookmarkStart w:id="130" w:name="_Toc31331"/>
      <w:r>
        <w:rPr>
          <w:rFonts w:hint="eastAsia" w:ascii="黑体" w:hAnsi="黑体" w:eastAsia="黑体" w:cstheme="minorEastAsia"/>
          <w:b w:val="0"/>
          <w:sz w:val="28"/>
          <w:szCs w:val="28"/>
        </w:rPr>
        <w:t>17 其他规定</w:t>
      </w:r>
      <w:bookmarkEnd w:id="126"/>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1" w:name="_Toc16330035"/>
      <w:bookmarkStart w:id="132" w:name="_Toc19077"/>
      <w:bookmarkStart w:id="133" w:name="_Toc17952"/>
      <w:bookmarkStart w:id="134"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5" w:name="_Toc15340"/>
      <w:r>
        <w:rPr>
          <w:rFonts w:hint="eastAsia" w:ascii="黑体" w:hAnsi="黑体" w:eastAsia="黑体" w:cstheme="minorEastAsia"/>
          <w:b w:val="0"/>
          <w:sz w:val="28"/>
          <w:szCs w:val="28"/>
        </w:rPr>
        <w:t>18 签署事项</w:t>
      </w:r>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6" w:name="_Toc16330036"/>
      <w:bookmarkStart w:id="137" w:name="_Toc28611"/>
      <w:bookmarkStart w:id="138" w:name="_Toc15689"/>
      <w:bookmarkStart w:id="139" w:name="_Toc10272"/>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6"/>
    <w:bookmarkEnd w:id="137"/>
    <w:bookmarkEnd w:id="138"/>
    <w:bookmarkEnd w:id="139"/>
    <w:p>
      <w:pPr>
        <w:rPr>
          <w:sz w:val="24"/>
          <w:szCs w:val="24"/>
        </w:rPr>
      </w:pPr>
    </w:p>
    <w:p>
      <w:pPr>
        <w:pStyle w:val="2"/>
        <w:tabs>
          <w:tab w:val="right" w:leader="dot" w:pos="9061"/>
        </w:tabs>
        <w:rPr>
          <w:rFonts w:ascii="黑体" w:hAnsi="黑体" w:eastAsia="黑体" w:cstheme="minorEastAsia"/>
          <w:b w:val="0"/>
          <w:sz w:val="28"/>
          <w:szCs w:val="28"/>
        </w:rPr>
      </w:pPr>
      <w:bookmarkStart w:id="140" w:name="_Toc14581"/>
      <w:r>
        <w:rPr>
          <w:rFonts w:hint="eastAsia" w:ascii="黑体" w:hAnsi="黑体" w:eastAsia="黑体" w:cstheme="minorEastAsia"/>
          <w:b w:val="0"/>
          <w:sz w:val="28"/>
          <w:szCs w:val="28"/>
        </w:rPr>
        <w:t>附件一：设备清单明细表</w:t>
      </w:r>
      <w:bookmarkEnd w:id="140"/>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1" w:name="_Toc25120"/>
      <w:bookmarkStart w:id="142" w:name="_Toc24623"/>
      <w:bookmarkStart w:id="143" w:name="_Toc16330037"/>
      <w:bookmarkStart w:id="144" w:name="_Toc5379"/>
      <w:bookmarkStart w:id="145" w:name="_Toc3778"/>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2"/>
        <w:tabs>
          <w:tab w:val="right" w:leader="dot" w:pos="9061"/>
        </w:tabs>
        <w:rPr>
          <w:rFonts w:ascii="黑体" w:hAnsi="黑体" w:eastAsia="黑体" w:cstheme="minorEastAsia"/>
          <w:b w:val="0"/>
          <w:sz w:val="28"/>
          <w:szCs w:val="28"/>
        </w:rPr>
      </w:pPr>
      <w:bookmarkStart w:id="146" w:name="_Toc8175"/>
      <w:r>
        <w:rPr>
          <w:rFonts w:hint="eastAsia" w:ascii="黑体" w:hAnsi="黑体" w:eastAsia="黑体" w:cstheme="minorEastAsia"/>
          <w:b w:val="0"/>
          <w:sz w:val="28"/>
          <w:szCs w:val="28"/>
        </w:rPr>
        <w:t xml:space="preserve">附件二 </w:t>
      </w:r>
      <w:bookmarkEnd w:id="141"/>
      <w:bookmarkEnd w:id="142"/>
      <w:bookmarkEnd w:id="143"/>
      <w:bookmarkEnd w:id="144"/>
      <w:bookmarkEnd w:id="145"/>
      <w:r>
        <w:rPr>
          <w:rFonts w:hint="eastAsia" w:ascii="黑体" w:hAnsi="黑体" w:eastAsia="黑体" w:cstheme="minorEastAsia"/>
          <w:b w:val="0"/>
          <w:sz w:val="28"/>
          <w:szCs w:val="28"/>
        </w:rPr>
        <w:t>技术协议书</w:t>
      </w:r>
      <w:bookmarkEnd w:id="146"/>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7"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7"/>
    </w:p>
    <w:p>
      <w:pPr>
        <w:keepNext/>
        <w:keepLines/>
        <w:outlineLvl w:val="9"/>
        <w:rPr>
          <w:rFonts w:hint="eastAsia" w:ascii="Times New Roman" w:hAnsi="Times New Roman" w:eastAsia="宋体" w:cs="Times New Roman"/>
          <w:b/>
          <w:bCs/>
          <w:color w:val="000000"/>
          <w:sz w:val="24"/>
          <w:szCs w:val="24"/>
        </w:rPr>
      </w:pPr>
    </w:p>
    <w:p>
      <w:pPr>
        <w:pStyle w:val="16"/>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6"/>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8" w:name="_Toc639004"/>
      <w:bookmarkStart w:id="149" w:name="_Toc25811"/>
      <w:bookmarkStart w:id="150" w:name="_Toc353881012"/>
      <w:bookmarkStart w:id="15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8"/>
      <w:bookmarkEnd w:id="149"/>
      <w:bookmarkEnd w:id="150"/>
      <w:bookmarkEnd w:id="15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五</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sz w:val="24"/>
          <w:szCs w:val="24"/>
          <w:highlight w:val="none"/>
          <w:u w:val="none"/>
          <w:lang w:val="en-US" w:eastAsia="zh-CN"/>
        </w:rPr>
        <w:t>CGZX2023040163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color w:val="000000"/>
                <w:sz w:val="24"/>
                <w:szCs w:val="24"/>
                <w:highlight w:val="none"/>
                <w:u w:val="single"/>
                <w:lang w:eastAsia="zh-CN"/>
              </w:rPr>
              <w:t>商用车驾驶室乘员保护试验台</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b/>
                <w:bCs/>
                <w:color w:val="000000"/>
                <w:sz w:val="24"/>
                <w:szCs w:val="24"/>
                <w:lang w:val="en-US" w:eastAsia="zh-CN"/>
              </w:rPr>
              <w:t>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商用车驾驶室撞击试验台</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eastAsia="zh-CN"/>
              </w:rPr>
              <w:t>1.1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b w:val="0"/>
                <w:bCs w:val="0"/>
                <w:color w:val="000000"/>
                <w:sz w:val="24"/>
                <w:szCs w:val="24"/>
                <w:lang w:val="en-US" w:eastAsia="zh-CN"/>
              </w:rPr>
              <w:t>驾驶室正面撞击试验台</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设备框架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正面撞击摆锤</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摆锤高度调节机构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摆锤角度提升机构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1.1.5</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摆锤脱钩机构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1.1.6</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防止二次碰撞制动装置</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驾驶室A柱撞击试验台</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设备框架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A柱撞击摆锤</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摆锤高度调节机构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摆锤角度提升机构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1.2.5</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摆锤脱钩机构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1.2.6</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防止二次碰撞制动装置</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b w:val="0"/>
                <w:bCs w:val="0"/>
                <w:sz w:val="24"/>
                <w:szCs w:val="24"/>
              </w:rPr>
              <w:t>动态预加载</w:t>
            </w:r>
            <w:r>
              <w:rPr>
                <w:rFonts w:hint="eastAsia" w:ascii="宋体" w:hAnsi="宋体" w:eastAsia="宋体" w:cs="宋体"/>
                <w:b w:val="0"/>
                <w:bCs w:val="0"/>
                <w:sz w:val="24"/>
                <w:szCs w:val="24"/>
                <w:lang w:val="en-US" w:eastAsia="zh-CN"/>
              </w:rPr>
              <w:t>撞击</w:t>
            </w:r>
            <w:r>
              <w:rPr>
                <w:rFonts w:hint="eastAsia" w:ascii="宋体" w:hAnsi="宋体" w:eastAsia="宋体" w:cs="宋体"/>
                <w:b w:val="0"/>
                <w:bCs w:val="0"/>
                <w:sz w:val="24"/>
                <w:szCs w:val="24"/>
              </w:rPr>
              <w:t>试验</w:t>
            </w:r>
            <w:r>
              <w:rPr>
                <w:rFonts w:hint="eastAsia" w:ascii="宋体" w:hAnsi="宋体" w:eastAsia="宋体" w:cs="宋体"/>
                <w:b w:val="0"/>
                <w:bCs w:val="0"/>
                <w:sz w:val="24"/>
                <w:szCs w:val="24"/>
                <w:lang w:val="en-US" w:eastAsia="zh-CN"/>
              </w:rPr>
              <w:t>台</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设备框架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动态预加载</w:t>
            </w:r>
            <w:r>
              <w:rPr>
                <w:rFonts w:hint="eastAsia" w:ascii="宋体" w:hAnsi="宋体" w:eastAsia="宋体" w:cs="宋体"/>
                <w:sz w:val="24"/>
                <w:szCs w:val="24"/>
                <w:lang w:val="en-US" w:eastAsia="zh-CN"/>
              </w:rPr>
              <w:t>撞击</w:t>
            </w:r>
            <w:r>
              <w:rPr>
                <w:rFonts w:hint="eastAsia" w:ascii="宋体" w:hAnsi="宋体" w:eastAsia="宋体" w:cs="宋体"/>
                <w:color w:val="000000"/>
                <w:sz w:val="24"/>
                <w:szCs w:val="24"/>
                <w:lang w:val="en-US" w:eastAsia="zh-CN"/>
              </w:rPr>
              <w:t>摆锤</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摆锤高度调节机构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摆锤角度提升机构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1.3.5</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摆锤脱钩机构</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1.3.6</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防止二次碰撞制动装置</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固车系统</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安全系统</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电器柜、电器原件、线缆</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软件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主控计算机</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检验用人体模型</w:t>
            </w:r>
          </w:p>
        </w:tc>
        <w:tc>
          <w:tcPr>
            <w:tcW w:w="2239" w:type="dxa"/>
          </w:tcPr>
          <w:p>
            <w:pPr>
              <w:rPr>
                <w:rFonts w:ascii="Arial"/>
              </w:rPr>
            </w:pPr>
          </w:p>
        </w:tc>
        <w:tc>
          <w:tcPr>
            <w:tcW w:w="11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10</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sz w:val="24"/>
                <w:szCs w:val="24"/>
                <w:lang w:val="en-US" w:eastAsia="zh-CN"/>
              </w:rPr>
              <w:t>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0"/>
                <w:lang w:val="en-US" w:eastAsia="zh-CN" w:bidi="ar-SA"/>
              </w:rPr>
            </w:pPr>
            <w:r>
              <w:rPr>
                <w:rFonts w:hint="eastAsia" w:ascii="宋体" w:hAnsi="宋体" w:eastAsia="宋体" w:cs="宋体"/>
                <w:b/>
                <w:bCs/>
                <w:color w:val="000000"/>
                <w:sz w:val="24"/>
                <w:szCs w:val="24"/>
                <w:lang w:val="en-US" w:eastAsia="zh-CN"/>
              </w:rPr>
              <w:t>商用车</w:t>
            </w:r>
            <w:r>
              <w:rPr>
                <w:rFonts w:hint="eastAsia" w:ascii="宋体" w:hAnsi="宋体" w:eastAsia="宋体" w:cs="宋体"/>
                <w:b/>
                <w:bCs/>
                <w:color w:val="000000"/>
                <w:sz w:val="24"/>
                <w:szCs w:val="24"/>
              </w:rPr>
              <w:t>驾驶室</w:t>
            </w:r>
            <w:r>
              <w:rPr>
                <w:rFonts w:hint="eastAsia" w:ascii="宋体" w:hAnsi="宋体" w:eastAsia="宋体" w:cs="宋体"/>
                <w:b/>
                <w:bCs/>
                <w:color w:val="000000"/>
                <w:sz w:val="24"/>
                <w:szCs w:val="24"/>
                <w:lang w:val="en-US" w:eastAsia="zh-CN"/>
              </w:rPr>
              <w:t>强度</w:t>
            </w:r>
            <w:r>
              <w:rPr>
                <w:rFonts w:hint="eastAsia" w:ascii="宋体" w:hAnsi="宋体" w:eastAsia="宋体" w:cs="宋体"/>
                <w:b/>
                <w:bCs/>
                <w:color w:val="000000"/>
                <w:sz w:val="24"/>
                <w:szCs w:val="24"/>
              </w:rPr>
              <w:t>试验台</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设备框架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压板装置</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加载系统</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高度调节装置</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固车系统</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安全系统</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电器柜、电器原件、线缆</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highlight w:val="none"/>
                <w:lang w:val="en-US" w:eastAsia="zh-CN"/>
              </w:rPr>
              <w:t>软件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主控计算机</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highlight w:val="none"/>
                <w:lang w:val="en-US" w:eastAsia="zh-CN"/>
              </w:rPr>
              <w:t>/</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sz w:val="24"/>
                <w:szCs w:val="24"/>
                <w:lang w:val="en-US" w:eastAsia="zh-CN"/>
              </w:rPr>
              <w:t>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sz w:val="24"/>
                <w:szCs w:val="24"/>
                <w:lang w:val="en-US" w:eastAsia="zh-CN"/>
              </w:rPr>
              <w:t xml:space="preserve">高速摄像系统 </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一体式高速摄像机</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lang w:val="en-US" w:eastAsia="zh-CN"/>
              </w:rPr>
              <w:t>配套镜头</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lang w:val="en-US" w:eastAsia="zh-CN"/>
              </w:rPr>
              <w:t>配套线缆</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lang w:val="en-US" w:eastAsia="zh-CN"/>
              </w:rPr>
              <w:t>三角架及附件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3.5</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笔记本电脑</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lang w:val="en-US" w:eastAsia="zh-CN"/>
              </w:rPr>
              <w:t>高速摄像机控制软件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sz w:val="24"/>
                <w:szCs w:val="24"/>
                <w:lang w:val="en-US" w:eastAsia="zh-CN"/>
              </w:rPr>
              <w:t>4</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sz w:val="24"/>
                <w:szCs w:val="24"/>
                <w:lang w:val="en-US" w:eastAsia="zh-CN"/>
              </w:rPr>
              <w:t>高速摄像机补光系统</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4.1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补光光源</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4.2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光源支架</w:t>
            </w:r>
          </w:p>
        </w:tc>
        <w:tc>
          <w:tcPr>
            <w:tcW w:w="2239" w:type="dxa"/>
          </w:tcPr>
          <w:p>
            <w:pPr>
              <w:rPr>
                <w:rFonts w:ascii="Arial"/>
              </w:rPr>
            </w:pPr>
          </w:p>
        </w:tc>
        <w:tc>
          <w:tcPr>
            <w:tcW w:w="112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268" w:line="221" w:lineRule="auto"/>
              <w:jc w:val="center"/>
              <w:rPr>
                <w:rFonts w:ascii="宋体" w:hAnsi="宋体" w:eastAsia="宋体" w:cs="宋体"/>
                <w:spacing w:val="15"/>
                <w:szCs w:val="21"/>
              </w:rPr>
            </w:pPr>
            <w:r>
              <w:rPr>
                <w:rFonts w:ascii="宋体" w:hAnsi="宋体" w:eastAsia="宋体" w:cs="宋体"/>
                <w:spacing w:val="15"/>
                <w:szCs w:val="21"/>
              </w:rPr>
              <w:t>1</w:t>
            </w:r>
          </w:p>
        </w:tc>
        <w:tc>
          <w:tcPr>
            <w:tcW w:w="3625" w:type="dxa"/>
            <w:vAlign w:val="center"/>
          </w:tcPr>
          <w:p>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lang w:val="en-US" w:eastAsia="zh-CN"/>
              </w:rPr>
              <w:t>安装调试</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268" w:line="221" w:lineRule="auto"/>
              <w:jc w:val="center"/>
              <w:rPr>
                <w:rFonts w:ascii="宋体" w:hAnsi="宋体" w:eastAsia="宋体" w:cs="宋体"/>
                <w:spacing w:val="15"/>
                <w:szCs w:val="21"/>
              </w:rPr>
            </w:pPr>
            <w:r>
              <w:rPr>
                <w:rFonts w:ascii="宋体" w:hAnsi="宋体" w:eastAsia="宋体" w:cs="宋体"/>
                <w:spacing w:val="15"/>
                <w:szCs w:val="21"/>
              </w:rPr>
              <w:t>2</w:t>
            </w:r>
          </w:p>
        </w:tc>
        <w:tc>
          <w:tcPr>
            <w:tcW w:w="3625" w:type="dxa"/>
            <w:vAlign w:val="center"/>
          </w:tcPr>
          <w:p>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lang w:val="en-US" w:eastAsia="zh-CN"/>
              </w:rPr>
              <w:t>设备检定</w:t>
            </w:r>
          </w:p>
        </w:tc>
        <w:tc>
          <w:tcPr>
            <w:tcW w:w="1126" w:type="dxa"/>
          </w:tcPr>
          <w:p>
            <w:pPr>
              <w:spacing w:before="266" w:line="221" w:lineRule="auto"/>
              <w:jc w:val="center"/>
              <w:rPr>
                <w:rFonts w:hint="eastAsia" w:ascii="宋体" w:hAnsi="宋体" w:eastAsia="宋体" w:cs="宋体"/>
                <w:spacing w:val="-2"/>
                <w:szCs w:val="21"/>
                <w:lang w:eastAsia="zh-CN"/>
              </w:rPr>
            </w:pPr>
            <w:r>
              <w:rPr>
                <w:rFonts w:hint="eastAsia" w:ascii="宋体" w:hAnsi="宋体" w:eastAsia="宋体" w:cs="宋体"/>
                <w:spacing w:val="-1"/>
                <w:sz w:val="21"/>
                <w:szCs w:val="21"/>
                <w:lang w:val="en-US" w:eastAsia="zh-CN"/>
              </w:rPr>
              <w:t>次</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pPr>
              <w:spacing w:before="268" w:line="221" w:lineRule="auto"/>
              <w:jc w:val="center"/>
              <w:rPr>
                <w:rFonts w:ascii="宋体" w:hAnsi="宋体" w:eastAsia="宋体" w:cs="宋体"/>
                <w:spacing w:val="15"/>
                <w:szCs w:val="21"/>
              </w:rPr>
            </w:pPr>
            <w:r>
              <w:rPr>
                <w:rFonts w:ascii="宋体" w:hAnsi="宋体" w:eastAsia="宋体" w:cs="宋体"/>
                <w:spacing w:val="15"/>
                <w:szCs w:val="21"/>
              </w:rPr>
              <w:t>3</w:t>
            </w:r>
          </w:p>
        </w:tc>
        <w:tc>
          <w:tcPr>
            <w:tcW w:w="3625" w:type="dxa"/>
            <w:vAlign w:val="center"/>
          </w:tcPr>
          <w:p>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lang w:val="en-US" w:eastAsia="zh-CN"/>
              </w:rPr>
              <w:t>培训</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268" w:line="221" w:lineRule="auto"/>
              <w:jc w:val="center"/>
              <w:rPr>
                <w:rFonts w:hint="eastAsia" w:ascii="宋体" w:hAnsi="宋体" w:eastAsia="宋体" w:cs="宋体"/>
                <w:spacing w:val="15"/>
                <w:szCs w:val="21"/>
                <w:lang w:val="en-US" w:eastAsia="zh-CN"/>
              </w:rPr>
            </w:pPr>
            <w:r>
              <w:rPr>
                <w:rFonts w:hint="eastAsia" w:ascii="宋体" w:hAnsi="宋体" w:eastAsia="宋体" w:cs="宋体"/>
                <w:spacing w:val="15"/>
                <w:szCs w:val="21"/>
                <w:lang w:val="en-US" w:eastAsia="zh-CN"/>
              </w:rPr>
              <w:t>4</w:t>
            </w:r>
          </w:p>
        </w:tc>
        <w:tc>
          <w:tcPr>
            <w:tcW w:w="362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b/>
                <w:bCs/>
                <w:szCs w:val="21"/>
              </w:rPr>
            </w:pPr>
            <w:r>
              <w:rPr>
                <w:rFonts w:ascii="宋体" w:hAnsi="宋体" w:eastAsia="宋体" w:cs="宋体"/>
                <w:b/>
                <w:bCs/>
                <w:spacing w:val="-2"/>
                <w:szCs w:val="21"/>
              </w:rPr>
              <w:t>序</w:t>
            </w:r>
            <w:r>
              <w:rPr>
                <w:rFonts w:ascii="宋体" w:hAnsi="宋体" w:eastAsia="宋体" w:cs="宋体"/>
                <w:b/>
                <w:bCs/>
                <w:spacing w:val="-1"/>
                <w:szCs w:val="21"/>
              </w:rPr>
              <w:t>号</w:t>
            </w:r>
          </w:p>
        </w:tc>
        <w:tc>
          <w:tcPr>
            <w:tcW w:w="5765" w:type="dxa"/>
          </w:tcPr>
          <w:p>
            <w:pPr>
              <w:spacing w:before="276" w:line="221" w:lineRule="auto"/>
              <w:ind w:left="2544"/>
              <w:rPr>
                <w:rFonts w:ascii="宋体" w:hAnsi="宋体" w:eastAsia="宋体" w:cs="宋体"/>
                <w:b/>
                <w:bCs/>
                <w:szCs w:val="21"/>
              </w:rPr>
            </w:pPr>
            <w:r>
              <w:rPr>
                <w:rFonts w:ascii="宋体" w:hAnsi="宋体" w:eastAsia="宋体" w:cs="宋体"/>
                <w:b/>
                <w:bCs/>
                <w:spacing w:val="-6"/>
                <w:szCs w:val="21"/>
              </w:rPr>
              <w:t>内</w:t>
            </w:r>
            <w:r>
              <w:rPr>
                <w:rFonts w:ascii="宋体" w:hAnsi="宋体" w:eastAsia="宋体" w:cs="宋体"/>
                <w:b/>
                <w:bCs/>
                <w:spacing w:val="-4"/>
                <w:szCs w:val="21"/>
              </w:rPr>
              <w:t xml:space="preserve">   容</w:t>
            </w:r>
          </w:p>
        </w:tc>
        <w:tc>
          <w:tcPr>
            <w:tcW w:w="3354" w:type="dxa"/>
          </w:tcPr>
          <w:p>
            <w:pPr>
              <w:spacing w:before="276" w:line="219" w:lineRule="auto"/>
              <w:jc w:val="center"/>
              <w:rPr>
                <w:rFonts w:ascii="宋体" w:hAnsi="宋体" w:eastAsia="宋体" w:cs="宋体"/>
                <w:b/>
                <w:bCs/>
                <w:szCs w:val="21"/>
              </w:rPr>
            </w:pPr>
            <w:r>
              <w:rPr>
                <w:rFonts w:ascii="宋体" w:hAnsi="宋体" w:eastAsia="宋体" w:cs="宋体"/>
                <w:b/>
                <w:bCs/>
                <w:spacing w:val="18"/>
                <w:szCs w:val="21"/>
              </w:rPr>
              <w:t>总</w:t>
            </w:r>
            <w:r>
              <w:rPr>
                <w:rFonts w:ascii="宋体" w:hAnsi="宋体" w:eastAsia="宋体" w:cs="宋体"/>
                <w:b/>
                <w:bCs/>
                <w:spacing w:val="14"/>
                <w:szCs w:val="21"/>
              </w:rPr>
              <w:t>价(元)</w:t>
            </w:r>
            <w:r>
              <w:rPr>
                <w:rFonts w:hint="eastAsia" w:ascii="宋体" w:hAnsi="宋体" w:eastAsia="宋体" w:cs="宋体"/>
                <w:b/>
                <w:bCs/>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b/>
                <w:bCs/>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b/>
                <w:bCs/>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b/>
                <w:bCs/>
                <w:szCs w:val="21"/>
              </w:rPr>
            </w:pPr>
            <w:r>
              <w:rPr>
                <w:rFonts w:ascii="宋体" w:hAnsi="宋体" w:eastAsia="宋体" w:cs="宋体"/>
                <w:b/>
                <w:bCs/>
                <w:spacing w:val="-1"/>
                <w:szCs w:val="21"/>
              </w:rPr>
              <w:t>备</w:t>
            </w:r>
            <w:r>
              <w:rPr>
                <w:rFonts w:ascii="宋体" w:hAnsi="宋体" w:eastAsia="宋体" w:cs="宋体"/>
                <w:b/>
                <w:bCs/>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lang w:val="en-US" w:eastAsia="zh-CN"/>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ind w:firstLine="6023" w:firstLineChars="2500"/>
        <w:jc w:val="both"/>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5</w:t>
      </w:r>
      <w:r>
        <w:rPr>
          <w:rFonts w:hint="eastAsia" w:ascii="宋体" w:hAnsi="宋体" w:eastAsia="宋体" w:cs="Times New Roman"/>
          <w:b/>
          <w:bCs/>
          <w:sz w:val="24"/>
          <w:szCs w:val="24"/>
          <w:highlight w:val="none"/>
        </w:rPr>
        <w:t>0分）</w:t>
      </w:r>
    </w:p>
    <w:p>
      <w:pPr>
        <w:rPr>
          <w:rFonts w:hint="eastAsia" w:ascii="宋体" w:hAnsi="宋体" w:eastAsia="宋体" w:cs="Times New Roman"/>
          <w:b/>
          <w:bCs/>
          <w:sz w:val="24"/>
          <w:szCs w:val="24"/>
          <w:highlight w:val="none"/>
        </w:rPr>
      </w:pP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17"/>
        <w:gridCol w:w="750"/>
        <w:gridCol w:w="2916"/>
        <w:gridCol w:w="700"/>
        <w:gridCol w:w="7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Align w:val="center"/>
          </w:tcPr>
          <w:p>
            <w:pPr>
              <w:tabs>
                <w:tab w:val="left" w:pos="13965"/>
              </w:tabs>
              <w:spacing w:line="240" w:lineRule="auto"/>
              <w:ind w:right="-6"/>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评价类型</w:t>
            </w:r>
          </w:p>
        </w:tc>
        <w:tc>
          <w:tcPr>
            <w:tcW w:w="717" w:type="dxa"/>
            <w:vAlign w:val="center"/>
          </w:tcPr>
          <w:p>
            <w:pPr>
              <w:tabs>
                <w:tab w:val="left" w:pos="13965"/>
              </w:tabs>
              <w:spacing w:line="240" w:lineRule="auto"/>
              <w:ind w:right="-6"/>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评审内容</w:t>
            </w:r>
          </w:p>
        </w:tc>
        <w:tc>
          <w:tcPr>
            <w:tcW w:w="750" w:type="dxa"/>
            <w:vAlign w:val="center"/>
          </w:tcPr>
          <w:p>
            <w:pPr>
              <w:tabs>
                <w:tab w:val="left" w:pos="13965"/>
              </w:tabs>
              <w:spacing w:line="240" w:lineRule="auto"/>
              <w:ind w:right="-6"/>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2916" w:type="dxa"/>
            <w:vAlign w:val="center"/>
          </w:tcPr>
          <w:p>
            <w:pPr>
              <w:tabs>
                <w:tab w:val="left" w:pos="13965"/>
              </w:tabs>
              <w:spacing w:line="240" w:lineRule="auto"/>
              <w:ind w:right="-6"/>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内   容</w:t>
            </w:r>
          </w:p>
        </w:tc>
        <w:tc>
          <w:tcPr>
            <w:tcW w:w="700" w:type="dxa"/>
            <w:vAlign w:val="center"/>
          </w:tcPr>
          <w:p>
            <w:pPr>
              <w:tabs>
                <w:tab w:val="left" w:pos="13965"/>
              </w:tabs>
              <w:spacing w:line="240" w:lineRule="auto"/>
              <w:ind w:right="-6"/>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标准分</w:t>
            </w:r>
          </w:p>
        </w:tc>
        <w:tc>
          <w:tcPr>
            <w:tcW w:w="7906" w:type="dxa"/>
            <w:vAlign w:val="center"/>
          </w:tcPr>
          <w:p>
            <w:pPr>
              <w:tabs>
                <w:tab w:val="left" w:pos="13965"/>
              </w:tabs>
              <w:spacing w:line="240" w:lineRule="auto"/>
              <w:ind w:right="-6"/>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Merge w:val="restart"/>
            <w:vAlign w:val="center"/>
          </w:tcPr>
          <w:p>
            <w:pPr>
              <w:tabs>
                <w:tab w:val="left" w:pos="13965"/>
              </w:tabs>
              <w:spacing w:line="240" w:lineRule="auto"/>
              <w:ind w:right="-6"/>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w:t>
            </w:r>
          </w:p>
          <w:p>
            <w:pPr>
              <w:tabs>
                <w:tab w:val="left" w:pos="13965"/>
              </w:tabs>
              <w:spacing w:line="240" w:lineRule="auto"/>
              <w:ind w:right="-6"/>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0分</w:t>
            </w:r>
          </w:p>
        </w:tc>
        <w:tc>
          <w:tcPr>
            <w:tcW w:w="717" w:type="dxa"/>
            <w:vMerge w:val="restar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产品技术</w:t>
            </w:r>
          </w:p>
        </w:tc>
        <w:tc>
          <w:tcPr>
            <w:tcW w:w="750" w:type="dxa"/>
            <w:vAlign w:val="center"/>
          </w:tcPr>
          <w:p>
            <w:pPr>
              <w:tabs>
                <w:tab w:val="left" w:pos="13965"/>
              </w:tabs>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916" w:type="dxa"/>
            <w:vAlign w:val="center"/>
          </w:tcPr>
          <w:p>
            <w:pPr>
              <w:spacing w:line="24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商用车驾驶室撞击试验台及强度试验台</w:t>
            </w:r>
            <w:r>
              <w:rPr>
                <w:rFonts w:hint="eastAsia" w:ascii="宋体" w:hAnsi="宋体" w:eastAsia="宋体" w:cs="宋体"/>
                <w:bCs/>
                <w:color w:val="auto"/>
                <w:sz w:val="24"/>
                <w:szCs w:val="24"/>
                <w:highlight w:val="none"/>
              </w:rPr>
              <w:t>制造商装备制造能力、生产设备、加工工艺、完善程度</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7906" w:type="dxa"/>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由评标委员会成员独立进行客观、公正的评价，按照优、良、一般进行赋分，优得</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分，良得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分，一般得</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Merge w:val="continue"/>
            <w:vAlign w:val="center"/>
          </w:tcPr>
          <w:p>
            <w:pPr>
              <w:spacing w:line="240" w:lineRule="auto"/>
              <w:jc w:val="center"/>
              <w:rPr>
                <w:rFonts w:hint="eastAsia" w:ascii="宋体" w:hAnsi="宋体" w:eastAsia="宋体" w:cs="宋体"/>
                <w:color w:val="auto"/>
                <w:sz w:val="24"/>
                <w:szCs w:val="24"/>
                <w:highlight w:val="none"/>
              </w:rPr>
            </w:pPr>
          </w:p>
        </w:tc>
        <w:tc>
          <w:tcPr>
            <w:tcW w:w="75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916" w:type="dxa"/>
            <w:vAlign w:val="center"/>
          </w:tcPr>
          <w:p>
            <w:pPr>
              <w:spacing w:line="24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商用车驾驶室撞击试验台及强度试验台</w:t>
            </w:r>
            <w:r>
              <w:rPr>
                <w:rFonts w:hint="eastAsia" w:ascii="宋体" w:hAnsi="宋体" w:eastAsia="宋体" w:cs="宋体"/>
                <w:bCs/>
                <w:color w:val="auto"/>
                <w:sz w:val="24"/>
                <w:szCs w:val="24"/>
                <w:highlight w:val="none"/>
                <w:lang w:val="en-US" w:eastAsia="zh-CN"/>
              </w:rPr>
              <w:t>方案技术先进</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w:t>
            </w:r>
          </w:p>
        </w:tc>
        <w:tc>
          <w:tcPr>
            <w:tcW w:w="7906" w:type="dxa"/>
            <w:vAlign w:val="center"/>
          </w:tcPr>
          <w:p>
            <w:pPr>
              <w:spacing w:line="240" w:lineRule="auto"/>
              <w:jc w:val="both"/>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以下各项由评标委员会成员独立进行客观、公正的评价打分。 </w:t>
            </w:r>
          </w:p>
          <w:p>
            <w:pPr>
              <w:spacing w:line="240" w:lineRule="auto"/>
              <w:jc w:val="both"/>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（1）定制系统方案已到达招标要求，设备主要核心部件，具备自身技术优势，打分0-5分。</w:t>
            </w:r>
          </w:p>
          <w:p>
            <w:pPr>
              <w:spacing w:line="240" w:lineRule="auto"/>
              <w:jc w:val="both"/>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（2）系统配置齐全，其精度、参数、技术水平等优势明显，打分0-5分。</w:t>
            </w:r>
          </w:p>
          <w:p>
            <w:pPr>
              <w:numPr>
                <w:ilvl w:val="0"/>
                <w:numId w:val="0"/>
              </w:numPr>
              <w:spacing w:line="240" w:lineRule="auto"/>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（3）试验空间布局科学合理性、操作灵活方便性，打分0-5分</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Merge w:val="continue"/>
            <w:vAlign w:val="center"/>
          </w:tcPr>
          <w:p>
            <w:pPr>
              <w:spacing w:line="240" w:lineRule="auto"/>
              <w:jc w:val="center"/>
              <w:rPr>
                <w:rFonts w:hint="eastAsia" w:ascii="宋体" w:hAnsi="宋体" w:eastAsia="宋体" w:cs="宋体"/>
                <w:color w:val="auto"/>
                <w:sz w:val="24"/>
                <w:szCs w:val="24"/>
                <w:highlight w:val="none"/>
              </w:rPr>
            </w:pP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2916" w:type="dxa"/>
            <w:vAlign w:val="center"/>
          </w:tcPr>
          <w:p>
            <w:pPr>
              <w:spacing w:line="24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高速摄像机及灯光系统方案技术先进性</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7906" w:type="dxa"/>
            <w:vAlign w:val="center"/>
          </w:tcPr>
          <w:p>
            <w:pPr>
              <w:spacing w:line="24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以下各项由评标委员会成员独立进行客观、公正的评价打分。 </w:t>
            </w:r>
          </w:p>
          <w:p>
            <w:pPr>
              <w:spacing w:line="240" w:lineRule="auto"/>
              <w:jc w:val="both"/>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（1）高速摄像机系统配置齐全，其参数、技术水平等优势明显，打分0-4分。</w:t>
            </w:r>
          </w:p>
          <w:p>
            <w:pPr>
              <w:spacing w:line="24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highlight w:val="none"/>
                <w:lang w:val="en-US" w:eastAsia="zh-CN"/>
              </w:rPr>
              <w:t>（2）灯光定制系统配置齐全，其参数、技术水平等优势明显，打分0-4分。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Merge w:val="continue"/>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2916" w:type="dxa"/>
            <w:vAlign w:val="center"/>
          </w:tcPr>
          <w:p>
            <w:pPr>
              <w:spacing w:line="24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产品附件、备件配置完整性、合理性</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7906" w:type="dxa"/>
            <w:vAlign w:val="center"/>
          </w:tcPr>
          <w:p>
            <w:pPr>
              <w:numPr>
                <w:ilvl w:val="0"/>
                <w:numId w:val="0"/>
              </w:numPr>
              <w:spacing w:line="240" w:lineRule="auto"/>
              <w:ind w:left="0" w:leftChars="0"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根据投标方提供的备品、备件清单和内容进行按优、良、一般进行赋分：优得3分，良得2分，一般得1分。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Merge w:val="continue"/>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2916" w:type="dxa"/>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现场安装、调试、验收阶段的的组织管理措施</w:t>
            </w:r>
            <w:r>
              <w:rPr>
                <w:rFonts w:hint="eastAsia" w:ascii="宋体" w:hAnsi="宋体" w:eastAsia="宋体" w:cs="宋体"/>
                <w:bCs/>
                <w:color w:val="auto"/>
                <w:sz w:val="24"/>
                <w:szCs w:val="24"/>
                <w:highlight w:val="none"/>
              </w:rPr>
              <w:t>：</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3</w:t>
            </w:r>
          </w:p>
        </w:tc>
        <w:tc>
          <w:tcPr>
            <w:tcW w:w="7906" w:type="dxa"/>
            <w:vAlign w:val="center"/>
          </w:tcPr>
          <w:p>
            <w:pPr>
              <w:spacing w:line="24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由评标委员会成员独立进行客观、公正的评价，按照优、良、一般进行赋分，优得3分，良得2分，一般得1分</w:t>
            </w:r>
            <w:r>
              <w:rPr>
                <w:rFonts w:hint="eastAsia" w:ascii="宋体" w:hAnsi="宋体" w:eastAsia="宋体" w:cs="宋体"/>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Merge w:val="restart"/>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售后服务</w:t>
            </w: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2916" w:type="dxa"/>
            <w:shd w:val="clear" w:color="auto" w:fill="auto"/>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技术培训方案对采购方人员的技术培训方案安排科学、合理、可行</w:t>
            </w:r>
          </w:p>
        </w:tc>
        <w:tc>
          <w:tcPr>
            <w:tcW w:w="700" w:type="dxa"/>
            <w:shd w:val="clear" w:color="auto" w:fill="auto"/>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7906" w:type="dxa"/>
            <w:shd w:val="clear" w:color="auto" w:fill="auto"/>
            <w:vAlign w:val="center"/>
          </w:tcPr>
          <w:p>
            <w:pPr>
              <w:spacing w:line="240" w:lineRule="auto"/>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由评标委员会成员独立进行客观、公正的评价，按照优、良、一般进行赋分，优得2分，良得1分，一般得0.5分。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Merge w:val="continue"/>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w:t>
            </w:r>
          </w:p>
        </w:tc>
        <w:tc>
          <w:tcPr>
            <w:tcW w:w="2916" w:type="dxa"/>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售后服务及时周到，有相应的服务承诺和具体的保证措施</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7906" w:type="dxa"/>
            <w:vAlign w:val="center"/>
          </w:tcPr>
          <w:p>
            <w:pPr>
              <w:spacing w:line="24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由评标委员会成员独立进行客观、公正的评价，按照优、良、一般进行赋分，优得2分，良得1分，一般得0.5分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答疑</w:t>
            </w: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2916" w:type="dxa"/>
            <w:vAlign w:val="center"/>
          </w:tcPr>
          <w:p>
            <w:pPr>
              <w:spacing w:line="24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现场答疑</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7906" w:type="dxa"/>
            <w:vAlign w:val="center"/>
          </w:tcPr>
          <w:p>
            <w:pPr>
              <w:spacing w:line="24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投标人代表对方案、技术优势的讲解，以及就该项目难点回答评标专家现场提问，</w:t>
            </w:r>
            <w:r>
              <w:rPr>
                <w:rFonts w:hint="eastAsia" w:ascii="宋体" w:hAnsi="宋体" w:eastAsia="宋体" w:cs="宋体"/>
                <w:bCs/>
                <w:color w:val="auto"/>
                <w:sz w:val="24"/>
                <w:szCs w:val="24"/>
                <w:highlight w:val="none"/>
                <w:lang w:val="en-US" w:eastAsia="zh-CN"/>
              </w:rPr>
              <w:t>由评标委员会成员独立进行客观、公正的评价，按照优、良、一般进行赋分，优得4-5分，良得2-3分，一般得0-1分</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Align w:val="center"/>
          </w:tcPr>
          <w:p>
            <w:pPr>
              <w:tabs>
                <w:tab w:val="left" w:pos="13965"/>
              </w:tabs>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业绩</w:t>
            </w:r>
          </w:p>
        </w:tc>
        <w:tc>
          <w:tcPr>
            <w:tcW w:w="750" w:type="dxa"/>
            <w:vAlign w:val="center"/>
          </w:tcPr>
          <w:p>
            <w:pPr>
              <w:tabs>
                <w:tab w:val="left" w:pos="13965"/>
              </w:tabs>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2916" w:type="dxa"/>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设备制造商同类型项目业绩</w:t>
            </w:r>
          </w:p>
        </w:tc>
        <w:tc>
          <w:tcPr>
            <w:tcW w:w="700" w:type="dxa"/>
            <w:vAlign w:val="center"/>
          </w:tcPr>
          <w:p>
            <w:pPr>
              <w:tabs>
                <w:tab w:val="left" w:pos="13965"/>
              </w:tabs>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7906" w:type="dxa"/>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拟投标人有与本次</w:t>
            </w:r>
            <w:r>
              <w:rPr>
                <w:rFonts w:hint="eastAsia" w:ascii="宋体" w:hAnsi="宋体" w:eastAsia="宋体" w:cs="宋体"/>
                <w:color w:val="auto"/>
                <w:sz w:val="24"/>
                <w:szCs w:val="24"/>
                <w:highlight w:val="none"/>
                <w:lang w:val="en-US" w:eastAsia="zh-CN"/>
              </w:rPr>
              <w:t>招标</w:t>
            </w:r>
            <w:r>
              <w:rPr>
                <w:rFonts w:hint="eastAsia" w:ascii="宋体" w:hAnsi="宋体" w:eastAsia="宋体" w:cs="宋体"/>
                <w:i w:val="0"/>
                <w:iCs w:val="0"/>
                <w:color w:val="auto"/>
                <w:kern w:val="0"/>
                <w:sz w:val="24"/>
                <w:szCs w:val="24"/>
                <w:u w:val="none"/>
                <w:lang w:val="en-US" w:eastAsia="zh-CN" w:bidi="ar"/>
              </w:rPr>
              <w:t>设备同类的项目经验，在中国境内有商用车企业或汽车检测机构使用的案例；投标时需提供用户清单，同时需提供用户合同复印件，第一名得5分，第二名得4分，第三名得3分，第四名得2分，其余得1分</w:t>
            </w:r>
            <w:r>
              <w:rPr>
                <w:rFonts w:hint="eastAsia" w:ascii="宋体" w:hAnsi="宋体" w:eastAsia="宋体" w:cs="宋体"/>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hint="eastAsia" w:ascii="宋体" w:hAnsi="宋体" w:eastAsia="宋体" w:cs="宋体"/>
                <w:color w:val="auto"/>
                <w:sz w:val="24"/>
                <w:szCs w:val="24"/>
              </w:rPr>
            </w:pPr>
          </w:p>
        </w:tc>
        <w:tc>
          <w:tcPr>
            <w:tcW w:w="717"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技术偏离</w:t>
            </w:r>
          </w:p>
        </w:tc>
        <w:tc>
          <w:tcPr>
            <w:tcW w:w="75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c>
          <w:tcPr>
            <w:tcW w:w="2916" w:type="dxa"/>
            <w:vAlign w:val="center"/>
          </w:tcPr>
          <w:p>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响应及偏离</w:t>
            </w:r>
          </w:p>
        </w:tc>
        <w:tc>
          <w:tcPr>
            <w:tcW w:w="700" w:type="dxa"/>
            <w:vAlign w:val="center"/>
          </w:tcPr>
          <w:p>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7906" w:type="dxa"/>
            <w:vAlign w:val="center"/>
          </w:tcPr>
          <w:p>
            <w:pPr>
              <w:spacing w:line="24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由评标委员会成员</w:t>
            </w:r>
            <w:r>
              <w:rPr>
                <w:rFonts w:hint="eastAsia" w:ascii="宋体" w:hAnsi="宋体" w:eastAsia="宋体" w:cs="宋体"/>
                <w:color w:val="auto"/>
                <w:sz w:val="24"/>
                <w:szCs w:val="24"/>
                <w:highlight w:val="none"/>
                <w:lang w:val="en-US" w:eastAsia="zh-CN"/>
              </w:rPr>
              <w:t>独立</w:t>
            </w:r>
            <w:r>
              <w:rPr>
                <w:rFonts w:hint="eastAsia" w:ascii="宋体" w:hAnsi="宋体" w:eastAsia="宋体" w:cs="宋体"/>
                <w:i w:val="0"/>
                <w:iCs w:val="0"/>
                <w:color w:val="auto"/>
                <w:kern w:val="0"/>
                <w:sz w:val="24"/>
                <w:szCs w:val="24"/>
                <w:u w:val="none"/>
                <w:lang w:val="en-US" w:eastAsia="zh-CN" w:bidi="ar"/>
              </w:rPr>
              <w:t>进行客观、公正的评价，根据各投标单位的核心产品的配置参数、技术偏离情况，在满足我司技术基本要求的前提下偏离，无偏离得满分5分，较大偏离每一项扣2分，一般偏离每一项扣1分，最低0分。加“*”处为核心参数，不能有负偏离，为否决项</w:t>
            </w:r>
            <w:r>
              <w:rPr>
                <w:rFonts w:hint="eastAsia" w:ascii="宋体" w:hAnsi="宋体" w:eastAsia="宋体" w:cs="宋体"/>
                <w:bCs/>
                <w:color w:val="auto"/>
                <w:sz w:val="24"/>
                <w:szCs w:val="24"/>
                <w:highlight w:val="none"/>
              </w:rPr>
              <w:t>。</w:t>
            </w:r>
          </w:p>
        </w:tc>
      </w:tr>
    </w:tbl>
    <w:p>
      <w:pPr>
        <w:pStyle w:val="16"/>
        <w:rPr>
          <w:rFonts w:hint="eastAsia"/>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w:t>
      </w:r>
      <w:r>
        <w:rPr>
          <w:rFonts w:hint="eastAsia" w:ascii="宋体" w:hAnsi="宋体" w:eastAsia="宋体" w:cs="宋体"/>
          <w:color w:val="000000"/>
          <w:sz w:val="24"/>
          <w:szCs w:val="24"/>
          <w:lang w:val="en-US" w:eastAsia="zh-CN"/>
        </w:rPr>
        <w:t>售后</w:t>
      </w:r>
      <w:r>
        <w:rPr>
          <w:rFonts w:hint="eastAsia" w:ascii="宋体" w:hAnsi="宋体" w:eastAsia="宋体" w:cs="宋体"/>
          <w:color w:val="000000"/>
          <w:sz w:val="24"/>
          <w:szCs w:val="24"/>
        </w:rPr>
        <w:t>服务部分综合得分，此分项得分高者排序在前；若产品技术与服务承诺综合得分仍相同，则由全体评委成员无记名投票，得票高者排序在前。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outlineLvl w:val="9"/>
        <w:rPr>
          <w:rFonts w:hint="eastAsia" w:eastAsia="宋体"/>
          <w:b w:val="0"/>
          <w:bCs w:val="0"/>
          <w:lang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16"/>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C38C4"/>
    <w:multiLevelType w:val="multilevel"/>
    <w:tmpl w:val="819C38C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6BB8785"/>
    <w:multiLevelType w:val="multilevel"/>
    <w:tmpl w:val="86BB8785"/>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88C5BDC1"/>
    <w:multiLevelType w:val="multilevel"/>
    <w:tmpl w:val="88C5BDC1"/>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55EB6A1"/>
    <w:multiLevelType w:val="multilevel"/>
    <w:tmpl w:val="955EB6A1"/>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A3C2E91E"/>
    <w:multiLevelType w:val="multilevel"/>
    <w:tmpl w:val="A3C2E91E"/>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A6849FB6"/>
    <w:multiLevelType w:val="singleLevel"/>
    <w:tmpl w:val="A6849FB6"/>
    <w:lvl w:ilvl="0" w:tentative="0">
      <w:start w:val="2"/>
      <w:numFmt w:val="chineseCounting"/>
      <w:suff w:val="nothing"/>
      <w:lvlText w:val="%1、"/>
      <w:lvlJc w:val="left"/>
      <w:rPr>
        <w:rFonts w:hint="eastAsia"/>
      </w:rPr>
    </w:lvl>
  </w:abstractNum>
  <w:abstractNum w:abstractNumId="6">
    <w:nsid w:val="A7FED592"/>
    <w:multiLevelType w:val="multilevel"/>
    <w:tmpl w:val="A7FED592"/>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CE2C74E8"/>
    <w:multiLevelType w:val="multilevel"/>
    <w:tmpl w:val="CE2C74E8"/>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9">
    <w:nsid w:val="E55D2576"/>
    <w:multiLevelType w:val="multilevel"/>
    <w:tmpl w:val="E55D2576"/>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E634A6D6"/>
    <w:multiLevelType w:val="multilevel"/>
    <w:tmpl w:val="E634A6D6"/>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E92456F4"/>
    <w:multiLevelType w:val="multilevel"/>
    <w:tmpl w:val="E92456F4"/>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EB0B958F"/>
    <w:multiLevelType w:val="multilevel"/>
    <w:tmpl w:val="EB0B958F"/>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F20C8B4C"/>
    <w:multiLevelType w:val="multilevel"/>
    <w:tmpl w:val="F20C8B4C"/>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F9F436D2"/>
    <w:multiLevelType w:val="multilevel"/>
    <w:tmpl w:val="F9F436D2"/>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FE093498"/>
    <w:multiLevelType w:val="multilevel"/>
    <w:tmpl w:val="FE093498"/>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7">
    <w:nsid w:val="05577B50"/>
    <w:multiLevelType w:val="multilevel"/>
    <w:tmpl w:val="05577B50"/>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5D89834"/>
    <w:multiLevelType w:val="multilevel"/>
    <w:tmpl w:val="05D89834"/>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0C751F6"/>
    <w:multiLevelType w:val="multilevel"/>
    <w:tmpl w:val="10C751F6"/>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4CB297F"/>
    <w:multiLevelType w:val="multilevel"/>
    <w:tmpl w:val="14CB297F"/>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7C90B85"/>
    <w:multiLevelType w:val="multilevel"/>
    <w:tmpl w:val="17C90B85"/>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2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4">
    <w:nsid w:val="29E3CC1B"/>
    <w:multiLevelType w:val="multilevel"/>
    <w:tmpl w:val="29E3CC1B"/>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D103AF7"/>
    <w:multiLevelType w:val="multilevel"/>
    <w:tmpl w:val="2D103AF7"/>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7">
    <w:nsid w:val="390CBE9E"/>
    <w:multiLevelType w:val="multilevel"/>
    <w:tmpl w:val="390CBE9E"/>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3E20375"/>
    <w:multiLevelType w:val="multilevel"/>
    <w:tmpl w:val="43E20375"/>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30">
    <w:nsid w:val="4D29DF26"/>
    <w:multiLevelType w:val="multilevel"/>
    <w:tmpl w:val="4D29DF26"/>
    <w:lvl w:ilvl="0" w:tentative="0">
      <w:start w:val="1"/>
      <w:numFmt w:val="decimal"/>
      <w:lvlText w:val="%1)"/>
      <w:lvlJc w:val="left"/>
      <w:pPr>
        <w:ind w:left="0" w:firstLine="0"/>
      </w:pPr>
      <w:rPr>
        <w:rFonts w:hint="default" w:ascii="宋体" w:hAnsi="宋体" w:eastAsia="宋体" w:cs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4F79D876"/>
    <w:multiLevelType w:val="multilevel"/>
    <w:tmpl w:val="4F79D876"/>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8B24934"/>
    <w:multiLevelType w:val="multilevel"/>
    <w:tmpl w:val="68B24934"/>
    <w:lvl w:ilvl="0" w:tentative="0">
      <w:start w:val="1"/>
      <w:numFmt w:val="decimal"/>
      <w:lvlText w:val="%1)"/>
      <w:lvlJc w:val="left"/>
      <w:pPr>
        <w:ind w:left="0" w:firstLine="0"/>
      </w:pPr>
      <w:rPr>
        <w:rFonts w:hint="default"/>
        <w:color w:val="auto"/>
        <w:highlight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E8C6948"/>
    <w:multiLevelType w:val="singleLevel"/>
    <w:tmpl w:val="6E8C6948"/>
    <w:lvl w:ilvl="0" w:tentative="0">
      <w:start w:val="1"/>
      <w:numFmt w:val="chineseCounting"/>
      <w:suff w:val="space"/>
      <w:lvlText w:val="第%1部分"/>
      <w:lvlJc w:val="left"/>
      <w:rPr>
        <w:rFonts w:hint="eastAsia"/>
      </w:rPr>
    </w:lvl>
  </w:abstractNum>
  <w:abstractNum w:abstractNumId="34">
    <w:nsid w:val="77615104"/>
    <w:multiLevelType w:val="multilevel"/>
    <w:tmpl w:val="77615104"/>
    <w:lvl w:ilvl="0" w:tentative="0">
      <w:start w:val="1"/>
      <w:numFmt w:val="decimal"/>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A612DE2"/>
    <w:multiLevelType w:val="singleLevel"/>
    <w:tmpl w:val="7A612DE2"/>
    <w:lvl w:ilvl="0" w:tentative="0">
      <w:start w:val="2"/>
      <w:numFmt w:val="decimal"/>
      <w:lvlText w:val="%1."/>
      <w:lvlJc w:val="left"/>
      <w:pPr>
        <w:tabs>
          <w:tab w:val="left" w:pos="312"/>
        </w:tabs>
      </w:pPr>
    </w:lvl>
  </w:abstractNum>
  <w:num w:numId="1">
    <w:abstractNumId w:val="33"/>
  </w:num>
  <w:num w:numId="2">
    <w:abstractNumId w:val="5"/>
  </w:num>
  <w:num w:numId="3">
    <w:abstractNumId w:val="35"/>
  </w:num>
  <w:num w:numId="4">
    <w:abstractNumId w:val="23"/>
  </w:num>
  <w:num w:numId="5">
    <w:abstractNumId w:val="16"/>
  </w:num>
  <w:num w:numId="6">
    <w:abstractNumId w:val="29"/>
  </w:num>
  <w:num w:numId="7">
    <w:abstractNumId w:val="8"/>
  </w:num>
  <w:num w:numId="8">
    <w:abstractNumId w:val="26"/>
  </w:num>
  <w:num w:numId="9">
    <w:abstractNumId w:val="22"/>
  </w:num>
  <w:num w:numId="10">
    <w:abstractNumId w:val="21"/>
  </w:num>
  <w:num w:numId="11">
    <w:abstractNumId w:val="24"/>
  </w:num>
  <w:num w:numId="12">
    <w:abstractNumId w:val="11"/>
  </w:num>
  <w:num w:numId="13">
    <w:abstractNumId w:val="15"/>
  </w:num>
  <w:num w:numId="14">
    <w:abstractNumId w:val="34"/>
  </w:num>
  <w:num w:numId="15">
    <w:abstractNumId w:val="20"/>
  </w:num>
  <w:num w:numId="16">
    <w:abstractNumId w:val="1"/>
  </w:num>
  <w:num w:numId="17">
    <w:abstractNumId w:val="7"/>
  </w:num>
  <w:num w:numId="18">
    <w:abstractNumId w:val="6"/>
  </w:num>
  <w:num w:numId="19">
    <w:abstractNumId w:val="18"/>
  </w:num>
  <w:num w:numId="20">
    <w:abstractNumId w:val="10"/>
  </w:num>
  <w:num w:numId="21">
    <w:abstractNumId w:val="17"/>
  </w:num>
  <w:num w:numId="22">
    <w:abstractNumId w:val="13"/>
  </w:num>
  <w:num w:numId="23">
    <w:abstractNumId w:val="28"/>
  </w:num>
  <w:num w:numId="24">
    <w:abstractNumId w:val="31"/>
  </w:num>
  <w:num w:numId="25">
    <w:abstractNumId w:val="14"/>
  </w:num>
  <w:num w:numId="26">
    <w:abstractNumId w:val="0"/>
  </w:num>
  <w:num w:numId="27">
    <w:abstractNumId w:val="32"/>
  </w:num>
  <w:num w:numId="28">
    <w:abstractNumId w:val="12"/>
  </w:num>
  <w:num w:numId="29">
    <w:abstractNumId w:val="30"/>
  </w:num>
  <w:num w:numId="30">
    <w:abstractNumId w:val="27"/>
  </w:num>
  <w:num w:numId="31">
    <w:abstractNumId w:val="19"/>
  </w:num>
  <w:num w:numId="32">
    <w:abstractNumId w:val="2"/>
  </w:num>
  <w:num w:numId="33">
    <w:abstractNumId w:val="9"/>
  </w:num>
  <w:num w:numId="34">
    <w:abstractNumId w:val="3"/>
  </w:num>
  <w:num w:numId="35">
    <w:abstractNumId w:val="2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B72BB"/>
    <w:rsid w:val="04504B3F"/>
    <w:rsid w:val="04AD02B8"/>
    <w:rsid w:val="04DF17D4"/>
    <w:rsid w:val="05107DAB"/>
    <w:rsid w:val="05357A10"/>
    <w:rsid w:val="05412745"/>
    <w:rsid w:val="05491761"/>
    <w:rsid w:val="05A351AD"/>
    <w:rsid w:val="05F9748A"/>
    <w:rsid w:val="06266F78"/>
    <w:rsid w:val="063E7B7A"/>
    <w:rsid w:val="06582413"/>
    <w:rsid w:val="067E33B8"/>
    <w:rsid w:val="06E82FCB"/>
    <w:rsid w:val="06F34B95"/>
    <w:rsid w:val="071D4B6E"/>
    <w:rsid w:val="07571DAC"/>
    <w:rsid w:val="08E64121"/>
    <w:rsid w:val="0942017F"/>
    <w:rsid w:val="09BA1FBB"/>
    <w:rsid w:val="09CB139F"/>
    <w:rsid w:val="0A0106F5"/>
    <w:rsid w:val="0A112AB7"/>
    <w:rsid w:val="0AA94179"/>
    <w:rsid w:val="0AD71BC7"/>
    <w:rsid w:val="0AF420EB"/>
    <w:rsid w:val="0B2B2BF5"/>
    <w:rsid w:val="0B2F3908"/>
    <w:rsid w:val="0B3F6206"/>
    <w:rsid w:val="0BE12DB6"/>
    <w:rsid w:val="0BFC6504"/>
    <w:rsid w:val="0C345AD1"/>
    <w:rsid w:val="0C626CE4"/>
    <w:rsid w:val="0D0C2B7B"/>
    <w:rsid w:val="0D674548"/>
    <w:rsid w:val="0D9308F8"/>
    <w:rsid w:val="0E1A1D85"/>
    <w:rsid w:val="0E750568"/>
    <w:rsid w:val="0E9C3C97"/>
    <w:rsid w:val="0F2D7A80"/>
    <w:rsid w:val="0F2F1860"/>
    <w:rsid w:val="0F4277E5"/>
    <w:rsid w:val="0FA75561"/>
    <w:rsid w:val="0FB83603"/>
    <w:rsid w:val="0FCA77F1"/>
    <w:rsid w:val="0FCD5DCC"/>
    <w:rsid w:val="10270545"/>
    <w:rsid w:val="108A1D4B"/>
    <w:rsid w:val="10A10111"/>
    <w:rsid w:val="10BE093E"/>
    <w:rsid w:val="10E20BD8"/>
    <w:rsid w:val="111B0FE9"/>
    <w:rsid w:val="112C77F4"/>
    <w:rsid w:val="115F67A8"/>
    <w:rsid w:val="119A7465"/>
    <w:rsid w:val="11C07DA5"/>
    <w:rsid w:val="12491386"/>
    <w:rsid w:val="12E60579"/>
    <w:rsid w:val="13695B36"/>
    <w:rsid w:val="1372609F"/>
    <w:rsid w:val="14504752"/>
    <w:rsid w:val="145A6A37"/>
    <w:rsid w:val="1467440F"/>
    <w:rsid w:val="15433A9B"/>
    <w:rsid w:val="15FC2F04"/>
    <w:rsid w:val="16181FAC"/>
    <w:rsid w:val="168756A0"/>
    <w:rsid w:val="16F94849"/>
    <w:rsid w:val="17045E51"/>
    <w:rsid w:val="172011D4"/>
    <w:rsid w:val="17252C3B"/>
    <w:rsid w:val="173F0A2E"/>
    <w:rsid w:val="17770BC2"/>
    <w:rsid w:val="17860E2F"/>
    <w:rsid w:val="17A119AA"/>
    <w:rsid w:val="18586F2B"/>
    <w:rsid w:val="18615A72"/>
    <w:rsid w:val="19A766B9"/>
    <w:rsid w:val="19CE76BA"/>
    <w:rsid w:val="19F26070"/>
    <w:rsid w:val="19F97C8B"/>
    <w:rsid w:val="1A1523CE"/>
    <w:rsid w:val="1AA730BD"/>
    <w:rsid w:val="1AAB64EF"/>
    <w:rsid w:val="1B333D5D"/>
    <w:rsid w:val="1B587618"/>
    <w:rsid w:val="1B5F19C7"/>
    <w:rsid w:val="1C1C709B"/>
    <w:rsid w:val="1C4F6795"/>
    <w:rsid w:val="1C9F6814"/>
    <w:rsid w:val="1CDD3BF8"/>
    <w:rsid w:val="1D5C514E"/>
    <w:rsid w:val="1D865D14"/>
    <w:rsid w:val="1D8705EC"/>
    <w:rsid w:val="1E3819A8"/>
    <w:rsid w:val="1E43150B"/>
    <w:rsid w:val="1EA93E80"/>
    <w:rsid w:val="1ED33FB6"/>
    <w:rsid w:val="1EE81332"/>
    <w:rsid w:val="1F32415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03311B"/>
    <w:rsid w:val="253A0491"/>
    <w:rsid w:val="25E036B2"/>
    <w:rsid w:val="25E9082A"/>
    <w:rsid w:val="25F42473"/>
    <w:rsid w:val="26AF2D79"/>
    <w:rsid w:val="26B34B91"/>
    <w:rsid w:val="270D66E8"/>
    <w:rsid w:val="27514612"/>
    <w:rsid w:val="278B0DAB"/>
    <w:rsid w:val="279C6B0E"/>
    <w:rsid w:val="27A64735"/>
    <w:rsid w:val="27CC4DF2"/>
    <w:rsid w:val="281864F2"/>
    <w:rsid w:val="286903EF"/>
    <w:rsid w:val="287F5DD3"/>
    <w:rsid w:val="288047CB"/>
    <w:rsid w:val="289E62FA"/>
    <w:rsid w:val="291E2CA6"/>
    <w:rsid w:val="29331862"/>
    <w:rsid w:val="299741EC"/>
    <w:rsid w:val="299E147F"/>
    <w:rsid w:val="29C32A87"/>
    <w:rsid w:val="29CF26DC"/>
    <w:rsid w:val="2A1C5DA0"/>
    <w:rsid w:val="2A200D39"/>
    <w:rsid w:val="2A507EFF"/>
    <w:rsid w:val="2ADC05A4"/>
    <w:rsid w:val="2AEB6DA7"/>
    <w:rsid w:val="2B6F0D7F"/>
    <w:rsid w:val="2B8716BD"/>
    <w:rsid w:val="2B8B76FF"/>
    <w:rsid w:val="2BD5034F"/>
    <w:rsid w:val="2D025012"/>
    <w:rsid w:val="2D1728EF"/>
    <w:rsid w:val="2D4178F0"/>
    <w:rsid w:val="2DAE631A"/>
    <w:rsid w:val="2DD877E0"/>
    <w:rsid w:val="2DE616C9"/>
    <w:rsid w:val="2DFC2451"/>
    <w:rsid w:val="2E3422F8"/>
    <w:rsid w:val="2E6E566D"/>
    <w:rsid w:val="2E7F188E"/>
    <w:rsid w:val="2EBC0905"/>
    <w:rsid w:val="2EC73739"/>
    <w:rsid w:val="2EFB1B0E"/>
    <w:rsid w:val="2F5C684F"/>
    <w:rsid w:val="2FD315A0"/>
    <w:rsid w:val="307776D1"/>
    <w:rsid w:val="30862574"/>
    <w:rsid w:val="30B631E1"/>
    <w:rsid w:val="311933AA"/>
    <w:rsid w:val="317D15BB"/>
    <w:rsid w:val="31D07E6C"/>
    <w:rsid w:val="323F65DA"/>
    <w:rsid w:val="32412074"/>
    <w:rsid w:val="32DE0199"/>
    <w:rsid w:val="333C2963"/>
    <w:rsid w:val="335B2774"/>
    <w:rsid w:val="33A4642E"/>
    <w:rsid w:val="33D4039C"/>
    <w:rsid w:val="33D47E05"/>
    <w:rsid w:val="3413677D"/>
    <w:rsid w:val="342B544B"/>
    <w:rsid w:val="345E036E"/>
    <w:rsid w:val="34C47852"/>
    <w:rsid w:val="34DE1E4F"/>
    <w:rsid w:val="34F07DB1"/>
    <w:rsid w:val="35D354B8"/>
    <w:rsid w:val="35D4025C"/>
    <w:rsid w:val="362666BC"/>
    <w:rsid w:val="368A6B11"/>
    <w:rsid w:val="37085B1F"/>
    <w:rsid w:val="372E04CB"/>
    <w:rsid w:val="38E070F2"/>
    <w:rsid w:val="390D33AB"/>
    <w:rsid w:val="391E6D06"/>
    <w:rsid w:val="3A074847"/>
    <w:rsid w:val="3AA90FE6"/>
    <w:rsid w:val="3AA9318F"/>
    <w:rsid w:val="3AB62DA0"/>
    <w:rsid w:val="3ADD023E"/>
    <w:rsid w:val="3B7D3FD5"/>
    <w:rsid w:val="3B823DDF"/>
    <w:rsid w:val="3BD827B4"/>
    <w:rsid w:val="3C237ED3"/>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0D0ABB"/>
    <w:rsid w:val="43315D2E"/>
    <w:rsid w:val="43824A1C"/>
    <w:rsid w:val="43D110E1"/>
    <w:rsid w:val="43E873C9"/>
    <w:rsid w:val="44905B1F"/>
    <w:rsid w:val="45316885"/>
    <w:rsid w:val="45A95EE9"/>
    <w:rsid w:val="45FB0F21"/>
    <w:rsid w:val="46167166"/>
    <w:rsid w:val="46AC4F69"/>
    <w:rsid w:val="47200EE3"/>
    <w:rsid w:val="47435AC2"/>
    <w:rsid w:val="47544B78"/>
    <w:rsid w:val="47587AF7"/>
    <w:rsid w:val="47745A86"/>
    <w:rsid w:val="47E239AC"/>
    <w:rsid w:val="47EC1AC1"/>
    <w:rsid w:val="480F4B73"/>
    <w:rsid w:val="48DB38E3"/>
    <w:rsid w:val="49001B5E"/>
    <w:rsid w:val="49376DB0"/>
    <w:rsid w:val="49804BB7"/>
    <w:rsid w:val="49826DCB"/>
    <w:rsid w:val="499013E7"/>
    <w:rsid w:val="49C8088A"/>
    <w:rsid w:val="4A301C93"/>
    <w:rsid w:val="4A3302AB"/>
    <w:rsid w:val="4AC85D49"/>
    <w:rsid w:val="4AE308A9"/>
    <w:rsid w:val="4B260F2D"/>
    <w:rsid w:val="4B9A1456"/>
    <w:rsid w:val="4BA32C82"/>
    <w:rsid w:val="4BE70627"/>
    <w:rsid w:val="4C0A5AE1"/>
    <w:rsid w:val="4C130AB8"/>
    <w:rsid w:val="4C5A284D"/>
    <w:rsid w:val="4CB96B43"/>
    <w:rsid w:val="4CC75FCC"/>
    <w:rsid w:val="4CD63947"/>
    <w:rsid w:val="4CFC49F4"/>
    <w:rsid w:val="4D073D73"/>
    <w:rsid w:val="4D1E27BA"/>
    <w:rsid w:val="4D23574A"/>
    <w:rsid w:val="4D4C4DB0"/>
    <w:rsid w:val="4D7322D5"/>
    <w:rsid w:val="4DD7034C"/>
    <w:rsid w:val="4DE312CB"/>
    <w:rsid w:val="4DF5318E"/>
    <w:rsid w:val="4E1F4862"/>
    <w:rsid w:val="4E2E4393"/>
    <w:rsid w:val="4E535EF2"/>
    <w:rsid w:val="4E677387"/>
    <w:rsid w:val="4F08773C"/>
    <w:rsid w:val="4F31409F"/>
    <w:rsid w:val="4F5E670E"/>
    <w:rsid w:val="4F846A83"/>
    <w:rsid w:val="50070E2C"/>
    <w:rsid w:val="504B57F2"/>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A61722"/>
    <w:rsid w:val="54B31FAF"/>
    <w:rsid w:val="55326D63"/>
    <w:rsid w:val="555D1A10"/>
    <w:rsid w:val="56AC4A78"/>
    <w:rsid w:val="56DB16B9"/>
    <w:rsid w:val="577A3463"/>
    <w:rsid w:val="57F967AD"/>
    <w:rsid w:val="58052975"/>
    <w:rsid w:val="584D1A65"/>
    <w:rsid w:val="584F5C44"/>
    <w:rsid w:val="58E525CA"/>
    <w:rsid w:val="593D045A"/>
    <w:rsid w:val="5960739E"/>
    <w:rsid w:val="59896D0A"/>
    <w:rsid w:val="59B72684"/>
    <w:rsid w:val="5A5A1C70"/>
    <w:rsid w:val="5A9579AE"/>
    <w:rsid w:val="5AC468CD"/>
    <w:rsid w:val="5B342B9A"/>
    <w:rsid w:val="5B5953B0"/>
    <w:rsid w:val="5B630802"/>
    <w:rsid w:val="5B807F68"/>
    <w:rsid w:val="5C034D53"/>
    <w:rsid w:val="5E1D6F56"/>
    <w:rsid w:val="5E52187F"/>
    <w:rsid w:val="5E6A13CD"/>
    <w:rsid w:val="5E705D15"/>
    <w:rsid w:val="5E93326C"/>
    <w:rsid w:val="5E9F1A7A"/>
    <w:rsid w:val="5EFB4BA4"/>
    <w:rsid w:val="5F5F46B5"/>
    <w:rsid w:val="5FB25360"/>
    <w:rsid w:val="5FBA3CC0"/>
    <w:rsid w:val="5FD90D61"/>
    <w:rsid w:val="60177697"/>
    <w:rsid w:val="602329DB"/>
    <w:rsid w:val="607777D6"/>
    <w:rsid w:val="60BC76A1"/>
    <w:rsid w:val="610B7637"/>
    <w:rsid w:val="612279BA"/>
    <w:rsid w:val="615F5624"/>
    <w:rsid w:val="61D215CF"/>
    <w:rsid w:val="625C563D"/>
    <w:rsid w:val="626A1704"/>
    <w:rsid w:val="62B362C8"/>
    <w:rsid w:val="62C1330E"/>
    <w:rsid w:val="6342085E"/>
    <w:rsid w:val="636F415C"/>
    <w:rsid w:val="64917820"/>
    <w:rsid w:val="64AA1CC5"/>
    <w:rsid w:val="64B12A26"/>
    <w:rsid w:val="64D54A82"/>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EE72DF"/>
    <w:rsid w:val="69485FEA"/>
    <w:rsid w:val="69677DC0"/>
    <w:rsid w:val="69937EC7"/>
    <w:rsid w:val="69D64558"/>
    <w:rsid w:val="6A042548"/>
    <w:rsid w:val="6A471EFD"/>
    <w:rsid w:val="6AB57116"/>
    <w:rsid w:val="6B17424A"/>
    <w:rsid w:val="6B2218FA"/>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04A2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CB03A1"/>
    <w:rsid w:val="732D4B5D"/>
    <w:rsid w:val="73393C88"/>
    <w:rsid w:val="7362513F"/>
    <w:rsid w:val="73771D49"/>
    <w:rsid w:val="73A1354E"/>
    <w:rsid w:val="74A11E7D"/>
    <w:rsid w:val="75590B0A"/>
    <w:rsid w:val="7582279F"/>
    <w:rsid w:val="75843EB5"/>
    <w:rsid w:val="75BB71AF"/>
    <w:rsid w:val="75F01962"/>
    <w:rsid w:val="760E19DF"/>
    <w:rsid w:val="76676A53"/>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786BA8"/>
    <w:rsid w:val="7B81188A"/>
    <w:rsid w:val="7B9E2902"/>
    <w:rsid w:val="7BC854E2"/>
    <w:rsid w:val="7C0562EC"/>
    <w:rsid w:val="7C27683F"/>
    <w:rsid w:val="7CB14B4D"/>
    <w:rsid w:val="7CF26969"/>
    <w:rsid w:val="7D25523C"/>
    <w:rsid w:val="7DB23041"/>
    <w:rsid w:val="7E5F7809"/>
    <w:rsid w:val="7ED56C53"/>
    <w:rsid w:val="7EEA1BAF"/>
    <w:rsid w:val="7F5460D4"/>
    <w:rsid w:val="7F552892"/>
    <w:rsid w:val="7FB06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36466</Words>
  <Characters>38755</Characters>
  <Lines>305</Lines>
  <Paragraphs>86</Paragraphs>
  <TotalTime>13</TotalTime>
  <ScaleCrop>false</ScaleCrop>
  <LinksUpToDate>false</LinksUpToDate>
  <CharactersWithSpaces>44880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2023-04-24T02:25:57Z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ED02EB12B8294FE5807EAA5D2C3C24E0</vt:lpwstr>
  </property>
</Properties>
</file>