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三维扫描仪采购</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center"/>
        <w:rPr>
          <w:rFonts w:ascii="Calibri" w:hAnsi="Calibri" w:eastAsia="宋体" w:cs="Times New Roman"/>
          <w:color w:val="000000"/>
          <w:sz w:val="28"/>
          <w:szCs w:val="28"/>
        </w:rPr>
      </w:pPr>
      <w:r>
        <w:rPr>
          <w:rFonts w:hint="eastAsia" w:ascii="Calibri" w:hAnsi="Calibri" w:eastAsia="宋体" w:cs="Times New Roman"/>
          <w:color w:val="000000"/>
          <w:sz w:val="28"/>
          <w:szCs w:val="28"/>
          <w:lang w:val="en-US" w:eastAsia="zh-CN"/>
        </w:rPr>
        <w:t xml:space="preserve">                                     </w:t>
      </w:r>
      <w:r>
        <w:rPr>
          <w:rFonts w:hint="eastAsia" w:ascii="Calibri" w:hAnsi="Calibri" w:eastAsia="宋体" w:cs="Times New Roman"/>
          <w:color w:val="000000"/>
          <w:sz w:val="28"/>
          <w:szCs w:val="28"/>
        </w:rPr>
        <w:t>附：技术标书</w:t>
      </w:r>
    </w:p>
    <w:p>
      <w:pPr>
        <w:jc w:val="right"/>
        <w:rPr>
          <w:rFonts w:hint="eastAsia" w:ascii="Calibri" w:hAnsi="Calibri" w:eastAsia="宋体" w:cs="Times New Roman"/>
          <w:color w:val="000000"/>
          <w:sz w:val="28"/>
          <w:szCs w:val="28"/>
          <w:lang w:eastAsia="zh-CN"/>
        </w:rPr>
      </w:pPr>
      <w:r>
        <w:rPr>
          <w:rFonts w:hint="eastAsia" w:ascii="Calibri" w:hAnsi="Calibri" w:eastAsia="宋体" w:cs="Times New Roman"/>
          <w:color w:val="000000"/>
          <w:sz w:val="28"/>
          <w:szCs w:val="28"/>
        </w:rPr>
        <w:t>设备采购合同</w:t>
      </w:r>
      <w:r>
        <w:rPr>
          <w:rFonts w:hint="eastAsia" w:ascii="Calibri" w:hAnsi="Calibri" w:eastAsia="宋体" w:cs="Times New Roman"/>
          <w:color w:val="000000"/>
          <w:sz w:val="28"/>
          <w:szCs w:val="28"/>
          <w:lang w:eastAsia="zh-CN"/>
        </w:rPr>
        <w:t>（</w:t>
      </w:r>
      <w:r>
        <w:rPr>
          <w:rFonts w:hint="eastAsia" w:ascii="Calibri" w:hAnsi="Calibri" w:eastAsia="宋体" w:cs="Times New Roman"/>
          <w:color w:val="000000"/>
          <w:sz w:val="28"/>
          <w:szCs w:val="28"/>
          <w:lang w:val="en-US" w:eastAsia="zh-CN"/>
        </w:rPr>
        <w:t>模板</w:t>
      </w:r>
      <w:r>
        <w:rPr>
          <w:rFonts w:hint="eastAsia" w:ascii="Calibri" w:hAnsi="Calibri" w:eastAsia="宋体" w:cs="Times New Roman"/>
          <w:color w:val="000000"/>
          <w:sz w:val="28"/>
          <w:szCs w:val="28"/>
          <w:lang w:eastAsia="zh-CN"/>
        </w:rPr>
        <w:t>）</w:t>
      </w: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pPr>
        <w:spacing w:line="480" w:lineRule="auto"/>
        <w:jc w:val="center"/>
        <w:rPr>
          <w:rFonts w:cs="宋体"/>
          <w:b/>
          <w:bCs/>
          <w:sz w:val="48"/>
          <w:szCs w:val="48"/>
        </w:rPr>
      </w:pPr>
      <w:r>
        <w:rPr>
          <w:rFonts w:ascii="宋体" w:hAnsi="宋体" w:eastAsia="宋体" w:cs="宋体"/>
          <w:b/>
          <w:bCs/>
          <w:sz w:val="48"/>
          <w:szCs w:val="48"/>
        </w:rPr>
        <w:t>目录</w:t>
      </w:r>
    </w:p>
    <w:p>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39</w:t>
      </w:r>
    </w:p>
    <w:p>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52</w:t>
      </w:r>
    </w:p>
    <w:p>
      <w:pPr>
        <w:pStyle w:val="2"/>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p>
      <w:pPr>
        <w:pStyle w:val="2"/>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color w:val="000000"/>
                <w:sz w:val="24"/>
                <w:szCs w:val="24"/>
                <w:u w:val="single"/>
                <w:lang w:val="en-US" w:eastAsia="zh-CN"/>
              </w:rPr>
              <w:t>三维扫描仪</w:t>
            </w:r>
            <w:r>
              <w:rPr>
                <w:rFonts w:hint="eastAsia" w:ascii="宋体" w:hAnsi="宋体" w:eastAsia="宋体" w:cs="宋体"/>
                <w:color w:val="000000"/>
                <w:sz w:val="24"/>
                <w:szCs w:val="24"/>
                <w:u w:val="single"/>
              </w:rPr>
              <w:t>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rPr>
              <w:t>项目编号：</w:t>
            </w:r>
            <w:r>
              <w:rPr>
                <w:rFonts w:hint="eastAsia" w:ascii="宋体" w:hAnsi="宋体" w:eastAsia="宋体" w:cs="Times New Roman"/>
                <w:color w:val="000000"/>
                <w:sz w:val="24"/>
                <w:szCs w:val="24"/>
              </w:rPr>
              <w:t>CGZX2023040164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color w:val="000000"/>
                <w:sz w:val="24"/>
                <w:szCs w:val="24"/>
                <w:u w:val="single"/>
                <w:lang w:val="en-US" w:eastAsia="zh-CN"/>
              </w:rPr>
              <w:t>三维扫描仪设备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济南市高新区华奥路777号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none"/>
                <w:lang w:val="en-US" w:eastAsia="zh-CN"/>
              </w:rPr>
            </w:pPr>
            <w:r>
              <w:rPr>
                <w:rFonts w:hint="eastAsia" w:ascii="宋体" w:hAnsi="宋体" w:eastAsia="宋体" w:cs="宋体"/>
                <w:b/>
                <w:snapToGrid w:val="0"/>
                <w:kern w:val="0"/>
                <w:sz w:val="24"/>
                <w:szCs w:val="24"/>
                <w:highlight w:val="none"/>
              </w:rPr>
              <w:t>联系人：</w:t>
            </w:r>
            <w:r>
              <w:rPr>
                <w:rFonts w:hint="eastAsia" w:ascii="宋体" w:hAnsi="宋体" w:eastAsia="宋体" w:cs="宋体"/>
                <w:bCs/>
                <w:snapToGrid w:val="0"/>
                <w:kern w:val="0"/>
                <w:sz w:val="24"/>
                <w:szCs w:val="24"/>
                <w:highlight w:val="none"/>
                <w:lang w:val="en-US" w:eastAsia="zh-CN"/>
              </w:rPr>
              <w:t>孔明伟</w:t>
            </w:r>
          </w:p>
          <w:p>
            <w:pPr>
              <w:pStyle w:val="2"/>
              <w:ind w:firstLine="482" w:firstLineChars="200"/>
              <w:rPr>
                <w:rFonts w:hint="default"/>
                <w:highlight w:val="none"/>
                <w:lang w:val="en-US" w:eastAsia="zh-CN"/>
              </w:rPr>
            </w:pPr>
            <w:r>
              <w:rPr>
                <w:rFonts w:hint="eastAsia" w:ascii="宋体" w:hAnsi="宋体" w:eastAsia="宋体" w:cs="宋体"/>
                <w:b/>
                <w:snapToGrid w:val="0"/>
                <w:kern w:val="0"/>
                <w:sz w:val="24"/>
                <w:szCs w:val="24"/>
                <w:highlight w:val="none"/>
              </w:rPr>
              <w:t>电话：</w:t>
            </w:r>
            <w:r>
              <w:rPr>
                <w:rFonts w:hint="eastAsia" w:hAnsi="宋体" w:eastAsia="宋体" w:cs="宋体"/>
                <w:bCs/>
                <w:snapToGrid w:val="0"/>
                <w:kern w:val="0"/>
                <w:sz w:val="24"/>
                <w:szCs w:val="24"/>
                <w:highlight w:val="none"/>
                <w:lang w:val="en-US" w:eastAsia="zh-CN"/>
              </w:rPr>
              <w:t>17860609557</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none"/>
                <w:lang w:val="en-US" w:eastAsia="zh-CN"/>
              </w:rPr>
              <w:t>邮箱</w:t>
            </w:r>
            <w:r>
              <w:rPr>
                <w:rFonts w:hint="eastAsia" w:ascii="宋体" w:hAnsi="宋体" w:eastAsia="宋体" w:cs="宋体"/>
                <w:b/>
                <w:snapToGrid w:val="0"/>
                <w:kern w:val="0"/>
                <w:sz w:val="24"/>
                <w:szCs w:val="24"/>
                <w:highlight w:val="none"/>
              </w:rPr>
              <w:t>：</w:t>
            </w:r>
            <w:r>
              <w:rPr>
                <w:rFonts w:hint="eastAsia" w:ascii="宋体" w:hAnsi="宋体" w:eastAsia="宋体" w:cs="宋体"/>
                <w:bCs/>
                <w:snapToGrid w:val="0"/>
                <w:kern w:val="0"/>
                <w:sz w:val="24"/>
                <w:szCs w:val="24"/>
                <w:highlight w:val="none"/>
                <w:lang w:val="en-US" w:eastAsia="zh-CN"/>
              </w:rPr>
              <w:t>kongmingwei@sinotruk.com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w:t>
            </w:r>
          </w:p>
          <w:p>
            <w:pPr>
              <w:ind w:firstLine="482" w:firstLineChars="200"/>
              <w:rPr>
                <w:rFonts w:ascii="宋体" w:hAnsi="宋体" w:eastAsia="宋体" w:cs="宋体"/>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200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2"/>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20</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审计的公司财务报表（资产负债表、损益表、现金流量表）未显示异常；</w:t>
            </w:r>
          </w:p>
          <w:p>
            <w:pPr>
              <w:pStyle w:val="2"/>
              <w:ind w:firstLine="480" w:firstLineChars="200"/>
              <w:rPr>
                <w:rFonts w:hAnsi="宋体" w:eastAsia="宋体" w:cs="宋体"/>
                <w:kern w:val="0"/>
                <w:sz w:val="24"/>
                <w:szCs w:val="24"/>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rPr>
              <w:t>8.拟投标人三年内无违法及重大违规情况；</w:t>
            </w:r>
          </w:p>
          <w:p>
            <w:pPr>
              <w:pStyle w:val="2"/>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2"/>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投标人信用证明材料（中国人民银行信用代码证+征信报告）未显示异常；</w:t>
            </w:r>
          </w:p>
          <w:p>
            <w:pPr>
              <w:pStyle w:val="2"/>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2"/>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2"/>
              <w:ind w:firstLine="480" w:firstLineChars="20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4</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22</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rPr>
              <w:t>2023年</w:t>
            </w:r>
            <w:r>
              <w:rPr>
                <w:rFonts w:hint="eastAsia" w:ascii="宋体" w:hAnsi="宋体" w:eastAsia="宋体" w:cs="宋体"/>
                <w:bCs/>
                <w:sz w:val="24"/>
                <w:szCs w:val="24"/>
                <w:highlight w:val="yellow"/>
                <w:u w:val="single"/>
                <w:lang w:val="en-US" w:eastAsia="zh-CN"/>
              </w:rPr>
              <w:t>5</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8</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vAlign w:val="center"/>
          </w:tcPr>
          <w:p>
            <w:pPr>
              <w:shd w:val="clear" w:color="auto" w:fill="FFFFFF"/>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rPr>
              <w:t>2023年</w:t>
            </w:r>
            <w:r>
              <w:rPr>
                <w:rFonts w:hint="eastAsia" w:ascii="宋体"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8</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color="auto" w:fill="FFFFFF"/>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，登录后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12准备资料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rPr>
              <w:t>2023年</w:t>
            </w:r>
            <w:r>
              <w:rPr>
                <w:rFonts w:hint="eastAsia" w:eastAsia="宋体" w:cs="宋体"/>
                <w:highlight w:val="yellow"/>
                <w:lang w:val="en-US" w:eastAsia="zh-CN"/>
              </w:rPr>
              <w:t>5</w:t>
            </w:r>
            <w:r>
              <w:rPr>
                <w:rFonts w:hint="eastAsia" w:eastAsia="宋体" w:cs="宋体"/>
                <w:highlight w:val="yellow"/>
              </w:rPr>
              <w:t>月</w:t>
            </w:r>
            <w:r>
              <w:rPr>
                <w:rFonts w:hint="eastAsia" w:eastAsia="宋体" w:cs="宋体"/>
                <w:highlight w:val="yellow"/>
                <w:lang w:val="en-US" w:eastAsia="zh-CN"/>
              </w:rPr>
              <w:t>8</w:t>
            </w:r>
            <w:r>
              <w:rPr>
                <w:rFonts w:hint="eastAsia" w:eastAsia="宋体" w:cs="宋体"/>
                <w:highlight w:val="yellow"/>
              </w:rPr>
              <w:t>日</w:t>
            </w:r>
            <w:r>
              <w:rPr>
                <w:rFonts w:hint="eastAsia" w:eastAsia="宋体" w:cs="宋体"/>
                <w:highlight w:val="yellow"/>
                <w:lang w:val="en-US" w:eastAsia="zh-CN"/>
              </w:rPr>
              <w:t>17时00分00秒</w:t>
            </w:r>
          </w:p>
          <w:p>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ascii="等线" w:hAnsi="等线" w:eastAsia="宋体" w:cs="宋体"/>
                <w:b w:val="0"/>
                <w:bCs/>
                <w:color w:val="auto"/>
                <w:kern w:val="2"/>
                <w:sz w:val="24"/>
                <w:szCs w:val="24"/>
                <w:highlight w:val="none"/>
                <w:lang w:val="en-US" w:eastAsia="zh-CN" w:bidi="ar-SA"/>
              </w:rPr>
            </w:pPr>
            <w:r>
              <w:rPr>
                <w:rFonts w:hint="eastAsia"/>
                <w:b w:val="0"/>
                <w:bCs/>
                <w:lang w:val="en-US" w:eastAsia="zh-CN"/>
              </w:rPr>
              <w:t xml:space="preserve"> </w:t>
            </w:r>
            <w:r>
              <w:rPr>
                <w:rFonts w:hint="eastAsia" w:ascii="等线" w:hAnsi="等线" w:eastAsia="宋体" w:cs="宋体"/>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ascii="等线" w:hAnsi="等线" w:eastAsia="宋体" w:cs="宋体"/>
                <w:b w:val="0"/>
                <w:bCs/>
                <w:color w:val="auto"/>
                <w:kern w:val="2"/>
                <w:sz w:val="24"/>
                <w:szCs w:val="24"/>
                <w:highlight w:val="none"/>
                <w:lang w:val="en-US" w:eastAsia="zh-CN" w:bidi="ar-SA"/>
              </w:rPr>
              <w:t>的份数要求为</w:t>
            </w:r>
            <w:r>
              <w:rPr>
                <w:rFonts w:hint="eastAsia" w:ascii="等线" w:hAnsi="等线" w:eastAsia="宋体" w:cs="宋体"/>
                <w:b/>
                <w:bCs w:val="0"/>
                <w:color w:val="auto"/>
                <w:kern w:val="2"/>
                <w:sz w:val="24"/>
                <w:szCs w:val="24"/>
                <w:highlight w:val="yellow"/>
                <w:lang w:val="en-US" w:eastAsia="zh-CN" w:bidi="ar-SA"/>
              </w:rPr>
              <w:t>一式</w:t>
            </w:r>
            <w:r>
              <w:rPr>
                <w:rFonts w:hint="eastAsia" w:eastAsia="宋体" w:cs="宋体"/>
                <w:b/>
                <w:bCs w:val="0"/>
                <w:color w:val="auto"/>
                <w:kern w:val="2"/>
                <w:sz w:val="24"/>
                <w:szCs w:val="24"/>
                <w:highlight w:val="yellow"/>
                <w:lang w:val="en-US" w:eastAsia="zh-CN" w:bidi="ar-SA"/>
              </w:rPr>
              <w:t>五</w:t>
            </w:r>
            <w:r>
              <w:rPr>
                <w:rFonts w:hint="eastAsia" w:ascii="等线" w:hAnsi="等线" w:eastAsia="宋体" w:cs="宋体"/>
                <w:b/>
                <w:bCs w:val="0"/>
                <w:color w:val="auto"/>
                <w:kern w:val="2"/>
                <w:sz w:val="24"/>
                <w:szCs w:val="24"/>
                <w:highlight w:val="yellow"/>
                <w:lang w:val="en-US" w:eastAsia="zh-CN" w:bidi="ar-SA"/>
              </w:rPr>
              <w:t>份，</w:t>
            </w:r>
            <w:r>
              <w:rPr>
                <w:rFonts w:hint="eastAsia" w:ascii="宋体" w:hAnsi="宋体" w:eastAsia="宋体" w:cs="宋体"/>
                <w:b/>
                <w:bCs w:val="0"/>
                <w:color w:val="auto"/>
                <w:kern w:val="2"/>
                <w:sz w:val="24"/>
                <w:szCs w:val="24"/>
                <w:highlight w:val="yellow"/>
                <w:lang w:val="en-US" w:eastAsia="zh-CN" w:bidi="ar-SA"/>
              </w:rPr>
              <w:t>正本一份，副本四份</w:t>
            </w:r>
            <w:r>
              <w:rPr>
                <w:rFonts w:hint="eastAsia" w:ascii="等线" w:hAnsi="等线" w:eastAsia="宋体" w:cs="宋体"/>
                <w:b w:val="0"/>
                <w:bCs/>
                <w:color w:val="auto"/>
                <w:kern w:val="2"/>
                <w:sz w:val="24"/>
                <w:szCs w:val="24"/>
                <w:highlight w:val="yellow"/>
                <w:lang w:val="en-US" w:eastAsia="zh-CN" w:bidi="ar-SA"/>
              </w:rPr>
              <w:t>，</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ascii="等线" w:hAnsi="等线" w:eastAsia="宋体" w:cs="宋体"/>
                <w:b/>
                <w:bCs w:val="0"/>
                <w:color w:val="auto"/>
                <w:kern w:val="2"/>
                <w:sz w:val="24"/>
                <w:szCs w:val="24"/>
                <w:highlight w:val="none"/>
                <w:lang w:val="en-US" w:eastAsia="zh-CN" w:bidi="ar-SA"/>
              </w:rPr>
              <w:t>同类文件封装在一个包封里，包封表面按照附件13标注文件信息；共计三个包封</w:t>
            </w:r>
            <w:r>
              <w:rPr>
                <w:rFonts w:hint="eastAsia" w:ascii="等线" w:hAnsi="等线" w:eastAsia="宋体" w:cs="宋体"/>
                <w:b w:val="0"/>
                <w:bCs/>
                <w:color w:val="auto"/>
                <w:kern w:val="2"/>
                <w:sz w:val="24"/>
                <w:szCs w:val="24"/>
                <w:highlight w:val="none"/>
                <w:lang w:val="en-US" w:eastAsia="zh-CN" w:bidi="ar-SA"/>
              </w:rPr>
              <w:t>。</w:t>
            </w:r>
          </w:p>
          <w:p>
            <w:pPr>
              <w:pStyle w:val="2"/>
              <w:ind w:firstLine="480" w:firstLineChars="200"/>
              <w:rPr>
                <w:rFonts w:hint="eastAsia" w:ascii="等线" w:hAnsi="等线" w:eastAsia="宋体" w:cs="宋体"/>
                <w:b w:val="0"/>
                <w:bCs/>
                <w:color w:val="auto"/>
                <w:kern w:val="2"/>
                <w:sz w:val="24"/>
                <w:szCs w:val="24"/>
                <w:highlight w:val="none"/>
                <w:lang w:val="en-US" w:eastAsia="zh-CN" w:bidi="ar-SA"/>
              </w:rPr>
            </w:pPr>
            <w:r>
              <w:rPr>
                <w:rFonts w:hint="eastAsia" w:ascii="等线" w:hAnsi="等线" w:eastAsia="宋体" w:cs="宋体"/>
                <w:b w:val="0"/>
                <w:bCs/>
                <w:color w:val="auto"/>
                <w:kern w:val="2"/>
                <w:sz w:val="24"/>
                <w:szCs w:val="24"/>
                <w:highlight w:val="none"/>
                <w:lang w:val="en-US" w:eastAsia="zh-CN" w:bidi="ar-SA"/>
              </w:rPr>
              <w:t>如选择到场参与开标，自行携带纸质投标文件于开标前至开标地点即可。</w:t>
            </w:r>
          </w:p>
          <w:p>
            <w:pPr>
              <w:pStyle w:val="2"/>
              <w:ind w:firstLine="480" w:firstLineChars="200"/>
              <w:rPr>
                <w:rFonts w:hint="eastAsia" w:ascii="等线" w:hAnsi="等线" w:eastAsia="宋体" w:cs="宋体"/>
                <w:b w:val="0"/>
                <w:bCs/>
                <w:color w:val="auto"/>
                <w:kern w:val="2"/>
                <w:sz w:val="24"/>
                <w:szCs w:val="24"/>
                <w:highlight w:val="none"/>
                <w:lang w:val="en-US" w:eastAsia="zh-CN" w:bidi="ar-SA"/>
              </w:rPr>
            </w:pPr>
            <w:r>
              <w:rPr>
                <w:rFonts w:hint="eastAsia" w:ascii="等线" w:hAnsi="等线" w:eastAsia="宋体" w:cs="宋体"/>
                <w:b w:val="0"/>
                <w:bCs/>
                <w:color w:val="auto"/>
                <w:kern w:val="2"/>
                <w:sz w:val="24"/>
                <w:szCs w:val="24"/>
                <w:highlight w:val="none"/>
                <w:lang w:val="en-US" w:eastAsia="zh-CN" w:bidi="ar-SA"/>
              </w:rPr>
              <w:t>如选择线上参与开标，纸质投标文件需在开标日前两天，邮寄到指定地址。</w:t>
            </w:r>
          </w:p>
          <w:p>
            <w:pPr>
              <w:pStyle w:val="2"/>
              <w:rPr>
                <w:rFonts w:hint="eastAsia" w:ascii="宋体" w:hAnsi="宋体" w:eastAsia="宋体" w:cs="Times New Roman"/>
                <w:color w:val="000000"/>
                <w:sz w:val="24"/>
                <w:szCs w:val="24"/>
              </w:rPr>
            </w:pPr>
            <w:r>
              <w:rPr>
                <w:rFonts w:hint="eastAsia" w:ascii="等线" w:hAnsi="等线" w:eastAsia="宋体" w:cs="宋体"/>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2"/>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Times New Roman" w:hAnsi="Times New Roman" w:eastAsia="宋体" w:cs="Times New Roman"/>
                <w:color w:val="000000"/>
                <w:sz w:val="24"/>
                <w:szCs w:val="24"/>
                <w:highlight w:val="yellow"/>
                <w:lang w:val="en-US" w:eastAsia="zh-CN"/>
              </w:rPr>
              <w:t>孔明伟/17860609557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8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
              <w:rPr>
                <w:rFonts w:hint="eastAsia" w:ascii="等线" w:hAnsi="等线" w:eastAsia="宋体" w:cs="宋体"/>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5</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11</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2"/>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10000</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00</w:t>
            </w:r>
            <w:r>
              <w:rPr>
                <w:rFonts w:hint="eastAsia" w:ascii="宋体" w:hAnsi="宋体" w:eastAsia="宋体" w:cs="宋体"/>
                <w:sz w:val="24"/>
                <w:szCs w:val="24"/>
                <w:highlight w:val="none"/>
              </w:rPr>
              <w:t>元</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开户名称：</w:t>
            </w:r>
            <w:r>
              <w:rPr>
                <w:rFonts w:hint="eastAsia" w:ascii="宋体" w:hAnsi="宋体" w:eastAsia="宋体" w:cs="宋体"/>
                <w:color w:val="000000"/>
                <w:kern w:val="0"/>
                <w:sz w:val="24"/>
                <w:szCs w:val="24"/>
                <w:highlight w:val="none"/>
              </w:rPr>
              <w:t>中国重汽集团济南动力有限公司</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开户银行：</w:t>
            </w:r>
            <w:r>
              <w:rPr>
                <w:rFonts w:hint="eastAsia" w:ascii="宋体" w:hAnsi="宋体" w:eastAsia="宋体" w:cs="宋体"/>
                <w:color w:val="000000"/>
                <w:kern w:val="0"/>
                <w:sz w:val="24"/>
                <w:szCs w:val="24"/>
                <w:highlight w:val="none"/>
              </w:rPr>
              <w:t>兴业银行股份有限公司济南分行营业部</w:t>
            </w:r>
          </w:p>
          <w:p>
            <w:pPr>
              <w:tabs>
                <w:tab w:val="left" w:pos="932"/>
              </w:tabs>
              <w:ind w:firstLine="482" w:firstLineChars="200"/>
              <w:rPr>
                <w:rFonts w:ascii="宋体" w:hAnsi="宋体" w:eastAsia="宋体" w:cs="宋体"/>
                <w:color w:val="000000"/>
                <w:kern w:val="0"/>
                <w:sz w:val="24"/>
                <w:szCs w:val="24"/>
                <w:highlight w:val="none"/>
              </w:rPr>
            </w:pPr>
            <w:r>
              <w:rPr>
                <w:rFonts w:hint="eastAsia" w:ascii="宋体" w:hAnsi="宋体" w:eastAsia="宋体" w:cs="宋体"/>
                <w:b/>
                <w:bCs/>
                <w:color w:val="000000"/>
                <w:kern w:val="0"/>
                <w:sz w:val="24"/>
                <w:szCs w:val="24"/>
                <w:highlight w:val="none"/>
              </w:rPr>
              <w:t>银行帐号：</w:t>
            </w:r>
            <w:r>
              <w:rPr>
                <w:rFonts w:hint="eastAsia" w:ascii="宋体" w:hAnsi="宋体" w:eastAsia="宋体" w:cs="宋体"/>
                <w:color w:val="000000"/>
                <w:kern w:val="0"/>
                <w:sz w:val="24"/>
                <w:szCs w:val="24"/>
                <w:highlight w:val="none"/>
              </w:rPr>
              <w:t>376010100101373547</w:t>
            </w:r>
          </w:p>
          <w:p>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开户行联号：</w:t>
            </w:r>
            <w:r>
              <w:rPr>
                <w:rFonts w:hint="eastAsia" w:ascii="宋体" w:hAnsi="宋体" w:eastAsia="宋体" w:cs="宋体"/>
                <w:color w:val="000000"/>
                <w:kern w:val="0"/>
                <w:sz w:val="24"/>
                <w:szCs w:val="24"/>
                <w:highlight w:val="none"/>
              </w:rPr>
              <w:t>309451013018</w:t>
            </w:r>
          </w:p>
          <w:p>
            <w:pPr>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none"/>
              </w:rPr>
              <w:t>转账附言：公司名称+项目名称+投标保证金</w:t>
            </w:r>
            <w:r>
              <w:rPr>
                <w:rFonts w:hint="eastAsia" w:eastAsia="宋体" w:cs="Times New Roman"/>
                <w:sz w:val="24"/>
                <w:szCs w:val="28"/>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8</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rPr>
              <w:t>开标时间</w:t>
            </w:r>
            <w:r>
              <w:rPr>
                <w:rFonts w:hint="eastAsia" w:ascii="宋体" w:hAnsi="宋体" w:eastAsia="宋体" w:cs="宋体"/>
                <w:b/>
                <w:bCs/>
                <w:sz w:val="24"/>
                <w:szCs w:val="24"/>
                <w:highlight w:val="none"/>
              </w:rPr>
              <w:t>：</w:t>
            </w:r>
            <w:r>
              <w:rPr>
                <w:rFonts w:hint="eastAsia" w:ascii="宋体" w:hAnsi="宋体" w:cs="宋体"/>
                <w:sz w:val="24"/>
                <w:szCs w:val="24"/>
                <w:highlight w:val="yellow"/>
              </w:rPr>
              <w:t>20</w:t>
            </w:r>
            <w:r>
              <w:rPr>
                <w:rFonts w:ascii="宋体" w:hAnsi="宋体" w:cs="宋体"/>
                <w:sz w:val="24"/>
                <w:szCs w:val="24"/>
                <w:highlight w:val="yellow"/>
              </w:rPr>
              <w:t>23</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5</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11</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济南市高新区华奥路777号重汽科技大厦2610会议室。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rPr>
              <w:t>自合同签定生效之</w:t>
            </w:r>
            <w:r>
              <w:rPr>
                <w:rFonts w:hint="eastAsia" w:hAnsi="宋体" w:eastAsia="宋体" w:cs="宋体"/>
                <w:color w:val="000000"/>
                <w:sz w:val="24"/>
                <w:szCs w:val="24"/>
                <w:highlight w:val="none"/>
              </w:rPr>
              <w:t>日起，</w:t>
            </w:r>
            <w:r>
              <w:rPr>
                <w:rFonts w:hint="eastAsia" w:hAnsi="宋体" w:eastAsia="宋体" w:cs="宋体"/>
                <w:b/>
                <w:bCs/>
                <w:color w:val="000000"/>
                <w:sz w:val="24"/>
                <w:szCs w:val="24"/>
                <w:highlight w:val="none"/>
                <w:lang w:val="en-US" w:eastAsia="zh-CN"/>
              </w:rPr>
              <w:t>90</w:t>
            </w:r>
            <w:r>
              <w:rPr>
                <w:rFonts w:hint="eastAsia" w:hAnsi="宋体" w:eastAsia="宋体" w:cs="宋体"/>
                <w:b/>
                <w:bCs/>
                <w:color w:val="000000"/>
                <w:sz w:val="24"/>
                <w:szCs w:val="24"/>
                <w:highlight w:val="none"/>
              </w:rPr>
              <w:t>个日历日</w:t>
            </w:r>
            <w:r>
              <w:rPr>
                <w:rFonts w:hint="eastAsia" w:hAnsi="宋体" w:eastAsia="宋体" w:cs="宋体"/>
                <w:color w:val="000000"/>
                <w:sz w:val="24"/>
                <w:szCs w:val="24"/>
                <w:highlight w:val="none"/>
              </w:rPr>
              <w:t>之内交货至供货地点。</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接续</w:t>
            </w:r>
            <w:r>
              <w:rPr>
                <w:rFonts w:hint="eastAsia" w:hAnsi="宋体" w:eastAsia="宋体" w:cs="宋体"/>
                <w:b/>
                <w:bCs/>
                <w:color w:val="000000"/>
                <w:sz w:val="24"/>
                <w:szCs w:val="24"/>
                <w:highlight w:val="none"/>
                <w:lang w:val="en-US" w:eastAsia="zh-CN"/>
              </w:rPr>
              <w:t>1</w:t>
            </w:r>
            <w:r>
              <w:rPr>
                <w:rFonts w:hint="eastAsia" w:hAnsi="宋体" w:eastAsia="宋体" w:cs="宋体"/>
                <w:b/>
                <w:bCs/>
                <w:color w:val="000000"/>
                <w:sz w:val="24"/>
                <w:szCs w:val="24"/>
                <w:highlight w:val="none"/>
              </w:rPr>
              <w:t>个日历日</w:t>
            </w:r>
            <w:r>
              <w:rPr>
                <w:rFonts w:hint="eastAsia" w:hAnsi="宋体" w:eastAsia="宋体" w:cs="宋体"/>
                <w:color w:val="000000"/>
                <w:sz w:val="24"/>
                <w:szCs w:val="24"/>
                <w:highlight w:val="none"/>
              </w:rPr>
              <w:t>之内安装调试完毕。</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lang w:val="en-US" w:eastAsia="zh-CN"/>
              </w:rPr>
              <w:t>接续</w:t>
            </w:r>
            <w:r>
              <w:rPr>
                <w:rFonts w:hint="eastAsia" w:hAnsi="宋体" w:eastAsia="宋体" w:cs="宋体"/>
                <w:b/>
                <w:bCs/>
                <w:color w:val="000000"/>
                <w:sz w:val="24"/>
                <w:szCs w:val="24"/>
                <w:highlight w:val="none"/>
                <w:lang w:val="en-US" w:eastAsia="zh-CN"/>
              </w:rPr>
              <w:t>10</w:t>
            </w:r>
            <w:r>
              <w:rPr>
                <w:rFonts w:hint="eastAsia" w:hAnsi="宋体" w:eastAsia="宋体" w:cs="宋体"/>
                <w:b/>
                <w:bCs/>
                <w:color w:val="000000"/>
                <w:sz w:val="24"/>
                <w:szCs w:val="24"/>
                <w:highlight w:val="none"/>
              </w:rPr>
              <w:t>个日历日</w:t>
            </w:r>
            <w:r>
              <w:rPr>
                <w:rFonts w:hint="eastAsia" w:hAnsi="宋体" w:eastAsia="宋体" w:cs="宋体"/>
                <w:color w:val="000000"/>
                <w:sz w:val="24"/>
                <w:szCs w:val="24"/>
                <w:highlight w:val="none"/>
              </w:rPr>
              <w:t>之内完成终验收。</w:t>
            </w:r>
          </w:p>
          <w:p>
            <w:pPr>
              <w:pStyle w:val="2"/>
              <w:ind w:firstLine="480" w:firstLineChars="200"/>
              <w:rPr>
                <w:rFonts w:hAnsi="宋体" w:eastAsia="宋体" w:cs="宋体"/>
                <w:color w:val="000000"/>
                <w:sz w:val="24"/>
                <w:szCs w:val="24"/>
              </w:rPr>
            </w:pPr>
            <w:r>
              <w:rPr>
                <w:rFonts w:hint="eastAsia" w:hAnsi="宋体" w:eastAsia="宋体" w:cs="宋体"/>
                <w:color w:val="000000"/>
                <w:sz w:val="24"/>
                <w:szCs w:val="24"/>
                <w:highlight w:val="none"/>
              </w:rPr>
              <w:t>安装调试工期超过</w:t>
            </w:r>
            <w:r>
              <w:rPr>
                <w:rFonts w:hint="eastAsia" w:hAnsi="宋体" w:eastAsia="宋体" w:cs="宋体"/>
                <w:color w:val="000000"/>
                <w:sz w:val="24"/>
                <w:szCs w:val="24"/>
                <w:highlight w:val="none"/>
                <w:lang w:val="en-US" w:eastAsia="zh-CN"/>
              </w:rPr>
              <w:t>规定时间</w:t>
            </w:r>
            <w:r>
              <w:rPr>
                <w:rFonts w:hint="eastAsia" w:hAnsi="宋体" w:eastAsia="宋体" w:cs="宋体"/>
                <w:color w:val="000000"/>
                <w:sz w:val="24"/>
                <w:szCs w:val="24"/>
                <w:highlight w:val="none"/>
              </w:rPr>
              <w:t>的，投</w:t>
            </w:r>
            <w:r>
              <w:rPr>
                <w:rFonts w:hint="eastAsia" w:hAnsi="宋体" w:eastAsia="宋体" w:cs="宋体"/>
                <w:color w:val="000000"/>
                <w:sz w:val="24"/>
                <w:szCs w:val="24"/>
              </w:rPr>
              <w:t>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2"/>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sz w:val="24"/>
                <w:szCs w:val="24"/>
                <w:highlight w:val="none"/>
              </w:rPr>
              <w:t>济南市高新区华奥路777号重汽科技</w:t>
            </w:r>
            <w:r>
              <w:rPr>
                <w:rFonts w:hint="eastAsia" w:hAnsi="宋体" w:eastAsia="宋体" w:cs="宋体"/>
                <w:sz w:val="24"/>
                <w:szCs w:val="24"/>
                <w:highlight w:val="none"/>
                <w:lang w:val="en-US" w:eastAsia="zh-CN"/>
              </w:rPr>
              <w:t>园区</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14个月</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rPr>
              <w:t>付款</w:t>
            </w:r>
            <w:r>
              <w:rPr>
                <w:rFonts w:hint="eastAsia" w:hAnsi="宋体" w:eastAsia="宋体" w:cs="宋体"/>
                <w:b/>
                <w:bCs/>
                <w:color w:val="000000"/>
                <w:sz w:val="24"/>
                <w:szCs w:val="24"/>
                <w:highlight w:val="none"/>
              </w:rPr>
              <w:t>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pPr>
              <w:pStyle w:val="2"/>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rPr>
              <w:t>（1）</w:t>
            </w:r>
            <w:r>
              <w:rPr>
                <w:rFonts w:hint="eastAsia" w:eastAsia="宋体" w:cs="Times New Roman"/>
                <w:color w:val="000000"/>
                <w:sz w:val="24"/>
                <w:szCs w:val="24"/>
                <w:highlight w:val="none"/>
                <w:lang w:val="en-US" w:eastAsia="zh-CN"/>
              </w:rPr>
              <w:t>合同签订生效后</w:t>
            </w:r>
            <w:r>
              <w:rPr>
                <w:rFonts w:eastAsia="宋体" w:cs="Times New Roman"/>
                <w:color w:val="000000"/>
                <w:sz w:val="24"/>
                <w:szCs w:val="24"/>
                <w:highlight w:val="none"/>
              </w:rPr>
              <w:t>，</w:t>
            </w:r>
            <w:r>
              <w:rPr>
                <w:rFonts w:hint="eastAsia" w:eastAsia="宋体" w:cs="Times New Roman"/>
                <w:color w:val="000000"/>
                <w:sz w:val="24"/>
                <w:szCs w:val="24"/>
                <w:highlight w:val="none"/>
              </w:rPr>
              <w:t>中标人</w:t>
            </w:r>
            <w:r>
              <w:rPr>
                <w:rFonts w:eastAsia="宋体" w:cs="Times New Roman"/>
                <w:color w:val="000000"/>
                <w:sz w:val="24"/>
                <w:szCs w:val="24"/>
                <w:highlight w:val="none"/>
              </w:rPr>
              <w:t>提交金额为合同价款</w:t>
            </w:r>
            <w:r>
              <w:rPr>
                <w:rFonts w:eastAsia="宋体" w:cs="Times New Roman"/>
                <w:b/>
                <w:bCs/>
                <w:color w:val="000000"/>
                <w:sz w:val="24"/>
                <w:szCs w:val="24"/>
                <w:highlight w:val="none"/>
              </w:rPr>
              <w:t>30%</w:t>
            </w:r>
            <w:r>
              <w:rPr>
                <w:rFonts w:eastAsia="宋体" w:cs="Times New Roman"/>
                <w:color w:val="000000"/>
                <w:sz w:val="24"/>
                <w:szCs w:val="24"/>
                <w:highlight w:val="none"/>
              </w:rPr>
              <w:t>的收据并提供合同价款</w:t>
            </w:r>
            <w:r>
              <w:rPr>
                <w:rFonts w:eastAsia="宋体" w:cs="Times New Roman"/>
                <w:b/>
                <w:bCs/>
                <w:color w:val="000000"/>
                <w:sz w:val="24"/>
                <w:szCs w:val="24"/>
                <w:highlight w:val="none"/>
              </w:rPr>
              <w:t>30%</w:t>
            </w:r>
            <w:r>
              <w:rPr>
                <w:rFonts w:eastAsia="宋体" w:cs="Times New Roman"/>
                <w:color w:val="000000"/>
                <w:sz w:val="24"/>
                <w:szCs w:val="24"/>
                <w:highlight w:val="none"/>
              </w:rPr>
              <w:t>的增值税专用发票（含复印件二份），经</w:t>
            </w:r>
            <w:r>
              <w:rPr>
                <w:rFonts w:hint="eastAsia" w:eastAsia="宋体" w:cs="Times New Roman"/>
                <w:color w:val="000000"/>
                <w:sz w:val="24"/>
                <w:szCs w:val="24"/>
                <w:highlight w:val="none"/>
                <w:lang w:val="en-US" w:eastAsia="zh-CN"/>
              </w:rPr>
              <w:t>招标人</w:t>
            </w:r>
            <w:r>
              <w:rPr>
                <w:rFonts w:eastAsia="宋体" w:cs="Times New Roman"/>
                <w:color w:val="000000"/>
                <w:sz w:val="24"/>
                <w:szCs w:val="24"/>
                <w:highlight w:val="none"/>
              </w:rPr>
              <w:t>依照财务制度审核无误后</w:t>
            </w:r>
            <w:r>
              <w:rPr>
                <w:rFonts w:hint="eastAsia" w:eastAsia="宋体" w:cs="Times New Roman"/>
                <w:color w:val="000000"/>
                <w:sz w:val="24"/>
                <w:szCs w:val="24"/>
                <w:highlight w:val="none"/>
                <w:lang w:val="en-US" w:eastAsia="zh-CN"/>
              </w:rPr>
              <w:t>30日</w:t>
            </w:r>
            <w:r>
              <w:rPr>
                <w:rFonts w:eastAsia="宋体" w:cs="Times New Roman"/>
                <w:color w:val="000000"/>
                <w:sz w:val="24"/>
                <w:szCs w:val="24"/>
                <w:highlight w:val="none"/>
              </w:rPr>
              <w:t>支付</w:t>
            </w:r>
            <w:r>
              <w:rPr>
                <w:rFonts w:hint="eastAsia" w:eastAsia="宋体" w:cs="Times New Roman"/>
                <w:color w:val="000000"/>
                <w:sz w:val="24"/>
                <w:szCs w:val="24"/>
                <w:highlight w:val="none"/>
                <w:lang w:eastAsia="zh-CN"/>
              </w:rPr>
              <w:t>；</w:t>
            </w:r>
          </w:p>
          <w:p>
            <w:pPr>
              <w:pStyle w:val="2"/>
              <w:ind w:firstLine="480" w:firstLineChars="200"/>
              <w:rPr>
                <w:rFonts w:hint="eastAsia" w:hAnsi="宋体" w:eastAsia="宋体" w:cs="宋体"/>
                <w:color w:val="000000"/>
                <w:sz w:val="24"/>
                <w:szCs w:val="24"/>
                <w:highlight w:val="none"/>
                <w:lang w:eastAsia="zh-CN"/>
              </w:rPr>
            </w:pP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none"/>
              </w:rPr>
              <w:t>设备全部到齐，经现场安装调试验收合格交付使用后，卖方提交金额为合同价款</w:t>
            </w:r>
            <w:r>
              <w:rPr>
                <w:rFonts w:hint="eastAsia" w:hAnsi="宋体" w:eastAsia="宋体" w:cs="宋体"/>
                <w:b/>
                <w:bCs/>
                <w:color w:val="000000"/>
                <w:sz w:val="24"/>
                <w:szCs w:val="24"/>
                <w:highlight w:val="none"/>
                <w:lang w:val="en-US" w:eastAsia="zh-CN"/>
              </w:rPr>
              <w:t>60</w:t>
            </w:r>
            <w:r>
              <w:rPr>
                <w:rFonts w:hint="eastAsia" w:hAnsi="宋体" w:eastAsia="宋体" w:cs="宋体"/>
                <w:b/>
                <w:bCs/>
                <w:color w:val="000000"/>
                <w:sz w:val="24"/>
                <w:szCs w:val="24"/>
                <w:highlight w:val="none"/>
              </w:rPr>
              <w:t>%</w:t>
            </w:r>
            <w:r>
              <w:rPr>
                <w:rFonts w:hint="eastAsia" w:hAnsi="宋体" w:eastAsia="宋体" w:cs="宋体"/>
                <w:color w:val="000000"/>
                <w:sz w:val="24"/>
                <w:szCs w:val="24"/>
                <w:highlight w:val="none"/>
              </w:rPr>
              <w:t>的收据并附带下列单据，经买方依照财务制度审核无误后</w:t>
            </w:r>
            <w:r>
              <w:rPr>
                <w:rFonts w:hint="eastAsia" w:hAnsi="宋体" w:eastAsia="宋体" w:cs="宋体"/>
                <w:color w:val="000000"/>
                <w:sz w:val="24"/>
                <w:szCs w:val="24"/>
                <w:highlight w:val="none"/>
                <w:u w:val="single"/>
              </w:rPr>
              <w:t>30个</w:t>
            </w:r>
            <w:r>
              <w:rPr>
                <w:rFonts w:hint="eastAsia" w:hAnsi="宋体" w:eastAsia="宋体" w:cs="宋体"/>
                <w:color w:val="000000"/>
                <w:sz w:val="24"/>
                <w:szCs w:val="24"/>
                <w:highlight w:val="none"/>
              </w:rPr>
              <w:t>工作日内支付</w:t>
            </w:r>
            <w:r>
              <w:rPr>
                <w:rFonts w:hint="eastAsia" w:hAnsi="宋体" w:eastAsia="宋体" w:cs="宋体"/>
                <w:color w:val="000000"/>
                <w:sz w:val="24"/>
                <w:szCs w:val="24"/>
                <w:highlight w:val="none"/>
                <w:lang w:eastAsia="zh-CN"/>
              </w:rPr>
              <w:t>；</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A：金额为该合同设备价格</w:t>
            </w:r>
            <w:r>
              <w:rPr>
                <w:rFonts w:hint="eastAsia" w:hAnsi="宋体" w:eastAsia="宋体" w:cs="宋体"/>
                <w:b/>
                <w:bCs/>
                <w:color w:val="000000"/>
                <w:sz w:val="24"/>
                <w:szCs w:val="24"/>
                <w:highlight w:val="none"/>
                <w:lang w:val="en-US" w:eastAsia="zh-CN"/>
              </w:rPr>
              <w:t>70</w:t>
            </w:r>
            <w:r>
              <w:rPr>
                <w:rFonts w:hint="eastAsia" w:hAnsi="宋体" w:eastAsia="宋体" w:cs="宋体"/>
                <w:b/>
                <w:bCs/>
                <w:color w:val="000000"/>
                <w:sz w:val="24"/>
                <w:szCs w:val="24"/>
                <w:highlight w:val="none"/>
              </w:rPr>
              <w:t>%</w:t>
            </w:r>
            <w:r>
              <w:rPr>
                <w:rFonts w:hint="eastAsia" w:hAnsi="宋体" w:eastAsia="宋体" w:cs="宋体"/>
                <w:color w:val="000000"/>
                <w:sz w:val="24"/>
                <w:szCs w:val="24"/>
                <w:highlight w:val="none"/>
              </w:rPr>
              <w:t>的增值税专用发票（含复印件二份），具体开票信息详见发票信息表，根据表中所列分别开具增值税发票。</w:t>
            </w:r>
          </w:p>
          <w:p>
            <w:pPr>
              <w:pStyle w:val="2"/>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B：该套合同设备最终验收报告的原件及其复印件两份。</w:t>
            </w:r>
          </w:p>
          <w:p>
            <w:pPr>
              <w:ind w:firstLine="480" w:firstLineChars="200"/>
              <w:rPr>
                <w:rFonts w:ascii="宋体" w:hAnsi="宋体" w:eastAsia="宋体" w:cs="宋体"/>
                <w:sz w:val="24"/>
                <w:szCs w:val="24"/>
              </w:rPr>
            </w:pP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lang w:val="en-US" w:eastAsia="zh-CN"/>
              </w:rPr>
              <w:t>3</w:t>
            </w:r>
            <w:r>
              <w:rPr>
                <w:rFonts w:hint="eastAsia" w:ascii="宋体" w:hAnsi="宋体" w:eastAsia="宋体" w:cs="宋体"/>
                <w:bCs/>
                <w:sz w:val="24"/>
                <w:szCs w:val="24"/>
                <w:highlight w:val="none"/>
                <w:lang w:eastAsia="zh-CN"/>
              </w:rPr>
              <w:t>）</w:t>
            </w:r>
            <w:r>
              <w:rPr>
                <w:rFonts w:hint="eastAsia" w:ascii="宋体" w:hAnsi="Courier New" w:eastAsia="宋体" w:cs="Times New Roman"/>
                <w:color w:val="000000"/>
                <w:sz w:val="24"/>
                <w:szCs w:val="24"/>
                <w:highlight w:val="none"/>
              </w:rPr>
              <w:t>合同总价款的</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作为本合同约定设备的质量保证金，质量保证金在质量保证期内不计利息。待每套合同设备质量保证期满，</w:t>
            </w:r>
            <w:r>
              <w:rPr>
                <w:rFonts w:hint="eastAsia" w:eastAsia="宋体" w:cs="Times New Roman"/>
                <w:color w:val="000000"/>
                <w:sz w:val="24"/>
                <w:szCs w:val="24"/>
                <w:highlight w:val="none"/>
              </w:rPr>
              <w:t>中标人</w:t>
            </w:r>
            <w:r>
              <w:rPr>
                <w:rFonts w:hint="eastAsia" w:ascii="宋体" w:hAnsi="Courier New" w:eastAsia="宋体" w:cs="Times New Roman"/>
                <w:color w:val="000000"/>
                <w:sz w:val="24"/>
                <w:szCs w:val="24"/>
                <w:highlight w:val="none"/>
              </w:rPr>
              <w:t>向</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提交金额为合同价款</w:t>
            </w:r>
            <w:r>
              <w:rPr>
                <w:rFonts w:hint="eastAsia" w:ascii="宋体" w:hAnsi="Courier New" w:eastAsia="宋体" w:cs="Times New Roman"/>
                <w:b/>
                <w:bCs/>
                <w:color w:val="000000"/>
                <w:sz w:val="24"/>
                <w:szCs w:val="24"/>
                <w:highlight w:val="none"/>
              </w:rPr>
              <w:t>10%</w:t>
            </w:r>
            <w:r>
              <w:rPr>
                <w:rFonts w:hint="eastAsia" w:ascii="宋体" w:hAnsi="Courier New" w:eastAsia="宋体" w:cs="Times New Roman"/>
                <w:color w:val="000000"/>
                <w:sz w:val="24"/>
                <w:szCs w:val="24"/>
                <w:highlight w:val="none"/>
              </w:rPr>
              <w:t>的收据（正本一份，复印件二份）及设备使用单位的使用情况说明，经</w:t>
            </w:r>
            <w:r>
              <w:rPr>
                <w:rFonts w:hint="eastAsia" w:eastAsia="宋体" w:cs="Times New Roman"/>
                <w:color w:val="000000"/>
                <w:sz w:val="24"/>
                <w:szCs w:val="24"/>
                <w:highlight w:val="none"/>
              </w:rPr>
              <w:t>招标人</w:t>
            </w:r>
            <w:r>
              <w:rPr>
                <w:rFonts w:hint="eastAsia" w:ascii="宋体" w:hAnsi="Courier New" w:eastAsia="宋体" w:cs="Times New Roman"/>
                <w:color w:val="000000"/>
                <w:sz w:val="24"/>
                <w:szCs w:val="24"/>
                <w:highlight w:val="none"/>
              </w:rPr>
              <w:t>依照财务制度审核无误后</w:t>
            </w:r>
            <w:r>
              <w:rPr>
                <w:rFonts w:hint="eastAsia" w:eastAsia="宋体" w:cs="Times New Roman"/>
                <w:color w:val="000000"/>
                <w:sz w:val="24"/>
                <w:szCs w:val="24"/>
                <w:highlight w:val="none"/>
              </w:rPr>
              <w:t>30</w:t>
            </w:r>
            <w:r>
              <w:rPr>
                <w:rFonts w:hint="eastAsia" w:hAnsi="宋体" w:eastAsia="宋体" w:cs="宋体"/>
                <w:color w:val="000000"/>
                <w:sz w:val="24"/>
                <w:szCs w:val="24"/>
                <w:highlight w:val="none"/>
                <w:u w:val="single"/>
              </w:rPr>
              <w:t>个</w:t>
            </w:r>
            <w:r>
              <w:rPr>
                <w:rFonts w:hint="eastAsia" w:hAnsi="宋体" w:eastAsia="宋体" w:cs="宋体"/>
                <w:color w:val="000000"/>
                <w:sz w:val="24"/>
                <w:szCs w:val="24"/>
                <w:highlight w:val="none"/>
              </w:rPr>
              <w:t>工作日</w:t>
            </w:r>
            <w:r>
              <w:rPr>
                <w:rFonts w:hint="eastAsia" w:ascii="宋体" w:hAnsi="Courier New" w:eastAsia="宋体" w:cs="Times New Roman"/>
                <w:color w:val="000000"/>
                <w:sz w:val="24"/>
                <w:szCs w:val="24"/>
                <w:highlight w:val="none"/>
              </w:rPr>
              <w:t>。如有质量问题，质量保证金予以相应扣除。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pPr>
              <w:ind w:firstLine="480" w:firstLineChars="200"/>
              <w:rPr>
                <w:rFonts w:ascii="宋体" w:hAnsi="宋体" w:cs="宋体"/>
                <w:bCs/>
                <w:sz w:val="24"/>
                <w:szCs w:val="24"/>
                <w:highlight w:val="none"/>
              </w:rPr>
            </w:pPr>
            <w:r>
              <w:rPr>
                <w:rFonts w:hint="eastAsia" w:ascii="宋体" w:hAnsi="宋体" w:eastAsia="宋体" w:cs="宋体"/>
                <w:color w:val="000000"/>
                <w:sz w:val="24"/>
                <w:szCs w:val="24"/>
                <w:highlight w:val="none"/>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中标方应在合同签订</w:t>
            </w:r>
            <w:r>
              <w:rPr>
                <w:rFonts w:hint="eastAsia" w:ascii="宋体" w:hAnsi="宋体" w:eastAsia="宋体" w:cs="宋体"/>
                <w:sz w:val="24"/>
                <w:szCs w:val="24"/>
                <w:highlight w:val="none"/>
              </w:rPr>
              <w:t>后15日内需根据设计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w:t>
            </w:r>
            <w:r>
              <w:rPr>
                <w:rFonts w:hint="eastAsia" w:ascii="宋体" w:hAnsi="宋体" w:eastAsia="宋体" w:cs="宋体"/>
                <w:sz w:val="24"/>
                <w:szCs w:val="24"/>
              </w:rPr>
              <w:t>设计单位以此补充设计施工图纸，中标人最终审核确认。对于提资不准确不全面、不符合招标文件技术要求、提资变更导致的损失由卖方承担，并承担违约责任。</w:t>
            </w:r>
          </w:p>
        </w:tc>
      </w:tr>
      <w:bookmarkEnd w:id="3"/>
    </w:tbl>
    <w:p>
      <w:pPr>
        <w:pStyle w:val="2"/>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2"/>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2"/>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12准备资料并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rPr>
        <w:t>3.1</w:t>
      </w:r>
      <w:r>
        <w:rPr>
          <w:rFonts w:hint="eastAsia" w:ascii="宋体" w:hAnsi="宋体" w:eastAsia="宋体" w:cs="宋体"/>
          <w:sz w:val="24"/>
          <w:szCs w:val="24"/>
          <w:highlight w:val="none"/>
        </w:rPr>
        <w:t>本次招投标为</w:t>
      </w:r>
      <w:r>
        <w:rPr>
          <w:rFonts w:hint="eastAsia" w:ascii="宋体" w:hAnsi="宋体" w:eastAsia="宋体" w:cs="宋体"/>
          <w:color w:val="000000"/>
          <w:sz w:val="24"/>
          <w:szCs w:val="24"/>
          <w:highlight w:val="none"/>
        </w:rPr>
        <w:t>公开招标</w:t>
      </w:r>
      <w:r>
        <w:rPr>
          <w:rFonts w:hint="eastAsia" w:ascii="宋体" w:hAnsi="宋体" w:eastAsia="宋体" w:cs="宋体"/>
          <w:b/>
          <w:sz w:val="24"/>
          <w:szCs w:val="24"/>
          <w:highlight w:val="none"/>
        </w:rPr>
        <w:t>；</w:t>
      </w:r>
      <w:r>
        <w:rPr>
          <w:rFonts w:hint="eastAsia" w:ascii="宋体" w:hAnsi="宋体" w:eastAsia="宋体" w:cs="宋体"/>
          <w:color w:val="000000"/>
          <w:sz w:val="24"/>
          <w:szCs w:val="24"/>
          <w:highlight w:val="none"/>
        </w:rPr>
        <w:t>评标流程以及规则详见</w:t>
      </w:r>
      <w:r>
        <w:rPr>
          <w:rFonts w:hint="eastAsia" w:ascii="宋体" w:hAnsi="宋体" w:eastAsia="宋体" w:cs="宋体"/>
          <w:color w:val="000000"/>
          <w:sz w:val="24"/>
          <w:szCs w:val="24"/>
          <w:highlight w:val="none"/>
          <w:lang w:val="en-US" w:eastAsia="zh-CN"/>
        </w:rPr>
        <w:t>本部分第</w:t>
      </w:r>
      <w:r>
        <w:rPr>
          <w:rFonts w:hint="eastAsia" w:ascii="宋体" w:hAnsi="宋体" w:eastAsia="宋体" w:cs="宋体"/>
          <w:color w:val="000000"/>
          <w:sz w:val="24"/>
          <w:szCs w:val="24"/>
          <w:highlight w:val="none"/>
        </w:rPr>
        <w:t>六</w:t>
      </w:r>
      <w:r>
        <w:rPr>
          <w:rFonts w:hint="eastAsia" w:ascii="宋体" w:hAnsi="宋体" w:eastAsia="宋体" w:cs="宋体"/>
          <w:color w:val="000000"/>
          <w:sz w:val="24"/>
          <w:szCs w:val="24"/>
          <w:highlight w:val="none"/>
          <w:lang w:val="en-US" w:eastAsia="zh-CN"/>
        </w:rPr>
        <w:t>条</w:t>
      </w:r>
      <w:r>
        <w:rPr>
          <w:rFonts w:hint="eastAsia" w:ascii="宋体" w:hAnsi="宋体" w:eastAsia="宋体" w:cs="宋体"/>
          <w:color w:val="000000"/>
          <w:sz w:val="24"/>
          <w:szCs w:val="24"/>
          <w:highlight w:val="none"/>
        </w:rPr>
        <w:t>评标</w:t>
      </w:r>
      <w:r>
        <w:rPr>
          <w:rFonts w:hint="eastAsia" w:ascii="宋体" w:hAnsi="宋体" w:eastAsia="宋体" w:cs="宋体"/>
          <w:color w:val="000000"/>
          <w:sz w:val="24"/>
          <w:szCs w:val="24"/>
          <w:highlight w:val="none"/>
          <w:lang w:val="en-US" w:eastAsia="zh-CN"/>
        </w:rPr>
        <w:t>原则</w:t>
      </w:r>
      <w:r>
        <w:rPr>
          <w:rFonts w:hint="eastAsia" w:ascii="宋体" w:hAnsi="宋体" w:eastAsia="宋体" w:cs="宋体"/>
          <w:color w:val="000000"/>
          <w:sz w:val="24"/>
          <w:szCs w:val="24"/>
          <w:highlight w:val="none"/>
        </w:rPr>
        <w:t>。</w:t>
      </w:r>
    </w:p>
    <w:p>
      <w:pPr>
        <w:spacing w:line="360" w:lineRule="auto"/>
        <w:ind w:firstLine="235" w:firstLineChars="98"/>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4.7设备设施颜色严格执行我公司企业标准《设备设施颜色标识》（Q/ZZ30070</w:t>
      </w:r>
    </w:p>
    <w:p>
      <w:pPr>
        <w:pStyle w:val="2"/>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—2020）。</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w:t>
      </w:r>
      <w:r>
        <w:rPr>
          <w:rFonts w:hint="eastAsia" w:ascii="宋体" w:hAnsi="宋体" w:eastAsia="宋体" w:cs="宋体"/>
          <w:color w:val="000000"/>
          <w:sz w:val="24"/>
          <w:szCs w:val="24"/>
          <w:highlight w:val="none"/>
          <w:lang w:val="en-US" w:eastAsia="zh-CN"/>
        </w:rPr>
        <w:t>第二条</w:t>
      </w:r>
      <w:r>
        <w:rPr>
          <w:rFonts w:hint="eastAsia" w:ascii="宋体" w:hAnsi="宋体" w:eastAsia="宋体" w:cs="宋体"/>
          <w:color w:val="000000"/>
          <w:sz w:val="24"/>
          <w:szCs w:val="24"/>
          <w:highlight w:val="none"/>
        </w:rPr>
        <w:t>，逾期不受理。</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4</w:t>
      </w:r>
      <w:r>
        <w:rPr>
          <w:rFonts w:hint="eastAsia" w:ascii="宋体" w:hAnsi="宋体" w:eastAsia="宋体" w:cs="宋体"/>
          <w:b/>
          <w:bCs/>
          <w:color w:val="000000"/>
          <w:sz w:val="24"/>
          <w:szCs w:val="24"/>
          <w:highlight w:val="none"/>
        </w:rPr>
        <w:t>.投标报名</w:t>
      </w:r>
    </w:p>
    <w:p>
      <w:pPr>
        <w:keepNext/>
        <w:keepLines/>
        <w:spacing w:line="360" w:lineRule="auto"/>
        <w:ind w:firstLine="482"/>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w:t>
      </w:r>
      <w:r>
        <w:rPr>
          <w:rFonts w:hint="eastAsia" w:ascii="宋体" w:hAnsi="宋体" w:eastAsia="宋体" w:cs="宋体"/>
          <w:sz w:val="24"/>
          <w:szCs w:val="24"/>
          <w:highlight w:val="none"/>
          <w:lang w:val="en-US" w:eastAsia="zh-CN"/>
        </w:rPr>
        <w:t>4.2和4.3</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1"/>
        <w:spacing w:line="360" w:lineRule="auto"/>
        <w:ind w:firstLine="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报名方式：见《投标须知前附表》2.3</w:t>
      </w:r>
      <w:r>
        <w:rPr>
          <w:rFonts w:hint="eastAsia" w:ascii="宋体" w:hAnsi="宋体" w:eastAsia="宋体" w:cs="宋体"/>
          <w:sz w:val="24"/>
          <w:szCs w:val="24"/>
          <w:highlight w:val="none"/>
          <w:lang w:eastAsia="zh-CN"/>
        </w:rPr>
        <w:t>。</w:t>
      </w:r>
    </w:p>
    <w:p>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rPr>
        <w:t>报名提交资料：均为</w:t>
      </w:r>
      <w:r>
        <w:rPr>
          <w:rFonts w:hint="eastAsia" w:ascii="宋体" w:hAnsi="宋体" w:eastAsia="宋体" w:cs="宋体"/>
          <w:sz w:val="24"/>
          <w:szCs w:val="24"/>
          <w:highlight w:val="none"/>
          <w:lang w:val="en-US" w:eastAsia="zh-CN"/>
        </w:rPr>
        <w:t>盖章</w:t>
      </w:r>
      <w:r>
        <w:rPr>
          <w:rFonts w:hint="eastAsia" w:ascii="宋体" w:hAnsi="宋体" w:eastAsia="宋体" w:cs="宋体"/>
          <w:sz w:val="24"/>
          <w:szCs w:val="24"/>
          <w:highlight w:val="none"/>
        </w:rPr>
        <w:t>电子扫描版，用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公司</w:t>
      </w:r>
      <w:r>
        <w:rPr>
          <w:rFonts w:hint="eastAsia" w:ascii="宋体" w:hAnsi="宋体" w:eastAsia="宋体" w:cs="宋体"/>
          <w:sz w:val="24"/>
          <w:szCs w:val="24"/>
          <w:highlight w:val="none"/>
          <w:lang w:val="en-US" w:eastAsia="zh-CN"/>
        </w:rPr>
        <w:t>名称+文件名称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命名</w:t>
      </w:r>
      <w:r>
        <w:rPr>
          <w:rFonts w:hint="eastAsia" w:ascii="宋体" w:hAnsi="宋体" w:eastAsia="宋体" w:cs="宋体"/>
          <w:sz w:val="24"/>
          <w:szCs w:val="24"/>
          <w:highlight w:val="none"/>
        </w:rPr>
        <w:t>。</w:t>
      </w:r>
    </w:p>
    <w:p>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pPr>
        <w:numPr>
          <w:ilvl w:val="0"/>
          <w:numId w:val="4"/>
        </w:numPr>
        <w:spacing w:line="360" w:lineRule="auto"/>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如果是代理商投标</w:t>
      </w:r>
      <w:r>
        <w:rPr>
          <w:rFonts w:hint="eastAsia" w:ascii="宋体" w:hAnsi="宋体" w:eastAsia="宋体" w:cs="宋体"/>
          <w:color w:val="000000"/>
          <w:sz w:val="24"/>
          <w:szCs w:val="24"/>
          <w:highlight w:val="none"/>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5</w:t>
      </w:r>
      <w:r>
        <w:rPr>
          <w:rFonts w:hint="eastAsia" w:ascii="宋体" w:hAnsi="宋体" w:eastAsia="宋体" w:cs="宋体"/>
          <w:b/>
          <w:bCs/>
          <w:color w:val="000000"/>
          <w:sz w:val="24"/>
          <w:szCs w:val="24"/>
          <w:highlight w:val="none"/>
        </w:rPr>
        <w:t>.开标时间</w:t>
      </w:r>
    </w:p>
    <w:p>
      <w:pPr>
        <w:keepNext/>
        <w:keepLines/>
        <w:spacing w:line="360" w:lineRule="auto"/>
        <w:ind w:firstLine="480" w:firstLineChars="200"/>
        <w:outlineLvl w:val="9"/>
        <w:rPr>
          <w:rFonts w:hint="eastAsia" w:ascii="宋体" w:hAnsi="宋体" w:eastAsia="宋体" w:cs="宋体"/>
          <w:color w:val="000000"/>
          <w:sz w:val="24"/>
          <w:szCs w:val="24"/>
          <w:highlight w:val="none"/>
        </w:rPr>
      </w:pPr>
      <w:r>
        <w:rPr>
          <w:rFonts w:hint="eastAsia" w:ascii="宋体" w:hAnsi="宋体" w:eastAsia="宋体" w:cs="宋体"/>
          <w:b w:val="0"/>
          <w:bCs w:val="0"/>
          <w:color w:val="000000"/>
          <w:sz w:val="24"/>
          <w:szCs w:val="24"/>
          <w:highlight w:val="none"/>
        </w:rPr>
        <w:t>见《投标须知前附表》5.</w:t>
      </w:r>
      <w:r>
        <w:rPr>
          <w:rFonts w:hint="eastAsia" w:ascii="宋体" w:hAnsi="宋体" w:eastAsia="宋体" w:cs="宋体"/>
          <w:b w:val="0"/>
          <w:bCs w:val="0"/>
          <w:color w:val="000000"/>
          <w:sz w:val="24"/>
          <w:szCs w:val="24"/>
          <w:highlight w:val="none"/>
          <w:lang w:val="en-US" w:eastAsia="zh-CN"/>
        </w:rPr>
        <w:t>1</w:t>
      </w:r>
      <w:r>
        <w:rPr>
          <w:rFonts w:hint="eastAsia" w:ascii="宋体" w:hAnsi="宋体" w:eastAsia="宋体" w:cs="宋体"/>
          <w:b w:val="0"/>
          <w:bCs w:val="0"/>
          <w:color w:val="000000"/>
          <w:sz w:val="24"/>
          <w:szCs w:val="24"/>
          <w:highlight w:val="none"/>
        </w:rPr>
        <w:t>，若有变动另行通知</w:t>
      </w:r>
      <w:r>
        <w:rPr>
          <w:rFonts w:hint="eastAsia" w:ascii="宋体" w:hAnsi="宋体" w:eastAsia="宋体" w:cs="宋体"/>
          <w:color w:val="000000"/>
          <w:sz w:val="24"/>
          <w:szCs w:val="24"/>
          <w:highlight w:val="none"/>
        </w:rPr>
        <w:t>。</w:t>
      </w:r>
    </w:p>
    <w:p>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lang w:val="en-US" w:eastAsia="zh-CN"/>
        </w:rPr>
        <w:t>6</w:t>
      </w:r>
      <w:r>
        <w:rPr>
          <w:rFonts w:hint="eastAsia" w:ascii="宋体" w:hAnsi="宋体" w:eastAsia="宋体" w:cs="宋体"/>
          <w:b/>
          <w:bCs/>
          <w:color w:val="000000"/>
          <w:sz w:val="24"/>
          <w:szCs w:val="24"/>
          <w:highlight w:val="none"/>
        </w:rPr>
        <w:t>.开标方式</w:t>
      </w:r>
    </w:p>
    <w:p>
      <w:pPr>
        <w:spacing w:line="360" w:lineRule="auto"/>
        <w:ind w:firstLine="480" w:firstLineChars="200"/>
        <w:rPr>
          <w:rFonts w:hint="eastAsia" w:ascii="宋体" w:hAnsi="宋体" w:eastAsia="宋体" w:cs="宋体"/>
          <w:color w:val="000000"/>
          <w:sz w:val="24"/>
          <w:szCs w:val="24"/>
          <w:highlight w:val="none"/>
          <w:lang w:val="en-US"/>
        </w:rPr>
      </w:pPr>
      <w:r>
        <w:rPr>
          <w:rFonts w:hint="eastAsia" w:ascii="宋体" w:hAnsi="宋体" w:eastAsia="宋体" w:cs="宋体"/>
          <w:color w:val="000000"/>
          <w:sz w:val="24"/>
          <w:szCs w:val="24"/>
          <w:highlight w:val="none"/>
          <w:lang w:val="en-US"/>
        </w:rPr>
        <w:t>满足国务院、政府及招标人公司最新防疫政策要求，可以来现场参与</w:t>
      </w:r>
      <w:r>
        <w:rPr>
          <w:rFonts w:hint="eastAsia" w:ascii="宋体" w:hAnsi="宋体" w:eastAsia="宋体" w:cs="宋体"/>
          <w:color w:val="000000"/>
          <w:sz w:val="24"/>
          <w:szCs w:val="24"/>
          <w:highlight w:val="none"/>
          <w:lang w:val="en-US" w:eastAsia="zh-CN"/>
        </w:rPr>
        <w:t>开</w:t>
      </w:r>
      <w:r>
        <w:rPr>
          <w:rFonts w:hint="eastAsia" w:ascii="宋体" w:hAnsi="宋体" w:eastAsia="宋体" w:cs="宋体"/>
          <w:color w:val="000000"/>
          <w:sz w:val="24"/>
          <w:szCs w:val="24"/>
          <w:highlight w:val="none"/>
          <w:lang w:val="en-US"/>
        </w:rPr>
        <w:t>标。</w:t>
      </w:r>
    </w:p>
    <w:p>
      <w:pPr>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rPr>
        <w:t>其他情况请选择视频</w:t>
      </w:r>
      <w:r>
        <w:rPr>
          <w:rFonts w:hint="eastAsia" w:ascii="宋体" w:hAnsi="宋体" w:eastAsia="宋体" w:cs="宋体"/>
          <w:color w:val="000000"/>
          <w:sz w:val="24"/>
          <w:szCs w:val="24"/>
          <w:highlight w:val="none"/>
        </w:rPr>
        <w:t>参与</w:t>
      </w:r>
      <w:r>
        <w:rPr>
          <w:rFonts w:hint="eastAsia" w:ascii="宋体" w:hAnsi="宋体" w:eastAsia="宋体" w:cs="宋体"/>
          <w:color w:val="000000"/>
          <w:sz w:val="24"/>
          <w:szCs w:val="24"/>
          <w:highlight w:val="none"/>
          <w:lang w:val="en-US" w:eastAsia="zh-CN"/>
        </w:rPr>
        <w:t>开标，</w:t>
      </w:r>
      <w:r>
        <w:rPr>
          <w:rFonts w:hint="eastAsia" w:ascii="宋体" w:hAnsi="宋体" w:eastAsia="宋体" w:cs="宋体"/>
          <w:color w:val="000000"/>
          <w:sz w:val="24"/>
          <w:szCs w:val="24"/>
          <w:highlight w:val="none"/>
        </w:rPr>
        <w:t>视频链接会在报名</w:t>
      </w:r>
      <w:r>
        <w:rPr>
          <w:rFonts w:hint="eastAsia" w:ascii="宋体" w:hAnsi="宋体" w:eastAsia="宋体" w:cs="宋体"/>
          <w:color w:val="000000"/>
          <w:sz w:val="24"/>
          <w:szCs w:val="24"/>
          <w:highlight w:val="none"/>
          <w:lang w:val="en-US" w:eastAsia="zh-CN"/>
        </w:rPr>
        <w:t>结束</w:t>
      </w:r>
      <w:r>
        <w:rPr>
          <w:rFonts w:hint="eastAsia" w:ascii="宋体" w:hAnsi="宋体" w:eastAsia="宋体" w:cs="宋体"/>
          <w:color w:val="000000"/>
          <w:sz w:val="24"/>
          <w:szCs w:val="24"/>
          <w:highlight w:val="none"/>
        </w:rPr>
        <w:t>后统一</w:t>
      </w:r>
      <w:r>
        <w:rPr>
          <w:rFonts w:hint="eastAsia" w:ascii="宋体" w:hAnsi="宋体" w:eastAsia="宋体" w:cs="宋体"/>
          <w:color w:val="000000"/>
          <w:sz w:val="24"/>
          <w:szCs w:val="24"/>
          <w:highlight w:val="none"/>
          <w:lang w:val="en-US" w:eastAsia="zh-CN"/>
        </w:rPr>
        <w:t>通知</w:t>
      </w:r>
      <w:r>
        <w:rPr>
          <w:rFonts w:hint="eastAsia" w:ascii="宋体" w:hAnsi="宋体" w:eastAsia="宋体" w:cs="宋体"/>
          <w:color w:val="000000"/>
          <w:sz w:val="24"/>
          <w:szCs w:val="24"/>
          <w:highlight w:val="none"/>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7001"/>
      <w:bookmarkStart w:id="7" w:name="_Toc33285487"/>
      <w:bookmarkStart w:id="8" w:name="_Toc33266914"/>
      <w:bookmarkStart w:id="9" w:name="_Toc33266950"/>
      <w:bookmarkStart w:id="10" w:name="_Toc33265752"/>
      <w:bookmarkStart w:id="11" w:name="_Toc33265653"/>
      <w:bookmarkStart w:id="12" w:name="_Toc3326662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技术标入围后，合理最低价中标</w:t>
      </w:r>
      <w:bookmarkStart w:id="14" w:name="_Toc33265654"/>
      <w:bookmarkStart w:id="15" w:name="_Toc33266915"/>
      <w:bookmarkStart w:id="16" w:name="_Toc33265753"/>
      <w:bookmarkStart w:id="17" w:name="_Toc395116634"/>
      <w:bookmarkStart w:id="18" w:name="_Toc33267002"/>
      <w:bookmarkStart w:id="19" w:name="_Toc33266628"/>
      <w:bookmarkStart w:id="20" w:name="_Toc33266951"/>
      <w:bookmarkStart w:id="21" w:name="_Toc33285489"/>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资质标评审：资质标审核通过的单位，可以进入技术标评审；</w:t>
      </w:r>
    </w:p>
    <w:p>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：公开唱标→商务条款相应确认→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
        <w:spacing w:line="360" w:lineRule="auto"/>
        <w:rPr>
          <w:rFonts w:hint="eastAsia" w:ascii="宋体" w:hAnsi="宋体" w:eastAsia="宋体" w:cs="宋体"/>
          <w:sz w:val="24"/>
          <w:szCs w:val="24"/>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auto"/>
          <w:sz w:val="24"/>
          <w:szCs w:val="24"/>
        </w:rPr>
        <w:t>1）</w:t>
      </w:r>
      <w:r>
        <w:rPr>
          <w:rFonts w:hint="eastAsia" w:ascii="宋体" w:hAnsi="宋体" w:eastAsia="宋体" w:cs="宋体"/>
          <w:b w:val="0"/>
          <w:bCs w:val="0"/>
          <w:spacing w:val="0"/>
          <w:sz w:val="24"/>
          <w:szCs w:val="24"/>
          <w:highlight w:val="none"/>
          <w:lang w:val="en-US" w:eastAsia="zh-CN"/>
        </w:rPr>
        <w:t>未</w:t>
      </w:r>
      <w:r>
        <w:rPr>
          <w:rFonts w:hint="eastAsia" w:ascii="宋体" w:hAnsi="宋体" w:eastAsia="宋体" w:cs="宋体"/>
          <w:b w:val="0"/>
          <w:bCs w:val="0"/>
          <w:spacing w:val="0"/>
          <w:sz w:val="24"/>
          <w:szCs w:val="24"/>
          <w:lang w:val="en-US" w:eastAsia="zh-CN"/>
        </w:rPr>
        <w:t>按照</w:t>
      </w:r>
      <w:r>
        <w:rPr>
          <w:rFonts w:hint="eastAsia" w:ascii="宋体" w:hAnsi="宋体" w:eastAsia="宋体" w:cs="宋体"/>
          <w:b w:val="0"/>
          <w:bCs w:val="0"/>
          <w:spacing w:val="0"/>
          <w:sz w:val="24"/>
          <w:szCs w:val="24"/>
          <w:highlight w:val="none"/>
          <w:lang w:val="en-US" w:eastAsia="zh-CN"/>
        </w:rPr>
        <w:t>招标人规定</w:t>
      </w:r>
      <w:r>
        <w:rPr>
          <w:rFonts w:hint="eastAsia" w:ascii="宋体" w:hAnsi="宋体" w:eastAsia="宋体" w:cs="宋体"/>
          <w:b w:val="0"/>
          <w:bCs w:val="0"/>
          <w:spacing w:val="0"/>
          <w:sz w:val="24"/>
          <w:szCs w:val="24"/>
          <w:lang w:val="en-US" w:eastAsia="zh-CN"/>
        </w:rPr>
        <w:t>的时间内</w:t>
      </w:r>
      <w:r>
        <w:rPr>
          <w:rFonts w:hint="eastAsia" w:ascii="宋体" w:hAnsi="宋体" w:eastAsia="宋体" w:cs="宋体"/>
          <w:b w:val="0"/>
          <w:bCs w:val="0"/>
          <w:spacing w:val="0"/>
          <w:sz w:val="24"/>
          <w:szCs w:val="24"/>
          <w:highlight w:val="none"/>
          <w:lang w:val="en-US" w:eastAsia="zh-CN"/>
        </w:rPr>
        <w:t>在中国重汽e采通完成</w:t>
      </w:r>
      <w:r>
        <w:rPr>
          <w:rFonts w:hint="eastAsia" w:ascii="宋体" w:hAnsi="宋体" w:eastAsia="宋体" w:cs="宋体"/>
          <w:b w:val="0"/>
          <w:bCs w:val="0"/>
          <w:spacing w:val="0"/>
          <w:sz w:val="24"/>
          <w:szCs w:val="24"/>
          <w:lang w:val="en-US" w:eastAsia="zh-CN"/>
        </w:rPr>
        <w:t>投标</w:t>
      </w:r>
      <w:r>
        <w:rPr>
          <w:rFonts w:hint="eastAsia" w:ascii="宋体" w:hAnsi="宋体" w:eastAsia="宋体" w:cs="宋体"/>
          <w:b w:val="0"/>
          <w:bCs w:val="0"/>
          <w:spacing w:val="0"/>
          <w:sz w:val="24"/>
          <w:szCs w:val="24"/>
          <w:highlight w:val="none"/>
          <w:lang w:val="en-US" w:eastAsia="zh-CN"/>
        </w:rPr>
        <w:t>的</w:t>
      </w:r>
      <w:r>
        <w:rPr>
          <w:rFonts w:hint="eastAsia" w:ascii="宋体" w:hAnsi="宋体" w:eastAsia="宋体" w:cs="宋体"/>
          <w:b w:val="0"/>
          <w:bCs w:val="0"/>
          <w:spacing w:val="0"/>
          <w:sz w:val="24"/>
          <w:szCs w:val="24"/>
          <w:lang w:val="en-US" w:eastAsia="zh-CN"/>
        </w:rPr>
        <w:t>；</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7"/>
      <w:bookmarkStart w:id="23" w:name="OLE_LINK26"/>
      <w:bookmarkStart w:id="24" w:name="OLE_LINK29"/>
      <w:bookmarkStart w:id="25" w:name="OLE_LINK28"/>
      <w:bookmarkStart w:id="26" w:name="OLE_LINK25"/>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pPr>
        <w:pStyle w:val="2"/>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1.1营业执照副本复印件</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需加盖公章</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w:t>
      </w:r>
      <w:r>
        <w:rPr>
          <w:rFonts w:hint="eastAsia" w:ascii="宋体" w:hAnsi="宋体" w:eastAsia="宋体" w:cs="宋体"/>
          <w:color w:val="000000"/>
          <w:sz w:val="24"/>
          <w:szCs w:val="24"/>
          <w:lang w:val="en-US" w:eastAsia="zh-CN"/>
        </w:rPr>
        <w:t>被</w:t>
      </w:r>
      <w:r>
        <w:rPr>
          <w:rFonts w:hint="eastAsia" w:ascii="宋体" w:hAnsi="宋体" w:eastAsia="宋体" w:cs="宋体"/>
          <w:color w:val="000000"/>
          <w:sz w:val="24"/>
          <w:szCs w:val="24"/>
        </w:rPr>
        <w:t>授权人参加投标的，需提供法定代表人授权委托书</w:t>
      </w:r>
      <w:r>
        <w:rPr>
          <w:rFonts w:hint="eastAsia" w:ascii="宋体" w:hAnsi="宋体" w:eastAsia="宋体" w:cs="宋体"/>
          <w:b/>
          <w:color w:val="000000"/>
          <w:sz w:val="24"/>
          <w:szCs w:val="24"/>
        </w:rPr>
        <w:t>（含法人身份证和被授权人身份证</w:t>
      </w:r>
      <w:r>
        <w:rPr>
          <w:rFonts w:hint="eastAsia" w:ascii="宋体" w:hAnsi="宋体" w:eastAsia="宋体" w:cs="宋体"/>
          <w:b/>
          <w:color w:val="000000"/>
          <w:sz w:val="24"/>
          <w:szCs w:val="24"/>
          <w:lang w:val="en-US" w:eastAsia="zh-CN"/>
        </w:rPr>
        <w:t>正反面复印件</w:t>
      </w:r>
      <w:r>
        <w:rPr>
          <w:rFonts w:hint="eastAsia" w:ascii="宋体" w:hAnsi="宋体" w:eastAsia="宋体" w:cs="宋体"/>
          <w:b/>
          <w:color w:val="000000"/>
          <w:sz w:val="24"/>
          <w:szCs w:val="24"/>
        </w:rPr>
        <w:t>）</w:t>
      </w:r>
      <w:r>
        <w:rPr>
          <w:rFonts w:hint="eastAsia" w:ascii="宋体" w:hAnsi="宋体" w:eastAsia="宋体" w:cs="宋体"/>
          <w:b w:val="0"/>
          <w:bCs/>
          <w:color w:val="000000"/>
          <w:sz w:val="24"/>
          <w:szCs w:val="24"/>
          <w:highlight w:val="none"/>
          <w:lang w:val="en-US" w:eastAsia="zh-CN"/>
        </w:rPr>
        <w:t>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w:t>
      </w:r>
      <w:r>
        <w:rPr>
          <w:rFonts w:hint="eastAsia" w:ascii="宋体" w:hAnsi="宋体" w:eastAsia="宋体" w:cs="宋体"/>
          <w:kern w:val="0"/>
          <w:sz w:val="24"/>
          <w:szCs w:val="24"/>
          <w:highlight w:val="none"/>
          <w:lang w:val="en-US" w:eastAsia="zh-CN" w:bidi="en-US"/>
        </w:rPr>
        <w:t>6</w:t>
      </w:r>
      <w:r>
        <w:rPr>
          <w:rFonts w:hint="eastAsia" w:ascii="宋体" w:hAnsi="宋体" w:eastAsia="宋体" w:cs="宋体"/>
          <w:kern w:val="0"/>
          <w:sz w:val="24"/>
          <w:szCs w:val="24"/>
          <w:highlight w:val="none"/>
          <w:lang w:bidi="en-US"/>
        </w:rPr>
        <w:t>个月</w:t>
      </w:r>
      <w:r>
        <w:rPr>
          <w:rFonts w:hint="eastAsia" w:ascii="宋体" w:hAnsi="宋体" w:eastAsia="宋体" w:cs="宋体"/>
          <w:kern w:val="0"/>
          <w:sz w:val="24"/>
          <w:szCs w:val="24"/>
          <w:highlight w:val="none"/>
          <w:lang w:val="en-US" w:eastAsia="zh-CN" w:bidi="en-US"/>
        </w:rPr>
        <w:t>及以上</w:t>
      </w:r>
      <w:r>
        <w:rPr>
          <w:rFonts w:hint="eastAsia" w:ascii="宋体" w:hAnsi="宋体" w:eastAsia="宋体" w:cs="宋体"/>
          <w:kern w:val="0"/>
          <w:sz w:val="24"/>
          <w:szCs w:val="24"/>
          <w:highlight w:val="none"/>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rPr>
      </w:pPr>
      <w:r>
        <w:rPr>
          <w:rFonts w:hint="eastAsia" w:ascii="宋体" w:hAnsi="宋体" w:eastAsia="宋体" w:cs="宋体"/>
          <w:color w:val="000000"/>
          <w:sz w:val="24"/>
          <w:szCs w:val="24"/>
        </w:rPr>
        <w:t>1.4近三年</w:t>
      </w:r>
      <w:r>
        <w:rPr>
          <w:rFonts w:hint="eastAsia" w:ascii="宋体" w:hAnsi="宋体" w:eastAsia="宋体" w:cs="宋体"/>
          <w:b/>
          <w:bCs/>
          <w:color w:val="000000"/>
          <w:sz w:val="24"/>
          <w:szCs w:val="24"/>
        </w:rPr>
        <w:t>经第三方机构审计</w:t>
      </w:r>
      <w:r>
        <w:rPr>
          <w:rFonts w:hint="eastAsia" w:ascii="宋体" w:hAnsi="宋体" w:eastAsia="宋体" w:cs="宋体"/>
          <w:color w:val="000000"/>
          <w:sz w:val="24"/>
          <w:szCs w:val="24"/>
        </w:rPr>
        <w:t>的财务报表（资产负债表、损益表、现金流量表）复印件，必须连续，同时填写投标人基本情况及资产情况汇总表（附件3）</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1.6</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1.7企业信用证明材料（中国人民银行信用代码证+征信报告）；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9企业最近半年的完税证明；</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1.11企业</w:t>
      </w:r>
      <w:r>
        <w:rPr>
          <w:rFonts w:hint="eastAsia" w:ascii="宋体" w:hAnsi="宋体" w:eastAsia="宋体" w:cs="宋体"/>
          <w:color w:val="000000"/>
          <w:sz w:val="24"/>
          <w:szCs w:val="24"/>
        </w:rPr>
        <w:t>近三年同类项目业绩</w:t>
      </w:r>
      <w:r>
        <w:rPr>
          <w:rFonts w:hint="eastAsia" w:ascii="宋体" w:hAnsi="宋体" w:eastAsia="宋体" w:cs="宋体"/>
          <w:color w:val="000000"/>
          <w:sz w:val="24"/>
          <w:szCs w:val="24"/>
          <w:lang w:val="en-US" w:eastAsia="zh-CN"/>
        </w:rPr>
        <w:t>证明；</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1.12投标保证金缴纳凭证。</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Cs/>
          <w:color w:val="000000"/>
          <w:sz w:val="24"/>
          <w:szCs w:val="24"/>
        </w:rPr>
        <w:t>2.2</w:t>
      </w:r>
      <w:r>
        <w:rPr>
          <w:rFonts w:hint="eastAsia" w:ascii="宋体" w:hAnsi="宋体" w:eastAsia="宋体" w:cs="宋体"/>
          <w:color w:val="000000"/>
          <w:sz w:val="24"/>
          <w:szCs w:val="24"/>
        </w:rPr>
        <w:t>近三年同类项目业绩一览表（附件6）及有效合同复印件，</w:t>
      </w:r>
      <w:r>
        <w:rPr>
          <w:rFonts w:hint="eastAsia" w:ascii="宋体" w:hAnsi="宋体" w:eastAsia="宋体" w:cs="宋体"/>
          <w:b/>
          <w:color w:val="000000"/>
          <w:sz w:val="24"/>
          <w:szCs w:val="24"/>
          <w:highlight w:val="none"/>
        </w:rPr>
        <w:t>若</w:t>
      </w:r>
      <w:r>
        <w:rPr>
          <w:rFonts w:hint="eastAsia" w:ascii="宋体" w:hAnsi="宋体" w:eastAsia="宋体" w:cs="宋体"/>
          <w:b/>
          <w:color w:val="000000"/>
          <w:sz w:val="24"/>
          <w:szCs w:val="24"/>
          <w:highlight w:val="none"/>
          <w:lang w:val="en-US" w:eastAsia="zh-CN"/>
        </w:rPr>
        <w:t>未</w:t>
      </w:r>
      <w:r>
        <w:rPr>
          <w:rFonts w:hint="eastAsia" w:ascii="宋体" w:hAnsi="宋体" w:eastAsia="宋体" w:cs="宋体"/>
          <w:b/>
          <w:color w:val="000000"/>
          <w:sz w:val="24"/>
          <w:szCs w:val="24"/>
          <w:highlight w:val="none"/>
        </w:rPr>
        <w:t>提供相应业绩证明，</w:t>
      </w:r>
      <w:r>
        <w:rPr>
          <w:rFonts w:hint="eastAsia" w:ascii="宋体" w:hAnsi="宋体" w:eastAsia="宋体" w:cs="宋体"/>
          <w:b/>
          <w:color w:val="000000"/>
          <w:sz w:val="24"/>
          <w:szCs w:val="24"/>
          <w:highlight w:val="none"/>
          <w:lang w:val="en-US" w:eastAsia="zh-CN"/>
        </w:rPr>
        <w:t>根据技术标评分规则，</w:t>
      </w:r>
      <w:r>
        <w:rPr>
          <w:rFonts w:hint="eastAsia" w:ascii="宋体" w:hAnsi="宋体" w:eastAsia="宋体" w:cs="宋体"/>
          <w:b/>
          <w:color w:val="000000"/>
          <w:sz w:val="24"/>
          <w:szCs w:val="24"/>
          <w:highlight w:val="none"/>
        </w:rPr>
        <w:t>将影响现场评标专家组对</w:t>
      </w:r>
      <w:r>
        <w:rPr>
          <w:rFonts w:hint="eastAsia" w:ascii="宋体" w:hAnsi="宋体" w:eastAsia="宋体" w:cs="宋体"/>
          <w:b/>
          <w:color w:val="000000"/>
          <w:sz w:val="24"/>
          <w:szCs w:val="24"/>
          <w:highlight w:val="none"/>
          <w:lang w:eastAsia="zh-CN"/>
        </w:rPr>
        <w:t>投标人</w:t>
      </w:r>
      <w:r>
        <w:rPr>
          <w:rFonts w:hint="eastAsia" w:ascii="宋体" w:hAnsi="宋体" w:eastAsia="宋体" w:cs="宋体"/>
          <w:b/>
          <w:color w:val="000000"/>
          <w:sz w:val="24"/>
          <w:szCs w:val="24"/>
          <w:highlight w:val="none"/>
        </w:rPr>
        <w:t>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2.4产品的技术服务和售后服务内容及措施；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2.5交货进度及计划；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2.6投标产品技术支持材料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2.7设备质量承诺函（附件7）；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2.8投标人需提交的其它资料。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需写明质保期以外服务费用情况；</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2"/>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pPr>
        <w:pStyle w:val="2"/>
      </w:pPr>
    </w:p>
    <w:p>
      <w:pPr>
        <w:keepNext/>
        <w:keepLines/>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lang w:val="en-US" w:eastAsia="zh-CN"/>
        </w:rPr>
        <w:t>三维扫描仪采购</w:t>
      </w:r>
    </w:p>
    <w:p>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招标项目</w:t>
      </w:r>
      <w:r>
        <w:rPr>
          <w:rFonts w:ascii="Calibri" w:hAnsi="Calibri" w:eastAsia="宋体" w:cs="Times New Roman"/>
          <w:b/>
          <w:bCs/>
          <w:color w:val="000000"/>
          <w:spacing w:val="-8"/>
          <w:sz w:val="48"/>
          <w:szCs w:val="44"/>
        </w:rPr>
        <w:t xml:space="preserve"> </w:t>
      </w:r>
    </w:p>
    <w:p>
      <w:pPr>
        <w:jc w:val="right"/>
        <w:rPr>
          <w:rFonts w:ascii="Calibri" w:hAnsi="Calibri" w:eastAsia="宋体" w:cs="Times New Roman"/>
          <w:color w:val="000000"/>
          <w:sz w:val="28"/>
          <w:szCs w:val="28"/>
        </w:rPr>
      </w:pPr>
    </w:p>
    <w:p>
      <w:pPr>
        <w:pStyle w:val="2"/>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2"/>
      </w:pPr>
    </w:p>
    <w:p>
      <w:pPr>
        <w:pStyle w:val="2"/>
        <w:rPr>
          <w:rFonts w:ascii="黑体" w:hAnsi="宋体" w:eastAsia="黑体" w:cs="Times New Roman"/>
          <w:color w:val="000000"/>
          <w:sz w:val="72"/>
          <w:szCs w:val="72"/>
        </w:rPr>
      </w:pPr>
    </w:p>
    <w:p>
      <w:pPr>
        <w:pStyle w:val="2"/>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2"/>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2023</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rPr>
        <w:t>月</w:t>
      </w:r>
    </w:p>
    <w:bookmarkEnd w:id="0"/>
    <w:bookmarkEnd w:id="1"/>
    <w:p>
      <w:pPr>
        <w:spacing w:line="360" w:lineRule="auto"/>
        <w:rPr>
          <w:rFonts w:ascii="宋体" w:hAnsi="宋体" w:eastAsia="宋体" w:cs="Times New Roman"/>
          <w:b/>
          <w:sz w:val="36"/>
          <w:szCs w:val="36"/>
        </w:rPr>
        <w:sectPr>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bookmarkStart w:id="33" w:name="_Toc169605877"/>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bookmarkEnd w:id="33"/>
    </w:p>
    <w:p>
      <w:pPr>
        <w:keepNext/>
        <w:keepLines/>
        <w:spacing w:before="120" w:after="120" w:line="480" w:lineRule="exact"/>
        <w:jc w:val="center"/>
        <w:outlineLvl w:val="2"/>
        <w:rPr>
          <w:rFonts w:ascii="Arial" w:hAnsi="Arial" w:eastAsia="宋体" w:cs="Times New Roman"/>
          <w:b/>
          <w:bCs/>
          <w:sz w:val="24"/>
          <w:szCs w:val="24"/>
        </w:rPr>
      </w:pPr>
      <w:bookmarkStart w:id="34" w:name="_Toc169605878"/>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bookmarkEnd w:id="34"/>
    </w:p>
    <w:p>
      <w:pPr>
        <w:spacing w:line="360" w:lineRule="auto"/>
        <w:outlineLvl w:val="3"/>
        <w:rPr>
          <w:rFonts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highlight w:val="none"/>
          <w:u w:val="single"/>
          <w:lang w:val="en-US" w:eastAsia="zh-CN"/>
        </w:rPr>
        <w:t>三维扫描仪项目</w:t>
      </w:r>
    </w:p>
    <w:p>
      <w:pPr>
        <w:spacing w:line="360" w:lineRule="auto"/>
        <w:outlineLvl w:val="3"/>
        <w:rPr>
          <w:rFonts w:ascii="宋体" w:hAnsi="宋体" w:eastAsia="宋体" w:cs="宋体"/>
          <w:sz w:val="24"/>
          <w:szCs w:val="24"/>
          <w:highlight w:val="none"/>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highlight w:val="none"/>
        </w:rPr>
        <w:t>：</w:t>
      </w:r>
      <w:r>
        <w:rPr>
          <w:rFonts w:hint="eastAsia" w:ascii="宋体" w:hAnsi="宋体" w:eastAsia="宋体" w:cs="宋体"/>
          <w:sz w:val="24"/>
          <w:szCs w:val="24"/>
          <w:highlight w:val="none"/>
          <w:u w:val="single"/>
          <w:lang w:val="en-US" w:eastAsia="zh-CN"/>
        </w:rPr>
        <w:t>济南市高新区华奥路777号重汽科技大厦园区</w:t>
      </w:r>
    </w:p>
    <w:p>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ascii="宋体" w:hAnsi="宋体" w:eastAsia="宋体" w:cs="宋体"/>
          <w:sz w:val="24"/>
          <w:szCs w:val="24"/>
          <w:highlight w:val="none"/>
          <w:u w:val="single"/>
          <w:lang w:val="en-US" w:eastAsia="zh-CN"/>
        </w:rPr>
        <w:t>济南市高新区华奥路777号重汽科技大厦园区</w:t>
      </w:r>
    </w:p>
    <w:p>
      <w:pPr>
        <w:spacing w:line="360" w:lineRule="auto"/>
        <w:outlineLvl w:val="3"/>
        <w:rPr>
          <w:rFonts w:ascii="宋体" w:hAnsi="宋体" w:eastAsia="宋体" w:cs="宋体"/>
          <w:sz w:val="24"/>
          <w:szCs w:val="24"/>
        </w:rPr>
      </w:pPr>
      <w:r>
        <w:rPr>
          <w:rFonts w:hint="eastAsia" w:ascii="宋体" w:hAnsi="宋体" w:eastAsia="宋体" w:cs="宋体"/>
          <w:sz w:val="24"/>
          <w:szCs w:val="24"/>
        </w:rPr>
        <w:t>四、工作制度：</w:t>
      </w:r>
      <w:r>
        <w:rPr>
          <w:rFonts w:hint="eastAsia" w:ascii="宋体" w:hAnsi="宋体" w:eastAsia="宋体" w:cs="宋体"/>
          <w:sz w:val="24"/>
          <w:szCs w:val="24"/>
          <w:highlight w:val="none"/>
        </w:rPr>
        <w:t>全年工作</w:t>
      </w:r>
      <w:r>
        <w:rPr>
          <w:rFonts w:hint="eastAsia" w:ascii="宋体" w:hAnsi="宋体" w:eastAsia="宋体" w:cs="宋体"/>
          <w:sz w:val="24"/>
          <w:szCs w:val="24"/>
          <w:highlight w:val="yellow"/>
          <w:u w:val="single"/>
          <w:shd w:val="pct10" w:color="auto" w:fill="FFFFFF"/>
          <w:lang w:val="en-US" w:eastAsia="zh-CN"/>
        </w:rPr>
        <w:t>200</w:t>
      </w:r>
      <w:r>
        <w:rPr>
          <w:rFonts w:hint="eastAsia" w:ascii="宋体" w:hAnsi="宋体" w:eastAsia="宋体" w:cs="宋体"/>
          <w:sz w:val="24"/>
          <w:szCs w:val="24"/>
          <w:highlight w:val="none"/>
        </w:rPr>
        <w:t>天、</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yellow"/>
          <w:u w:val="single"/>
          <w:shd w:val="pct10" w:color="auto" w:fill="FFFFFF"/>
          <w:lang w:val="en-US" w:eastAsia="zh-CN"/>
        </w:rPr>
        <w:t>一</w:t>
      </w:r>
      <w:r>
        <w:rPr>
          <w:rFonts w:hint="eastAsia" w:ascii="宋体" w:hAnsi="宋体" w:eastAsia="宋体" w:cs="宋体"/>
          <w:sz w:val="24"/>
          <w:szCs w:val="24"/>
          <w:highlight w:val="yellow"/>
          <w:u w:val="single"/>
          <w:shd w:val="pct10" w:color="auto" w:fill="FFFFFF"/>
        </w:rPr>
        <w:t xml:space="preserve"> </w:t>
      </w:r>
      <w:r>
        <w:rPr>
          <w:rFonts w:hint="eastAsia" w:ascii="宋体" w:hAnsi="宋体" w:eastAsia="宋体" w:cs="宋体"/>
          <w:sz w:val="24"/>
          <w:szCs w:val="24"/>
          <w:highlight w:val="none"/>
        </w:rPr>
        <w:t>班制、设备年时基数</w:t>
      </w:r>
      <w:r>
        <w:rPr>
          <w:rFonts w:hint="eastAsia" w:ascii="宋体" w:hAnsi="宋体" w:eastAsia="宋体" w:cs="宋体"/>
          <w:sz w:val="24"/>
          <w:szCs w:val="24"/>
          <w:highlight w:val="yellow"/>
          <w:u w:val="single"/>
          <w:shd w:val="pct10" w:color="auto" w:fill="FFFFFF"/>
          <w:lang w:val="en-US" w:eastAsia="zh-CN"/>
        </w:rPr>
        <w:t>1600</w:t>
      </w:r>
      <w:r>
        <w:rPr>
          <w:rFonts w:hint="eastAsia" w:ascii="宋体" w:hAnsi="宋体" w:eastAsia="宋体" w:cs="宋体"/>
          <w:sz w:val="24"/>
          <w:szCs w:val="24"/>
          <w:highlight w:val="none"/>
        </w:rPr>
        <w:t>小时</w:t>
      </w:r>
    </w:p>
    <w:p>
      <w:pPr>
        <w:spacing w:line="360" w:lineRule="auto"/>
        <w:outlineLvl w:val="3"/>
        <w:rPr>
          <w:rFonts w:ascii="宋体" w:hAnsi="宋体" w:eastAsia="宋体" w:cs="宋体"/>
          <w:sz w:val="24"/>
          <w:szCs w:val="24"/>
        </w:rPr>
      </w:pPr>
      <w:r>
        <w:rPr>
          <w:rFonts w:hint="eastAsia" w:ascii="宋体" w:hAnsi="宋体" w:eastAsia="宋体" w:cs="宋体"/>
          <w:sz w:val="24"/>
          <w:szCs w:val="24"/>
        </w:rPr>
        <w:t>五、使用地点区域自然环境：</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1.海拔高度：</w:t>
      </w: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000m以下。</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2.环境温度：室外极端最低温度-</w:t>
      </w:r>
      <w:r>
        <w:rPr>
          <w:rFonts w:hint="eastAsia" w:ascii="宋体" w:hAnsi="宋体" w:eastAsia="宋体" w:cs="宋体"/>
          <w:bCs/>
          <w:sz w:val="24"/>
          <w:szCs w:val="24"/>
          <w:highlight w:val="none"/>
          <w:lang w:val="en-US" w:eastAsia="zh-CN"/>
        </w:rPr>
        <w:t>12</w:t>
      </w:r>
      <w:r>
        <w:rPr>
          <w:rFonts w:hint="eastAsia" w:ascii="宋体" w:hAnsi="宋体" w:eastAsia="宋体" w:cs="宋体"/>
          <w:bCs/>
          <w:sz w:val="24"/>
          <w:szCs w:val="24"/>
          <w:highlight w:val="none"/>
        </w:rPr>
        <w:t>℃、极端最高温度45℃。</w:t>
      </w:r>
    </w:p>
    <w:p>
      <w:pPr>
        <w:spacing w:line="360" w:lineRule="auto"/>
        <w:ind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3.相对湿度：最大95%、最小15%。</w:t>
      </w:r>
    </w:p>
    <w:p>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lang w:val="en-US" w:eastAsia="zh-CN"/>
        </w:rPr>
        <w:t>4.</w:t>
      </w:r>
      <w:r>
        <w:rPr>
          <w:rFonts w:hint="eastAsia" w:ascii="宋体" w:hAnsi="宋体" w:eastAsia="宋体" w:cs="宋体"/>
          <w:bCs/>
          <w:sz w:val="24"/>
          <w:szCs w:val="24"/>
          <w:highlight w:val="none"/>
        </w:rPr>
        <w:t>振动限制:在0-25赫兹,加速度不得高于1.5 mm/s²(在任何方向XYZ)。</w:t>
      </w:r>
    </w:p>
    <w:p>
      <w:pPr>
        <w:spacing w:line="360" w:lineRule="auto"/>
        <w:outlineLvl w:val="3"/>
        <w:rPr>
          <w:rFonts w:ascii="宋体" w:hAnsi="宋体" w:eastAsia="宋体" w:cs="宋体"/>
          <w:bCs/>
          <w:sz w:val="24"/>
          <w:szCs w:val="24"/>
          <w:highlight w:val="none"/>
        </w:rPr>
      </w:pPr>
      <w:r>
        <w:rPr>
          <w:rFonts w:hint="eastAsia" w:ascii="宋体" w:hAnsi="宋体" w:eastAsia="宋体" w:cs="宋体"/>
          <w:bCs/>
          <w:sz w:val="24"/>
          <w:szCs w:val="24"/>
          <w:highlight w:val="none"/>
        </w:rPr>
        <w:t>六、使用试验室环境条件：</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rPr>
        <w:t>电压:220V±10%，单相；</w:t>
      </w:r>
    </w:p>
    <w:p>
      <w:pPr>
        <w:spacing w:line="360" w:lineRule="auto"/>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 xml:space="preserve">频率:50Hz </w:t>
      </w:r>
      <w:r>
        <w:rPr>
          <w:rFonts w:hint="eastAsia" w:ascii="宋体" w:hAnsi="宋体" w:eastAsia="宋体" w:cs="宋体"/>
          <w:sz w:val="24"/>
          <w:szCs w:val="24"/>
        </w:rPr>
        <w:sym w:font="Symbol" w:char="00B1"/>
      </w:r>
      <w:r>
        <w:rPr>
          <w:rFonts w:hint="eastAsia" w:ascii="宋体" w:hAnsi="宋体" w:eastAsia="宋体" w:cs="宋体"/>
          <w:sz w:val="24"/>
          <w:szCs w:val="24"/>
        </w:rPr>
        <w:t>2%；</w:t>
      </w:r>
    </w:p>
    <w:p>
      <w:pPr>
        <w:pStyle w:val="2"/>
        <w:ind w:firstLine="480" w:firstLineChars="200"/>
        <w:rPr>
          <w:rFonts w:hint="eastAsia" w:hAnsi="宋体" w:eastAsia="宋体" w:cs="宋体"/>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lang w:val="zh-CN"/>
        </w:rPr>
        <w:t>用电设备要求接地可靠</w:t>
      </w:r>
      <w:r>
        <w:rPr>
          <w:rFonts w:hint="eastAsia" w:hAnsi="宋体" w:eastAsia="宋体" w:cs="宋体"/>
          <w:bCs/>
          <w:sz w:val="24"/>
          <w:szCs w:val="24"/>
          <w:highlight w:val="none"/>
          <w:lang w:eastAsia="zh-CN"/>
        </w:rPr>
        <w:t>。</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b w:val="0"/>
          <w:sz w:val="24"/>
          <w:szCs w:val="24"/>
          <w:highlight w:val="none"/>
          <w:lang w:val="en-US" w:eastAsia="zh-CN"/>
        </w:rPr>
        <w:t>***设备/</w:t>
      </w:r>
      <w:r>
        <w:rPr>
          <w:rFonts w:hint="eastAsia" w:ascii="宋体" w:hAnsi="宋体" w:eastAsia="宋体" w:cs="宋体"/>
          <w:b w:val="0"/>
          <w:sz w:val="24"/>
          <w:szCs w:val="24"/>
          <w:highlight w:val="none"/>
        </w:rPr>
        <w:t>系统</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sz w:val="24"/>
          <w:szCs w:val="24"/>
          <w:highlight w:val="none"/>
          <w:u w:val="single"/>
          <w:shd w:val="pct10" w:color="auto" w:fill="FFFFFF"/>
        </w:rPr>
        <w:t>1套</w:t>
      </w:r>
      <w:r>
        <w:rPr>
          <w:rFonts w:hint="eastAsia" w:ascii="宋体" w:hAnsi="宋体" w:eastAsia="宋体" w:cs="宋体"/>
          <w:sz w:val="24"/>
          <w:szCs w:val="24"/>
          <w:highlight w:val="none"/>
        </w:rPr>
        <w:t>（详见下表）</w:t>
      </w:r>
    </w:p>
    <w:p>
      <w:pPr>
        <w:spacing w:line="420" w:lineRule="exact"/>
        <w:outlineLvl w:val="3"/>
        <w:rPr>
          <w:rFonts w:ascii="宋体" w:hAnsi="宋体" w:eastAsia="宋体" w:cs="宋体"/>
          <w:b/>
          <w:sz w:val="24"/>
          <w:szCs w:val="24"/>
        </w:rPr>
      </w:pPr>
      <w:r>
        <w:rPr>
          <w:rFonts w:hint="eastAsia" w:ascii="宋体" w:hAnsi="宋体" w:eastAsia="宋体" w:cs="宋体"/>
          <w:b/>
          <w:sz w:val="24"/>
          <w:szCs w:val="24"/>
        </w:rPr>
        <w:t>三、分投分中：不允许</w:t>
      </w:r>
    </w:p>
    <w:p>
      <w:pPr>
        <w:jc w:val="center"/>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5"/>
        <w:tblW w:w="92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0"/>
        <w:gridCol w:w="1312"/>
        <w:gridCol w:w="958"/>
        <w:gridCol w:w="709"/>
        <w:gridCol w:w="2783"/>
        <w:gridCol w:w="125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131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设备名称</w:t>
            </w:r>
          </w:p>
        </w:tc>
        <w:tc>
          <w:tcPr>
            <w:tcW w:w="95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w:t>
            </w: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数量</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安装地点/服务对象</w:t>
            </w:r>
          </w:p>
        </w:tc>
        <w:tc>
          <w:tcPr>
            <w:tcW w:w="12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供货方式</w:t>
            </w:r>
          </w:p>
        </w:tc>
        <w:tc>
          <w:tcPr>
            <w:tcW w:w="129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93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c>
          <w:tcPr>
            <w:tcW w:w="1312"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kern w:val="0"/>
                <w:sz w:val="24"/>
                <w:szCs w:val="24"/>
                <w:lang w:val="en-US" w:eastAsia="zh-CN"/>
              </w:rPr>
            </w:pPr>
            <w:r>
              <w:rPr>
                <w:rFonts w:hint="eastAsia" w:ascii="宋体" w:hAnsi="宋体" w:eastAsia="宋体" w:cs="宋体"/>
                <w:sz w:val="24"/>
                <w:szCs w:val="24"/>
                <w:lang w:val="en-US" w:eastAsia="zh-CN"/>
              </w:rPr>
              <w:t>三维扫描仪</w:t>
            </w:r>
          </w:p>
        </w:tc>
        <w:tc>
          <w:tcPr>
            <w:tcW w:w="958"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套</w:t>
            </w:r>
          </w:p>
        </w:tc>
        <w:tc>
          <w:tcPr>
            <w:tcW w:w="709"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2783"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济南</w:t>
            </w:r>
            <w:r>
              <w:rPr>
                <w:rFonts w:hint="eastAsia" w:ascii="宋体" w:hAnsi="宋体" w:eastAsia="宋体" w:cs="宋体"/>
                <w:sz w:val="24"/>
                <w:szCs w:val="24"/>
                <w:lang w:val="en-US" w:eastAsia="zh-CN"/>
              </w:rPr>
              <w:t>市高新区华奥路777号</w:t>
            </w:r>
            <w:r>
              <w:rPr>
                <w:rFonts w:hint="eastAsia" w:ascii="宋体" w:hAnsi="宋体" w:eastAsia="宋体" w:cs="宋体"/>
                <w:sz w:val="24"/>
                <w:szCs w:val="24"/>
              </w:rPr>
              <w:t>重汽</w:t>
            </w:r>
            <w:r>
              <w:rPr>
                <w:rFonts w:hint="eastAsia" w:ascii="宋体" w:hAnsi="宋体" w:eastAsia="宋体" w:cs="宋体"/>
                <w:sz w:val="24"/>
                <w:szCs w:val="24"/>
                <w:lang w:val="en-US" w:eastAsia="zh-CN"/>
              </w:rPr>
              <w:t>科技大厦园区</w:t>
            </w:r>
          </w:p>
        </w:tc>
        <w:tc>
          <w:tcPr>
            <w:tcW w:w="125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交钥匙工程</w:t>
            </w:r>
          </w:p>
        </w:tc>
        <w:tc>
          <w:tcPr>
            <w:tcW w:w="1290" w:type="dxa"/>
            <w:tcBorders>
              <w:top w:val="single" w:color="auto" w:sz="4" w:space="0"/>
              <w:left w:val="single" w:color="auto" w:sz="4" w:space="0"/>
              <w:bottom w:val="single" w:color="auto" w:sz="4" w:space="0"/>
              <w:right w:val="single" w:color="auto" w:sz="4" w:space="0"/>
            </w:tcBorders>
            <w:vAlign w:val="center"/>
          </w:tcPr>
          <w:p>
            <w:pPr>
              <w:spacing w:line="240" w:lineRule="auto"/>
              <w:jc w:val="center"/>
              <w:rPr>
                <w:rFonts w:hint="eastAsia" w:ascii="宋体" w:hAnsi="宋体" w:eastAsia="宋体" w:cs="宋体"/>
                <w:sz w:val="24"/>
                <w:szCs w:val="24"/>
              </w:rPr>
            </w:pPr>
          </w:p>
        </w:tc>
      </w:tr>
    </w:tbl>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bCs/>
          <w:sz w:val="24"/>
          <w:szCs w:val="24"/>
          <w:lang w:val="en-US" w:eastAsia="zh-CN"/>
        </w:rPr>
        <w:t>1.</w:t>
      </w:r>
      <w:r>
        <w:rPr>
          <w:rFonts w:hint="eastAsia" w:ascii="宋体" w:hAnsi="宋体" w:eastAsia="宋体" w:cs="宋体"/>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int="eastAsia" w:ascii="宋体" w:hAnsi="宋体" w:eastAsia="宋体" w:cs="宋体"/>
          <w:bCs/>
          <w:sz w:val="24"/>
          <w:szCs w:val="24"/>
          <w:highlight w:val="red"/>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r>
        <w:rPr>
          <w:rFonts w:hint="eastAsia" w:ascii="宋体" w:hAnsi="宋体" w:eastAsia="宋体" w:cs="宋体"/>
          <w:bCs/>
          <w:sz w:val="24"/>
          <w:szCs w:val="24"/>
          <w:lang w:eastAsia="zh-CN"/>
        </w:rPr>
        <w:t>。</w:t>
      </w:r>
    </w:p>
    <w:p>
      <w:pPr>
        <w:spacing w:line="360" w:lineRule="auto"/>
        <w:outlineLvl w:val="3"/>
        <w:rPr>
          <w:rFonts w:ascii="宋体" w:hAnsi="宋体" w:eastAsia="宋体" w:cs="宋体"/>
          <w:b/>
          <w:sz w:val="24"/>
          <w:szCs w:val="24"/>
        </w:rPr>
      </w:pPr>
      <w:r>
        <w:rPr>
          <w:rFonts w:hint="eastAsia" w:ascii="宋体" w:hAnsi="宋体" w:eastAsia="宋体" w:cs="宋体"/>
          <w:b/>
          <w:sz w:val="24"/>
          <w:szCs w:val="24"/>
        </w:rPr>
        <w:t>四、采购货物特别说明</w:t>
      </w:r>
    </w:p>
    <w:p>
      <w:pPr>
        <w:spacing w:line="360" w:lineRule="auto"/>
        <w:ind w:firstLine="480" w:firstLineChars="200"/>
        <w:rPr>
          <w:rFonts w:ascii="宋体" w:hAnsi="宋体" w:eastAsia="宋体" w:cs="Times New Roman"/>
          <w:szCs w:val="20"/>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rPr>
        <w:t>。</w:t>
      </w:r>
    </w:p>
    <w:p>
      <w:pPr>
        <w:widowControl/>
        <w:jc w:val="left"/>
      </w:pPr>
      <w:r>
        <w:br w:type="page"/>
      </w:r>
    </w:p>
    <w:p>
      <w:pPr>
        <w:keepNext/>
        <w:keepLines/>
        <w:spacing w:before="120" w:after="120" w:line="480" w:lineRule="exact"/>
        <w:jc w:val="center"/>
        <w:outlineLvl w:val="1"/>
        <w:rPr>
          <w:rFonts w:ascii="宋体" w:hAnsi="Calibri" w:eastAsia="宋体" w:cs="Times New Roman"/>
          <w:bCs/>
          <w:kern w:val="44"/>
          <w:sz w:val="28"/>
          <w:szCs w:val="28"/>
        </w:rPr>
      </w:pPr>
      <w:bookmarkStart w:id="35" w:name="_Toc169605880"/>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bookmarkEnd w:id="35"/>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pPr>
        <w:pStyle w:val="112"/>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pPr>
        <w:spacing w:line="360" w:lineRule="auto"/>
        <w:ind w:firstLine="480" w:firstLineChars="200"/>
        <w:rPr>
          <w:rFonts w:ascii="宋体" w:hAnsi="宋体" w:eastAsia="宋体" w:cs="Times New Roman"/>
          <w:sz w:val="24"/>
          <w:szCs w:val="24"/>
          <w:highlight w:val="none"/>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w:t>
      </w:r>
      <w:r>
        <w:rPr>
          <w:rFonts w:hint="eastAsia" w:ascii="宋体" w:hAnsi="宋体" w:eastAsia="宋体" w:cs="Times New Roman"/>
          <w:sz w:val="24"/>
          <w:szCs w:val="24"/>
          <w:highlight w:val="none"/>
        </w:rPr>
        <w:t>究投标人泄密责任的权利；招标人如有需要，投标人应无条件签署保密协议。</w:t>
      </w:r>
    </w:p>
    <w:p>
      <w:pPr>
        <w:pStyle w:val="112"/>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pPr>
        <w:pStyle w:val="5"/>
        <w:keepNext/>
        <w:keepLines/>
        <w:pageBreakBefore w:val="0"/>
        <w:widowControl/>
        <w:numPr>
          <w:ilvl w:val="0"/>
          <w:numId w:val="10"/>
        </w:numPr>
        <w:kinsoku/>
        <w:wordWrap/>
        <w:overflowPunct/>
        <w:topLinePunct w:val="0"/>
        <w:autoSpaceDE/>
        <w:autoSpaceDN/>
        <w:bidi w:val="0"/>
        <w:adjustRightInd/>
        <w:snapToGrid/>
        <w:spacing w:before="0" w:beforeAutospacing="0" w:after="0" w:line="360" w:lineRule="auto"/>
        <w:ind w:left="420" w:leftChars="0" w:firstLineChars="0"/>
        <w:textAlignment w:val="auto"/>
        <w:outlineLvl w:val="2"/>
        <w:rPr>
          <w:rFonts w:hint="eastAsia" w:ascii="宋体" w:hAnsi="宋体" w:eastAsia="宋体" w:cs="宋体"/>
          <w:b/>
          <w:bCs/>
          <w:kern w:val="44"/>
          <w:sz w:val="24"/>
          <w:szCs w:val="24"/>
        </w:rPr>
      </w:pPr>
      <w:r>
        <w:rPr>
          <w:rFonts w:hint="eastAsia" w:ascii="宋体" w:hAnsi="宋体" w:eastAsia="宋体" w:cs="宋体"/>
          <w:b/>
          <w:bCs/>
          <w:kern w:val="44"/>
          <w:sz w:val="24"/>
          <w:szCs w:val="24"/>
        </w:rPr>
        <w:t>功能用途要求</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eastAsia="zh-CN"/>
        </w:rPr>
        <w:t>1</w:t>
      </w:r>
      <w:r>
        <w:rPr>
          <w:rFonts w:hint="eastAsia" w:ascii="宋体" w:hAnsi="宋体" w:eastAsia="宋体" w:cs="Times New Roman"/>
          <w:sz w:val="24"/>
          <w:szCs w:val="24"/>
        </w:rPr>
        <w:t>.1</w:t>
      </w:r>
      <w:r>
        <w:rPr>
          <w:rFonts w:hint="eastAsia" w:ascii="宋体" w:hAnsi="宋体" w:eastAsia="宋体" w:cs="Times New Roman"/>
          <w:sz w:val="24"/>
          <w:szCs w:val="24"/>
          <w:lang w:val="en-GB" w:eastAsia="zh-CN"/>
        </w:rPr>
        <w:t>对不同尺寸的复杂零件进行三维测量，更提供完整的误差分析和评估功能</w:t>
      </w:r>
      <w:r>
        <w:rPr>
          <w:rFonts w:hint="eastAsia" w:ascii="宋体" w:hAnsi="宋体" w:eastAsia="宋体" w:cs="Times New Roman"/>
          <w:sz w:val="24"/>
          <w:szCs w:val="24"/>
        </w:rPr>
        <w:t>；</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eastAsia="zh-CN"/>
        </w:rPr>
        <w:t>1</w:t>
      </w:r>
      <w:r>
        <w:rPr>
          <w:rFonts w:hint="eastAsia" w:ascii="宋体" w:hAnsi="宋体" w:eastAsia="宋体" w:cs="Times New Roman"/>
          <w:sz w:val="24"/>
          <w:szCs w:val="24"/>
        </w:rPr>
        <w:t>.2</w:t>
      </w:r>
      <w:r>
        <w:rPr>
          <w:rFonts w:hint="eastAsia" w:ascii="宋体" w:hAnsi="宋体" w:eastAsia="宋体" w:cs="Times New Roman"/>
          <w:sz w:val="24"/>
          <w:szCs w:val="24"/>
          <w:lang w:val="en-GB" w:eastAsia="zh-CN"/>
        </w:rPr>
        <w:t>可广泛应用于整车解析过程及杂合车验证过程中的整车及零部件测量要求、模具、涡轮叶片、精密注塑和压铸</w:t>
      </w:r>
      <w:r>
        <w:rPr>
          <w:rFonts w:hint="eastAsia" w:ascii="宋体" w:hAnsi="宋体" w:eastAsia="宋体" w:cs="Times New Roman"/>
          <w:sz w:val="24"/>
          <w:szCs w:val="24"/>
          <w:lang w:val="en-US" w:eastAsia="zh-CN"/>
        </w:rPr>
        <w:t>等</w:t>
      </w:r>
      <w:r>
        <w:rPr>
          <w:rFonts w:hint="eastAsia" w:ascii="宋体" w:hAnsi="宋体" w:eastAsia="宋体" w:cs="Times New Roman"/>
          <w:sz w:val="24"/>
          <w:szCs w:val="24"/>
        </w:rPr>
        <w:t>；</w:t>
      </w:r>
    </w:p>
    <w:p>
      <w:pPr>
        <w:spacing w:line="360" w:lineRule="auto"/>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eastAsia="zh-CN"/>
        </w:rPr>
        <w:t>1</w:t>
      </w:r>
      <w:r>
        <w:rPr>
          <w:rFonts w:hint="eastAsia" w:ascii="宋体" w:hAnsi="宋体" w:eastAsia="宋体" w:cs="Times New Roman"/>
          <w:sz w:val="24"/>
          <w:szCs w:val="24"/>
        </w:rPr>
        <w:t>.3</w:t>
      </w:r>
      <w:r>
        <w:rPr>
          <w:rFonts w:hint="eastAsia" w:ascii="宋体" w:hAnsi="宋体" w:eastAsia="宋体" w:cs="Times New Roman"/>
          <w:sz w:val="24"/>
          <w:szCs w:val="24"/>
          <w:lang w:val="en-US" w:eastAsia="zh-CN"/>
        </w:rPr>
        <w:t>具</w:t>
      </w:r>
      <w:r>
        <w:rPr>
          <w:rFonts w:hint="eastAsia" w:ascii="宋体" w:hAnsi="宋体" w:eastAsia="宋体" w:cs="Times New Roman"/>
          <w:sz w:val="24"/>
          <w:szCs w:val="24"/>
          <w:lang w:val="en-GB" w:eastAsia="zh-CN"/>
        </w:rPr>
        <w:t>备</w:t>
      </w:r>
      <w:r>
        <w:rPr>
          <w:rFonts w:hint="eastAsia" w:ascii="宋体" w:hAnsi="宋体" w:eastAsia="宋体" w:cs="Times New Roman"/>
          <w:sz w:val="24"/>
          <w:szCs w:val="24"/>
          <w:lang w:val="en-US" w:eastAsia="zh-CN"/>
        </w:rPr>
        <w:t>蓝</w:t>
      </w:r>
      <w:r>
        <w:rPr>
          <w:rFonts w:hint="eastAsia" w:ascii="宋体" w:hAnsi="宋体" w:eastAsia="宋体" w:cs="Times New Roman"/>
          <w:sz w:val="24"/>
          <w:szCs w:val="24"/>
          <w:lang w:val="en-GB" w:eastAsia="zh-CN"/>
        </w:rPr>
        <w:t>色激光快速扫描和蓝色激光精细扫描多种模式，不仅具有远超其它激光三维扫描仪的细节捕捉能力，同时极大的扩展了仪器所支持的最大扫描尺寸和扫描精度</w:t>
      </w:r>
      <w:r>
        <w:rPr>
          <w:rFonts w:hint="eastAsia" w:ascii="宋体" w:hAnsi="宋体" w:eastAsia="宋体" w:cs="Times New Roman"/>
          <w:sz w:val="24"/>
          <w:szCs w:val="24"/>
        </w:rPr>
        <w:t>；</w:t>
      </w:r>
    </w:p>
    <w:p>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1.4可用于能够满足日常工作中整车底盘及零部件扫描精度的要求，无需搭载其它机械臂或测量装置即可独立完成三维扫描和数据采集，ZEISS T-SCAN Hawk 2扫描数据和ATOS扫描数据可以直接统一在同一个测量系统下，无需手动操作就可以达成。</w:t>
      </w:r>
    </w:p>
    <w:p>
      <w:pPr>
        <w:pStyle w:val="5"/>
        <w:keepNext/>
        <w:keepLines/>
        <w:pageBreakBefore w:val="0"/>
        <w:widowControl/>
        <w:numPr>
          <w:ilvl w:val="0"/>
          <w:numId w:val="10"/>
        </w:numPr>
        <w:kinsoku/>
        <w:wordWrap/>
        <w:overflowPunct/>
        <w:topLinePunct w:val="0"/>
        <w:autoSpaceDE/>
        <w:autoSpaceDN/>
        <w:bidi w:val="0"/>
        <w:adjustRightInd/>
        <w:snapToGrid/>
        <w:spacing w:before="0" w:beforeAutospacing="0" w:after="0" w:line="360" w:lineRule="auto"/>
        <w:ind w:left="420" w:leftChars="0" w:firstLineChars="0"/>
        <w:textAlignment w:val="auto"/>
        <w:outlineLvl w:val="2"/>
        <w:rPr>
          <w:rFonts w:hint="eastAsia" w:ascii="宋体" w:hAnsi="宋体" w:eastAsia="宋体" w:cs="宋体"/>
          <w:b/>
          <w:bCs/>
          <w:kern w:val="44"/>
          <w:sz w:val="24"/>
          <w:szCs w:val="24"/>
        </w:rPr>
      </w:pPr>
      <w:r>
        <w:rPr>
          <w:rFonts w:hint="eastAsia" w:ascii="宋体" w:hAnsi="宋体" w:eastAsia="宋体" w:cs="宋体"/>
          <w:b/>
          <w:bCs/>
          <w:kern w:val="44"/>
          <w:sz w:val="24"/>
          <w:szCs w:val="24"/>
        </w:rPr>
        <w:t>技术性能参数要求</w:t>
      </w:r>
    </w:p>
    <w:p>
      <w:pPr>
        <w:spacing w:line="36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2.1扫描仪系统参数要求</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2.1.1能源环境：电压: 220V±10%，单相；频率: 50 Hz </w:t>
      </w:r>
      <w:r>
        <w:rPr>
          <w:rFonts w:hint="eastAsia" w:ascii="宋体" w:hAnsi="宋体" w:eastAsia="宋体" w:cs="Times New Roman"/>
          <w:sz w:val="24"/>
          <w:szCs w:val="24"/>
          <w:lang w:val="en-US" w:eastAsia="zh-CN"/>
        </w:rPr>
        <w:sym w:font="Symbol" w:char="00B1"/>
      </w:r>
      <w:r>
        <w:rPr>
          <w:rFonts w:hint="eastAsia" w:ascii="宋体" w:hAnsi="宋体" w:eastAsia="宋体" w:cs="Times New Roman"/>
          <w:sz w:val="24"/>
          <w:szCs w:val="24"/>
          <w:lang w:val="en-US" w:eastAsia="zh-CN"/>
        </w:rPr>
        <w:t>2%；</w:t>
      </w:r>
      <w:r>
        <w:rPr>
          <w:rFonts w:hint="eastAsia" w:ascii="宋体" w:hAnsi="宋体" w:eastAsia="宋体" w:cs="Times New Roman"/>
          <w:sz w:val="24"/>
          <w:szCs w:val="24"/>
          <w:lang w:val="zh-CN" w:eastAsia="zh-CN"/>
        </w:rPr>
        <w:t>用电设备要求接地可靠；</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2.1.2海拔高度：4000m以下；</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2.1.3环境温度：极端最低温度-12℃、极端最高温度45℃；</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2.1.4相对湿度：最大95%、最小15%；</w:t>
      </w:r>
    </w:p>
    <w:p>
      <w:pPr>
        <w:spacing w:line="360" w:lineRule="auto"/>
        <w:ind w:firstLine="480" w:firstLineChars="200"/>
        <w:rPr>
          <w:rFonts w:hint="eastAsia" w:ascii="宋体" w:hAnsi="宋体" w:eastAsia="宋体" w:cs="Times New Roman"/>
          <w:sz w:val="24"/>
          <w:szCs w:val="24"/>
          <w:lang w:val="zh-CN" w:eastAsia="zh-CN"/>
        </w:rPr>
      </w:pPr>
      <w:r>
        <w:rPr>
          <w:rFonts w:hint="eastAsia" w:ascii="宋体" w:hAnsi="宋体" w:eastAsia="宋体" w:cs="Times New Roman"/>
          <w:sz w:val="24"/>
          <w:szCs w:val="24"/>
          <w:lang w:val="en-US" w:eastAsia="zh-CN"/>
        </w:rPr>
        <w:t>2.1.5振动限制:在0 - 25赫兹,加速度不得高于1.5 mm / s²(在任何方向XYZ)；</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2.1.6工作时长：全年工作200日历日、 一班制、设备年时基数1600小时。</w:t>
      </w:r>
    </w:p>
    <w:p>
      <w:pPr>
        <w:spacing w:line="36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2.2激光扫描仪参数及技术要求</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2.2.1设备结构：高分辨率的双CCD系统及一个激光发射器，结构简单，稳定，符合人体工程学的手持设计；</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2.2.2激光光源形式：20束蓝色激光线、20束近景蓝色激光线以及1束可以单独工作的蓝色激光线，扫描速度快；</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2.2.3新全局摄影定位系统：全局摄影定位，不需要使用任何编码点，直接使用扫描标记点进行定位工作，省去布置编码点时间； </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2.2.4全新定位点采集模式：激光扫描和全局摄影定位集成一体，具有双相机直接扫描定位点模式和单相机高精扫描定位点模式，扫描获得的数据可以直接用于激光扫描；</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2.2.5扫描速率：≥1,500,000次测量/秒；</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2.2.6最高分辨率可达：≤0.05mm具备超高细节展示度；</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2.2.7超高精度：精度高达0.010mm，体积精度：≤0.02mm+0.015mm/m，，扫描中大型物体优势更加明显； </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2.2.8具备三种工作模式，三种工作模式可以通过扫描仪按钮实时切换，且各种模式扫描数据在同一坐标系三维数据中，无需后期拼接。三种工作模式可以通过按钮双击快速实现切换，无需繁琐操作；</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2.2.9应用广泛：能扫描不同大小形状的物体，为工业现场提供了从0.02m到6m的全尺寸解决方案；</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2.2.10基准距单幅扫描区域：深度优化各个扫描流程，标记点数量大大减少，最大扫描面幅≥560mm×610mm；</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2.2.11扫描基准距及景深：扫描基准距≥700mm，扫描景深≥460mm；</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2.2.12全局摄影测量景深：摄影景深≥2000mm；</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2.2.13扫描距离提示音功能：仪器本身具备声音指示，指示用户正确和最佳工作角度及范围；</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2.2.14设备重量：≤1KG；</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2.2.15轻质超长线缆：10米。</w:t>
      </w:r>
    </w:p>
    <w:p>
      <w:pPr>
        <w:spacing w:line="36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2.3内置摄影测量</w:t>
      </w:r>
    </w:p>
    <w:p>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2.3.1测量面积的扩展：可达6000 mm；</w:t>
      </w:r>
    </w:p>
    <w:p>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 xml:space="preserve">2.3.2工作模式；                              </w:t>
      </w:r>
    </w:p>
    <w:p>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2.3.3摄影测量景深：摄影景深≥2000mm；</w:t>
      </w:r>
    </w:p>
    <w:p>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2.3.4体积精度：≤0.02mm+0.015mm/m，无需借助任何外部设备；</w:t>
      </w:r>
    </w:p>
    <w:p>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2.3.5一对碳纤维比例尺：2 x 1 m；</w:t>
      </w:r>
    </w:p>
    <w:p>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2.3.6运输袋；</w:t>
      </w:r>
    </w:p>
    <w:p>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2.3.7校准证书。</w:t>
      </w:r>
    </w:p>
    <w:p>
      <w:pPr>
        <w:spacing w:line="36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2.4图形处理工作站</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品牌笔记本电脑移动工作站，配置要求如下：</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2.4.1英特尔64位2.6 GHz ；</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2.4.2 64 GB RAM；</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2.4.3英伟达 Quadro OpenGL 图形显卡；</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2.4.4 17寸TFT显示器并带有运输箱；</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2.4.5 1T固态硬盘（磁盘阵列系统）；</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2.4.6外置USB系统备份盘；</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2.4.7滚轮鼠标，键盘；</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2.4.8操作系统：Windows 10 (64 Bit)。</w:t>
      </w:r>
    </w:p>
    <w:p>
      <w:pPr>
        <w:spacing w:line="360" w:lineRule="auto"/>
        <w:ind w:firstLine="482" w:firstLineChars="200"/>
        <w:rPr>
          <w:rFonts w:hint="eastAsia" w:ascii="宋体" w:hAnsi="宋体" w:eastAsia="宋体" w:cs="Times New Roman"/>
          <w:b/>
          <w:bCs/>
          <w:sz w:val="24"/>
          <w:szCs w:val="24"/>
          <w:lang w:val="en-US" w:eastAsia="zh-CN"/>
        </w:rPr>
      </w:pPr>
      <w:r>
        <w:rPr>
          <w:rFonts w:hint="eastAsia" w:ascii="宋体" w:hAnsi="宋体" w:eastAsia="宋体" w:cs="Times New Roman"/>
          <w:b/>
          <w:bCs/>
          <w:sz w:val="24"/>
          <w:szCs w:val="24"/>
          <w:lang w:val="en-US" w:eastAsia="zh-CN"/>
        </w:rPr>
        <w:t>2.5分析检测软件</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2.5.1快速校准：具备用户快速校准功能，校准时间小于3秒，就可以投入使用；</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2.5.2软件具备新建工程、保存、设置、读取等系列功能，对应的数据格式主要包括工程格式、标记点格式、点云格式和三角网格面格式；</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2.5.3三维数据自动生成STL 三角网格面，可以直接在扫描软件上对STL数据进行简化、开流形、细化和去除特征等操作；</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2.5.4具备点云/面片处理功能，包括：网格优化、工程文件合并、数据裁剪、自动删除杂点、自动选取并删除非连接项、删除钉状物、松弛、网格优化、去除特征、细化网格、手动填补孔洞和开流形等功能；</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2.5.5软件具备设置扫描点间距、实时调整激光强度、变化和调整扫描视角等功能；</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2.5.6扫描软件具备手动填补孔洞功能，软件可以根据周围曲率手动选择填补孔洞；</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2.5.7点云或者网格面智能简化，软件可以根据扫描数据特征和曲率调节不同位置的点云或者网格面疏密，确保在扫描质量最优的状态下生成数据量最小的数据；</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2.5.8具有框选精扫描模式：扫描过程中可以框选指定区域，使得该区域内的三维数据分辨率优于区域外数据，即同一组数据中存在不同分辨率，且扫描过程中实时可调；</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2.5.9扫描软件具有多个扫描工程文件自动合并功能，扫描软件可以通过公共标记点自动对齐两个独立且坐标系不同的扫描数据；</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2.5.10卫星工作模式识别全局参考点；</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2.5.11完全自动对齐照片；</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2.5.12拍照时同时校准相机；</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2.5.13通过3D图像映射导航；</w:t>
      </w:r>
    </w:p>
    <w:p>
      <w:pPr>
        <w:spacing w:line="360" w:lineRule="auto"/>
        <w:ind w:firstLine="480" w:firstLineChars="200"/>
        <w:rPr>
          <w:rFonts w:hint="default" w:ascii="宋体" w:hAnsi="宋体" w:eastAsia="宋体" w:cs="Times New Roman"/>
          <w:sz w:val="24"/>
          <w:szCs w:val="24"/>
          <w:lang w:val="en-US" w:eastAsia="zh-CN"/>
        </w:rPr>
      </w:pPr>
      <w:r>
        <w:rPr>
          <w:rFonts w:hint="eastAsia" w:ascii="宋体" w:hAnsi="宋体" w:eastAsia="宋体" w:cs="Times New Roman"/>
          <w:sz w:val="24"/>
          <w:szCs w:val="24"/>
          <w:lang w:val="en-US" w:eastAsia="zh-CN"/>
        </w:rPr>
        <w:t>2.5.14自动计算三维坐标；</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2.5.15 网格数据编辑；</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2.5.16 输入点云和多边形网格(STL, ASCII, POL, etc.)；</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2.5.17 将随机的点云进行多边形网格化；</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2.5.18 根据周边曲率进行补孔；</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2.5.19 光顺, 细化和提炼多边形网格；</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2.5.20 规则化多边形网格；</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2.5.21 修补, 结合和缝补网格区域；</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2.5.22 对多边形网格进行反向,偏移和比例缩放；</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2.5.23 跟踪和评估特征线；</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2.5.24 黄金网格: 根据系列数据平均化计算网格；</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2.5.25 3D数据输出(ASCII, POL or STL)；</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2.5.26 输入测量计划；</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2.5.27 根据CAD数据和多边形网格构造元素；</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2.5.28 在区域和边界上构造多点；</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2.5.29 拟合元素；</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2.5.30 截面线(轴平行, 圆,单线)；</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2.5.31 距离,角度,虚拟卡尺；</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2.5.32 交点, 投影点,垂直和平均点；</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2.5.33 理论/实际 比较；</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2.5.34 输入标准格式的CAD数据: IGES, VDA, STEP, JT Open, STL；</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2.5.35 导出特殊格式的CAD数据: XYZ、TXT、IGS、STL；</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2.5.36 自动进行数据预对齐；</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2.5.37 根据①整体最佳拟合；②局部最佳拟合；③点-线-面拟合；④RPS拟合；⑤3-2-1建系拟合进行对齐；</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2.5.38 在CAD数据上定义坐标系；</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2.5.39 将理论/实际数据进行比较；</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2.5.40 具备预定义和客户化定制的彩色误差分别图；</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2.5.41 面品检测：根据扫描数据进行面品检测分析，实现制件面品检测，可分辨公差≤0.02mm以）内；</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2.5.42 制件R角检测：可根据曲面曲线自动提取整个曲面的R角大小，而非单一截面手动提取结果可以实现R0及以上产品R角检测功能；</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2.5.43 截面线检测附带针状图；</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2.5.44 全域材料厚度计算；</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2.5.45 I-Inspect:测量原则和检测结构的简单分配；</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2.5.46 基于局部坐标系的尺寸标注；</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2.5.47 GD &amp; T评估根据 DIN ISO 1101和ASME Y14.5；</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2.5.48 完全的评估跟踪功能；</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2.5.49 报告模块；</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2.5.50 客户化测量点显示: 标签, 针状图…；</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2.5.51 平面图的编制与更新；</w:t>
      </w:r>
    </w:p>
    <w:p>
      <w:pPr>
        <w:spacing w:line="360" w:lineRule="auto"/>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2.5.52 不同步奏评估的描述,附带视频；</w:t>
      </w:r>
    </w:p>
    <w:p>
      <w:pPr>
        <w:pStyle w:val="112"/>
        <w:spacing w:line="360" w:lineRule="auto"/>
        <w:ind w:firstLine="480" w:firstLineChars="200"/>
        <w:outlineLvl w:val="2"/>
        <w:rPr>
          <w:rFonts w:hint="eastAsia" w:eastAsia="宋体" w:cs="宋体"/>
          <w:b/>
          <w:bCs w:val="0"/>
          <w:sz w:val="24"/>
          <w:szCs w:val="24"/>
          <w:highlight w:val="none"/>
        </w:rPr>
      </w:pPr>
      <w:r>
        <w:rPr>
          <w:rFonts w:hint="eastAsia" w:ascii="宋体" w:hAnsi="宋体" w:eastAsia="宋体" w:cs="Times New Roman"/>
          <w:sz w:val="24"/>
          <w:szCs w:val="24"/>
          <w:lang w:val="en-US" w:eastAsia="zh-CN"/>
        </w:rPr>
        <w:t>2.5.53 以CSV表格,PNG或PDF输出报告。</w:t>
      </w:r>
    </w:p>
    <w:p>
      <w:pPr>
        <w:pStyle w:val="117"/>
        <w:spacing w:line="360" w:lineRule="auto"/>
        <w:outlineLvl w:val="2"/>
        <w:rPr>
          <w:rFonts w:hint="eastAsia" w:ascii="宋体" w:hAnsi="宋体" w:cs="宋体"/>
          <w:color w:val="auto"/>
        </w:rPr>
      </w:pPr>
      <w:bookmarkStart w:id="36" w:name="_Toc169605881"/>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.招标人</w:t>
      </w:r>
      <w:r>
        <w:rPr>
          <w:rFonts w:hint="eastAsia" w:ascii="宋体" w:hAnsi="宋体" w:eastAsia="宋体" w:cs="宋体"/>
          <w:sz w:val="24"/>
          <w:szCs w:val="24"/>
        </w:rPr>
        <w:t>此处所列标准仅为涉及的主要标准，而且不保证其为最新版执行标准；</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采购货物如果采用国际标准，其执行标准由</w:t>
      </w:r>
      <w:r>
        <w:rPr>
          <w:rFonts w:hint="eastAsia" w:ascii="宋体" w:hAnsi="宋体" w:eastAsia="宋体" w:cs="宋体"/>
          <w:sz w:val="24"/>
          <w:szCs w:val="24"/>
          <w:lang w:eastAsia="zh-CN"/>
        </w:rPr>
        <w:t>投标人</w:t>
      </w:r>
      <w:r>
        <w:rPr>
          <w:rFonts w:hint="eastAsia" w:ascii="宋体" w:hAnsi="宋体" w:eastAsia="宋体" w:cs="宋体"/>
          <w:sz w:val="24"/>
          <w:szCs w:val="24"/>
        </w:rPr>
        <w:t>提供、</w:t>
      </w:r>
      <w:r>
        <w:rPr>
          <w:rFonts w:hint="eastAsia" w:ascii="宋体" w:hAnsi="宋体" w:eastAsia="宋体" w:cs="宋体"/>
          <w:sz w:val="24"/>
          <w:szCs w:val="24"/>
          <w:lang w:eastAsia="zh-CN"/>
        </w:rPr>
        <w:t>招标人</w:t>
      </w:r>
      <w:r>
        <w:rPr>
          <w:rFonts w:hint="eastAsia" w:ascii="宋体" w:hAnsi="宋体" w:eastAsia="宋体" w:cs="宋体"/>
          <w:sz w:val="24"/>
          <w:szCs w:val="24"/>
        </w:rPr>
        <w:t>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eastAsia="zh-CN"/>
        </w:rPr>
        <w:t>.</w:t>
      </w:r>
      <w:r>
        <w:rPr>
          <w:rFonts w:hint="eastAsia" w:ascii="宋体" w:hAnsi="宋体" w:eastAsia="宋体" w:cs="宋体"/>
          <w:sz w:val="24"/>
          <w:szCs w:val="24"/>
        </w:rPr>
        <w:t>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lang w:eastAsia="zh-CN"/>
        </w:rPr>
        <w:t>.</w:t>
      </w:r>
      <w:r>
        <w:rPr>
          <w:rFonts w:hint="eastAsia" w:ascii="宋体" w:hAnsi="宋体" w:eastAsia="宋体" w:cs="宋体"/>
          <w:sz w:val="24"/>
          <w:szCs w:val="24"/>
        </w:rPr>
        <w:t>涉及的主要标准表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675"/>
        <w:gridCol w:w="2835"/>
        <w:gridCol w:w="1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序号</w:t>
            </w:r>
          </w:p>
        </w:tc>
        <w:tc>
          <w:tcPr>
            <w:tcW w:w="36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标准名称</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标准编号</w:t>
            </w: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8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36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提供企业标准</w:t>
            </w:r>
          </w:p>
        </w:tc>
        <w:tc>
          <w:tcPr>
            <w:tcW w:w="28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p>
        </w:tc>
        <w:tc>
          <w:tcPr>
            <w:tcW w:w="166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000000"/>
                <w:sz w:val="24"/>
                <w:szCs w:val="24"/>
              </w:rPr>
            </w:pPr>
            <w:r>
              <w:rPr>
                <w:rFonts w:hint="eastAsia" w:ascii="宋体" w:hAnsi="宋体" w:eastAsia="宋体" w:cs="宋体"/>
                <w:bCs/>
                <w:color w:val="000000"/>
                <w:sz w:val="24"/>
                <w:szCs w:val="24"/>
                <w:lang w:val="en-US" w:eastAsia="zh-CN"/>
              </w:rPr>
              <w:t>招标人</w:t>
            </w:r>
            <w:r>
              <w:rPr>
                <w:rFonts w:hint="eastAsia" w:ascii="宋体" w:hAnsi="宋体" w:eastAsia="宋体" w:cs="宋体"/>
                <w:bCs/>
                <w:color w:val="000000"/>
                <w:sz w:val="24"/>
                <w:szCs w:val="24"/>
              </w:rPr>
              <w:t>确认</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w:t>
      </w:r>
    </w:p>
    <w:p>
      <w:pPr>
        <w:widowControl/>
        <w:spacing w:line="360" w:lineRule="auto"/>
        <w:jc w:val="left"/>
        <w:rPr>
          <w:rFonts w:ascii="宋体" w:hAnsi="Calibri" w:eastAsia="宋体" w:cs="Times New Roman"/>
          <w:szCs w:val="20"/>
        </w:rPr>
      </w:pPr>
      <w:r>
        <w:rPr>
          <w:rFonts w:ascii="宋体" w:hAnsi="Calibri" w:eastAsia="宋体" w:cs="Times New Roman"/>
          <w:szCs w:val="20"/>
        </w:rPr>
        <w:br w:type="page"/>
      </w: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bookmarkEnd w:id="36"/>
    </w:p>
    <w:p/>
    <w:p>
      <w:pPr>
        <w:keepNext/>
        <w:keepLines/>
        <w:spacing w:line="360" w:lineRule="auto"/>
        <w:jc w:val="center"/>
        <w:outlineLvl w:val="2"/>
        <w:rPr>
          <w:rFonts w:ascii="宋体" w:hAnsi="宋体" w:eastAsia="宋体" w:cs="宋体"/>
          <w:b/>
          <w:bCs/>
          <w:sz w:val="24"/>
          <w:szCs w:val="32"/>
        </w:rPr>
      </w:pPr>
      <w:bookmarkStart w:id="37" w:name="_Toc169605882"/>
      <w:r>
        <w:rPr>
          <w:rFonts w:hint="eastAsia" w:ascii="宋体" w:hAnsi="宋体" w:eastAsia="宋体" w:cs="宋体"/>
          <w:b/>
          <w:bCs/>
          <w:sz w:val="24"/>
          <w:szCs w:val="32"/>
        </w:rPr>
        <w:t>第一节  供货范围</w:t>
      </w:r>
      <w:bookmarkEnd w:id="37"/>
    </w:p>
    <w:p>
      <w:pPr>
        <w:spacing w:line="420" w:lineRule="exact"/>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一、供货范围</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3320"/>
        <w:gridCol w:w="988"/>
        <w:gridCol w:w="962"/>
        <w:gridCol w:w="2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240" w:lineRule="auto"/>
              <w:jc w:val="center"/>
              <w:textAlignment w:val="center"/>
              <w:rPr>
                <w:rFonts w:ascii="宋体" w:hAnsi="宋体" w:eastAsia="宋体" w:cs="宋体"/>
                <w:sz w:val="24"/>
                <w:szCs w:val="24"/>
              </w:rPr>
            </w:pPr>
            <w:r>
              <w:rPr>
                <w:rFonts w:hint="eastAsia" w:ascii="宋体" w:hAnsi="宋体" w:eastAsia="宋体" w:cs="宋体"/>
                <w:sz w:val="24"/>
                <w:szCs w:val="24"/>
              </w:rPr>
              <w:t>序号</w:t>
            </w:r>
          </w:p>
        </w:tc>
        <w:tc>
          <w:tcPr>
            <w:tcW w:w="3320" w:type="dxa"/>
            <w:vAlign w:val="center"/>
          </w:tcPr>
          <w:p>
            <w:pPr>
              <w:spacing w:line="240" w:lineRule="auto"/>
              <w:jc w:val="center"/>
              <w:textAlignment w:val="center"/>
              <w:rPr>
                <w:rFonts w:ascii="宋体" w:hAnsi="宋体" w:eastAsia="宋体" w:cs="宋体"/>
                <w:sz w:val="24"/>
                <w:szCs w:val="24"/>
              </w:rPr>
            </w:pPr>
            <w:r>
              <w:rPr>
                <w:rFonts w:hint="eastAsia" w:ascii="宋体" w:hAnsi="宋体" w:eastAsia="宋体" w:cs="宋体"/>
                <w:sz w:val="24"/>
                <w:szCs w:val="24"/>
              </w:rPr>
              <w:t>名称</w:t>
            </w:r>
          </w:p>
        </w:tc>
        <w:tc>
          <w:tcPr>
            <w:tcW w:w="988" w:type="dxa"/>
            <w:vAlign w:val="center"/>
          </w:tcPr>
          <w:p>
            <w:pPr>
              <w:spacing w:line="240" w:lineRule="auto"/>
              <w:jc w:val="center"/>
              <w:textAlignment w:val="center"/>
              <w:rPr>
                <w:rFonts w:ascii="宋体" w:hAnsi="宋体" w:eastAsia="宋体" w:cs="宋体"/>
                <w:sz w:val="24"/>
                <w:szCs w:val="24"/>
              </w:rPr>
            </w:pPr>
            <w:r>
              <w:rPr>
                <w:rFonts w:hint="eastAsia" w:ascii="宋体" w:hAnsi="宋体" w:eastAsia="宋体" w:cs="宋体"/>
                <w:sz w:val="24"/>
                <w:szCs w:val="24"/>
              </w:rPr>
              <w:t>单位</w:t>
            </w:r>
          </w:p>
        </w:tc>
        <w:tc>
          <w:tcPr>
            <w:tcW w:w="962" w:type="dxa"/>
            <w:vAlign w:val="center"/>
          </w:tcPr>
          <w:p>
            <w:pPr>
              <w:spacing w:line="240" w:lineRule="auto"/>
              <w:jc w:val="center"/>
              <w:textAlignment w:val="center"/>
              <w:rPr>
                <w:rFonts w:ascii="宋体" w:hAnsi="宋体" w:eastAsia="宋体" w:cs="宋体"/>
                <w:sz w:val="24"/>
                <w:szCs w:val="24"/>
              </w:rPr>
            </w:pPr>
            <w:r>
              <w:rPr>
                <w:rFonts w:hint="eastAsia" w:ascii="宋体" w:hAnsi="宋体" w:eastAsia="宋体" w:cs="宋体"/>
                <w:sz w:val="24"/>
                <w:szCs w:val="24"/>
              </w:rPr>
              <w:t>数量</w:t>
            </w:r>
          </w:p>
        </w:tc>
        <w:tc>
          <w:tcPr>
            <w:tcW w:w="2668" w:type="dxa"/>
            <w:vAlign w:val="center"/>
          </w:tcPr>
          <w:p>
            <w:pPr>
              <w:spacing w:line="240" w:lineRule="auto"/>
              <w:jc w:val="center"/>
              <w:textAlignment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rPr>
              <w:t>1</w:t>
            </w:r>
          </w:p>
        </w:tc>
        <w:tc>
          <w:tcPr>
            <w:tcW w:w="33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rPr>
              <w:t>ZEISS T-SCAN Hawk 2便携式激光扫描仪</w:t>
            </w:r>
          </w:p>
        </w:tc>
        <w:tc>
          <w:tcPr>
            <w:tcW w:w="988" w:type="dxa"/>
            <w:vAlign w:val="center"/>
          </w:tcPr>
          <w:p>
            <w:pPr>
              <w:spacing w:line="240" w:lineRule="auto"/>
              <w:jc w:val="center"/>
              <w:textAlignment w:val="center"/>
              <w:rPr>
                <w:rFonts w:hint="eastAsia" w:ascii="宋体" w:hAnsi="宋体" w:eastAsia="宋体" w:cs="宋体"/>
                <w:sz w:val="24"/>
                <w:szCs w:val="24"/>
                <w:highlight w:val="yellow"/>
                <w:lang w:val="en-US" w:eastAsia="zh-CN"/>
              </w:rPr>
            </w:pP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1.1</w:t>
            </w:r>
          </w:p>
        </w:tc>
        <w:tc>
          <w:tcPr>
            <w:tcW w:w="3320" w:type="dxa"/>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扫描速率</w:t>
            </w:r>
          </w:p>
        </w:tc>
        <w:tc>
          <w:tcPr>
            <w:tcW w:w="988" w:type="dxa"/>
            <w:vAlign w:val="center"/>
          </w:tcPr>
          <w:p>
            <w:pPr>
              <w:spacing w:line="240" w:lineRule="auto"/>
              <w:jc w:val="center"/>
              <w:textAlignment w:val="center"/>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套</w:t>
            </w: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1,500,000次测量/秒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1.2</w:t>
            </w:r>
          </w:p>
        </w:tc>
        <w:tc>
          <w:tcPr>
            <w:tcW w:w="3320" w:type="dxa"/>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光源形式</w:t>
            </w:r>
          </w:p>
        </w:tc>
        <w:tc>
          <w:tcPr>
            <w:tcW w:w="988" w:type="dxa"/>
            <w:vAlign w:val="center"/>
          </w:tcPr>
          <w:p>
            <w:pPr>
              <w:spacing w:line="240" w:lineRule="auto"/>
              <w:jc w:val="center"/>
              <w:textAlignment w:val="center"/>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套</w:t>
            </w: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20束蓝色激光线快扫模式、20束近景蓝色激光精细模式以及1束可以单独工作的蓝色激光线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1.3</w:t>
            </w:r>
          </w:p>
        </w:tc>
        <w:tc>
          <w:tcPr>
            <w:tcW w:w="3320" w:type="dxa"/>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GB" w:eastAsia="zh-CN"/>
              </w:rPr>
              <w:t>激光类别</w:t>
            </w:r>
          </w:p>
        </w:tc>
        <w:tc>
          <w:tcPr>
            <w:tcW w:w="988" w:type="dxa"/>
            <w:vAlign w:val="center"/>
          </w:tcPr>
          <w:p>
            <w:pPr>
              <w:spacing w:line="240" w:lineRule="auto"/>
              <w:jc w:val="center"/>
              <w:textAlignment w:val="center"/>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套</w:t>
            </w: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GB" w:eastAsia="zh-CN"/>
              </w:rPr>
              <w:t xml:space="preserve">ClassⅡ(人眼安全)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1.4</w:t>
            </w:r>
          </w:p>
        </w:tc>
        <w:tc>
          <w:tcPr>
            <w:tcW w:w="3320" w:type="dxa"/>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全局摄影测量模块（内置）</w:t>
            </w:r>
          </w:p>
        </w:tc>
        <w:tc>
          <w:tcPr>
            <w:tcW w:w="988" w:type="dxa"/>
            <w:vAlign w:val="center"/>
          </w:tcPr>
          <w:p>
            <w:pPr>
              <w:spacing w:line="240" w:lineRule="auto"/>
              <w:jc w:val="center"/>
              <w:textAlignment w:val="center"/>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套</w:t>
            </w: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整车扫描使用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1.5</w:t>
            </w:r>
          </w:p>
        </w:tc>
        <w:tc>
          <w:tcPr>
            <w:tcW w:w="3320" w:type="dxa"/>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扫描标定物</w:t>
            </w:r>
          </w:p>
        </w:tc>
        <w:tc>
          <w:tcPr>
            <w:tcW w:w="988" w:type="dxa"/>
            <w:vAlign w:val="center"/>
          </w:tcPr>
          <w:p>
            <w:pPr>
              <w:spacing w:line="240" w:lineRule="auto"/>
              <w:jc w:val="center"/>
              <w:textAlignment w:val="center"/>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个</w:t>
            </w: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扫描标定物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1.6</w:t>
            </w:r>
          </w:p>
        </w:tc>
        <w:tc>
          <w:tcPr>
            <w:tcW w:w="3320" w:type="dxa"/>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摄影比例尺</w:t>
            </w:r>
          </w:p>
        </w:tc>
        <w:tc>
          <w:tcPr>
            <w:tcW w:w="988" w:type="dxa"/>
            <w:vAlign w:val="center"/>
          </w:tcPr>
          <w:p>
            <w:pPr>
              <w:spacing w:line="240" w:lineRule="auto"/>
              <w:jc w:val="center"/>
              <w:textAlignment w:val="center"/>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套</w:t>
            </w: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摄影比例尺2根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1.7</w:t>
            </w:r>
          </w:p>
        </w:tc>
        <w:tc>
          <w:tcPr>
            <w:tcW w:w="3320" w:type="dxa"/>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传输数据线</w:t>
            </w:r>
          </w:p>
        </w:tc>
        <w:tc>
          <w:tcPr>
            <w:tcW w:w="988" w:type="dxa"/>
            <w:vAlign w:val="center"/>
          </w:tcPr>
          <w:p>
            <w:pPr>
              <w:spacing w:line="24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根</w:t>
            </w: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超轻10米数据线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rPr>
              <w:t>2</w:t>
            </w:r>
          </w:p>
        </w:tc>
        <w:tc>
          <w:tcPr>
            <w:tcW w:w="33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rPr>
              <w:t>扫描测量软件</w:t>
            </w:r>
          </w:p>
        </w:tc>
        <w:tc>
          <w:tcPr>
            <w:tcW w:w="988" w:type="dxa"/>
            <w:vAlign w:val="center"/>
          </w:tcPr>
          <w:p>
            <w:pPr>
              <w:spacing w:line="240" w:lineRule="auto"/>
              <w:jc w:val="center"/>
              <w:textAlignment w:val="center"/>
              <w:rPr>
                <w:rFonts w:hint="eastAsia" w:ascii="宋体" w:hAnsi="宋体" w:eastAsia="宋体" w:cs="宋体"/>
                <w:sz w:val="24"/>
                <w:szCs w:val="24"/>
                <w:highlight w:val="yellow"/>
              </w:rPr>
            </w:pP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2.1</w:t>
            </w:r>
          </w:p>
        </w:tc>
        <w:tc>
          <w:tcPr>
            <w:tcW w:w="33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扫描测量</w:t>
            </w:r>
            <w:r>
              <w:rPr>
                <w:rFonts w:hint="eastAsia" w:ascii="宋体" w:hAnsi="宋体" w:eastAsia="宋体" w:cs="宋体"/>
                <w:kern w:val="2"/>
                <w:sz w:val="24"/>
                <w:szCs w:val="24"/>
                <w:lang w:val="de-DE" w:eastAsia="de-DE"/>
              </w:rPr>
              <w:t>GOM Inspect Suite with Sensor Driver T-SCAN hawk 2</w:t>
            </w:r>
          </w:p>
        </w:tc>
        <w:tc>
          <w:tcPr>
            <w:tcW w:w="988" w:type="dxa"/>
            <w:vAlign w:val="center"/>
          </w:tcPr>
          <w:p>
            <w:pPr>
              <w:spacing w:line="240" w:lineRule="auto"/>
              <w:jc w:val="center"/>
              <w:textAlignment w:val="center"/>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套</w:t>
            </w: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de-DE" w:eastAsia="de-DE"/>
              </w:rPr>
              <w:t>GOM Inspect Suite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rPr>
              <w:t>3</w:t>
            </w:r>
          </w:p>
        </w:tc>
        <w:tc>
          <w:tcPr>
            <w:tcW w:w="33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rPr>
              <w:t>图形处理工作站</w:t>
            </w:r>
          </w:p>
        </w:tc>
        <w:tc>
          <w:tcPr>
            <w:tcW w:w="988" w:type="dxa"/>
            <w:vAlign w:val="center"/>
          </w:tcPr>
          <w:p>
            <w:pPr>
              <w:spacing w:line="240" w:lineRule="auto"/>
              <w:jc w:val="center"/>
              <w:textAlignment w:val="center"/>
              <w:rPr>
                <w:rFonts w:hint="eastAsia" w:ascii="宋体" w:hAnsi="宋体" w:eastAsia="宋体" w:cs="宋体"/>
                <w:sz w:val="24"/>
                <w:szCs w:val="24"/>
                <w:highlight w:val="yellow"/>
              </w:rPr>
            </w:pP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default" w:ascii="宋体" w:hAnsi="宋体" w:eastAsia="宋体" w:cs="宋体"/>
                <w:b w:val="0"/>
                <w:bCs w:val="0"/>
                <w:kern w:val="2"/>
                <w:sz w:val="24"/>
                <w:szCs w:val="24"/>
                <w:lang w:val="en-US" w:eastAsia="zh-CN" w:bidi="ar-SA"/>
              </w:rPr>
            </w:pP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3.1</w:t>
            </w:r>
          </w:p>
        </w:tc>
        <w:tc>
          <w:tcPr>
            <w:tcW w:w="3320"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DELL移动图形工作站</w:t>
            </w:r>
          </w:p>
        </w:tc>
        <w:tc>
          <w:tcPr>
            <w:tcW w:w="988" w:type="dxa"/>
            <w:vAlign w:val="center"/>
          </w:tcPr>
          <w:p>
            <w:pPr>
              <w:spacing w:line="240" w:lineRule="auto"/>
              <w:jc w:val="center"/>
              <w:textAlignment w:val="center"/>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台</w:t>
            </w: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GB" w:eastAsia="zh-CN"/>
              </w:rPr>
              <w:t>英特尔64位2.</w:t>
            </w:r>
            <w:r>
              <w:rPr>
                <w:rFonts w:hint="eastAsia" w:ascii="宋体" w:hAnsi="宋体" w:eastAsia="宋体" w:cs="宋体"/>
                <w:kern w:val="2"/>
                <w:sz w:val="24"/>
                <w:szCs w:val="24"/>
                <w:lang w:val="en-US" w:eastAsia="zh-CN"/>
              </w:rPr>
              <w:t>6</w:t>
            </w:r>
            <w:r>
              <w:rPr>
                <w:rFonts w:hint="eastAsia" w:ascii="宋体" w:hAnsi="宋体" w:eastAsia="宋体" w:cs="宋体"/>
                <w:kern w:val="2"/>
                <w:sz w:val="24"/>
                <w:szCs w:val="24"/>
                <w:lang w:val="en-GB" w:eastAsia="zh-CN"/>
              </w:rPr>
              <w:t>GHz ；</w:t>
            </w:r>
            <w:r>
              <w:rPr>
                <w:rFonts w:hint="eastAsia" w:ascii="宋体" w:hAnsi="宋体" w:eastAsia="宋体" w:cs="宋体"/>
                <w:kern w:val="2"/>
                <w:sz w:val="24"/>
                <w:szCs w:val="24"/>
                <w:lang w:val="en-US" w:eastAsia="zh-CN"/>
              </w:rPr>
              <w:t>64</w:t>
            </w:r>
            <w:r>
              <w:rPr>
                <w:rFonts w:hint="eastAsia" w:ascii="宋体" w:hAnsi="宋体" w:eastAsia="宋体" w:cs="宋体"/>
                <w:kern w:val="2"/>
                <w:sz w:val="24"/>
                <w:szCs w:val="24"/>
                <w:lang w:val="en-GB" w:eastAsia="zh-CN"/>
              </w:rPr>
              <w:t>GB RAM；英伟达 Quadro OpenGL 图形显卡；17寸显示器；1 TB硬盘；外置USB系统备份盘；滚轮鼠标；操作系统：Windows 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b/>
                <w:bCs/>
                <w:kern w:val="2"/>
                <w:sz w:val="24"/>
                <w:szCs w:val="24"/>
                <w:lang w:val="en-US" w:eastAsia="zh-CN"/>
              </w:rPr>
            </w:pPr>
            <w:r>
              <w:rPr>
                <w:rFonts w:hint="eastAsia" w:ascii="宋体" w:hAnsi="宋体" w:eastAsia="宋体" w:cs="宋体"/>
                <w:b/>
                <w:bCs/>
                <w:kern w:val="2"/>
                <w:sz w:val="24"/>
                <w:szCs w:val="24"/>
                <w:lang w:val="en-US" w:eastAsia="zh-CN"/>
              </w:rPr>
              <w:t>4</w:t>
            </w:r>
          </w:p>
        </w:tc>
        <w:tc>
          <w:tcPr>
            <w:tcW w:w="3320"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b/>
                <w:bCs/>
                <w:kern w:val="2"/>
                <w:sz w:val="24"/>
                <w:szCs w:val="24"/>
                <w:lang w:val="en-US" w:eastAsia="zh-CN"/>
              </w:rPr>
            </w:pPr>
            <w:r>
              <w:rPr>
                <w:rFonts w:hint="eastAsia" w:ascii="宋体" w:hAnsi="宋体" w:eastAsia="宋体" w:cs="宋体"/>
                <w:b/>
                <w:bCs/>
                <w:kern w:val="2"/>
                <w:sz w:val="24"/>
                <w:szCs w:val="24"/>
                <w:lang w:val="en-US" w:eastAsia="zh-CN"/>
              </w:rPr>
              <w:t>备品备件</w:t>
            </w:r>
          </w:p>
        </w:tc>
        <w:tc>
          <w:tcPr>
            <w:tcW w:w="988" w:type="dxa"/>
            <w:vAlign w:val="center"/>
          </w:tcPr>
          <w:p>
            <w:pPr>
              <w:spacing w:line="240" w:lineRule="auto"/>
              <w:jc w:val="center"/>
              <w:textAlignment w:val="center"/>
              <w:rPr>
                <w:rFonts w:hint="eastAsia" w:ascii="宋体" w:hAnsi="宋体" w:eastAsia="宋体" w:cs="宋体"/>
                <w:sz w:val="24"/>
                <w:szCs w:val="24"/>
                <w:highlight w:val="yellow"/>
              </w:rPr>
            </w:pP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4.1</w:t>
            </w:r>
          </w:p>
        </w:tc>
        <w:tc>
          <w:tcPr>
            <w:tcW w:w="3320"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GB" w:eastAsia="zh-CN"/>
              </w:rPr>
              <w:t>反光</w:t>
            </w:r>
            <w:r>
              <w:rPr>
                <w:rFonts w:hint="eastAsia" w:ascii="宋体" w:hAnsi="宋体" w:eastAsia="宋体" w:cs="宋体"/>
                <w:kern w:val="2"/>
                <w:sz w:val="24"/>
                <w:szCs w:val="24"/>
                <w:lang w:val="en-US" w:eastAsia="zh-CN"/>
              </w:rPr>
              <w:t>参考点1</w:t>
            </w:r>
          </w:p>
        </w:tc>
        <w:tc>
          <w:tcPr>
            <w:tcW w:w="988" w:type="dxa"/>
            <w:vAlign w:val="center"/>
          </w:tcPr>
          <w:p>
            <w:pPr>
              <w:spacing w:line="240" w:lineRule="auto"/>
              <w:jc w:val="center"/>
              <w:textAlignment w:val="center"/>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套</w:t>
            </w: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7</w:t>
            </w: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GB" w:eastAsia="zh-CN"/>
              </w:rPr>
              <w:t>直径3mm反光参考点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4.2</w:t>
            </w:r>
          </w:p>
        </w:tc>
        <w:tc>
          <w:tcPr>
            <w:tcW w:w="3320"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GB" w:eastAsia="zh-CN"/>
              </w:rPr>
              <w:t>反光</w:t>
            </w:r>
            <w:r>
              <w:rPr>
                <w:rFonts w:hint="eastAsia" w:ascii="宋体" w:hAnsi="宋体" w:eastAsia="宋体" w:cs="宋体"/>
                <w:kern w:val="2"/>
                <w:sz w:val="24"/>
                <w:szCs w:val="24"/>
                <w:lang w:val="en-US" w:eastAsia="zh-CN"/>
              </w:rPr>
              <w:t>参考点2</w:t>
            </w:r>
          </w:p>
        </w:tc>
        <w:tc>
          <w:tcPr>
            <w:tcW w:w="988" w:type="dxa"/>
            <w:vAlign w:val="center"/>
          </w:tcPr>
          <w:p>
            <w:pPr>
              <w:spacing w:line="240" w:lineRule="auto"/>
              <w:jc w:val="center"/>
              <w:textAlignment w:val="center"/>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套</w:t>
            </w: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7</w:t>
            </w: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GB" w:eastAsia="zh-CN"/>
              </w:rPr>
              <w:t>直径6mm 反光参考点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b/>
                <w:bCs/>
                <w:kern w:val="2"/>
                <w:sz w:val="24"/>
                <w:szCs w:val="24"/>
                <w:lang w:val="en-US" w:eastAsia="zh-CN"/>
              </w:rPr>
            </w:pPr>
            <w:r>
              <w:rPr>
                <w:rFonts w:hint="eastAsia" w:ascii="宋体" w:hAnsi="宋体" w:eastAsia="宋体" w:cs="宋体"/>
                <w:b/>
                <w:bCs/>
                <w:kern w:val="2"/>
                <w:sz w:val="24"/>
                <w:szCs w:val="24"/>
                <w:lang w:val="en-US" w:eastAsia="zh-CN"/>
              </w:rPr>
              <w:t>5</w:t>
            </w:r>
          </w:p>
        </w:tc>
        <w:tc>
          <w:tcPr>
            <w:tcW w:w="3320"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b/>
                <w:bCs/>
                <w:kern w:val="2"/>
                <w:sz w:val="24"/>
                <w:szCs w:val="24"/>
                <w:lang w:val="en-US" w:eastAsia="zh-CN"/>
              </w:rPr>
            </w:pPr>
            <w:r>
              <w:rPr>
                <w:rFonts w:hint="eastAsia" w:ascii="宋体" w:hAnsi="宋体" w:eastAsia="宋体" w:cs="宋体"/>
                <w:b/>
                <w:bCs/>
                <w:kern w:val="2"/>
                <w:sz w:val="24"/>
                <w:szCs w:val="24"/>
                <w:lang w:val="en-US" w:eastAsia="zh-CN"/>
              </w:rPr>
              <w:t>工程服务</w:t>
            </w:r>
          </w:p>
        </w:tc>
        <w:tc>
          <w:tcPr>
            <w:tcW w:w="988" w:type="dxa"/>
            <w:vAlign w:val="center"/>
          </w:tcPr>
          <w:p>
            <w:pPr>
              <w:spacing w:line="240" w:lineRule="auto"/>
              <w:jc w:val="center"/>
              <w:textAlignment w:val="center"/>
              <w:rPr>
                <w:rFonts w:hint="eastAsia" w:ascii="宋体" w:hAnsi="宋体" w:eastAsia="宋体" w:cs="宋体"/>
                <w:sz w:val="24"/>
                <w:szCs w:val="24"/>
                <w:highlight w:val="yellow"/>
              </w:rPr>
            </w:pP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5.1</w:t>
            </w:r>
          </w:p>
        </w:tc>
        <w:tc>
          <w:tcPr>
            <w:tcW w:w="3320"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客户现场设备安装、调试</w:t>
            </w:r>
          </w:p>
        </w:tc>
        <w:tc>
          <w:tcPr>
            <w:tcW w:w="988" w:type="dxa"/>
            <w:vAlign w:val="center"/>
          </w:tcPr>
          <w:p>
            <w:pPr>
              <w:spacing w:line="240" w:lineRule="auto"/>
              <w:jc w:val="center"/>
              <w:textAlignment w:val="center"/>
              <w:rPr>
                <w:rFonts w:hint="eastAsia" w:ascii="宋体" w:hAnsi="宋体" w:eastAsia="宋体" w:cs="宋体"/>
                <w:sz w:val="24"/>
                <w:szCs w:val="24"/>
                <w:highlight w:val="yellow"/>
              </w:rPr>
            </w:pPr>
            <w:r>
              <w:rPr>
                <w:rFonts w:hint="eastAsia" w:ascii="宋体" w:hAnsi="宋体" w:eastAsia="宋体" w:cs="宋体"/>
                <w:sz w:val="24"/>
                <w:szCs w:val="24"/>
                <w:highlight w:val="none"/>
                <w:lang w:val="en-US" w:eastAsia="zh-CN"/>
              </w:rPr>
              <w:t>人·天</w:t>
            </w: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p>
        </w:tc>
        <w:tc>
          <w:tcPr>
            <w:tcW w:w="2668" w:type="dxa"/>
            <w:vAlign w:val="center"/>
          </w:tcPr>
          <w:p>
            <w:pPr>
              <w:spacing w:line="240" w:lineRule="auto"/>
              <w:jc w:val="center"/>
              <w:textAlignment w:val="center"/>
              <w:rPr>
                <w:rFonts w:hint="eastAsia" w:ascii="宋体" w:hAnsi="宋体" w:eastAsia="宋体" w:cs="宋体"/>
                <w:kern w:val="2"/>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5.2</w:t>
            </w:r>
          </w:p>
        </w:tc>
        <w:tc>
          <w:tcPr>
            <w:tcW w:w="3320"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技术培训</w:t>
            </w:r>
          </w:p>
        </w:tc>
        <w:tc>
          <w:tcPr>
            <w:tcW w:w="988" w:type="dxa"/>
            <w:vAlign w:val="center"/>
          </w:tcPr>
          <w:p>
            <w:pPr>
              <w:spacing w:line="240" w:lineRule="auto"/>
              <w:jc w:val="center"/>
              <w:textAlignment w:val="center"/>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人·天</w:t>
            </w:r>
          </w:p>
        </w:tc>
        <w:tc>
          <w:tcPr>
            <w:tcW w:w="96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p>
        </w:tc>
        <w:tc>
          <w:tcPr>
            <w:tcW w:w="2668" w:type="dxa"/>
            <w:vAlign w:val="center"/>
          </w:tcPr>
          <w:p>
            <w:pPr>
              <w:spacing w:line="240" w:lineRule="auto"/>
              <w:jc w:val="center"/>
              <w:textAlignment w:val="center"/>
              <w:rPr>
                <w:rFonts w:hint="default"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不少于5个工作日。</w:t>
            </w:r>
          </w:p>
        </w:tc>
      </w:tr>
    </w:tbl>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正常运行、使用所需要的过桥、护栏、防护网、盖板等辅助设施，以及在整个施工过程中的管道、电路的拆卸、改装、清理等工作，不产生报价外的其他费用。</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lang w:val="en-US" w:eastAsia="zh-CN"/>
        </w:rPr>
        <w:t>30</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w:t>
      </w:r>
      <w:r>
        <w:rPr>
          <w:rFonts w:hint="eastAsia" w:ascii="宋体" w:hAnsi="宋体" w:eastAsia="宋体" w:cs="宋体"/>
          <w:bCs w:val="0"/>
          <w:sz w:val="24"/>
          <w:szCs w:val="24"/>
        </w:rPr>
        <w:t>提供货物各部分的功能描述文件、图片、影像等资料（进口、设备应有中外文对照）。</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8</w:t>
      </w:r>
      <w:r>
        <w:rPr>
          <w:rFonts w:hint="eastAsia" w:ascii="宋体" w:hAnsi="宋体" w:eastAsia="宋体" w:cs="宋体"/>
          <w:sz w:val="24"/>
          <w:szCs w:val="24"/>
        </w:rPr>
        <w:t>.本条款所列的技术资料、图片、影像等，投标人应各提供5套，其中2套为</w:t>
      </w:r>
      <w:r>
        <w:rPr>
          <w:rFonts w:hint="eastAsia" w:ascii="宋体" w:hAnsi="宋体" w:eastAsia="宋体" w:cs="宋体"/>
          <w:sz w:val="24"/>
          <w:szCs w:val="24"/>
          <w:highlight w:val="yellow"/>
        </w:rPr>
        <w:t>电子版光盘</w:t>
      </w:r>
      <w:r>
        <w:rPr>
          <w:rFonts w:hint="eastAsia" w:ascii="宋体" w:hAnsi="宋体" w:eastAsia="宋体" w:cs="宋体"/>
          <w:sz w:val="24"/>
          <w:szCs w:val="24"/>
        </w:rPr>
        <w:t>；每份技术文件应装有目录清单。</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lang w:val="en-US" w:eastAsia="zh-CN"/>
        </w:rPr>
        <w:t>9</w:t>
      </w:r>
      <w:r>
        <w:rPr>
          <w:rFonts w:hint="eastAsia" w:ascii="宋体" w:hAnsi="宋体" w:eastAsia="宋体" w:cs="宋体"/>
          <w:sz w:val="24"/>
          <w:szCs w:val="24"/>
        </w:rPr>
        <w:t>.本条款所列要求，如招标人认为投标人提供的资料不能满足要求时，有权要求投标人免费补充或增加。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38" w:name="_Toc169605883"/>
    </w:p>
    <w:p>
      <w:pPr>
        <w:pStyle w:val="2"/>
        <w:spacing w:line="360" w:lineRule="auto"/>
      </w:pPr>
    </w:p>
    <w:p>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38"/>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完全交钥匙方式，即本次招标货物至少包括以下货物及服务：非标或特需设计、制造、必要的卖方现场预验收</w:t>
      </w:r>
      <w:r>
        <w:rPr>
          <w:rFonts w:hint="eastAsia" w:ascii="宋体" w:hAnsi="宋体" w:eastAsia="宋体" w:cs="宋体"/>
          <w:sz w:val="24"/>
          <w:szCs w:val="24"/>
          <w:lang w:eastAsia="zh-CN"/>
        </w:rPr>
        <w:t>、</w:t>
      </w:r>
      <w:r>
        <w:rPr>
          <w:rFonts w:hint="eastAsia" w:ascii="宋体" w:hAnsi="宋体" w:eastAsia="宋体" w:cs="宋体"/>
          <w:sz w:val="24"/>
          <w:szCs w:val="24"/>
        </w:rPr>
        <w:t>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sz w:val="24"/>
          <w:szCs w:val="24"/>
        </w:rPr>
      </w:pPr>
      <w:r>
        <w:rPr>
          <w:rFonts w:hint="eastAsia" w:ascii="宋体" w:hAnsi="宋体" w:eastAsia="宋体" w:cs="宋体"/>
          <w:b/>
          <w:bCs/>
          <w:sz w:val="24"/>
          <w:szCs w:val="24"/>
        </w:rPr>
        <w:t>二、供货地点：</w:t>
      </w:r>
      <w:r>
        <w:rPr>
          <w:rFonts w:hint="eastAsia" w:ascii="宋体" w:hAnsi="宋体" w:eastAsia="宋体" w:cs="宋体"/>
          <w:sz w:val="24"/>
          <w:szCs w:val="24"/>
          <w:lang w:val="en-US" w:eastAsia="zh-CN"/>
        </w:rPr>
        <w:t>同</w:t>
      </w:r>
      <w:r>
        <w:rPr>
          <w:rFonts w:hint="eastAsia" w:ascii="宋体" w:hAnsi="宋体" w:eastAsia="宋体" w:cs="宋体"/>
          <w:sz w:val="24"/>
          <w:szCs w:val="24"/>
        </w:rPr>
        <w:t>本项目建设</w:t>
      </w:r>
      <w:r>
        <w:rPr>
          <w:rFonts w:hint="eastAsia" w:ascii="宋体" w:hAnsi="宋体" w:eastAsia="宋体" w:cs="宋体"/>
          <w:sz w:val="24"/>
          <w:szCs w:val="24"/>
          <w:lang w:val="en-US" w:eastAsia="zh-CN"/>
        </w:rPr>
        <w:t>地点</w:t>
      </w:r>
      <w:r>
        <w:rPr>
          <w:rFonts w:hint="eastAsia" w:ascii="宋体" w:hAnsi="宋体" w:eastAsia="宋体" w:cs="宋体"/>
          <w:sz w:val="24"/>
          <w:szCs w:val="24"/>
        </w:rPr>
        <w:t>。</w:t>
      </w:r>
    </w:p>
    <w:p>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1.自合同签定生效之日起，</w:t>
      </w:r>
      <w:r>
        <w:rPr>
          <w:rFonts w:hint="eastAsia" w:ascii="宋体" w:hAnsi="宋体" w:eastAsia="宋体" w:cs="宋体"/>
          <w:sz w:val="24"/>
          <w:szCs w:val="24"/>
          <w:highlight w:val="none"/>
          <w:u w:val="single"/>
          <w:lang w:val="en-US" w:eastAsia="zh-CN"/>
        </w:rPr>
        <w:t>90</w:t>
      </w:r>
      <w:r>
        <w:rPr>
          <w:rFonts w:hint="eastAsia" w:ascii="宋体" w:hAnsi="宋体" w:eastAsia="宋体" w:cs="宋体"/>
          <w:sz w:val="24"/>
          <w:szCs w:val="24"/>
          <w:highlight w:val="none"/>
        </w:rPr>
        <w:t>个日历日之内交货至供货地点</w:t>
      </w:r>
      <w:r>
        <w:rPr>
          <w:rFonts w:ascii="宋体" w:hAnsi="宋体" w:eastAsia="宋体" w:cs="宋体"/>
          <w:sz w:val="24"/>
          <w:szCs w:val="24"/>
          <w:highlight w:val="none"/>
        </w:rPr>
        <w:t>。</w:t>
      </w:r>
    </w:p>
    <w:p>
      <w:pPr>
        <w:spacing w:line="360" w:lineRule="auto"/>
        <w:ind w:firstLine="480" w:firstLineChars="200"/>
        <w:jc w:val="left"/>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接续</w:t>
      </w:r>
      <w:r>
        <w:rPr>
          <w:rFonts w:hint="eastAsia" w:ascii="宋体" w:hAnsi="宋体" w:eastAsia="宋体" w:cs="宋体"/>
          <w:sz w:val="24"/>
          <w:szCs w:val="24"/>
          <w:highlight w:val="none"/>
          <w:u w:val="none"/>
          <w:shd w:val="clear" w:color="auto" w:fill="FFFFFF"/>
          <w:lang w:val="en-US" w:eastAsia="zh-CN"/>
        </w:rPr>
        <w:t>1</w:t>
      </w:r>
      <w:r>
        <w:rPr>
          <w:rFonts w:hint="eastAsia" w:ascii="宋体" w:hAnsi="宋体" w:eastAsia="宋体" w:cs="宋体"/>
          <w:sz w:val="24"/>
          <w:szCs w:val="24"/>
          <w:highlight w:val="none"/>
        </w:rPr>
        <w:t>个日历日之内安装调试完毕</w:t>
      </w:r>
      <w:r>
        <w:rPr>
          <w:rFonts w:hint="eastAsia" w:ascii="宋体" w:hAnsi="宋体" w:eastAsia="宋体" w:cs="宋体"/>
          <w:sz w:val="24"/>
          <w:szCs w:val="24"/>
          <w:highlight w:val="none"/>
          <w:lang w:val="en-US" w:eastAsia="zh-CN"/>
        </w:rPr>
        <w:t>。</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w:t>
      </w:r>
      <w:r>
        <w:rPr>
          <w:rFonts w:hint="eastAsia" w:ascii="宋体" w:hAnsi="宋体" w:eastAsia="宋体" w:cs="宋体"/>
          <w:sz w:val="24"/>
          <w:szCs w:val="24"/>
          <w:highlight w:val="none"/>
          <w:lang w:val="en-US" w:eastAsia="zh-CN"/>
        </w:rPr>
        <w:t>接续</w:t>
      </w:r>
      <w:r>
        <w:rPr>
          <w:rFonts w:hint="eastAsia" w:ascii="宋体" w:hAnsi="宋体" w:eastAsia="宋体" w:cs="宋体"/>
          <w:sz w:val="24"/>
          <w:szCs w:val="24"/>
          <w:highlight w:val="none"/>
          <w:u w:val="single"/>
          <w:shd w:val="pct10" w:color="auto" w:fill="FFFFFF"/>
          <w:lang w:val="en-US" w:eastAsia="zh-CN"/>
        </w:rPr>
        <w:t>10</w:t>
      </w:r>
      <w:r>
        <w:rPr>
          <w:rFonts w:hint="eastAsia" w:ascii="宋体" w:hAnsi="宋体" w:eastAsia="宋体" w:cs="宋体"/>
          <w:sz w:val="24"/>
          <w:szCs w:val="24"/>
          <w:highlight w:val="none"/>
        </w:rPr>
        <w:t>个日历日之内完成终验收。</w:t>
      </w:r>
    </w:p>
    <w:p>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szCs w:val="20"/>
        </w:rPr>
      </w:pPr>
    </w:p>
    <w:p>
      <w:pPr>
        <w:widowControl/>
        <w:jc w:val="left"/>
        <w:rPr>
          <w:rFonts w:ascii="宋体" w:hAnsi="Calibri" w:eastAsia="宋体" w:cs="Times New Roman"/>
          <w:szCs w:val="20"/>
        </w:rPr>
      </w:pPr>
      <w:r>
        <w:rPr>
          <w:rFonts w:ascii="宋体" w:hAnsi="Calibri" w:eastAsia="宋体" w:cs="Times New Roman"/>
          <w:szCs w:val="20"/>
        </w:rPr>
        <w:br w:type="page"/>
      </w:r>
    </w:p>
    <w:p>
      <w:pPr>
        <w:keepNext/>
        <w:keepLines/>
        <w:spacing w:line="360" w:lineRule="auto"/>
        <w:jc w:val="center"/>
        <w:outlineLvl w:val="1"/>
        <w:rPr>
          <w:rFonts w:ascii="Calibri" w:hAnsi="Calibri" w:eastAsia="宋体" w:cs="Times New Roman"/>
          <w:b/>
          <w:bCs/>
          <w:kern w:val="44"/>
          <w:sz w:val="28"/>
          <w:szCs w:val="28"/>
        </w:rPr>
      </w:pPr>
      <w:bookmarkStart w:id="39" w:name="_Toc169605884"/>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bookmarkEnd w:id="39"/>
    </w:p>
    <w:p>
      <w:pPr>
        <w:pStyle w:val="117"/>
        <w:spacing w:line="360" w:lineRule="auto"/>
      </w:pPr>
      <w:r>
        <w:rPr>
          <w:rFonts w:hint="eastAsia"/>
        </w:rPr>
        <w:t>一、质保期及质保要求</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b/>
          <w:bCs/>
          <w:sz w:val="24"/>
          <w:szCs w:val="24"/>
          <w:highlight w:val="yellow"/>
          <w:u w:val="single"/>
          <w:lang w:val="en-US" w:eastAsia="zh-CN"/>
        </w:rPr>
        <w:t>14</w:t>
      </w:r>
      <w:r>
        <w:rPr>
          <w:rFonts w:hint="eastAsia" w:ascii="宋体" w:hAnsi="宋体" w:eastAsia="宋体" w:cs="宋体"/>
          <w:sz w:val="24"/>
          <w:szCs w:val="24"/>
        </w:rPr>
        <w:t>个月。</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w:t>
      </w:r>
      <w:r>
        <w:rPr>
          <w:rFonts w:hint="eastAsia" w:ascii="宋体" w:hAnsi="宋体" w:eastAsia="宋体" w:cs="宋体"/>
          <w:sz w:val="24"/>
          <w:szCs w:val="24"/>
          <w:lang w:eastAsia="zh-CN"/>
        </w:rPr>
        <w:t>投标人</w:t>
      </w:r>
      <w:r>
        <w:rPr>
          <w:rFonts w:hint="eastAsia" w:ascii="宋体" w:hAnsi="宋体" w:eastAsia="宋体" w:cs="宋体"/>
          <w:sz w:val="24"/>
          <w:szCs w:val="24"/>
        </w:rPr>
        <w:t>。</w:t>
      </w:r>
    </w:p>
    <w:p>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17"/>
        <w:spacing w:line="360" w:lineRule="auto"/>
        <w:rPr>
          <w:rFonts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u w:val="single"/>
          <w:shd w:val="pct10" w:color="auto" w:fill="FFFFFF"/>
          <w:lang w:val="en-US" w:eastAsia="zh-CN"/>
        </w:rPr>
        <w:t>5</w:t>
      </w:r>
      <w:r>
        <w:rPr>
          <w:rFonts w:hint="eastAsia" w:ascii="宋体" w:hAnsi="宋体" w:eastAsia="宋体" w:cs="宋体"/>
          <w:color w:val="000000"/>
          <w:sz w:val="24"/>
          <w:szCs w:val="24"/>
        </w:rPr>
        <w:t>个日历日。</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7"/>
        <w:spacing w:line="360" w:lineRule="auto"/>
        <w:rPr>
          <w:rFonts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w:t>
      </w:r>
      <w:r>
        <w:rPr>
          <w:rFonts w:hint="eastAsia" w:ascii="宋体" w:hAnsi="宋体" w:eastAsia="宋体" w:cs="宋体"/>
          <w:color w:val="000000"/>
          <w:sz w:val="24"/>
          <w:szCs w:val="24"/>
          <w:lang w:eastAsia="zh-CN"/>
        </w:rPr>
        <w:t>招标人</w:t>
      </w:r>
      <w:r>
        <w:rPr>
          <w:rFonts w:hint="eastAsia" w:ascii="宋体" w:hAnsi="宋体" w:eastAsia="宋体" w:cs="宋体"/>
          <w:color w:val="000000"/>
          <w:sz w:val="24"/>
          <w:szCs w:val="24"/>
        </w:rPr>
        <w:t>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17"/>
        <w:spacing w:line="360" w:lineRule="auto"/>
        <w:rPr>
          <w:rFonts w:ascii="宋体" w:hAnsi="宋体" w:cs="宋体"/>
        </w:rPr>
      </w:pPr>
      <w:r>
        <w:rPr>
          <w:rFonts w:hint="eastAsia" w:ascii="宋体" w:hAnsi="宋体" w:cs="宋体"/>
        </w:rPr>
        <w:t>四、售后服务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u w:val="single"/>
          <w:shd w:val="pct10" w:color="auto" w:fill="FFFFFF"/>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u w:val="single"/>
          <w:shd w:val="pct10" w:color="auto" w:fill="FFFFFF"/>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adjustRightInd w:val="0"/>
        <w:snapToGrid w:val="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后续软硬件支持功能拓展，升级响应周期短</w:t>
      </w:r>
      <w:r>
        <w:rPr>
          <w:rFonts w:hint="eastAsia" w:ascii="宋体" w:hAnsi="宋体" w:eastAsia="宋体" w:cs="宋体"/>
          <w:color w:val="000000"/>
          <w:sz w:val="24"/>
          <w:szCs w:val="24"/>
          <w:lang w:eastAsia="zh-CN"/>
        </w:rPr>
        <w:t>。</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ATOS售后服务和技术支持内容：</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（1）硬件保修自产品到货之日起14个月、软件自产品到货之日起14个月免费升级</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全面保修服务：</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在质量保证期内，对于非买方责任引起的质量问题或系统故障，供方应免费为买方更换、恢复系统正常运行。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在质保期内，免费提供零部件和及时有效的服务。质保期内因货物本身缺陷造成的各种故障，卖方应负责免费维修和服务。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保修期外的有偿服务：</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质量保证期满后，卖方保证向买方提供及时的、质优的、价格优惠的技术服务和备品备件供应。</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依然</w:t>
      </w:r>
      <w:r>
        <w:rPr>
          <w:rFonts w:hint="eastAsia" w:ascii="宋体" w:hAnsi="宋体" w:eastAsia="宋体" w:cs="宋体"/>
          <w:color w:val="000000"/>
          <w:sz w:val="24"/>
          <w:szCs w:val="24"/>
          <w:highlight w:val="yellow"/>
          <w:lang w:val="zh-CN"/>
        </w:rPr>
        <w:t>提供的设备提供终身技术服务，器材维修、更换只向采购人收取材料成本费。</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（2）服务响应：</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提供7×24小时（全天候），响应收到客户的书面报修通知后，将在2小时内做出响应，会有专业工程师通过电话了解故障情况，对于一般性操作和简单故障，会指导用户人员进行排除；</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在质保期之内，应在接到通知后 24小时内派有关人员到达现场；在中国设有零件备品库对可能损坏且中国境内无替代品的重要部件在中国境内备份，以减少更换的周期。</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（3）其它服务承诺</w:t>
      </w:r>
    </w:p>
    <w:p>
      <w:pPr>
        <w:pStyle w:val="2"/>
        <w:spacing w:line="360" w:lineRule="auto"/>
        <w:rPr>
          <w:rFonts w:hint="eastAsia" w:ascii="宋体" w:hAnsi="宋体" w:eastAsia="宋体" w:cs="宋体"/>
          <w:sz w:val="24"/>
          <w:szCs w:val="24"/>
          <w:lang w:eastAsia="zh-CN"/>
        </w:rPr>
      </w:pPr>
      <w:r>
        <w:rPr>
          <w:rFonts w:hint="eastAsia" w:ascii="宋体" w:hAnsi="宋体" w:eastAsia="宋体" w:cs="宋体"/>
          <w:color w:val="000000"/>
          <w:sz w:val="24"/>
          <w:szCs w:val="24"/>
          <w:highlight w:val="yellow"/>
        </w:rPr>
        <w:t>每年邀请参加ATOS中国用户大会，和高级培训研讨班</w:t>
      </w:r>
      <w:r>
        <w:rPr>
          <w:rFonts w:hint="eastAsia" w:ascii="宋体" w:hAnsi="宋体" w:eastAsia="宋体" w:cs="宋体"/>
          <w:color w:val="000000"/>
          <w:sz w:val="24"/>
          <w:szCs w:val="24"/>
          <w:highlight w:val="yellow"/>
          <w:lang w:eastAsia="zh-CN"/>
        </w:rPr>
        <w:t>。</w:t>
      </w:r>
    </w:p>
    <w:p>
      <w:pPr>
        <w:pStyle w:val="117"/>
        <w:spacing w:line="360" w:lineRule="auto"/>
        <w:rPr>
          <w:rFonts w:ascii="宋体" w:hAnsi="宋体" w:cs="宋体"/>
        </w:rPr>
      </w:pPr>
      <w:r>
        <w:rPr>
          <w:rFonts w:hint="eastAsia" w:ascii="宋体" w:hAnsi="宋体" w:cs="宋体"/>
        </w:rPr>
        <w:t>五、其它服务</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不可另行收取的费用。</w:t>
      </w:r>
    </w:p>
    <w:p>
      <w:pPr>
        <w:pStyle w:val="2"/>
        <w:rPr>
          <w:rFonts w:eastAsia="宋体"/>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bookmarkStart w:id="40" w:name="_Toc465187646"/>
      <w:r>
        <w:rPr>
          <w:rFonts w:hint="eastAsia" w:ascii="Calibri" w:hAnsi="Calibri" w:eastAsia="宋体" w:cs="Times New Roman"/>
          <w:b/>
          <w:bCs/>
          <w:kern w:val="44"/>
          <w:sz w:val="28"/>
          <w:szCs w:val="28"/>
        </w:rPr>
        <w:t>第五章  预验收和终验收</w:t>
      </w:r>
      <w:bookmarkEnd w:id="40"/>
    </w:p>
    <w:p>
      <w:pPr>
        <w:pStyle w:val="117"/>
        <w:spacing w:line="360" w:lineRule="auto"/>
        <w:rPr>
          <w:rFonts w:ascii="宋体" w:hAnsi="宋体" w:cs="宋体"/>
        </w:rPr>
      </w:pPr>
      <w:r>
        <w:rPr>
          <w:rFonts w:hint="eastAsia" w:ascii="宋体" w:hAnsi="宋体" w:cs="宋体"/>
        </w:rPr>
        <w:t>一、验收依据和验收标准</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2.如果验收过程中，发现招标文件、投标文件、答疑文件、技术交流文件等与技术标书、合同存在差异，原则上以涉及条款中对买方最有利条款为验收依据。</w:t>
      </w:r>
    </w:p>
    <w:p>
      <w:pPr>
        <w:pStyle w:val="117"/>
        <w:spacing w:line="360" w:lineRule="auto"/>
        <w:rPr>
          <w:rFonts w:ascii="宋体" w:hAnsi="宋体" w:cs="宋体"/>
        </w:rPr>
      </w:pPr>
      <w:r>
        <w:rPr>
          <w:rFonts w:hint="eastAsia" w:ascii="宋体" w:hAnsi="宋体" w:cs="宋体"/>
        </w:rPr>
        <w:t>二、检验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w:t>
      </w:r>
      <w:r>
        <w:rPr>
          <w:rFonts w:hint="eastAsia" w:ascii="宋体" w:hAnsi="宋体" w:eastAsia="宋体" w:cs="宋体"/>
          <w:color w:val="000000"/>
          <w:sz w:val="24"/>
          <w:szCs w:val="24"/>
          <w:lang w:eastAsia="zh-CN"/>
        </w:rPr>
        <w:t>投标人</w:t>
      </w:r>
      <w:r>
        <w:rPr>
          <w:rFonts w:hint="eastAsia" w:ascii="宋体" w:hAnsi="宋体" w:eastAsia="宋体" w:cs="宋体"/>
          <w:color w:val="000000"/>
          <w:sz w:val="24"/>
          <w:szCs w:val="24"/>
        </w:rPr>
        <w:t>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2.进口货物的检验，卖方需要按照下述要求进行：</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7"/>
        <w:spacing w:line="360" w:lineRule="auto"/>
        <w:rPr>
          <w:rFonts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货物的油漆质量应饱满、有光泽，无掉漆、无色差、无“桔皮”等不良现象（特殊标志除外）。</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货物标牌完整、清晰、明确。</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 xml:space="preserve"> 货物的安全要求符合中国最新的相关法律、法规、标准和规范以及合同要求。</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2.终验收一般条件</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经过预验收而且没有出现新的质量问题，或者满足预验收条款。</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2.2 货物安装调试完毕，并至少经过了验收要求的负荷试运行。</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货物正常运行时，噪声等环境影响因素满足国家和当地环保主管部门规定，安全措施落实、有效。</w:t>
      </w:r>
    </w:p>
    <w:p>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2.4 计量仪器、仪表配套合理，采用中国的法定计量单位，计量准确、灵敏可靠。保证设计指标和仪器说明书的参数的实现。</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5</w:t>
      </w:r>
      <w:r>
        <w:rPr>
          <w:rFonts w:hint="eastAsia" w:ascii="宋体" w:hAnsi="宋体" w:eastAsia="宋体" w:cs="宋体"/>
          <w:color w:val="000000"/>
          <w:sz w:val="24"/>
          <w:szCs w:val="24"/>
          <w:highlight w:val="none"/>
        </w:rPr>
        <w:t>试运行期间或之后无维修、调整等行为（特殊情况除外）。</w:t>
      </w:r>
    </w:p>
    <w:p>
      <w:pPr>
        <w:adjustRightInd w:val="0"/>
        <w:snapToGrid w:val="0"/>
        <w:spacing w:line="360" w:lineRule="auto"/>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en-US" w:eastAsia="zh-CN"/>
        </w:rPr>
        <w:t xml:space="preserve">6 </w:t>
      </w:r>
      <w:r>
        <w:rPr>
          <w:rFonts w:hint="eastAsia" w:ascii="宋体" w:hAnsi="宋体" w:eastAsia="宋体" w:cs="宋体"/>
          <w:color w:val="000000"/>
          <w:sz w:val="24"/>
          <w:szCs w:val="24"/>
          <w:highlight w:val="none"/>
        </w:rPr>
        <w:t>货物质量、技术性能等，达到签定的技术标书和合同规定的终验收标准</w:t>
      </w:r>
      <w:r>
        <w:rPr>
          <w:rFonts w:hint="eastAsia" w:ascii="宋体" w:hAnsi="宋体" w:eastAsia="宋体" w:cs="宋体"/>
          <w:color w:val="000000"/>
          <w:sz w:val="24"/>
          <w:szCs w:val="24"/>
          <w:highlight w:val="none"/>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3.终验收基本要求</w:t>
      </w:r>
    </w:p>
    <w:p>
      <w:pPr>
        <w:adjustRightInd w:val="0"/>
        <w:snapToGrid w:val="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设备的计量标定符合VDI/VDE2634 part3标准，标定方法、标定周期、执行标准由投标方在投标时提供，采用1m以上标准器具且可溯源到国家计量院；</w:t>
      </w:r>
    </w:p>
    <w:p>
      <w:pPr>
        <w:adjustRightInd w:val="0"/>
        <w:snapToGrid w:val="0"/>
        <w:spacing w:line="360" w:lineRule="auto"/>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rPr>
        <w:t>验收时，设备本身及校验设备除配有出厂合格证之外，还必须具有国际或中国国家认可的专业计量权威检测机构提供的检定合格证书，合格证书应在有效期内，以证明满足技术要求中中涉及的精度，费用由投标人支付</w:t>
      </w:r>
      <w:r>
        <w:rPr>
          <w:rFonts w:hint="eastAsia" w:ascii="宋体" w:hAnsi="宋体" w:eastAsia="宋体" w:cs="宋体"/>
          <w:color w:val="000000"/>
          <w:sz w:val="24"/>
          <w:szCs w:val="24"/>
          <w:highlight w:val="yellow"/>
          <w:lang w:eastAsia="zh-CN"/>
        </w:rPr>
        <w:t>。</w:t>
      </w:r>
    </w:p>
    <w:p>
      <w:pPr>
        <w:adjustRightInd w:val="0"/>
        <w:snapToGrid w:val="0"/>
        <w:spacing w:line="360" w:lineRule="auto"/>
        <w:ind w:firstLine="480" w:firstLineChars="200"/>
        <w:rPr>
          <w:rFonts w:hint="eastAsia" w:ascii="宋体" w:hAnsi="宋体" w:eastAsia="宋体" w:cs="宋体"/>
          <w:color w:val="000000"/>
          <w:sz w:val="24"/>
          <w:szCs w:val="24"/>
          <w:highlight w:val="yellow"/>
          <w:lang w:eastAsia="zh-CN"/>
        </w:rPr>
      </w:pPr>
      <w:r>
        <w:rPr>
          <w:rFonts w:hint="eastAsia" w:ascii="宋体" w:hAnsi="宋体" w:eastAsia="宋体" w:cs="宋体"/>
          <w:color w:val="000000"/>
          <w:sz w:val="24"/>
          <w:szCs w:val="24"/>
          <w:highlight w:val="yellow"/>
        </w:rPr>
        <w:t>未尽事宜按设备的出厂标准（须符合最新国际标准规定）执行</w:t>
      </w:r>
      <w:r>
        <w:rPr>
          <w:rFonts w:hint="eastAsia" w:ascii="宋体" w:hAnsi="宋体" w:eastAsia="宋体" w:cs="宋体"/>
          <w:color w:val="000000"/>
          <w:sz w:val="24"/>
          <w:szCs w:val="24"/>
          <w:highlight w:val="yellow"/>
          <w:lang w:eastAsia="zh-CN"/>
        </w:rPr>
        <w:t>。</w:t>
      </w:r>
    </w:p>
    <w:p>
      <w:pPr>
        <w:adjustRightInd w:val="0"/>
        <w:snapToGrid w:val="0"/>
        <w:spacing w:line="360"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3.1 </w:t>
      </w:r>
      <w:r>
        <w:rPr>
          <w:rFonts w:hint="eastAsia" w:ascii="宋体" w:hAnsi="宋体" w:eastAsia="宋体" w:cs="宋体"/>
          <w:b w:val="0"/>
          <w:bCs w:val="0"/>
          <w:color w:val="auto"/>
          <w:sz w:val="24"/>
          <w:szCs w:val="24"/>
          <w:highlight w:val="none"/>
          <w:lang w:val="en-US" w:eastAsia="zh-CN"/>
        </w:rPr>
        <w:t>三维扫描仪参数应满足招标书中的技术要求</w:t>
      </w:r>
      <w:r>
        <w:rPr>
          <w:rFonts w:hint="eastAsia" w:ascii="宋体" w:hAnsi="宋体" w:eastAsia="宋体" w:cs="宋体"/>
          <w:color w:val="auto"/>
          <w:sz w:val="24"/>
          <w:szCs w:val="24"/>
          <w:highlight w:val="none"/>
        </w:rPr>
        <w:t>。</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 出现下列问题之一，视作验收失败：</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3.2.1 </w:t>
      </w:r>
      <w:r>
        <w:rPr>
          <w:rFonts w:hint="eastAsia" w:ascii="宋体" w:hAnsi="宋体" w:eastAsia="宋体" w:cs="宋体"/>
          <w:b w:val="0"/>
          <w:bCs w:val="0"/>
          <w:color w:val="000000"/>
          <w:sz w:val="24"/>
          <w:szCs w:val="24"/>
          <w:highlight w:val="none"/>
          <w:lang w:val="en-US" w:eastAsia="zh-CN"/>
        </w:rPr>
        <w:t>三维扫描仪</w:t>
      </w:r>
      <w:r>
        <w:rPr>
          <w:rFonts w:hint="eastAsia" w:ascii="宋体" w:hAnsi="宋体" w:eastAsia="宋体" w:cs="宋体"/>
          <w:color w:val="000000"/>
          <w:sz w:val="24"/>
          <w:szCs w:val="24"/>
          <w:highlight w:val="none"/>
        </w:rPr>
        <w:t>验收时，其参数无法满足招标书中的技术要求。</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3.2.2 在整个验收过程中发生关键零部件损坏或重大故障；</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3.2.3 一般性故障超过</w:t>
      </w:r>
      <w:r>
        <w:rPr>
          <w:rFonts w:hint="eastAsia" w:ascii="宋体" w:hAnsi="宋体" w:eastAsia="宋体" w:cs="宋体"/>
          <w:color w:val="000000"/>
          <w:sz w:val="24"/>
          <w:szCs w:val="24"/>
          <w:highlight w:val="none"/>
          <w:u w:val="single"/>
          <w:shd w:val="pct10" w:color="auto" w:fill="FFFFFF"/>
        </w:rPr>
        <w:t>2</w:t>
      </w:r>
      <w:r>
        <w:rPr>
          <w:rFonts w:hint="eastAsia" w:ascii="宋体" w:hAnsi="宋体" w:eastAsia="宋体" w:cs="宋体"/>
          <w:color w:val="000000"/>
          <w:sz w:val="24"/>
          <w:szCs w:val="24"/>
          <w:highlight w:val="none"/>
        </w:rPr>
        <w:t>次；</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3.2.4 更换的零部件货值超过总货值的</w:t>
      </w:r>
      <w:r>
        <w:rPr>
          <w:rFonts w:hint="eastAsia" w:ascii="宋体" w:hAnsi="宋体" w:eastAsia="宋体" w:cs="宋体"/>
          <w:color w:val="000000"/>
          <w:sz w:val="24"/>
          <w:szCs w:val="24"/>
          <w:highlight w:val="none"/>
          <w:u w:val="single"/>
          <w:shd w:val="pct10" w:color="auto" w:fill="FFFFFF"/>
        </w:rPr>
        <w:t>1</w:t>
      </w:r>
      <w:r>
        <w:rPr>
          <w:rFonts w:hint="eastAsia" w:ascii="宋体" w:hAnsi="宋体" w:eastAsia="宋体" w:cs="宋体"/>
          <w:color w:val="000000"/>
          <w:sz w:val="24"/>
          <w:szCs w:val="24"/>
          <w:highlight w:val="none"/>
        </w:rPr>
        <w:t>%。</w:t>
      </w:r>
    </w:p>
    <w:p>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 累计负载运行实际性能（或生产率）达不到合同规定；</w:t>
      </w:r>
    </w:p>
    <w:p>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3.4 终验收原则上要求一次完成。若一次验收不成功，最多允许两次；如果出现第三次验收失败，重新作价或退货；</w:t>
      </w:r>
    </w:p>
    <w:p>
      <w:pPr>
        <w:adjustRightInd w:val="0"/>
        <w:snapToGrid w:val="0"/>
        <w:spacing w:line="360" w:lineRule="auto"/>
        <w:ind w:firstLine="480" w:firstLineChars="200"/>
        <w:rPr>
          <w:rFonts w:ascii="宋体" w:hAnsi="宋体" w:eastAsia="宋体"/>
          <w:sz w:val="24"/>
          <w:szCs w:val="24"/>
          <w:highlight w:val="yellow"/>
        </w:rPr>
      </w:pPr>
      <w:r>
        <w:rPr>
          <w:rFonts w:hint="eastAsia" w:ascii="宋体" w:hAnsi="宋体" w:eastAsia="宋体" w:cs="宋体"/>
          <w:color w:val="000000"/>
          <w:sz w:val="24"/>
          <w:szCs w:val="24"/>
        </w:rPr>
        <w:t>3.5 终验收通过后买卖双方共同签署终验收报告，并移交、核对全部供货范围内物品。</w:t>
      </w:r>
    </w:p>
    <w:p>
      <w:pPr>
        <w:pStyle w:val="2"/>
        <w:spacing w:line="360" w:lineRule="auto"/>
      </w:pPr>
    </w:p>
    <w:p>
      <w:pPr>
        <w:pStyle w:val="130"/>
        <w:spacing w:line="360" w:lineRule="auto"/>
        <w:outlineLvl w:val="1"/>
        <w:rPr>
          <w:rFonts w:eastAsia="宋体"/>
          <w:b/>
          <w:bCs w:val="0"/>
          <w:i w:val="0"/>
          <w:iCs/>
          <w:color w:val="auto"/>
          <w:sz w:val="28"/>
        </w:rPr>
      </w:pPr>
      <w:bookmarkStart w:id="41" w:name="_Toc465187647"/>
      <w:r>
        <w:rPr>
          <w:rFonts w:eastAsia="宋体"/>
          <w:b/>
          <w:bCs w:val="0"/>
          <w:i w:val="0"/>
          <w:iCs/>
          <w:color w:val="auto"/>
          <w:sz w:val="28"/>
        </w:rPr>
        <w:t>第六章  投标技术文件一般要求</w:t>
      </w:r>
      <w:bookmarkEnd w:id="41"/>
    </w:p>
    <w:p>
      <w:pPr>
        <w:pStyle w:val="117"/>
        <w:spacing w:line="360" w:lineRule="auto"/>
        <w:rPr>
          <w:color w:val="auto"/>
        </w:rPr>
      </w:pPr>
      <w:r>
        <w:rPr>
          <w:color w:val="auto"/>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投标技术文件至少应按照招标文件要求（或</w:t>
      </w:r>
      <w:r>
        <w:rPr>
          <w:rFonts w:hint="eastAsia" w:ascii="宋体" w:hAnsi="宋体" w:eastAsia="宋体" w:cs="宋体"/>
          <w:sz w:val="24"/>
          <w:szCs w:val="24"/>
          <w:lang w:eastAsia="zh-CN"/>
        </w:rPr>
        <w:t>投标人</w:t>
      </w:r>
      <w:r>
        <w:rPr>
          <w:rFonts w:hint="eastAsia" w:ascii="宋体" w:hAnsi="宋体" w:eastAsia="宋体" w:cs="宋体"/>
          <w:sz w:val="24"/>
          <w:szCs w:val="24"/>
        </w:rPr>
        <w:t>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val="en-US" w:eastAsia="zh-CN"/>
        </w:rPr>
        <w:t>.</w:t>
      </w:r>
      <w:r>
        <w:rPr>
          <w:rFonts w:hint="eastAsia" w:ascii="宋体" w:hAnsi="宋体" w:eastAsia="宋体" w:cs="宋体"/>
          <w:sz w:val="24"/>
          <w:szCs w:val="24"/>
          <w:lang w:eastAsia="zh-CN"/>
        </w:rPr>
        <w:t>投标人</w:t>
      </w:r>
      <w:r>
        <w:rPr>
          <w:rFonts w:hint="eastAsia" w:ascii="宋体" w:hAnsi="宋体" w:eastAsia="宋体" w:cs="宋体"/>
          <w:sz w:val="24"/>
          <w:szCs w:val="24"/>
        </w:rPr>
        <w:t>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lang w:val="en-US" w:eastAsia="zh-CN"/>
        </w:rPr>
        <w:t>.</w:t>
      </w:r>
      <w:r>
        <w:rPr>
          <w:rFonts w:hint="eastAsia" w:ascii="宋体" w:hAnsi="宋体" w:eastAsia="宋体" w:cs="宋体"/>
          <w:sz w:val="24"/>
          <w:szCs w:val="24"/>
        </w:rPr>
        <w:t>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208"/>
        <w:gridCol w:w="2200"/>
        <w:gridCol w:w="800"/>
        <w:gridCol w:w="834"/>
        <w:gridCol w:w="866"/>
        <w:gridCol w:w="917"/>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208"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220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80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83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86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917"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145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240" w:lineRule="auto"/>
              <w:jc w:val="center"/>
              <w:rPr>
                <w:rFonts w:hint="eastAsia" w:ascii="宋体" w:hAnsi="宋体" w:eastAsia="宋体" w:cs="宋体"/>
                <w:kern w:val="2"/>
                <w:sz w:val="21"/>
                <w:szCs w:val="22"/>
                <w:highlight w:val="yellow"/>
                <w:lang w:val="en-US" w:eastAsia="zh-CN" w:bidi="ar-SA"/>
              </w:rPr>
            </w:pPr>
            <w:r>
              <w:rPr>
                <w:rFonts w:hint="eastAsia" w:ascii="宋体" w:hAnsi="宋体" w:eastAsia="宋体" w:cs="宋体"/>
                <w:highlight w:val="yellow"/>
                <w:lang w:val="en-US" w:eastAsia="zh-CN"/>
              </w:rPr>
              <w:t>1</w:t>
            </w:r>
          </w:p>
        </w:tc>
        <w:tc>
          <w:tcPr>
            <w:tcW w:w="1208" w:type="dxa"/>
          </w:tcPr>
          <w:p>
            <w:pPr>
              <w:adjustRightInd w:val="0"/>
              <w:snapToGrid w:val="0"/>
              <w:spacing w:line="240" w:lineRule="auto"/>
              <w:rPr>
                <w:rFonts w:hint="eastAsia" w:ascii="宋体" w:hAnsi="宋体" w:eastAsia="宋体" w:cs="宋体"/>
                <w:kern w:val="2"/>
                <w:sz w:val="21"/>
                <w:szCs w:val="22"/>
                <w:highlight w:val="yellow"/>
                <w:lang w:val="en-US" w:eastAsia="zh-CN" w:bidi="ar-SA"/>
              </w:rPr>
            </w:pPr>
            <w:r>
              <w:rPr>
                <w:rFonts w:hint="eastAsia" w:ascii="宋体" w:hAnsi="宋体" w:eastAsia="宋体" w:cs="宋体"/>
                <w:b w:val="0"/>
                <w:kern w:val="2"/>
                <w:szCs w:val="21"/>
                <w:highlight w:val="yellow"/>
                <w:lang w:val="en-US" w:eastAsia="zh-CN"/>
              </w:rPr>
              <w:t>参考点1</w:t>
            </w:r>
          </w:p>
        </w:tc>
        <w:tc>
          <w:tcPr>
            <w:tcW w:w="2200" w:type="dxa"/>
          </w:tcPr>
          <w:p>
            <w:pPr>
              <w:adjustRightInd w:val="0"/>
              <w:snapToGrid w:val="0"/>
              <w:spacing w:line="240" w:lineRule="auto"/>
              <w:rPr>
                <w:rFonts w:hint="eastAsia" w:ascii="宋体" w:hAnsi="宋体" w:eastAsia="宋体" w:cs="宋体"/>
                <w:kern w:val="2"/>
                <w:sz w:val="21"/>
                <w:szCs w:val="22"/>
                <w:highlight w:val="yellow"/>
                <w:lang w:val="en-US" w:eastAsia="zh-CN" w:bidi="ar-SA"/>
              </w:rPr>
            </w:pPr>
            <w:r>
              <w:rPr>
                <w:rFonts w:hint="eastAsia" w:ascii="宋体" w:hAnsi="宋体" w:eastAsia="宋体" w:cs="宋体"/>
                <w:highlight w:val="yellow"/>
              </w:rPr>
              <w:t>直径3mm反光参考点</w:t>
            </w:r>
          </w:p>
        </w:tc>
        <w:tc>
          <w:tcPr>
            <w:tcW w:w="800" w:type="dxa"/>
          </w:tcPr>
          <w:p>
            <w:pPr>
              <w:adjustRightInd w:val="0"/>
              <w:snapToGrid w:val="0"/>
              <w:spacing w:line="240" w:lineRule="auto"/>
              <w:jc w:val="center"/>
              <w:rPr>
                <w:rFonts w:hint="eastAsia" w:ascii="宋体" w:hAnsi="宋体" w:eastAsia="宋体" w:cs="宋体"/>
                <w:kern w:val="2"/>
                <w:sz w:val="21"/>
                <w:szCs w:val="22"/>
                <w:highlight w:val="yellow"/>
                <w:lang w:val="en-US" w:eastAsia="zh-CN" w:bidi="ar-SA"/>
              </w:rPr>
            </w:pPr>
            <w:r>
              <w:rPr>
                <w:rFonts w:hint="eastAsia" w:ascii="宋体" w:hAnsi="宋体" w:eastAsia="宋体" w:cs="宋体"/>
                <w:highlight w:val="yellow"/>
                <w:lang w:val="en-US" w:eastAsia="zh-CN"/>
              </w:rPr>
              <w:t>套</w:t>
            </w:r>
          </w:p>
        </w:tc>
        <w:tc>
          <w:tcPr>
            <w:tcW w:w="834" w:type="dxa"/>
          </w:tcPr>
          <w:p>
            <w:pPr>
              <w:adjustRightInd w:val="0"/>
              <w:snapToGrid w:val="0"/>
              <w:spacing w:line="240" w:lineRule="auto"/>
              <w:jc w:val="center"/>
              <w:rPr>
                <w:rFonts w:hint="eastAsia" w:ascii="宋体" w:hAnsi="宋体" w:eastAsia="宋体" w:cs="宋体"/>
                <w:kern w:val="2"/>
                <w:sz w:val="21"/>
                <w:szCs w:val="22"/>
                <w:highlight w:val="yellow"/>
                <w:lang w:val="en-US" w:eastAsia="zh-CN" w:bidi="ar-SA"/>
              </w:rPr>
            </w:pPr>
            <w:r>
              <w:rPr>
                <w:rFonts w:hint="eastAsia" w:ascii="宋体" w:hAnsi="宋体" w:eastAsia="宋体" w:cs="宋体"/>
                <w:highlight w:val="yellow"/>
                <w:lang w:val="en-US" w:eastAsia="zh-CN"/>
              </w:rPr>
              <w:t>7</w:t>
            </w:r>
          </w:p>
        </w:tc>
        <w:tc>
          <w:tcPr>
            <w:tcW w:w="866" w:type="dxa"/>
          </w:tcPr>
          <w:p>
            <w:pPr>
              <w:adjustRightInd w:val="0"/>
              <w:snapToGrid w:val="0"/>
              <w:spacing w:line="360" w:lineRule="exact"/>
              <w:jc w:val="center"/>
              <w:rPr>
                <w:rFonts w:hint="eastAsia" w:ascii="宋体" w:hAnsi="宋体" w:eastAsia="宋体" w:cs="宋体"/>
              </w:rPr>
            </w:pPr>
          </w:p>
        </w:tc>
        <w:tc>
          <w:tcPr>
            <w:tcW w:w="917" w:type="dxa"/>
          </w:tcPr>
          <w:p>
            <w:pPr>
              <w:adjustRightInd w:val="0"/>
              <w:snapToGrid w:val="0"/>
              <w:spacing w:line="360" w:lineRule="exact"/>
              <w:jc w:val="center"/>
              <w:rPr>
                <w:rFonts w:hint="eastAsia" w:ascii="宋体" w:hAnsi="宋体" w:eastAsia="宋体" w:cs="宋体"/>
              </w:rPr>
            </w:pPr>
          </w:p>
        </w:tc>
        <w:tc>
          <w:tcPr>
            <w:tcW w:w="1450"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240" w:lineRule="auto"/>
              <w:jc w:val="center"/>
              <w:rPr>
                <w:rFonts w:hint="eastAsia" w:ascii="宋体" w:hAnsi="宋体" w:eastAsia="宋体" w:cs="宋体"/>
                <w:kern w:val="2"/>
                <w:sz w:val="21"/>
                <w:szCs w:val="22"/>
                <w:highlight w:val="yellow"/>
                <w:lang w:val="en-US" w:eastAsia="zh-CN" w:bidi="ar-SA"/>
              </w:rPr>
            </w:pPr>
            <w:r>
              <w:rPr>
                <w:rFonts w:hint="eastAsia" w:ascii="宋体" w:hAnsi="宋体" w:eastAsia="宋体" w:cs="宋体"/>
                <w:highlight w:val="yellow"/>
                <w:lang w:val="en-US" w:eastAsia="zh-CN"/>
              </w:rPr>
              <w:t>2</w:t>
            </w:r>
          </w:p>
        </w:tc>
        <w:tc>
          <w:tcPr>
            <w:tcW w:w="1208" w:type="dxa"/>
          </w:tcPr>
          <w:p>
            <w:pPr>
              <w:adjustRightInd w:val="0"/>
              <w:snapToGrid w:val="0"/>
              <w:spacing w:line="240" w:lineRule="auto"/>
              <w:rPr>
                <w:rFonts w:hint="eastAsia" w:ascii="宋体" w:hAnsi="宋体" w:eastAsia="宋体" w:cs="宋体"/>
                <w:kern w:val="2"/>
                <w:sz w:val="21"/>
                <w:szCs w:val="22"/>
                <w:highlight w:val="yellow"/>
                <w:lang w:val="en-US" w:eastAsia="zh-CN" w:bidi="ar-SA"/>
              </w:rPr>
            </w:pPr>
            <w:r>
              <w:rPr>
                <w:rFonts w:hint="eastAsia" w:ascii="宋体" w:hAnsi="宋体" w:eastAsia="宋体" w:cs="宋体"/>
                <w:b w:val="0"/>
                <w:kern w:val="2"/>
                <w:szCs w:val="21"/>
                <w:highlight w:val="yellow"/>
                <w:lang w:val="en-US" w:eastAsia="zh-CN"/>
              </w:rPr>
              <w:t>参考点2</w:t>
            </w:r>
          </w:p>
        </w:tc>
        <w:tc>
          <w:tcPr>
            <w:tcW w:w="2200" w:type="dxa"/>
          </w:tcPr>
          <w:p>
            <w:pPr>
              <w:adjustRightInd w:val="0"/>
              <w:snapToGrid w:val="0"/>
              <w:spacing w:line="240" w:lineRule="auto"/>
              <w:rPr>
                <w:rFonts w:hint="eastAsia" w:ascii="宋体" w:hAnsi="宋体" w:eastAsia="宋体" w:cs="宋体"/>
                <w:kern w:val="2"/>
                <w:sz w:val="21"/>
                <w:szCs w:val="22"/>
                <w:highlight w:val="yellow"/>
                <w:lang w:val="en-US" w:eastAsia="zh-CN" w:bidi="ar-SA"/>
              </w:rPr>
            </w:pPr>
            <w:r>
              <w:rPr>
                <w:rFonts w:hint="eastAsia" w:ascii="宋体" w:hAnsi="宋体" w:eastAsia="宋体" w:cs="宋体"/>
                <w:highlight w:val="yellow"/>
              </w:rPr>
              <w:t>直径6mm 反光参考点</w:t>
            </w:r>
          </w:p>
        </w:tc>
        <w:tc>
          <w:tcPr>
            <w:tcW w:w="800" w:type="dxa"/>
          </w:tcPr>
          <w:p>
            <w:pPr>
              <w:adjustRightInd w:val="0"/>
              <w:snapToGrid w:val="0"/>
              <w:spacing w:line="240" w:lineRule="auto"/>
              <w:jc w:val="center"/>
              <w:rPr>
                <w:rFonts w:hint="eastAsia" w:ascii="宋体" w:hAnsi="宋体" w:eastAsia="宋体" w:cs="宋体"/>
                <w:kern w:val="2"/>
                <w:sz w:val="21"/>
                <w:szCs w:val="22"/>
                <w:highlight w:val="yellow"/>
                <w:lang w:val="en-US" w:eastAsia="zh-CN" w:bidi="ar-SA"/>
              </w:rPr>
            </w:pPr>
            <w:r>
              <w:rPr>
                <w:rFonts w:hint="eastAsia" w:ascii="宋体" w:hAnsi="宋体" w:eastAsia="宋体" w:cs="宋体"/>
                <w:highlight w:val="yellow"/>
                <w:lang w:val="en-US" w:eastAsia="zh-CN"/>
              </w:rPr>
              <w:t>套</w:t>
            </w:r>
          </w:p>
        </w:tc>
        <w:tc>
          <w:tcPr>
            <w:tcW w:w="834" w:type="dxa"/>
          </w:tcPr>
          <w:p>
            <w:pPr>
              <w:adjustRightInd w:val="0"/>
              <w:snapToGrid w:val="0"/>
              <w:spacing w:line="240" w:lineRule="auto"/>
              <w:jc w:val="center"/>
              <w:rPr>
                <w:rFonts w:hint="eastAsia" w:ascii="宋体" w:hAnsi="宋体" w:eastAsia="宋体" w:cs="宋体"/>
                <w:kern w:val="2"/>
                <w:sz w:val="21"/>
                <w:szCs w:val="22"/>
                <w:highlight w:val="yellow"/>
                <w:lang w:val="en-US" w:eastAsia="zh-CN" w:bidi="ar-SA"/>
              </w:rPr>
            </w:pPr>
            <w:r>
              <w:rPr>
                <w:rFonts w:hint="eastAsia" w:ascii="宋体" w:hAnsi="宋体" w:eastAsia="宋体" w:cs="宋体"/>
                <w:highlight w:val="yellow"/>
                <w:lang w:val="en-US" w:eastAsia="zh-CN"/>
              </w:rPr>
              <w:t>7</w:t>
            </w:r>
          </w:p>
        </w:tc>
        <w:tc>
          <w:tcPr>
            <w:tcW w:w="866" w:type="dxa"/>
          </w:tcPr>
          <w:p>
            <w:pPr>
              <w:adjustRightInd w:val="0"/>
              <w:snapToGrid w:val="0"/>
              <w:spacing w:line="360" w:lineRule="exact"/>
              <w:jc w:val="center"/>
              <w:rPr>
                <w:rFonts w:hint="eastAsia" w:ascii="宋体" w:hAnsi="宋体" w:eastAsia="宋体" w:cs="宋体"/>
              </w:rPr>
            </w:pPr>
          </w:p>
        </w:tc>
        <w:tc>
          <w:tcPr>
            <w:tcW w:w="917" w:type="dxa"/>
          </w:tcPr>
          <w:p>
            <w:pPr>
              <w:adjustRightInd w:val="0"/>
              <w:snapToGrid w:val="0"/>
              <w:spacing w:line="360" w:lineRule="exact"/>
              <w:jc w:val="center"/>
              <w:rPr>
                <w:rFonts w:hint="eastAsia" w:ascii="宋体" w:hAnsi="宋体" w:eastAsia="宋体" w:cs="宋体"/>
              </w:rPr>
            </w:pPr>
          </w:p>
        </w:tc>
        <w:tc>
          <w:tcPr>
            <w:tcW w:w="1450"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208" w:type="dxa"/>
          </w:tcPr>
          <w:p>
            <w:pPr>
              <w:adjustRightInd w:val="0"/>
              <w:snapToGrid w:val="0"/>
              <w:spacing w:line="360" w:lineRule="exact"/>
              <w:rPr>
                <w:rFonts w:hint="eastAsia" w:ascii="宋体" w:hAnsi="宋体" w:eastAsia="宋体" w:cs="宋体"/>
              </w:rPr>
            </w:pPr>
          </w:p>
        </w:tc>
        <w:tc>
          <w:tcPr>
            <w:tcW w:w="2200" w:type="dxa"/>
          </w:tcPr>
          <w:p>
            <w:pPr>
              <w:adjustRightInd w:val="0"/>
              <w:snapToGrid w:val="0"/>
              <w:spacing w:line="360" w:lineRule="exact"/>
              <w:rPr>
                <w:rFonts w:hint="eastAsia" w:ascii="宋体" w:hAnsi="宋体" w:eastAsia="宋体" w:cs="宋体"/>
              </w:rPr>
            </w:pPr>
          </w:p>
        </w:tc>
        <w:tc>
          <w:tcPr>
            <w:tcW w:w="800" w:type="dxa"/>
          </w:tcPr>
          <w:p>
            <w:pPr>
              <w:adjustRightInd w:val="0"/>
              <w:snapToGrid w:val="0"/>
              <w:spacing w:line="360" w:lineRule="exact"/>
              <w:jc w:val="center"/>
              <w:rPr>
                <w:rFonts w:hint="eastAsia" w:ascii="宋体" w:hAnsi="宋体" w:eastAsia="宋体" w:cs="宋体"/>
              </w:rPr>
            </w:pPr>
          </w:p>
        </w:tc>
        <w:tc>
          <w:tcPr>
            <w:tcW w:w="834" w:type="dxa"/>
          </w:tcPr>
          <w:p>
            <w:pPr>
              <w:adjustRightInd w:val="0"/>
              <w:snapToGrid w:val="0"/>
              <w:spacing w:line="360" w:lineRule="exact"/>
              <w:jc w:val="center"/>
              <w:rPr>
                <w:rFonts w:hint="eastAsia" w:ascii="宋体" w:hAnsi="宋体" w:eastAsia="宋体" w:cs="宋体"/>
              </w:rPr>
            </w:pPr>
          </w:p>
        </w:tc>
        <w:tc>
          <w:tcPr>
            <w:tcW w:w="866" w:type="dxa"/>
          </w:tcPr>
          <w:p>
            <w:pPr>
              <w:adjustRightInd w:val="0"/>
              <w:snapToGrid w:val="0"/>
              <w:spacing w:line="360" w:lineRule="exact"/>
              <w:jc w:val="center"/>
              <w:rPr>
                <w:rFonts w:hint="eastAsia" w:ascii="宋体" w:hAnsi="宋体" w:eastAsia="宋体" w:cs="宋体"/>
              </w:rPr>
            </w:pPr>
          </w:p>
        </w:tc>
        <w:tc>
          <w:tcPr>
            <w:tcW w:w="917" w:type="dxa"/>
          </w:tcPr>
          <w:p>
            <w:pPr>
              <w:adjustRightInd w:val="0"/>
              <w:snapToGrid w:val="0"/>
              <w:spacing w:line="360" w:lineRule="exact"/>
              <w:jc w:val="center"/>
              <w:rPr>
                <w:rFonts w:hint="eastAsia" w:ascii="宋体" w:hAnsi="宋体" w:eastAsia="宋体" w:cs="宋体"/>
              </w:rPr>
            </w:pPr>
          </w:p>
        </w:tc>
        <w:tc>
          <w:tcPr>
            <w:tcW w:w="1450"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208" w:type="dxa"/>
          </w:tcPr>
          <w:p>
            <w:pPr>
              <w:adjustRightInd w:val="0"/>
              <w:snapToGrid w:val="0"/>
              <w:spacing w:line="360" w:lineRule="exact"/>
              <w:rPr>
                <w:rFonts w:hint="eastAsia" w:ascii="宋体" w:hAnsi="宋体" w:eastAsia="宋体" w:cs="宋体"/>
              </w:rPr>
            </w:pPr>
          </w:p>
        </w:tc>
        <w:tc>
          <w:tcPr>
            <w:tcW w:w="2200" w:type="dxa"/>
          </w:tcPr>
          <w:p>
            <w:pPr>
              <w:adjustRightInd w:val="0"/>
              <w:snapToGrid w:val="0"/>
              <w:spacing w:line="360" w:lineRule="exact"/>
              <w:rPr>
                <w:rFonts w:hint="eastAsia" w:ascii="宋体" w:hAnsi="宋体" w:eastAsia="宋体" w:cs="宋体"/>
              </w:rPr>
            </w:pPr>
          </w:p>
        </w:tc>
        <w:tc>
          <w:tcPr>
            <w:tcW w:w="800" w:type="dxa"/>
          </w:tcPr>
          <w:p>
            <w:pPr>
              <w:adjustRightInd w:val="0"/>
              <w:snapToGrid w:val="0"/>
              <w:spacing w:line="360" w:lineRule="exact"/>
              <w:jc w:val="center"/>
              <w:rPr>
                <w:rFonts w:hint="eastAsia" w:ascii="宋体" w:hAnsi="宋体" w:eastAsia="宋体" w:cs="宋体"/>
              </w:rPr>
            </w:pPr>
          </w:p>
        </w:tc>
        <w:tc>
          <w:tcPr>
            <w:tcW w:w="834" w:type="dxa"/>
          </w:tcPr>
          <w:p>
            <w:pPr>
              <w:adjustRightInd w:val="0"/>
              <w:snapToGrid w:val="0"/>
              <w:spacing w:line="360" w:lineRule="exact"/>
              <w:jc w:val="center"/>
              <w:rPr>
                <w:rFonts w:hint="eastAsia" w:ascii="宋体" w:hAnsi="宋体" w:eastAsia="宋体" w:cs="宋体"/>
              </w:rPr>
            </w:pPr>
          </w:p>
        </w:tc>
        <w:tc>
          <w:tcPr>
            <w:tcW w:w="866" w:type="dxa"/>
          </w:tcPr>
          <w:p>
            <w:pPr>
              <w:adjustRightInd w:val="0"/>
              <w:snapToGrid w:val="0"/>
              <w:spacing w:line="360" w:lineRule="exact"/>
              <w:jc w:val="center"/>
              <w:rPr>
                <w:rFonts w:hint="eastAsia" w:ascii="宋体" w:hAnsi="宋体" w:eastAsia="宋体" w:cs="宋体"/>
              </w:rPr>
            </w:pPr>
          </w:p>
        </w:tc>
        <w:tc>
          <w:tcPr>
            <w:tcW w:w="917" w:type="dxa"/>
          </w:tcPr>
          <w:p>
            <w:pPr>
              <w:adjustRightInd w:val="0"/>
              <w:snapToGrid w:val="0"/>
              <w:spacing w:line="360" w:lineRule="exact"/>
              <w:jc w:val="center"/>
              <w:rPr>
                <w:rFonts w:hint="eastAsia" w:ascii="宋体" w:hAnsi="宋体" w:eastAsia="宋体" w:cs="宋体"/>
              </w:rPr>
            </w:pPr>
          </w:p>
        </w:tc>
        <w:tc>
          <w:tcPr>
            <w:tcW w:w="1450"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208" w:type="dxa"/>
          </w:tcPr>
          <w:p>
            <w:pPr>
              <w:adjustRightInd w:val="0"/>
              <w:snapToGrid w:val="0"/>
              <w:spacing w:line="360" w:lineRule="exact"/>
              <w:rPr>
                <w:rFonts w:hint="eastAsia" w:ascii="宋体" w:hAnsi="宋体" w:eastAsia="宋体" w:cs="宋体"/>
              </w:rPr>
            </w:pPr>
          </w:p>
        </w:tc>
        <w:tc>
          <w:tcPr>
            <w:tcW w:w="2200" w:type="dxa"/>
          </w:tcPr>
          <w:p>
            <w:pPr>
              <w:adjustRightInd w:val="0"/>
              <w:snapToGrid w:val="0"/>
              <w:spacing w:line="360" w:lineRule="exact"/>
              <w:rPr>
                <w:rFonts w:hint="eastAsia" w:ascii="宋体" w:hAnsi="宋体" w:eastAsia="宋体" w:cs="宋体"/>
              </w:rPr>
            </w:pPr>
          </w:p>
        </w:tc>
        <w:tc>
          <w:tcPr>
            <w:tcW w:w="800" w:type="dxa"/>
          </w:tcPr>
          <w:p>
            <w:pPr>
              <w:adjustRightInd w:val="0"/>
              <w:snapToGrid w:val="0"/>
              <w:spacing w:line="360" w:lineRule="exact"/>
              <w:jc w:val="center"/>
              <w:rPr>
                <w:rFonts w:hint="eastAsia" w:ascii="宋体" w:hAnsi="宋体" w:eastAsia="宋体" w:cs="宋体"/>
              </w:rPr>
            </w:pPr>
          </w:p>
        </w:tc>
        <w:tc>
          <w:tcPr>
            <w:tcW w:w="834" w:type="dxa"/>
          </w:tcPr>
          <w:p>
            <w:pPr>
              <w:adjustRightInd w:val="0"/>
              <w:snapToGrid w:val="0"/>
              <w:spacing w:line="360" w:lineRule="exact"/>
              <w:jc w:val="center"/>
              <w:rPr>
                <w:rFonts w:hint="eastAsia" w:ascii="宋体" w:hAnsi="宋体" w:eastAsia="宋体" w:cs="宋体"/>
              </w:rPr>
            </w:pPr>
          </w:p>
        </w:tc>
        <w:tc>
          <w:tcPr>
            <w:tcW w:w="866" w:type="dxa"/>
          </w:tcPr>
          <w:p>
            <w:pPr>
              <w:adjustRightInd w:val="0"/>
              <w:snapToGrid w:val="0"/>
              <w:spacing w:line="360" w:lineRule="exact"/>
              <w:jc w:val="center"/>
              <w:rPr>
                <w:rFonts w:hint="eastAsia" w:ascii="宋体" w:hAnsi="宋体" w:eastAsia="宋体" w:cs="宋体"/>
              </w:rPr>
            </w:pPr>
          </w:p>
        </w:tc>
        <w:tc>
          <w:tcPr>
            <w:tcW w:w="917" w:type="dxa"/>
          </w:tcPr>
          <w:p>
            <w:pPr>
              <w:adjustRightInd w:val="0"/>
              <w:snapToGrid w:val="0"/>
              <w:spacing w:line="360" w:lineRule="exact"/>
              <w:jc w:val="center"/>
              <w:rPr>
                <w:rFonts w:hint="eastAsia" w:ascii="宋体" w:hAnsi="宋体" w:eastAsia="宋体" w:cs="宋体"/>
              </w:rPr>
            </w:pPr>
          </w:p>
        </w:tc>
        <w:tc>
          <w:tcPr>
            <w:tcW w:w="1450"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208" w:type="dxa"/>
          </w:tcPr>
          <w:p>
            <w:pPr>
              <w:adjustRightInd w:val="0"/>
              <w:snapToGrid w:val="0"/>
              <w:spacing w:line="360" w:lineRule="exact"/>
              <w:rPr>
                <w:rFonts w:hint="eastAsia" w:ascii="宋体" w:hAnsi="宋体" w:eastAsia="宋体" w:cs="宋体"/>
              </w:rPr>
            </w:pPr>
          </w:p>
        </w:tc>
        <w:tc>
          <w:tcPr>
            <w:tcW w:w="2200" w:type="dxa"/>
          </w:tcPr>
          <w:p>
            <w:pPr>
              <w:adjustRightInd w:val="0"/>
              <w:snapToGrid w:val="0"/>
              <w:spacing w:line="360" w:lineRule="exact"/>
              <w:rPr>
                <w:rFonts w:hint="eastAsia" w:ascii="宋体" w:hAnsi="宋体" w:eastAsia="宋体" w:cs="宋体"/>
              </w:rPr>
            </w:pPr>
          </w:p>
        </w:tc>
        <w:tc>
          <w:tcPr>
            <w:tcW w:w="800" w:type="dxa"/>
          </w:tcPr>
          <w:p>
            <w:pPr>
              <w:adjustRightInd w:val="0"/>
              <w:snapToGrid w:val="0"/>
              <w:spacing w:line="360" w:lineRule="exact"/>
              <w:jc w:val="center"/>
              <w:rPr>
                <w:rFonts w:hint="eastAsia" w:ascii="宋体" w:hAnsi="宋体" w:eastAsia="宋体" w:cs="宋体"/>
              </w:rPr>
            </w:pPr>
          </w:p>
        </w:tc>
        <w:tc>
          <w:tcPr>
            <w:tcW w:w="834" w:type="dxa"/>
          </w:tcPr>
          <w:p>
            <w:pPr>
              <w:adjustRightInd w:val="0"/>
              <w:snapToGrid w:val="0"/>
              <w:spacing w:line="360" w:lineRule="exact"/>
              <w:jc w:val="center"/>
              <w:rPr>
                <w:rFonts w:hint="eastAsia" w:ascii="宋体" w:hAnsi="宋体" w:eastAsia="宋体" w:cs="宋体"/>
              </w:rPr>
            </w:pPr>
          </w:p>
        </w:tc>
        <w:tc>
          <w:tcPr>
            <w:tcW w:w="866" w:type="dxa"/>
          </w:tcPr>
          <w:p>
            <w:pPr>
              <w:adjustRightInd w:val="0"/>
              <w:snapToGrid w:val="0"/>
              <w:spacing w:line="360" w:lineRule="exact"/>
              <w:jc w:val="center"/>
              <w:rPr>
                <w:rFonts w:hint="eastAsia" w:ascii="宋体" w:hAnsi="宋体" w:eastAsia="宋体" w:cs="宋体"/>
              </w:rPr>
            </w:pPr>
          </w:p>
        </w:tc>
        <w:tc>
          <w:tcPr>
            <w:tcW w:w="917" w:type="dxa"/>
          </w:tcPr>
          <w:p>
            <w:pPr>
              <w:adjustRightInd w:val="0"/>
              <w:snapToGrid w:val="0"/>
              <w:spacing w:line="360" w:lineRule="exact"/>
              <w:jc w:val="center"/>
              <w:rPr>
                <w:rFonts w:hint="eastAsia" w:ascii="宋体" w:hAnsi="宋体" w:eastAsia="宋体" w:cs="宋体"/>
              </w:rPr>
            </w:pPr>
          </w:p>
        </w:tc>
        <w:tc>
          <w:tcPr>
            <w:tcW w:w="1450" w:type="dxa"/>
          </w:tcPr>
          <w:p>
            <w:pPr>
              <w:adjustRightInd w:val="0"/>
              <w:snapToGrid w:val="0"/>
              <w:spacing w:line="360" w:lineRule="exact"/>
              <w:rPr>
                <w:rFonts w:hint="eastAsia"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w:t>
      </w:r>
      <w:r>
        <w:rPr>
          <w:rFonts w:hint="eastAsia" w:ascii="宋体" w:hAnsi="宋体" w:eastAsia="宋体" w:cs="宋体"/>
          <w:sz w:val="24"/>
          <w:szCs w:val="24"/>
          <w:lang w:eastAsia="zh-CN"/>
        </w:rPr>
        <w:t>投标人</w:t>
      </w:r>
      <w:r>
        <w:rPr>
          <w:rFonts w:hint="eastAsia" w:ascii="宋体" w:hAnsi="宋体" w:eastAsia="宋体" w:cs="宋体"/>
          <w:sz w:val="24"/>
          <w:szCs w:val="24"/>
        </w:rPr>
        <w:t>编制投标技术文件的一般格式。其中序号编写应当便于</w:t>
      </w:r>
      <w:r>
        <w:rPr>
          <w:rFonts w:hint="eastAsia" w:ascii="宋体" w:hAnsi="宋体" w:eastAsia="宋体" w:cs="宋体"/>
          <w:sz w:val="24"/>
          <w:szCs w:val="24"/>
          <w:lang w:eastAsia="zh-CN"/>
        </w:rPr>
        <w:t>招标人</w:t>
      </w:r>
      <w:r>
        <w:rPr>
          <w:rFonts w:hint="eastAsia" w:ascii="宋体" w:hAnsi="宋体" w:eastAsia="宋体" w:cs="宋体"/>
          <w:sz w:val="24"/>
          <w:szCs w:val="24"/>
        </w:rPr>
        <w:t>了解分类或分项货物之间的所属关系，如1、1.1、1.2</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w:t>
      </w:r>
      <w:r>
        <w:rPr>
          <w:rFonts w:hint="eastAsia" w:ascii="宋体" w:hAnsi="宋体" w:eastAsia="宋体" w:cs="宋体"/>
          <w:sz w:val="24"/>
          <w:szCs w:val="24"/>
          <w:lang w:eastAsia="zh-CN"/>
        </w:rPr>
        <w:t>投标人</w:t>
      </w:r>
      <w:r>
        <w:rPr>
          <w:rFonts w:hint="eastAsia" w:ascii="宋体" w:hAnsi="宋体" w:eastAsia="宋体" w:cs="宋体"/>
          <w:sz w:val="24"/>
          <w:szCs w:val="24"/>
        </w:rPr>
        <w:t>胜出</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pStyle w:val="117"/>
        <w:spacing w:line="360" w:lineRule="auto"/>
        <w:rPr>
          <w:rFonts w:hint="eastAsia"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投标技术文件中，如未按照要求编写、或者存在漏项和缺项，将有可能造成对</w:t>
      </w:r>
      <w:r>
        <w:rPr>
          <w:rFonts w:hint="eastAsia" w:ascii="宋体" w:hAnsi="宋体" w:eastAsia="宋体" w:cs="宋体"/>
          <w:sz w:val="24"/>
          <w:szCs w:val="24"/>
          <w:lang w:eastAsia="zh-CN"/>
        </w:rPr>
        <w:t>投标人</w:t>
      </w:r>
      <w:r>
        <w:rPr>
          <w:rFonts w:hint="eastAsia" w:ascii="宋体" w:hAnsi="宋体" w:eastAsia="宋体" w:cs="宋体"/>
          <w:sz w:val="24"/>
          <w:szCs w:val="24"/>
        </w:rPr>
        <w:t>不必要的误解；必要时，漏项和缺项涉及的费用，将有可能以其它</w:t>
      </w:r>
      <w:r>
        <w:rPr>
          <w:rFonts w:hint="eastAsia" w:ascii="宋体" w:hAnsi="宋体" w:eastAsia="宋体" w:cs="宋体"/>
          <w:sz w:val="24"/>
          <w:szCs w:val="24"/>
          <w:lang w:eastAsia="zh-CN"/>
        </w:rPr>
        <w:t>投标人</w:t>
      </w:r>
      <w:r>
        <w:rPr>
          <w:rFonts w:hint="eastAsia" w:ascii="宋体" w:hAnsi="宋体" w:eastAsia="宋体" w:cs="宋体"/>
          <w:sz w:val="24"/>
          <w:szCs w:val="24"/>
        </w:rPr>
        <w:t>中，相同或相似项目的最高价，计入</w:t>
      </w:r>
      <w:r>
        <w:rPr>
          <w:rFonts w:hint="eastAsia" w:ascii="宋体" w:hAnsi="宋体" w:eastAsia="宋体" w:cs="宋体"/>
          <w:sz w:val="24"/>
          <w:szCs w:val="24"/>
          <w:lang w:eastAsia="zh-CN"/>
        </w:rPr>
        <w:t>投标人</w:t>
      </w:r>
      <w:r>
        <w:rPr>
          <w:rFonts w:hint="eastAsia" w:ascii="宋体" w:hAnsi="宋体" w:eastAsia="宋体" w:cs="宋体"/>
          <w:sz w:val="24"/>
          <w:szCs w:val="24"/>
        </w:rPr>
        <w:t>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投标总报价为自合同签定生效至合同无异议执行完毕涉及的买方需要支付的全部费用。如</w:t>
      </w:r>
      <w:r>
        <w:rPr>
          <w:rFonts w:hint="eastAsia" w:ascii="宋体" w:hAnsi="宋体" w:eastAsia="宋体" w:cs="宋体"/>
          <w:sz w:val="24"/>
          <w:szCs w:val="24"/>
          <w:lang w:eastAsia="zh-CN"/>
        </w:rPr>
        <w:t>投标人</w:t>
      </w:r>
      <w:r>
        <w:rPr>
          <w:rFonts w:hint="eastAsia" w:ascii="宋体" w:hAnsi="宋体" w:eastAsia="宋体" w:cs="宋体"/>
          <w:sz w:val="24"/>
          <w:szCs w:val="24"/>
        </w:rPr>
        <w:t>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备品备件、易损件和专用耗材，</w:t>
      </w:r>
      <w:r>
        <w:rPr>
          <w:rFonts w:hint="eastAsia" w:ascii="宋体" w:hAnsi="宋体" w:eastAsia="宋体" w:cs="宋体"/>
          <w:sz w:val="24"/>
          <w:szCs w:val="24"/>
          <w:lang w:eastAsia="zh-CN"/>
        </w:rPr>
        <w:t>招标人</w:t>
      </w:r>
      <w:r>
        <w:rPr>
          <w:rFonts w:hint="eastAsia" w:ascii="宋体" w:hAnsi="宋体" w:eastAsia="宋体" w:cs="宋体"/>
          <w:sz w:val="24"/>
          <w:szCs w:val="24"/>
        </w:rPr>
        <w:t>将可能与</w:t>
      </w:r>
      <w:r>
        <w:rPr>
          <w:rFonts w:hint="eastAsia" w:ascii="宋体" w:hAnsi="宋体" w:eastAsia="宋体" w:cs="宋体"/>
          <w:sz w:val="24"/>
          <w:szCs w:val="24"/>
          <w:lang w:eastAsia="zh-CN"/>
        </w:rPr>
        <w:t>投标人</w:t>
      </w:r>
      <w:r>
        <w:rPr>
          <w:rFonts w:hint="eastAsia" w:ascii="宋体" w:hAnsi="宋体" w:eastAsia="宋体" w:cs="宋体"/>
          <w:sz w:val="24"/>
          <w:szCs w:val="24"/>
        </w:rPr>
        <w:t>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要求投标总报价、分项报价、明细报价之间应当具有相互间对应关系以及填报分项和明细报价，仅为便于评标而不妨碍投标人以最合适的形式签署合同。</w:t>
      </w:r>
    </w:p>
    <w:p>
      <w:pPr>
        <w:pStyle w:val="117"/>
        <w:spacing w:line="360" w:lineRule="auto"/>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w:t>
      </w:r>
      <w:r>
        <w:rPr>
          <w:rFonts w:hint="eastAsia" w:ascii="宋体" w:hAnsi="宋体" w:eastAsia="宋体" w:cs="宋体"/>
          <w:sz w:val="24"/>
          <w:szCs w:val="24"/>
          <w:lang w:eastAsia="zh-CN"/>
        </w:rPr>
        <w:t>投标人</w:t>
      </w:r>
      <w:r>
        <w:rPr>
          <w:rFonts w:hint="eastAsia" w:ascii="宋体" w:hAnsi="宋体" w:eastAsia="宋体" w:cs="宋体"/>
          <w:sz w:val="24"/>
          <w:szCs w:val="24"/>
        </w:rPr>
        <w:t>应当在投标文件中提供预验收（必要时）和终验收的标准以及规程；在合同签定之前，经</w:t>
      </w:r>
      <w:r>
        <w:rPr>
          <w:rFonts w:hint="eastAsia" w:ascii="宋体" w:hAnsi="宋体" w:eastAsia="宋体" w:cs="宋体"/>
          <w:sz w:val="24"/>
          <w:szCs w:val="24"/>
          <w:lang w:eastAsia="zh-CN"/>
        </w:rPr>
        <w:t>投标人</w:t>
      </w:r>
      <w:r>
        <w:rPr>
          <w:rFonts w:hint="eastAsia" w:ascii="宋体" w:hAnsi="宋体" w:eastAsia="宋体" w:cs="宋体"/>
          <w:sz w:val="24"/>
          <w:szCs w:val="24"/>
        </w:rPr>
        <w:t>和</w:t>
      </w:r>
      <w:r>
        <w:rPr>
          <w:rFonts w:hint="eastAsia" w:ascii="宋体" w:hAnsi="宋体" w:eastAsia="宋体" w:cs="宋体"/>
          <w:sz w:val="24"/>
          <w:szCs w:val="24"/>
          <w:lang w:eastAsia="zh-CN"/>
        </w:rPr>
        <w:t>招标人</w:t>
      </w:r>
      <w:r>
        <w:rPr>
          <w:rFonts w:hint="eastAsia" w:ascii="宋体" w:hAnsi="宋体" w:eastAsia="宋体" w:cs="宋体"/>
          <w:sz w:val="24"/>
          <w:szCs w:val="24"/>
        </w:rPr>
        <w:t>双方洽谈确认并签署，以作为验收标准执行。</w:t>
      </w:r>
    </w:p>
    <w:p>
      <w:pPr>
        <w:pStyle w:val="3"/>
        <w:spacing w:before="120" w:after="120" w:line="360" w:lineRule="auto"/>
        <w:jc w:val="center"/>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bookmarkStart w:id="42" w:name="_Toc465187648"/>
    </w:p>
    <w:p>
      <w:pPr>
        <w:pStyle w:val="130"/>
        <w:outlineLvl w:val="1"/>
        <w:rPr>
          <w:rFonts w:hint="eastAsia" w:ascii="宋体" w:hAnsi="宋体" w:eastAsia="宋体" w:cs="宋体"/>
          <w:b/>
          <w:bCs w:val="0"/>
          <w:i w:val="0"/>
          <w:iCs/>
          <w:color w:val="auto"/>
          <w:sz w:val="28"/>
          <w:szCs w:val="22"/>
        </w:rPr>
      </w:pPr>
      <w:r>
        <w:rPr>
          <w:rFonts w:hint="eastAsia" w:ascii="宋体" w:hAnsi="宋体" w:eastAsia="宋体" w:cs="宋体"/>
          <w:b/>
          <w:bCs w:val="0"/>
          <w:i w:val="0"/>
          <w:iCs/>
          <w:color w:val="auto"/>
          <w:sz w:val="28"/>
          <w:szCs w:val="22"/>
        </w:rPr>
        <w:t>第七章  其它要求及说明</w:t>
      </w:r>
      <w:bookmarkEnd w:id="42"/>
    </w:p>
    <w:p>
      <w:pPr>
        <w:pStyle w:val="117"/>
        <w:spacing w:line="360" w:lineRule="auto"/>
        <w:rPr>
          <w:rFonts w:hint="eastAsia" w:ascii="宋体" w:hAnsi="宋体" w:cs="宋体"/>
          <w:color w:val="auto"/>
          <w:sz w:val="24"/>
          <w:szCs w:val="24"/>
        </w:rPr>
      </w:pPr>
      <w:r>
        <w:rPr>
          <w:rFonts w:hint="eastAsia" w:ascii="宋体" w:hAnsi="宋体" w:cs="宋体"/>
          <w:color w:val="auto"/>
          <w:sz w:val="24"/>
          <w:szCs w:val="24"/>
        </w:rPr>
        <w:t>一、要求</w:t>
      </w:r>
    </w:p>
    <w:p>
      <w:pPr>
        <w:pStyle w:val="19"/>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w:t>
      </w:r>
      <w:r>
        <w:rPr>
          <w:rFonts w:hint="eastAsia" w:ascii="宋体" w:hAnsi="宋体" w:eastAsia="宋体" w:cs="宋体"/>
          <w:sz w:val="24"/>
          <w:szCs w:val="24"/>
          <w:lang w:eastAsia="zh-CN"/>
        </w:rPr>
        <w:t>投标人</w:t>
      </w:r>
      <w:r>
        <w:rPr>
          <w:rFonts w:hint="eastAsia" w:ascii="宋体" w:hAnsi="宋体" w:eastAsia="宋体" w:cs="宋体"/>
          <w:sz w:val="24"/>
          <w:szCs w:val="24"/>
        </w:rPr>
        <w:t>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.投标人</w:t>
      </w:r>
      <w:r>
        <w:rPr>
          <w:rFonts w:hint="eastAsia" w:ascii="宋体" w:hAnsi="宋体" w:eastAsia="宋体" w:cs="宋体"/>
          <w:sz w:val="24"/>
          <w:szCs w:val="24"/>
        </w:rPr>
        <w:t>应当是通过有关资格认证的法人。应当在投标文件中提供有效期内的资格认证证书，如：ISO9001、VDA6.1、QS9000等。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国产设备应附有采购货物（或设备）涉及的由“中国质量认证中心”颁发的《中国国家强制性产品认证证书》（CCC证书）。</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应附有其它与</w:t>
      </w:r>
      <w:r>
        <w:rPr>
          <w:rFonts w:hint="eastAsia" w:ascii="宋体" w:hAnsi="宋体" w:eastAsia="宋体" w:cs="宋体"/>
          <w:sz w:val="24"/>
          <w:szCs w:val="24"/>
          <w:lang w:eastAsia="zh-CN"/>
        </w:rPr>
        <w:t>投标人</w:t>
      </w:r>
      <w:r>
        <w:rPr>
          <w:rFonts w:hint="eastAsia" w:ascii="宋体" w:hAnsi="宋体" w:eastAsia="宋体" w:cs="宋体"/>
          <w:sz w:val="24"/>
          <w:szCs w:val="24"/>
        </w:rPr>
        <w:t>、采购货物有关的荣誉证书或资料。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必须附有投标货物涉及产品要求的、国家或行业管理规定要求的、或者</w:t>
      </w:r>
      <w:r>
        <w:rPr>
          <w:rFonts w:hint="eastAsia" w:ascii="宋体" w:hAnsi="宋体" w:eastAsia="宋体" w:cs="宋体"/>
          <w:sz w:val="24"/>
          <w:szCs w:val="24"/>
          <w:lang w:eastAsia="zh-CN"/>
        </w:rPr>
        <w:t>投标人</w:t>
      </w:r>
      <w:r>
        <w:rPr>
          <w:rFonts w:hint="eastAsia" w:ascii="宋体" w:hAnsi="宋体" w:eastAsia="宋体" w:cs="宋体"/>
          <w:sz w:val="24"/>
          <w:szCs w:val="24"/>
        </w:rPr>
        <w:t>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lang w:eastAsia="zh-CN"/>
        </w:rPr>
      </w:pPr>
      <w:r>
        <w:rPr>
          <w:rFonts w:hint="eastAsia" w:ascii="宋体" w:hAnsi="宋体" w:eastAsia="宋体" w:cs="宋体"/>
          <w:sz w:val="24"/>
          <w:szCs w:val="24"/>
        </w:rPr>
        <w:t>5.3产品相关检验、试验报告，如：型式试验检验报告、安全试验检验报告、电弧效应试验报告、噪声检测报告等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r>
        <w:rPr>
          <w:rFonts w:hint="eastAsia" w:ascii="宋体" w:hAnsi="宋体" w:eastAsia="宋体" w:cs="宋体"/>
          <w:sz w:val="24"/>
          <w:szCs w:val="24"/>
          <w:lang w:eastAsia="zh-CN"/>
        </w:rPr>
        <w:t>；</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w:t>
      </w:r>
      <w:r>
        <w:rPr>
          <w:rFonts w:hint="eastAsia" w:ascii="宋体" w:hAnsi="宋体" w:eastAsia="宋体" w:cs="宋体"/>
          <w:sz w:val="24"/>
          <w:szCs w:val="24"/>
          <w:lang w:eastAsia="zh-CN"/>
        </w:rPr>
        <w:t>投标人</w:t>
      </w:r>
      <w:r>
        <w:rPr>
          <w:rFonts w:hint="eastAsia" w:ascii="宋体" w:hAnsi="宋体" w:eastAsia="宋体" w:cs="宋体"/>
          <w:sz w:val="24"/>
          <w:szCs w:val="24"/>
        </w:rPr>
        <w:t>胜出乃至中标极为重要！</w:t>
      </w:r>
    </w:p>
    <w:p>
      <w:pPr>
        <w:numPr>
          <w:ilvl w:val="-1"/>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6.</w:t>
      </w: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w:t>
      </w:r>
      <w:r>
        <w:rPr>
          <w:rFonts w:hint="eastAsia" w:ascii="宋体" w:hAnsi="宋体" w:eastAsia="宋体" w:cs="宋体"/>
          <w:sz w:val="24"/>
          <w:szCs w:val="24"/>
          <w:lang w:eastAsia="zh-CN"/>
        </w:rPr>
        <w:t>投标人</w:t>
      </w:r>
      <w:r>
        <w:rPr>
          <w:rFonts w:hint="eastAsia" w:ascii="宋体" w:hAnsi="宋体" w:eastAsia="宋体" w:cs="宋体"/>
          <w:sz w:val="24"/>
          <w:szCs w:val="24"/>
        </w:rPr>
        <w:t>应当保证其业绩的真实性，否则将影响投标或中标资格。</w:t>
      </w:r>
    </w:p>
    <w:p>
      <w:pPr>
        <w:pStyle w:val="117"/>
        <w:spacing w:line="360" w:lineRule="auto"/>
        <w:rPr>
          <w:rFonts w:hint="eastAsia"/>
          <w:sz w:val="24"/>
          <w:szCs w:val="24"/>
        </w:rPr>
      </w:pPr>
      <w:r>
        <w:rPr>
          <w:rFonts w:hint="eastAsia" w:ascii="宋体" w:hAnsi="宋体" w:cs="宋体"/>
          <w:color w:val="auto"/>
          <w:sz w:val="24"/>
          <w:szCs w:val="24"/>
          <w:lang w:val="en-US" w:eastAsia="zh-CN"/>
        </w:rPr>
        <w:t>二</w:t>
      </w:r>
      <w:r>
        <w:rPr>
          <w:rFonts w:hint="eastAsia" w:ascii="宋体" w:hAnsi="宋体" w:cs="宋体"/>
          <w:color w:val="auto"/>
          <w:sz w:val="24"/>
          <w:szCs w:val="24"/>
        </w:rPr>
        <w:t>、</w:t>
      </w:r>
      <w:r>
        <w:rPr>
          <w:rFonts w:hint="eastAsia" w:ascii="宋体" w:hAnsi="宋体" w:cs="宋体"/>
          <w:color w:val="auto"/>
          <w:sz w:val="24"/>
          <w:szCs w:val="24"/>
          <w:lang w:val="en-US" w:eastAsia="zh-CN"/>
        </w:rPr>
        <w:t>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.投标人</w:t>
      </w:r>
      <w:r>
        <w:rPr>
          <w:rFonts w:hint="eastAsia" w:ascii="宋体" w:hAnsi="宋体" w:eastAsia="宋体" w:cs="宋体"/>
          <w:sz w:val="24"/>
          <w:szCs w:val="24"/>
        </w:rPr>
        <w:t>可以根据自身的技术、经验等优势以及对招标文件和本技术标书的理解，写明对</w:t>
      </w:r>
      <w:r>
        <w:rPr>
          <w:rFonts w:hint="eastAsia" w:ascii="宋体" w:hAnsi="宋体" w:eastAsia="宋体" w:cs="宋体"/>
          <w:sz w:val="24"/>
          <w:szCs w:val="24"/>
          <w:lang w:eastAsia="zh-CN"/>
        </w:rPr>
        <w:t>招标人</w:t>
      </w:r>
      <w:r>
        <w:rPr>
          <w:rFonts w:hint="eastAsia" w:ascii="宋体" w:hAnsi="宋体" w:eastAsia="宋体" w:cs="宋体"/>
          <w:sz w:val="24"/>
          <w:szCs w:val="24"/>
        </w:rPr>
        <w:t>所采购货物的优化方案或建议意见。</w:t>
      </w:r>
      <w:r>
        <w:rPr>
          <w:rFonts w:hint="eastAsia" w:ascii="宋体" w:hAnsi="宋体" w:eastAsia="宋体" w:cs="宋体"/>
          <w:sz w:val="24"/>
          <w:szCs w:val="24"/>
          <w:lang w:eastAsia="zh-CN"/>
        </w:rPr>
        <w:t>投标人</w:t>
      </w:r>
      <w:r>
        <w:rPr>
          <w:rFonts w:hint="eastAsia" w:ascii="宋体" w:hAnsi="宋体" w:eastAsia="宋体" w:cs="宋体"/>
          <w:sz w:val="24"/>
          <w:szCs w:val="24"/>
        </w:rPr>
        <w:t>的这些努力，</w:t>
      </w:r>
      <w:r>
        <w:rPr>
          <w:rFonts w:hint="eastAsia" w:ascii="宋体" w:hAnsi="宋体" w:eastAsia="宋体" w:cs="宋体"/>
          <w:sz w:val="24"/>
          <w:szCs w:val="24"/>
          <w:lang w:eastAsia="zh-CN"/>
        </w:rPr>
        <w:t>招标人</w:t>
      </w:r>
      <w:r>
        <w:rPr>
          <w:rFonts w:hint="eastAsia" w:ascii="宋体" w:hAnsi="宋体" w:eastAsia="宋体" w:cs="宋体"/>
          <w:sz w:val="24"/>
          <w:szCs w:val="24"/>
        </w:rPr>
        <w:t>表示感谢，并将有助于</w:t>
      </w:r>
      <w:r>
        <w:rPr>
          <w:rFonts w:hint="eastAsia" w:ascii="宋体" w:hAnsi="宋体" w:eastAsia="宋体" w:cs="宋体"/>
          <w:sz w:val="24"/>
          <w:szCs w:val="24"/>
          <w:lang w:eastAsia="zh-CN"/>
        </w:rPr>
        <w:t>投标人</w:t>
      </w:r>
      <w:r>
        <w:rPr>
          <w:rFonts w:hint="eastAsia" w:ascii="宋体" w:hAnsi="宋体" w:eastAsia="宋体" w:cs="宋体"/>
          <w:sz w:val="24"/>
          <w:szCs w:val="24"/>
        </w:rPr>
        <w:t>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请</w:t>
      </w:r>
      <w:r>
        <w:rPr>
          <w:rFonts w:hint="eastAsia" w:ascii="宋体" w:hAnsi="宋体" w:eastAsia="宋体" w:cs="宋体"/>
          <w:sz w:val="24"/>
          <w:szCs w:val="24"/>
          <w:lang w:eastAsia="zh-CN"/>
        </w:rPr>
        <w:t>投标人</w:t>
      </w:r>
      <w:r>
        <w:rPr>
          <w:rFonts w:hint="eastAsia" w:ascii="宋体" w:hAnsi="宋体" w:eastAsia="宋体" w:cs="宋体"/>
          <w:sz w:val="24"/>
          <w:szCs w:val="24"/>
        </w:rPr>
        <w:t>仔细阅读“采购货物概况”章节内说明，针对允许分投分中的货物，</w:t>
      </w:r>
      <w:r>
        <w:rPr>
          <w:rFonts w:hint="eastAsia" w:ascii="宋体" w:hAnsi="宋体" w:eastAsia="宋体" w:cs="宋体"/>
          <w:sz w:val="24"/>
          <w:szCs w:val="24"/>
          <w:lang w:eastAsia="zh-CN"/>
        </w:rPr>
        <w:t>招标人</w:t>
      </w:r>
      <w:r>
        <w:rPr>
          <w:rFonts w:hint="eastAsia" w:ascii="宋体" w:hAnsi="宋体" w:eastAsia="宋体" w:cs="宋体"/>
          <w:sz w:val="24"/>
          <w:szCs w:val="24"/>
        </w:rPr>
        <w:t>有权利选择其中优秀设备或服务，作为</w:t>
      </w:r>
      <w:r>
        <w:rPr>
          <w:rFonts w:hint="eastAsia" w:ascii="宋体" w:hAnsi="宋体" w:eastAsia="宋体" w:cs="宋体"/>
          <w:sz w:val="24"/>
          <w:szCs w:val="24"/>
          <w:lang w:eastAsia="zh-CN"/>
        </w:rPr>
        <w:t>投标人</w:t>
      </w:r>
      <w:r>
        <w:rPr>
          <w:rFonts w:hint="eastAsia" w:ascii="宋体" w:hAnsi="宋体" w:eastAsia="宋体" w:cs="宋体"/>
          <w:sz w:val="24"/>
          <w:szCs w:val="24"/>
        </w:rPr>
        <w:t>合同供货范围中的指定选用设备或服务（替代</w:t>
      </w:r>
      <w:r>
        <w:rPr>
          <w:rFonts w:hint="eastAsia" w:ascii="宋体" w:hAnsi="宋体" w:eastAsia="宋体" w:cs="宋体"/>
          <w:sz w:val="24"/>
          <w:szCs w:val="24"/>
          <w:lang w:eastAsia="zh-CN"/>
        </w:rPr>
        <w:t>投标人</w:t>
      </w:r>
      <w:r>
        <w:rPr>
          <w:rFonts w:hint="eastAsia" w:ascii="宋体" w:hAnsi="宋体" w:eastAsia="宋体" w:cs="宋体"/>
          <w:sz w:val="24"/>
          <w:szCs w:val="24"/>
        </w:rPr>
        <w:t>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招标文件、投标文件、答疑文件、技术交流文件、技术标书等，在采购过程全部为有效文件，如有差异，以对</w:t>
      </w:r>
      <w:r>
        <w:rPr>
          <w:rFonts w:hint="eastAsia" w:ascii="宋体" w:hAnsi="宋体" w:eastAsia="宋体" w:cs="宋体"/>
          <w:sz w:val="24"/>
          <w:szCs w:val="24"/>
          <w:lang w:eastAsia="zh-CN"/>
        </w:rPr>
        <w:t>招标人</w:t>
      </w:r>
      <w:r>
        <w:rPr>
          <w:rFonts w:hint="eastAsia" w:ascii="宋体" w:hAnsi="宋体" w:eastAsia="宋体" w:cs="宋体"/>
          <w:sz w:val="24"/>
          <w:szCs w:val="24"/>
        </w:rPr>
        <w:t>最有利的条款为准。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为避免</w:t>
      </w:r>
      <w:r>
        <w:rPr>
          <w:rFonts w:hint="eastAsia" w:ascii="宋体" w:hAnsi="宋体" w:eastAsia="宋体" w:cs="宋体"/>
          <w:sz w:val="24"/>
          <w:szCs w:val="24"/>
          <w:lang w:val="en-US" w:eastAsia="zh-CN"/>
        </w:rPr>
        <w:t>歧义</w:t>
      </w:r>
      <w:r>
        <w:rPr>
          <w:rFonts w:hint="eastAsia" w:ascii="宋体" w:hAnsi="宋体" w:eastAsia="宋体" w:cs="宋体"/>
          <w:sz w:val="24"/>
          <w:szCs w:val="24"/>
        </w:rPr>
        <w:t>，本技术标书涉及招投标环节的条款，均将潜在的卖方称为</w:t>
      </w:r>
      <w:r>
        <w:rPr>
          <w:rFonts w:hint="eastAsia" w:ascii="宋体" w:hAnsi="宋体" w:eastAsia="宋体" w:cs="宋体"/>
          <w:sz w:val="24"/>
          <w:szCs w:val="24"/>
          <w:lang w:eastAsia="zh-CN"/>
        </w:rPr>
        <w:t>投标人</w:t>
      </w:r>
      <w:r>
        <w:rPr>
          <w:rFonts w:hint="eastAsia" w:ascii="宋体" w:hAnsi="宋体" w:eastAsia="宋体" w:cs="宋体"/>
          <w:sz w:val="24"/>
          <w:szCs w:val="24"/>
        </w:rPr>
        <w:t>、将买方称为</w:t>
      </w:r>
      <w:r>
        <w:rPr>
          <w:rFonts w:hint="eastAsia" w:ascii="宋体" w:hAnsi="宋体" w:eastAsia="宋体" w:cs="宋体"/>
          <w:sz w:val="24"/>
          <w:szCs w:val="24"/>
          <w:lang w:eastAsia="zh-CN"/>
        </w:rPr>
        <w:t>招标人</w:t>
      </w:r>
      <w:r>
        <w:rPr>
          <w:rFonts w:hint="eastAsia" w:ascii="宋体" w:hAnsi="宋体" w:eastAsia="宋体" w:cs="宋体"/>
          <w:sz w:val="24"/>
          <w:szCs w:val="24"/>
        </w:rPr>
        <w:t>；定标后合同签署环节以及后续的合同执行环节条款，</w:t>
      </w:r>
      <w:r>
        <w:rPr>
          <w:rFonts w:hint="eastAsia" w:ascii="宋体" w:hAnsi="宋体" w:eastAsia="宋体" w:cs="宋体"/>
          <w:sz w:val="24"/>
          <w:szCs w:val="24"/>
          <w:lang w:eastAsia="zh-CN"/>
        </w:rPr>
        <w:t>招标人</w:t>
      </w:r>
      <w:r>
        <w:rPr>
          <w:rFonts w:hint="eastAsia" w:ascii="宋体" w:hAnsi="宋体" w:eastAsia="宋体" w:cs="宋体"/>
          <w:sz w:val="24"/>
          <w:szCs w:val="24"/>
        </w:rPr>
        <w:t>称为买方、</w:t>
      </w:r>
      <w:r>
        <w:rPr>
          <w:rFonts w:hint="eastAsia" w:ascii="宋体" w:hAnsi="宋体" w:eastAsia="宋体" w:cs="宋体"/>
          <w:sz w:val="24"/>
          <w:szCs w:val="24"/>
          <w:lang w:eastAsia="zh-CN"/>
        </w:rPr>
        <w:t>投标人</w:t>
      </w:r>
      <w:r>
        <w:rPr>
          <w:rFonts w:hint="eastAsia" w:ascii="宋体" w:hAnsi="宋体" w:eastAsia="宋体" w:cs="宋体"/>
          <w:sz w:val="24"/>
          <w:szCs w:val="24"/>
        </w:rPr>
        <w:t>中的中标方称为卖方。</w:t>
      </w:r>
    </w:p>
    <w:p>
      <w:pPr>
        <w:pStyle w:val="2"/>
        <w:spacing w:line="360" w:lineRule="auto"/>
        <w:rPr>
          <w:rFonts w:hint="eastAsia" w:hAnsi="宋体" w:eastAsia="宋体" w:cs="宋体"/>
          <w:sz w:val="24"/>
          <w:szCs w:val="24"/>
        </w:rPr>
        <w:sectPr>
          <w:pgSz w:w="11907" w:h="16840"/>
          <w:pgMar w:top="1304" w:right="1418" w:bottom="1304" w:left="1418" w:header="724" w:footer="851" w:gutter="0"/>
          <w:cols w:space="720" w:num="1"/>
          <w:docGrid w:linePitch="290" w:charSpace="-3931"/>
        </w:sectPr>
      </w:pPr>
    </w:p>
    <w:p>
      <w:pPr>
        <w:pStyle w:val="2"/>
      </w:pPr>
    </w:p>
    <w:p>
      <w:pPr>
        <w:spacing w:line="360" w:lineRule="auto"/>
        <w:jc w:val="center"/>
        <w:outlineLvl w:val="0"/>
        <w:rPr>
          <w:rFonts w:ascii="宋体" w:hAnsi="Calibri" w:eastAsia="宋体" w:cs="Times New Roman"/>
          <w:b/>
          <w:sz w:val="36"/>
          <w:szCs w:val="36"/>
        </w:rPr>
      </w:pPr>
      <w:bookmarkStart w:id="43"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43"/>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2"/>
        <w:jc w:val="center"/>
        <w:rPr>
          <w:rFonts w:ascii="宋体" w:hAnsi="宋体"/>
          <w:b/>
          <w:bCs w:val="0"/>
          <w:sz w:val="36"/>
          <w:szCs w:val="36"/>
        </w:rPr>
      </w:pPr>
      <w:r>
        <w:rPr>
          <w:rFonts w:hint="eastAsia" w:ascii="宋体" w:hAnsi="宋体" w:eastAsia="宋体" w:cs="宋体"/>
          <w:b/>
          <w:bCs w:val="0"/>
          <w:sz w:val="24"/>
          <w:szCs w:val="24"/>
          <w:lang w:eastAsia="zh-CN"/>
        </w:rPr>
        <w:t>（</w:t>
      </w:r>
      <w:r>
        <w:rPr>
          <w:rFonts w:hint="eastAsia" w:ascii="宋体" w:hAnsi="宋体" w:eastAsia="宋体" w:cs="宋体"/>
          <w:b/>
          <w:bCs w:val="0"/>
          <w:sz w:val="24"/>
          <w:szCs w:val="24"/>
          <w:lang w:val="en-US" w:eastAsia="zh-CN"/>
        </w:rPr>
        <w:t>合同以双方最终签署的版本为准</w:t>
      </w:r>
      <w:r>
        <w:rPr>
          <w:rFonts w:hint="eastAsia" w:ascii="宋体" w:hAnsi="宋体" w:eastAsia="宋体" w:cs="宋体"/>
          <w:b/>
          <w:bCs w:val="0"/>
          <w:sz w:val="24"/>
          <w:szCs w:val="24"/>
          <w:lang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hAnsi="等线" w:eastAsia="仿宋_GB2312" w:cs="等线"/>
          <w:sz w:val="24"/>
          <w:szCs w:val="24"/>
        </w:rPr>
      </w:pPr>
      <w:r>
        <w:rPr>
          <w:rFonts w:hint="eastAsia" w:ascii="仿宋_GB2312" w:hAnsi="等线" w:eastAsia="仿宋_GB2312" w:cs="等线"/>
          <w:sz w:val="24"/>
          <w:szCs w:val="24"/>
        </w:rPr>
        <w:t>本设备采购合同由甲乙双方于山东省济南市（可根据实际情况调整）签订：</w:t>
      </w:r>
    </w:p>
    <w:p>
      <w:pPr>
        <w:spacing w:line="360" w:lineRule="auto"/>
        <w:ind w:right="-189" w:rightChars="-90" w:firstLine="480" w:firstLineChars="200"/>
        <w:jc w:val="left"/>
        <w:rPr>
          <w:rFonts w:ascii="仿宋_GB2312" w:hAnsi="等线" w:eastAsia="仿宋_GB2312" w:cs="等线"/>
          <w:sz w:val="24"/>
          <w:szCs w:val="24"/>
        </w:rPr>
      </w:pPr>
      <w:r>
        <w:rPr>
          <w:rFonts w:hint="eastAsia" w:ascii="仿宋_GB2312" w:hAnsi="等线" w:eastAsia="仿宋_GB2312" w:cs="等线"/>
          <w:sz w:val="24"/>
          <w:szCs w:val="24"/>
        </w:rPr>
        <w:t>鉴于，买方向卖方购买</w:t>
      </w:r>
      <w:r>
        <w:rPr>
          <w:rFonts w:hint="eastAsia" w:ascii="仿宋_GB2312" w:hAnsi="等线" w:eastAsia="仿宋_GB2312" w:cs="等线"/>
          <w:sz w:val="24"/>
          <w:szCs w:val="24"/>
          <w:u w:val="single"/>
        </w:rPr>
        <w:t xml:space="preserve">     </w:t>
      </w:r>
      <w:r>
        <w:rPr>
          <w:rFonts w:hint="eastAsia" w:ascii="仿宋_GB2312" w:hAnsi="等线" w:eastAsia="仿宋_GB2312" w:cs="等线"/>
          <w:sz w:val="24"/>
          <w:szCs w:val="24"/>
        </w:rPr>
        <w:t>项目</w:t>
      </w:r>
      <w:r>
        <w:rPr>
          <w:rFonts w:hint="eastAsia" w:ascii="仿宋_GB2312" w:hAnsi="等线" w:eastAsia="仿宋_GB2312" w:cs="等线"/>
          <w:sz w:val="24"/>
          <w:szCs w:val="24"/>
          <w:u w:val="single"/>
        </w:rPr>
        <w:t xml:space="preserve">   </w:t>
      </w:r>
      <w:r>
        <w:rPr>
          <w:rFonts w:hint="eastAsia" w:ascii="仿宋_GB2312" w:hAnsi="等线" w:eastAsia="仿宋_GB2312" w:cs="等线"/>
          <w:sz w:val="24"/>
          <w:szCs w:val="24"/>
        </w:rPr>
        <w:t>设备</w:t>
      </w:r>
      <w:r>
        <w:rPr>
          <w:rFonts w:hint="eastAsia" w:ascii="仿宋_GB2312" w:hAnsi="等线" w:eastAsia="仿宋_GB2312" w:cs="等线"/>
          <w:sz w:val="24"/>
          <w:szCs w:val="24"/>
          <w:u w:val="single"/>
        </w:rPr>
        <w:t xml:space="preserve">    </w:t>
      </w:r>
      <w:r>
        <w:rPr>
          <w:rFonts w:hint="eastAsia" w:ascii="仿宋_GB2312" w:hAnsi="等线" w:eastAsia="仿宋_GB2312" w:cs="等线"/>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312" w:beforeLines="100"/>
        <w:ind w:firstLine="529" w:firstLineChars="189"/>
        <w:rPr>
          <w:rFonts w:ascii="黑体" w:hAnsi="黑体" w:eastAsia="黑体" w:cs="等线"/>
          <w:b w:val="0"/>
          <w:sz w:val="28"/>
          <w:szCs w:val="28"/>
        </w:rPr>
      </w:pPr>
      <w:bookmarkStart w:id="44" w:name="_Toc17619"/>
      <w:bookmarkStart w:id="45" w:name="_Toc9465"/>
      <w:bookmarkStart w:id="46" w:name="_Toc16330018"/>
      <w:bookmarkStart w:id="47" w:name="_Toc11930"/>
      <w:bookmarkStart w:id="48" w:name="_Toc11823"/>
      <w:r>
        <w:rPr>
          <w:rFonts w:hint="eastAsia" w:ascii="黑体" w:hAnsi="黑体" w:eastAsia="黑体" w:cs="等线"/>
          <w:b w:val="0"/>
          <w:sz w:val="28"/>
          <w:szCs w:val="28"/>
        </w:rPr>
        <w:t>1 合同设备</w:t>
      </w:r>
      <w:bookmarkEnd w:id="44"/>
      <w:bookmarkEnd w:id="45"/>
      <w:bookmarkEnd w:id="46"/>
      <w:bookmarkEnd w:id="47"/>
      <w:bookmarkEnd w:id="48"/>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1.1买方向卖方购买的设备信息见附件一：《设备清单明细表》</w:t>
      </w:r>
    </w:p>
    <w:p>
      <w:pPr>
        <w:spacing w:line="360" w:lineRule="auto"/>
        <w:ind w:firstLine="453" w:firstLineChars="189"/>
        <w:rPr>
          <w:rFonts w:ascii="仿宋_GB2312" w:hAnsi="等线" w:eastAsia="仿宋_GB2312" w:cs="等线"/>
          <w:sz w:val="24"/>
          <w:szCs w:val="24"/>
        </w:rPr>
      </w:pPr>
      <w:bookmarkStart w:id="49" w:name="_Toc32510"/>
      <w:bookmarkStart w:id="50" w:name="_Toc22800"/>
      <w:bookmarkStart w:id="51" w:name="_Toc29026"/>
      <w:r>
        <w:rPr>
          <w:rFonts w:hint="eastAsia" w:ascii="仿宋_GB2312" w:hAnsi="等线" w:eastAsia="仿宋_GB2312" w:cs="等线"/>
          <w:sz w:val="24"/>
          <w:szCs w:val="24"/>
        </w:rPr>
        <w:t>1.2技术规格和标准</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1.2.1本合同约定设备的技术规格详见附件二《技术协议书》。</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1.3在设备所有权转移到买方之前，有关设备的保险由卖方负责办理并承担保险费用。</w:t>
      </w:r>
    </w:p>
    <w:p>
      <w:pPr>
        <w:pStyle w:val="4"/>
        <w:tabs>
          <w:tab w:val="right" w:leader="dot" w:pos="9061"/>
        </w:tabs>
        <w:spacing w:before="312" w:beforeLines="100"/>
        <w:ind w:firstLine="529" w:firstLineChars="189"/>
        <w:rPr>
          <w:rFonts w:ascii="黑体" w:hAnsi="黑体" w:eastAsia="黑体" w:cs="等线"/>
          <w:b w:val="0"/>
          <w:sz w:val="28"/>
          <w:szCs w:val="28"/>
        </w:rPr>
      </w:pPr>
      <w:bookmarkStart w:id="52" w:name="_Toc7716"/>
      <w:bookmarkStart w:id="53" w:name="_Toc16330019"/>
      <w:r>
        <w:rPr>
          <w:rFonts w:hint="eastAsia" w:ascii="黑体" w:hAnsi="黑体" w:eastAsia="黑体" w:cs="等线"/>
          <w:b w:val="0"/>
          <w:sz w:val="28"/>
          <w:szCs w:val="28"/>
        </w:rPr>
        <w:t>2 包装</w:t>
      </w:r>
      <w:bookmarkEnd w:id="49"/>
      <w:bookmarkEnd w:id="50"/>
      <w:bookmarkEnd w:id="51"/>
      <w:bookmarkEnd w:id="52"/>
      <w:bookmarkEnd w:id="53"/>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2.2每件包装应附有详细的装箱单和质量证书各两套，一套在包装箱里，一套在包装箱外。</w:t>
      </w:r>
    </w:p>
    <w:p>
      <w:pPr>
        <w:pStyle w:val="4"/>
        <w:tabs>
          <w:tab w:val="right" w:leader="dot" w:pos="9061"/>
        </w:tabs>
        <w:spacing w:before="312" w:beforeLines="100"/>
        <w:ind w:firstLine="529" w:firstLineChars="189"/>
        <w:rPr>
          <w:rFonts w:ascii="黑体" w:hAnsi="黑体" w:eastAsia="黑体" w:cs="等线"/>
          <w:b w:val="0"/>
          <w:sz w:val="28"/>
          <w:szCs w:val="28"/>
        </w:rPr>
      </w:pPr>
      <w:bookmarkStart w:id="54" w:name="_Toc27453"/>
      <w:bookmarkStart w:id="55" w:name="_Toc30507"/>
      <w:bookmarkStart w:id="56" w:name="_Toc2833"/>
      <w:bookmarkStart w:id="57" w:name="_Toc16330020"/>
      <w:bookmarkStart w:id="58" w:name="_Toc27144"/>
      <w:r>
        <w:rPr>
          <w:rFonts w:hint="eastAsia" w:ascii="黑体" w:hAnsi="黑体" w:eastAsia="黑体" w:cs="等线"/>
          <w:b w:val="0"/>
          <w:sz w:val="28"/>
          <w:szCs w:val="28"/>
        </w:rPr>
        <w:t>3 运输标记</w:t>
      </w:r>
      <w:bookmarkEnd w:id="54"/>
      <w:bookmarkEnd w:id="55"/>
      <w:bookmarkEnd w:id="56"/>
      <w:bookmarkEnd w:id="57"/>
      <w:bookmarkEnd w:id="58"/>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3.1卖方应在每一包装箱邻近的四个侧面用不易褪色的油漆以醒目的中文印刷字体标明以下各项：</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3.1.1收货人</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3.1.2合同号</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3.1.3发货标记（唛头）</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3.1.4设备的名称、品目号、箱号</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3.1.5毛重/净重（公斤）</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3.1.6尺寸（长×宽×高，以厘米计）</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312" w:beforeLines="100"/>
        <w:ind w:firstLine="529" w:firstLineChars="189"/>
        <w:rPr>
          <w:rFonts w:ascii="黑体" w:hAnsi="黑体" w:eastAsia="黑体" w:cs="等线"/>
          <w:b w:val="0"/>
          <w:sz w:val="28"/>
          <w:szCs w:val="28"/>
        </w:rPr>
      </w:pPr>
      <w:bookmarkStart w:id="59" w:name="_Toc10630"/>
      <w:bookmarkStart w:id="60" w:name="_Toc8624"/>
      <w:bookmarkStart w:id="61" w:name="_Toc16133"/>
      <w:bookmarkStart w:id="62" w:name="_Toc7431"/>
      <w:bookmarkStart w:id="63" w:name="_Toc16330021"/>
      <w:r>
        <w:rPr>
          <w:rFonts w:hint="eastAsia" w:ascii="黑体" w:hAnsi="黑体" w:eastAsia="黑体" w:cs="等线"/>
          <w:b w:val="0"/>
          <w:sz w:val="28"/>
          <w:szCs w:val="28"/>
        </w:rPr>
        <w:t>4 检验</w:t>
      </w:r>
      <w:bookmarkEnd w:id="59"/>
      <w:bookmarkEnd w:id="60"/>
      <w:bookmarkEnd w:id="61"/>
      <w:bookmarkEnd w:id="62"/>
      <w:bookmarkEnd w:id="63"/>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4.2国家强制检验检测的设备，需要经过国家有关部门进行检验检测，卖方保证提供的设备通过其检验并承担费用。</w:t>
      </w:r>
    </w:p>
    <w:p>
      <w:pPr>
        <w:pStyle w:val="4"/>
        <w:tabs>
          <w:tab w:val="right" w:leader="dot" w:pos="9061"/>
        </w:tabs>
        <w:spacing w:before="312" w:beforeLines="100"/>
        <w:ind w:firstLine="529" w:firstLineChars="189"/>
        <w:rPr>
          <w:rFonts w:ascii="黑体" w:hAnsi="黑体" w:eastAsia="黑体" w:cs="等线"/>
          <w:b w:val="0"/>
          <w:sz w:val="28"/>
          <w:szCs w:val="28"/>
        </w:rPr>
      </w:pPr>
      <w:bookmarkStart w:id="64" w:name="_Toc16330022"/>
      <w:bookmarkStart w:id="65" w:name="_Toc24467"/>
      <w:bookmarkStart w:id="66" w:name="_Toc14275"/>
      <w:bookmarkStart w:id="67" w:name="_Toc11217"/>
      <w:bookmarkStart w:id="68" w:name="_Toc19850"/>
      <w:r>
        <w:rPr>
          <w:rFonts w:hint="eastAsia" w:ascii="黑体" w:hAnsi="黑体" w:eastAsia="黑体" w:cs="等线"/>
          <w:b w:val="0"/>
          <w:sz w:val="28"/>
          <w:szCs w:val="28"/>
        </w:rPr>
        <w:t>5 权利担保</w:t>
      </w:r>
      <w:bookmarkEnd w:id="64"/>
      <w:bookmarkEnd w:id="65"/>
      <w:bookmarkEnd w:id="66"/>
      <w:bookmarkEnd w:id="67"/>
      <w:bookmarkEnd w:id="68"/>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5.2卖方应保证第三方对其提交的设备不得以侵权或其他类似理由提出合法要求，如侵犯知识产权等。</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5.4买方应在已知道第三方的权利或要求后的一段合理时间内，将此权利或要求的性质通知卖方。</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312" w:beforeLines="100"/>
        <w:ind w:firstLine="529" w:firstLineChars="189"/>
        <w:rPr>
          <w:rFonts w:ascii="黑体" w:hAnsi="黑体" w:eastAsia="黑体" w:cs="等线"/>
          <w:b w:val="0"/>
          <w:sz w:val="28"/>
          <w:szCs w:val="28"/>
        </w:rPr>
      </w:pPr>
      <w:bookmarkStart w:id="69" w:name="_Toc11759"/>
      <w:bookmarkStart w:id="70" w:name="_Toc20827"/>
      <w:bookmarkStart w:id="71" w:name="_Toc14809"/>
      <w:bookmarkStart w:id="72" w:name="_Toc16330023"/>
      <w:bookmarkStart w:id="73" w:name="_Toc27500"/>
      <w:r>
        <w:rPr>
          <w:rFonts w:hint="eastAsia" w:ascii="黑体" w:hAnsi="黑体" w:eastAsia="黑体" w:cs="等线"/>
          <w:b w:val="0"/>
          <w:sz w:val="28"/>
          <w:szCs w:val="28"/>
        </w:rPr>
        <w:t>6 交货</w:t>
      </w:r>
      <w:bookmarkEnd w:id="69"/>
      <w:bookmarkEnd w:id="70"/>
      <w:bookmarkEnd w:id="71"/>
      <w:bookmarkEnd w:id="72"/>
      <w:bookmarkEnd w:id="73"/>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hAnsi="等线" w:eastAsia="仿宋_GB2312" w:cs="等线"/>
          <w:i/>
          <w:iCs/>
          <w:sz w:val="24"/>
          <w:szCs w:val="24"/>
          <w:u w:val="double"/>
        </w:rPr>
      </w:pPr>
      <w:r>
        <w:rPr>
          <w:rFonts w:hint="eastAsia" w:ascii="仿宋_GB2312" w:hAnsi="等线" w:eastAsia="仿宋_GB2312" w:cs="等线"/>
          <w:sz w:val="24"/>
          <w:szCs w:val="24"/>
        </w:rPr>
        <w:t>6.4交货方式</w:t>
      </w:r>
      <w:r>
        <w:rPr>
          <w:rFonts w:hint="eastAsia" w:ascii="仿宋_GB2312" w:hAnsi="等线" w:eastAsia="仿宋_GB2312" w:cs="等线"/>
          <w:bCs/>
          <w:sz w:val="24"/>
          <w:szCs w:val="24"/>
        </w:rPr>
        <w:t>：</w:t>
      </w:r>
      <w:r>
        <w:rPr>
          <w:rFonts w:hint="eastAsia" w:ascii="仿宋_GB2312" w:hAnsi="等线" w:eastAsia="仿宋_GB2312" w:cs="等线"/>
          <w:bCs/>
          <w:sz w:val="24"/>
          <w:szCs w:val="24"/>
          <w:u w:val="single"/>
        </w:rPr>
        <w:t xml:space="preserve">        </w:t>
      </w:r>
      <w:r>
        <w:rPr>
          <w:rFonts w:hint="eastAsia" w:ascii="仿宋_GB2312" w:hAnsi="等线" w:eastAsia="仿宋_GB2312" w:cs="等线"/>
          <w:iCs/>
          <w:sz w:val="24"/>
          <w:szCs w:val="24"/>
          <w:u w:val="single"/>
        </w:rPr>
        <w:t>（可选择6.4.1-6.4.3定义的方式或根据实际约定）</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6.5交货地点：</w:t>
      </w:r>
      <w:r>
        <w:rPr>
          <w:rFonts w:hint="eastAsia" w:ascii="仿宋_GB2312" w:hAnsi="等线" w:eastAsia="仿宋_GB2312" w:cs="等线"/>
          <w:sz w:val="24"/>
          <w:szCs w:val="24"/>
          <w:u w:val="single"/>
        </w:rPr>
        <w:t xml:space="preserve">                 </w:t>
      </w:r>
      <w:r>
        <w:rPr>
          <w:rFonts w:hint="eastAsia" w:ascii="仿宋_GB2312" w:hAnsi="等线" w:eastAsia="仿宋_GB2312" w:cs="等线"/>
          <w:sz w:val="24"/>
          <w:szCs w:val="24"/>
        </w:rPr>
        <w:t xml:space="preserve">      </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6.6到货时间：</w:t>
      </w:r>
      <w:r>
        <w:rPr>
          <w:rFonts w:hint="eastAsia" w:ascii="仿宋_GB2312" w:hAnsi="等线" w:eastAsia="仿宋_GB2312" w:cs="等线"/>
          <w:sz w:val="24"/>
          <w:szCs w:val="24"/>
          <w:u w:val="single"/>
        </w:rPr>
        <w:t>20  年  月   日前</w:t>
      </w:r>
      <w:r>
        <w:rPr>
          <w:rFonts w:hint="eastAsia" w:ascii="仿宋_GB2312" w:hAnsi="等线" w:eastAsia="仿宋_GB2312" w:cs="等线"/>
          <w:sz w:val="24"/>
          <w:szCs w:val="24"/>
        </w:rPr>
        <w:t xml:space="preserve">         </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6.8如果卖方在规定的日期前交付设备，需经买方书面同意。</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6.9风险的转移：</w:t>
      </w:r>
    </w:p>
    <w:p>
      <w:pPr>
        <w:spacing w:line="360" w:lineRule="auto"/>
        <w:ind w:firstLine="453" w:firstLineChars="189"/>
        <w:rPr>
          <w:rFonts w:ascii="等线" w:hAnsi="等线" w:cs="等线"/>
          <w:sz w:val="20"/>
          <w:szCs w:val="20"/>
        </w:rPr>
      </w:pPr>
      <w:r>
        <w:rPr>
          <w:rFonts w:hint="eastAsia" w:ascii="仿宋_GB2312" w:hAnsi="等线" w:eastAsia="仿宋_GB2312" w:cs="等线"/>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312" w:beforeLines="100"/>
        <w:ind w:firstLine="529" w:firstLineChars="189"/>
        <w:rPr>
          <w:rFonts w:ascii="黑体" w:hAnsi="黑体" w:eastAsia="黑体" w:cs="等线"/>
          <w:b w:val="0"/>
          <w:sz w:val="28"/>
          <w:szCs w:val="28"/>
        </w:rPr>
      </w:pPr>
      <w:bookmarkStart w:id="74" w:name="_Toc16330024"/>
      <w:bookmarkStart w:id="75" w:name="_Toc8024"/>
      <w:bookmarkStart w:id="76" w:name="_Toc25510"/>
      <w:bookmarkStart w:id="77" w:name="_Toc23308"/>
      <w:bookmarkStart w:id="78" w:name="_Toc2984"/>
      <w:r>
        <w:rPr>
          <w:rFonts w:hint="eastAsia" w:ascii="黑体" w:hAnsi="黑体" w:eastAsia="黑体" w:cs="等线"/>
          <w:b w:val="0"/>
          <w:sz w:val="28"/>
          <w:szCs w:val="28"/>
        </w:rPr>
        <w:t>7 安装、调试</w:t>
      </w:r>
      <w:bookmarkEnd w:id="74"/>
      <w:bookmarkEnd w:id="75"/>
      <w:bookmarkEnd w:id="76"/>
      <w:bookmarkEnd w:id="77"/>
      <w:bookmarkEnd w:id="78"/>
    </w:p>
    <w:p>
      <w:pPr>
        <w:pStyle w:val="11"/>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7.1 卖方须在到货后</w:t>
      </w:r>
      <w:r>
        <w:rPr>
          <w:rFonts w:hint="eastAsia" w:ascii="仿宋_GB2312" w:hAnsi="黑体" w:eastAsia="仿宋_GB2312" w:cs="等线"/>
          <w:sz w:val="24"/>
          <w:szCs w:val="24"/>
          <w:u w:val="single"/>
        </w:rPr>
        <w:t xml:space="preserve">    </w:t>
      </w:r>
      <w:r>
        <w:rPr>
          <w:rFonts w:hint="eastAsia" w:ascii="仿宋_GB2312" w:hAnsi="黑体" w:eastAsia="仿宋_GB2312" w:cs="等线"/>
          <w:sz w:val="24"/>
          <w:szCs w:val="24"/>
        </w:rPr>
        <w:t>日内安装调试完成。</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7.4</w:t>
      </w:r>
      <w:r>
        <w:rPr>
          <w:rFonts w:hint="eastAsia" w:ascii="仿宋_GB2312" w:hAnsi="黑体" w:eastAsia="仿宋_GB2312" w:cs="等线"/>
          <w:bCs/>
          <w:sz w:val="24"/>
          <w:szCs w:val="24"/>
        </w:rPr>
        <w:t xml:space="preserve"> </w:t>
      </w:r>
      <w:r>
        <w:rPr>
          <w:rFonts w:hint="eastAsia" w:ascii="仿宋_GB2312" w:hAnsi="黑体" w:eastAsia="仿宋_GB2312" w:cs="等线"/>
          <w:sz w:val="24"/>
          <w:szCs w:val="24"/>
        </w:rPr>
        <w:t>卖方须对安装、调试过程中造成的买方或他人人身损害或财产损失承担赔偿责任。</w:t>
      </w:r>
    </w:p>
    <w:p>
      <w:pPr>
        <w:pStyle w:val="4"/>
        <w:tabs>
          <w:tab w:val="right" w:leader="dot" w:pos="9061"/>
        </w:tabs>
        <w:spacing w:before="312" w:beforeLines="100"/>
        <w:ind w:firstLine="529" w:firstLineChars="189"/>
        <w:rPr>
          <w:rFonts w:ascii="黑体" w:hAnsi="黑体" w:eastAsia="黑体" w:cs="等线"/>
          <w:b w:val="0"/>
          <w:sz w:val="28"/>
          <w:szCs w:val="28"/>
        </w:rPr>
      </w:pPr>
      <w:bookmarkStart w:id="79" w:name="_Toc15547"/>
      <w:bookmarkStart w:id="80" w:name="_Toc14098"/>
      <w:bookmarkStart w:id="81" w:name="_Toc16330025"/>
      <w:bookmarkStart w:id="82" w:name="_Toc6350"/>
      <w:bookmarkStart w:id="83" w:name="_Toc14260"/>
      <w:r>
        <w:rPr>
          <w:rFonts w:hint="eastAsia" w:ascii="黑体" w:hAnsi="黑体" w:eastAsia="黑体" w:cs="等线"/>
          <w:b w:val="0"/>
          <w:sz w:val="28"/>
          <w:szCs w:val="28"/>
        </w:rPr>
        <w:t>8 价款与支付</w:t>
      </w:r>
      <w:bookmarkEnd w:id="79"/>
      <w:bookmarkEnd w:id="80"/>
      <w:bookmarkEnd w:id="81"/>
      <w:bookmarkEnd w:id="82"/>
      <w:bookmarkEnd w:id="83"/>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8.1本合同不含税总价为人民币</w:t>
      </w:r>
      <w:r>
        <w:rPr>
          <w:rFonts w:hint="eastAsia" w:ascii="仿宋_GB2312" w:eastAsia="仿宋_GB2312" w:cs="Calibri"/>
          <w:sz w:val="24"/>
          <w:szCs w:val="24"/>
        </w:rPr>
        <w:t>¥</w:t>
      </w:r>
      <w:r>
        <w:rPr>
          <w:rFonts w:ascii="仿宋_GB2312" w:hAnsi="黑体" w:eastAsia="仿宋_GB2312" w:cs="等线"/>
          <w:sz w:val="24"/>
          <w:szCs w:val="24"/>
          <w:u w:val="single"/>
        </w:rPr>
        <w:t xml:space="preserve">          </w:t>
      </w:r>
      <w:r>
        <w:rPr>
          <w:rFonts w:hint="eastAsia" w:ascii="仿宋_GB2312" w:hAnsi="黑体" w:eastAsia="仿宋_GB2312" w:cs="等线"/>
          <w:sz w:val="24"/>
          <w:szCs w:val="24"/>
        </w:rPr>
        <w:t>元（大写：</w:t>
      </w:r>
      <w:r>
        <w:rPr>
          <w:rFonts w:ascii="仿宋_GB2312" w:hAnsi="黑体" w:eastAsia="仿宋_GB2312" w:cs="等线"/>
          <w:sz w:val="24"/>
          <w:szCs w:val="24"/>
          <w:u w:val="single"/>
        </w:rPr>
        <w:t xml:space="preserve">        </w:t>
      </w:r>
      <w:r>
        <w:rPr>
          <w:rFonts w:hint="eastAsia" w:ascii="仿宋_GB2312" w:hAnsi="黑体" w:eastAsia="仿宋_GB2312" w:cs="等线"/>
          <w:sz w:val="24"/>
          <w:szCs w:val="24"/>
        </w:rPr>
        <w:t>），增值税税率</w:t>
      </w:r>
      <w:r>
        <w:rPr>
          <w:rFonts w:ascii="仿宋_GB2312" w:hAnsi="黑体" w:eastAsia="仿宋_GB2312" w:cs="等线"/>
          <w:sz w:val="24"/>
          <w:szCs w:val="24"/>
          <w:u w:val="single"/>
        </w:rPr>
        <w:t xml:space="preserve">    </w:t>
      </w:r>
      <w:r>
        <w:rPr>
          <w:rFonts w:hint="eastAsia" w:ascii="仿宋_GB2312" w:hAnsi="黑体" w:eastAsia="仿宋_GB2312" w:cs="等线"/>
          <w:sz w:val="24"/>
          <w:szCs w:val="24"/>
          <w:u w:val="single"/>
        </w:rPr>
        <w:t>【】</w:t>
      </w:r>
      <w:r>
        <w:rPr>
          <w:rFonts w:hint="eastAsia" w:ascii="仿宋_GB2312" w:hAnsi="黑体" w:eastAsia="仿宋_GB2312" w:cs="等线"/>
          <w:sz w:val="24"/>
          <w:szCs w:val="24"/>
        </w:rPr>
        <w:t>%，税额</w:t>
      </w:r>
      <w:r>
        <w:rPr>
          <w:rFonts w:ascii="仿宋_GB2312" w:hAnsi="黑体" w:eastAsia="仿宋_GB2312" w:cs="等线"/>
          <w:sz w:val="24"/>
          <w:szCs w:val="24"/>
          <w:u w:val="single"/>
        </w:rPr>
        <w:t xml:space="preserve">       </w:t>
      </w:r>
      <w:r>
        <w:rPr>
          <w:rFonts w:hint="eastAsia" w:ascii="仿宋_GB2312" w:hAnsi="黑体" w:eastAsia="仿宋_GB2312" w:cs="等线"/>
          <w:sz w:val="24"/>
          <w:szCs w:val="24"/>
        </w:rPr>
        <w:t>元，含税总价</w:t>
      </w:r>
      <w:r>
        <w:rPr>
          <w:rFonts w:ascii="仿宋_GB2312" w:hAnsi="黑体" w:eastAsia="仿宋_GB2312" w:cs="等线"/>
          <w:sz w:val="24"/>
          <w:szCs w:val="24"/>
          <w:u w:val="single"/>
        </w:rPr>
        <w:t xml:space="preserve">       </w:t>
      </w:r>
      <w:r>
        <w:rPr>
          <w:rFonts w:hint="eastAsia" w:ascii="仿宋_GB2312" w:hAnsi="黑体" w:eastAsia="仿宋_GB2312" w:cs="等线"/>
          <w:sz w:val="24"/>
          <w:szCs w:val="24"/>
        </w:rPr>
        <w:t>元人民币（大写：</w:t>
      </w:r>
      <w:r>
        <w:rPr>
          <w:rFonts w:ascii="仿宋_GB2312" w:hAnsi="黑体" w:eastAsia="仿宋_GB2312" w:cs="等线"/>
          <w:sz w:val="24"/>
          <w:szCs w:val="24"/>
          <w:u w:val="single"/>
        </w:rPr>
        <w:t xml:space="preserve">              </w:t>
      </w:r>
      <w:r>
        <w:rPr>
          <w:rFonts w:hint="eastAsia" w:ascii="仿宋_GB2312" w:hAnsi="黑体" w:eastAsia="仿宋_GB2312" w:cs="等线"/>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8.2合同价款的结算方式：半年期商业汇票（包括银行承兑汇票和商业承兑汇票）（如有其它方式可据实填写）</w:t>
      </w:r>
      <w:r>
        <w:rPr>
          <w:rFonts w:ascii="仿宋_GB2312" w:hAnsi="黑体" w:eastAsia="仿宋_GB2312" w:cs="等线"/>
          <w:sz w:val="24"/>
          <w:szCs w:val="24"/>
        </w:rPr>
        <w:t xml:space="preserve">   </w:t>
      </w:r>
      <w:r>
        <w:rPr>
          <w:rFonts w:hint="eastAsia" w:ascii="仿宋_GB2312" w:hAnsi="黑体" w:eastAsia="仿宋_GB2312" w:cs="等线"/>
          <w:sz w:val="24"/>
          <w:szCs w:val="24"/>
        </w:rPr>
        <w:t xml:space="preserve">         </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8.3合同价款的支付：（如有不同付款比例，则按照招标文件约定据实填写）</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8.3.1合同生效后, 卖方提交金额为合同含税价款30%的收据（正本一份，复印件二份）及增值税专用发票（税率为</w:t>
      </w:r>
      <w:r>
        <w:rPr>
          <w:rFonts w:hint="eastAsia" w:ascii="仿宋_GB2312" w:hAnsi="黑体" w:eastAsia="仿宋_GB2312" w:cs="等线"/>
          <w:sz w:val="24"/>
          <w:szCs w:val="24"/>
          <w:u w:val="single"/>
        </w:rPr>
        <w:t xml:space="preserve"> </w:t>
      </w:r>
      <w:r>
        <w:rPr>
          <w:rFonts w:ascii="仿宋_GB2312" w:hAnsi="黑体" w:eastAsia="仿宋_GB2312" w:cs="等线"/>
          <w:sz w:val="24"/>
          <w:szCs w:val="24"/>
          <w:u w:val="single"/>
        </w:rPr>
        <w:t xml:space="preserve">   </w:t>
      </w:r>
      <w:r>
        <w:rPr>
          <w:rFonts w:hint="eastAsia" w:ascii="仿宋_GB2312" w:hAnsi="黑体" w:eastAsia="仿宋_GB2312" w:cs="等线"/>
          <w:sz w:val="24"/>
          <w:szCs w:val="24"/>
        </w:rPr>
        <w:t>%，正本一份，复印件二份），经买方依照财务制度审核通过后30日支付。</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等线"/>
          <w:sz w:val="24"/>
          <w:szCs w:val="24"/>
          <w:u w:val="single"/>
        </w:rPr>
        <w:t xml:space="preserve"> </w:t>
      </w:r>
      <w:r>
        <w:rPr>
          <w:rFonts w:ascii="仿宋_GB2312" w:hAnsi="黑体" w:eastAsia="仿宋_GB2312" w:cs="等线"/>
          <w:sz w:val="24"/>
          <w:szCs w:val="24"/>
          <w:u w:val="single"/>
        </w:rPr>
        <w:t xml:space="preserve">   </w:t>
      </w:r>
      <w:r>
        <w:rPr>
          <w:rFonts w:hint="eastAsia" w:ascii="仿宋_GB2312" w:hAnsi="黑体" w:eastAsia="仿宋_GB2312" w:cs="等线"/>
          <w:sz w:val="24"/>
          <w:szCs w:val="24"/>
        </w:rPr>
        <w:t>%，正本一份，复印件二份），经买方依照财务制度审核通过后30日支付。</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等线"/>
          <w:sz w:val="24"/>
          <w:szCs w:val="24"/>
          <w:u w:val="single"/>
        </w:rPr>
        <w:t xml:space="preserve"> </w:t>
      </w:r>
      <w:r>
        <w:rPr>
          <w:rFonts w:ascii="仿宋_GB2312" w:hAnsi="黑体" w:eastAsia="仿宋_GB2312" w:cs="等线"/>
          <w:sz w:val="24"/>
          <w:szCs w:val="24"/>
          <w:u w:val="single"/>
        </w:rPr>
        <w:t xml:space="preserve">   </w:t>
      </w:r>
      <w:r>
        <w:rPr>
          <w:rFonts w:hint="eastAsia" w:ascii="仿宋_GB2312" w:hAnsi="黑体" w:eastAsia="仿宋_GB2312" w:cs="等线"/>
          <w:sz w:val="24"/>
          <w:szCs w:val="24"/>
        </w:rPr>
        <w:t>%，正本一份，复印件二份）并附带该套合同设备最终验收报告的原件及其复印件两份，经买方依照财务制度审核通过后30日支付：</w:t>
      </w:r>
    </w:p>
    <w:p>
      <w:pPr>
        <w:spacing w:line="360" w:lineRule="auto"/>
        <w:ind w:firstLine="453" w:firstLineChars="189"/>
        <w:rPr>
          <w:rFonts w:ascii="等线" w:hAnsi="等线" w:cs="等线"/>
          <w:sz w:val="20"/>
          <w:szCs w:val="20"/>
        </w:rPr>
      </w:pPr>
      <w:bookmarkStart w:id="84" w:name="_Toc14531628"/>
      <w:bookmarkStart w:id="85" w:name="_Toc14676804"/>
      <w:r>
        <w:rPr>
          <w:rFonts w:hint="eastAsia" w:ascii="仿宋_GB2312" w:hAnsi="黑体" w:eastAsia="仿宋_GB2312" w:cs="等线"/>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84"/>
      <w:bookmarkEnd w:id="85"/>
    </w:p>
    <w:p>
      <w:pPr>
        <w:pStyle w:val="4"/>
        <w:tabs>
          <w:tab w:val="right" w:leader="dot" w:pos="9061"/>
        </w:tabs>
        <w:spacing w:before="312" w:beforeLines="100"/>
        <w:ind w:firstLine="529" w:firstLineChars="189"/>
        <w:rPr>
          <w:rFonts w:ascii="黑体" w:hAnsi="黑体" w:eastAsia="黑体" w:cs="等线"/>
          <w:b w:val="0"/>
          <w:sz w:val="28"/>
          <w:szCs w:val="28"/>
        </w:rPr>
      </w:pPr>
      <w:bookmarkStart w:id="86" w:name="_Toc6726"/>
      <w:bookmarkStart w:id="87" w:name="_Toc25708"/>
      <w:bookmarkStart w:id="88" w:name="_Toc21726"/>
      <w:bookmarkStart w:id="89" w:name="_Toc24085"/>
      <w:bookmarkStart w:id="90" w:name="_Toc16330026"/>
      <w:r>
        <w:rPr>
          <w:rFonts w:hint="eastAsia" w:ascii="黑体" w:hAnsi="黑体" w:eastAsia="黑体" w:cs="等线"/>
          <w:b w:val="0"/>
          <w:sz w:val="28"/>
          <w:szCs w:val="28"/>
        </w:rPr>
        <w:t>9 质量保证及售后服务</w:t>
      </w:r>
      <w:bookmarkEnd w:id="86"/>
      <w:bookmarkEnd w:id="87"/>
      <w:bookmarkEnd w:id="88"/>
      <w:bookmarkEnd w:id="89"/>
      <w:bookmarkEnd w:id="90"/>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9.4本合同约定设备的质量保证期：自最终验收报告签署之日（以签署日期最晚者为准）起</w:t>
      </w:r>
      <w:r>
        <w:rPr>
          <w:rFonts w:hint="eastAsia" w:ascii="仿宋_GB2312" w:hAnsi="黑体" w:eastAsia="仿宋_GB2312" w:cs="等线"/>
          <w:sz w:val="24"/>
          <w:szCs w:val="24"/>
          <w:u w:val="single"/>
        </w:rPr>
        <w:t xml:space="preserve"> </w:t>
      </w:r>
      <w:r>
        <w:rPr>
          <w:rFonts w:ascii="仿宋_GB2312" w:hAnsi="黑体" w:eastAsia="仿宋_GB2312" w:cs="等线"/>
          <w:sz w:val="24"/>
          <w:szCs w:val="24"/>
          <w:u w:val="single"/>
        </w:rPr>
        <w:t xml:space="preserve">   </w:t>
      </w:r>
      <w:r>
        <w:rPr>
          <w:rFonts w:hint="eastAsia" w:ascii="仿宋_GB2312" w:hAnsi="黑体" w:eastAsia="仿宋_GB2312" w:cs="等线"/>
          <w:sz w:val="24"/>
          <w:szCs w:val="24"/>
        </w:rPr>
        <w:t>年。</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312" w:beforeLines="100"/>
        <w:ind w:firstLine="529" w:firstLineChars="189"/>
        <w:rPr>
          <w:rFonts w:ascii="黑体" w:hAnsi="黑体" w:eastAsia="黑体" w:cs="等线"/>
          <w:b w:val="0"/>
          <w:sz w:val="28"/>
          <w:szCs w:val="28"/>
        </w:rPr>
      </w:pPr>
      <w:bookmarkStart w:id="91" w:name="_Toc16330027"/>
      <w:bookmarkStart w:id="92" w:name="_Toc26769"/>
      <w:bookmarkStart w:id="93" w:name="_Toc10359"/>
      <w:bookmarkStart w:id="94" w:name="_Toc12927"/>
      <w:bookmarkStart w:id="95" w:name="_Toc15570"/>
      <w:r>
        <w:rPr>
          <w:rFonts w:hint="eastAsia" w:ascii="黑体" w:hAnsi="黑体" w:eastAsia="黑体" w:cs="等线"/>
          <w:b w:val="0"/>
          <w:sz w:val="28"/>
          <w:szCs w:val="28"/>
        </w:rPr>
        <w:t>10法定责任</w:t>
      </w:r>
      <w:bookmarkEnd w:id="91"/>
      <w:bookmarkEnd w:id="92"/>
      <w:bookmarkEnd w:id="93"/>
      <w:bookmarkEnd w:id="94"/>
      <w:bookmarkEnd w:id="95"/>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等线" w:hAnsi="等线" w:cs="等线"/>
          <w:sz w:val="20"/>
          <w:szCs w:val="20"/>
        </w:rPr>
      </w:pPr>
      <w:r>
        <w:rPr>
          <w:rFonts w:hint="eastAsia" w:ascii="仿宋_GB2312" w:hAnsi="黑体" w:eastAsia="仿宋_GB2312" w:cs="等线"/>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312" w:beforeLines="100"/>
        <w:ind w:firstLine="529" w:firstLineChars="189"/>
        <w:rPr>
          <w:rFonts w:ascii="黑体" w:hAnsi="黑体" w:eastAsia="黑体" w:cs="等线"/>
          <w:b w:val="0"/>
          <w:sz w:val="28"/>
          <w:szCs w:val="28"/>
        </w:rPr>
      </w:pPr>
      <w:bookmarkStart w:id="96" w:name="_Toc27314"/>
      <w:bookmarkStart w:id="97" w:name="_Toc9708"/>
      <w:bookmarkStart w:id="98" w:name="_Toc7698"/>
      <w:bookmarkStart w:id="99" w:name="_Toc30381"/>
      <w:bookmarkStart w:id="100" w:name="_Toc16330028"/>
      <w:r>
        <w:rPr>
          <w:rFonts w:hint="eastAsia" w:ascii="黑体" w:hAnsi="黑体" w:eastAsia="黑体" w:cs="等线"/>
          <w:b w:val="0"/>
          <w:sz w:val="28"/>
          <w:szCs w:val="28"/>
        </w:rPr>
        <w:t>11 违约责任</w:t>
      </w:r>
      <w:bookmarkEnd w:id="96"/>
      <w:bookmarkEnd w:id="97"/>
      <w:bookmarkEnd w:id="98"/>
      <w:bookmarkEnd w:id="99"/>
      <w:bookmarkEnd w:id="100"/>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等线"/>
          <w:sz w:val="24"/>
          <w:szCs w:val="24"/>
        </w:rPr>
        <w:t xml:space="preserve"> </w:t>
      </w:r>
      <w:r>
        <w:rPr>
          <w:rFonts w:hint="eastAsia" w:ascii="仿宋_GB2312" w:hAnsi="黑体" w:eastAsia="仿宋_GB2312" w:cs="等线"/>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等线"/>
          <w:sz w:val="24"/>
          <w:szCs w:val="24"/>
        </w:rPr>
      </w:pPr>
      <w:bookmarkStart w:id="101" w:name="_Toc16330029"/>
      <w:bookmarkStart w:id="102" w:name="_Toc31554"/>
      <w:bookmarkStart w:id="103" w:name="_Toc9172"/>
      <w:bookmarkStart w:id="104" w:name="_Toc1827"/>
      <w:r>
        <w:rPr>
          <w:rFonts w:hint="eastAsia" w:ascii="仿宋_GB2312" w:hAnsi="黑体" w:eastAsia="仿宋_GB2312" w:cs="等线"/>
          <w:sz w:val="24"/>
          <w:szCs w:val="24"/>
        </w:rPr>
        <w:t>1</w:t>
      </w:r>
      <w:r>
        <w:rPr>
          <w:rFonts w:ascii="仿宋_GB2312" w:hAnsi="黑体" w:eastAsia="仿宋_GB2312" w:cs="等线"/>
          <w:sz w:val="24"/>
          <w:szCs w:val="24"/>
        </w:rPr>
        <w:t>1.7</w:t>
      </w:r>
      <w:r>
        <w:rPr>
          <w:rFonts w:hint="eastAsia" w:ascii="仿宋_GB2312" w:hAnsi="黑体" w:eastAsia="仿宋_GB2312" w:cs="等线"/>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等线" w:hAnsi="等线" w:cs="等线"/>
          <w:sz w:val="20"/>
          <w:szCs w:val="20"/>
        </w:rPr>
      </w:pPr>
      <w:r>
        <w:rPr>
          <w:rFonts w:hint="eastAsia" w:ascii="仿宋_GB2312" w:hAnsi="黑体" w:eastAsia="仿宋_GB2312" w:cs="等线"/>
          <w:sz w:val="24"/>
          <w:szCs w:val="24"/>
        </w:rPr>
        <w:t>11.</w:t>
      </w:r>
      <w:r>
        <w:rPr>
          <w:rFonts w:ascii="仿宋_GB2312" w:hAnsi="黑体" w:eastAsia="仿宋_GB2312" w:cs="等线"/>
          <w:sz w:val="24"/>
          <w:szCs w:val="24"/>
        </w:rPr>
        <w:t>8</w:t>
      </w:r>
      <w:r>
        <w:rPr>
          <w:rFonts w:hint="eastAsia" w:ascii="仿宋_GB2312" w:hAnsi="黑体" w:eastAsia="仿宋_GB2312" w:cs="等线"/>
          <w:sz w:val="24"/>
          <w:szCs w:val="24"/>
        </w:rPr>
        <w:t>如果卖方违反本合同其他约定（包括本合同及所有附件）应赔偿因此给买方造成的一切损失。</w:t>
      </w:r>
    </w:p>
    <w:bookmarkEnd w:id="101"/>
    <w:bookmarkEnd w:id="102"/>
    <w:bookmarkEnd w:id="103"/>
    <w:bookmarkEnd w:id="104"/>
    <w:p>
      <w:pPr>
        <w:pStyle w:val="4"/>
        <w:tabs>
          <w:tab w:val="right" w:leader="dot" w:pos="9061"/>
        </w:tabs>
        <w:spacing w:before="312" w:beforeLines="100"/>
        <w:ind w:firstLine="529" w:firstLineChars="189"/>
        <w:rPr>
          <w:rFonts w:ascii="黑体" w:hAnsi="黑体" w:eastAsia="黑体" w:cs="等线"/>
          <w:b w:val="0"/>
          <w:sz w:val="28"/>
          <w:szCs w:val="28"/>
        </w:rPr>
      </w:pPr>
      <w:bookmarkStart w:id="105" w:name="_Toc23793"/>
      <w:r>
        <w:rPr>
          <w:rFonts w:hint="eastAsia" w:ascii="黑体" w:hAnsi="黑体" w:eastAsia="黑体" w:cs="等线"/>
          <w:b w:val="0"/>
          <w:sz w:val="28"/>
          <w:szCs w:val="28"/>
        </w:rPr>
        <w:t>12 合同的终止与解除</w:t>
      </w:r>
      <w:bookmarkEnd w:id="105"/>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12.2经双方协商一致，可以解除本合同。</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12.3有下列情形之一的，买方可以解除本合同：</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12.3.1卖方明确表示或者以自己的行为表明不履行主要义务的；</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12.3.2按照本合同第11.3条或第11.4条的规定，达到违约金的最高限额；</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12.3.3卖方所提交的设备不符合本合同的规定；</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12.3.4卖方有其他违约行为。</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等线"/>
          <w:sz w:val="24"/>
          <w:szCs w:val="24"/>
        </w:rPr>
      </w:pPr>
      <w:r>
        <w:rPr>
          <w:rFonts w:hint="eastAsia" w:ascii="仿宋_GB2312" w:hAnsi="黑体" w:eastAsia="仿宋_GB2312" w:cs="等线"/>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等线" w:hAnsi="等线" w:cs="等线"/>
          <w:sz w:val="20"/>
          <w:szCs w:val="20"/>
        </w:rPr>
      </w:pPr>
      <w:r>
        <w:rPr>
          <w:rFonts w:hint="eastAsia" w:ascii="仿宋_GB2312" w:hAnsi="黑体" w:eastAsia="仿宋_GB2312" w:cs="等线"/>
          <w:sz w:val="24"/>
          <w:szCs w:val="24"/>
        </w:rPr>
        <w:t>12.7因为卖方违约导致买方解除合同的，卖方应赔偿买方因此所遭受的一切损失。</w:t>
      </w:r>
    </w:p>
    <w:p>
      <w:pPr>
        <w:pStyle w:val="4"/>
        <w:tabs>
          <w:tab w:val="right" w:leader="dot" w:pos="9061"/>
        </w:tabs>
        <w:spacing w:before="312" w:beforeLines="100"/>
        <w:ind w:firstLine="529" w:firstLineChars="189"/>
        <w:rPr>
          <w:rFonts w:ascii="黑体" w:hAnsi="黑体" w:eastAsia="黑体" w:cs="等线"/>
          <w:b w:val="0"/>
          <w:sz w:val="28"/>
          <w:szCs w:val="28"/>
        </w:rPr>
      </w:pPr>
      <w:bookmarkStart w:id="106" w:name="_Toc8620"/>
      <w:bookmarkStart w:id="107" w:name="_Toc13671"/>
      <w:bookmarkStart w:id="108" w:name="_Toc16330030"/>
      <w:bookmarkStart w:id="109" w:name="_Toc31945"/>
      <w:bookmarkStart w:id="110" w:name="_Toc11937"/>
      <w:r>
        <w:rPr>
          <w:rFonts w:hint="eastAsia" w:ascii="黑体" w:hAnsi="黑体" w:eastAsia="黑体" w:cs="等线"/>
          <w:b w:val="0"/>
          <w:sz w:val="28"/>
          <w:szCs w:val="28"/>
        </w:rPr>
        <w:t>13 不可抗力</w:t>
      </w:r>
      <w:bookmarkEnd w:id="106"/>
      <w:bookmarkEnd w:id="107"/>
      <w:bookmarkEnd w:id="108"/>
      <w:bookmarkEnd w:id="109"/>
      <w:bookmarkEnd w:id="110"/>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13.2各方应该通过协商决定是否终止本合同，或推迟全部或部分本合同的履行或免除对方全部或部分相关履行义务。</w:t>
      </w:r>
    </w:p>
    <w:p>
      <w:pPr>
        <w:pStyle w:val="4"/>
        <w:tabs>
          <w:tab w:val="right" w:leader="dot" w:pos="9061"/>
        </w:tabs>
        <w:spacing w:before="312" w:beforeLines="100"/>
        <w:ind w:firstLine="529" w:firstLineChars="189"/>
        <w:rPr>
          <w:rFonts w:ascii="黑体" w:hAnsi="黑体" w:eastAsia="黑体" w:cs="等线"/>
          <w:b w:val="0"/>
          <w:sz w:val="28"/>
          <w:szCs w:val="28"/>
        </w:rPr>
      </w:pPr>
      <w:bookmarkStart w:id="111" w:name="_Toc30389"/>
      <w:bookmarkStart w:id="112" w:name="_Toc31243"/>
      <w:bookmarkStart w:id="113" w:name="_Toc16330031"/>
      <w:bookmarkStart w:id="114" w:name="_Toc637"/>
      <w:bookmarkStart w:id="115" w:name="_Toc18772"/>
      <w:r>
        <w:rPr>
          <w:rFonts w:hint="eastAsia" w:ascii="黑体" w:hAnsi="黑体" w:eastAsia="黑体" w:cs="等线"/>
          <w:b w:val="0"/>
          <w:sz w:val="28"/>
          <w:szCs w:val="28"/>
        </w:rPr>
        <w:t>14 通讯</w:t>
      </w:r>
      <w:bookmarkEnd w:id="111"/>
      <w:bookmarkEnd w:id="112"/>
      <w:bookmarkEnd w:id="113"/>
      <w:bookmarkEnd w:id="114"/>
      <w:bookmarkEnd w:id="115"/>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14.1通讯地址：</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本合同下的任何通讯按照本合同双方提供的信息，以书信、传真、电子通讯方式或电话作出。</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14.2生效</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14.2.1书信。书信为送达时生效；</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14.2.2传真。发送人取得成功传输的信息时生效；</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14.3书面法律证据。根据本合同以书信、传真或电子邮件方式送达任何订约方的任何通讯，将作为书面法律证据。</w:t>
      </w:r>
    </w:p>
    <w:p>
      <w:pPr>
        <w:pStyle w:val="4"/>
        <w:tabs>
          <w:tab w:val="right" w:leader="dot" w:pos="9061"/>
        </w:tabs>
        <w:spacing w:before="312" w:beforeLines="100"/>
        <w:rPr>
          <w:rFonts w:ascii="黑体" w:hAnsi="黑体" w:eastAsia="黑体" w:cs="等线"/>
          <w:b w:val="0"/>
          <w:sz w:val="28"/>
          <w:szCs w:val="28"/>
        </w:rPr>
      </w:pPr>
      <w:bookmarkStart w:id="116" w:name="_Toc23011"/>
      <w:bookmarkStart w:id="117" w:name="_Toc16330032"/>
      <w:bookmarkStart w:id="118" w:name="_Toc9915"/>
      <w:bookmarkStart w:id="119" w:name="_Toc11290"/>
      <w:bookmarkStart w:id="120" w:name="_Toc12984"/>
      <w:r>
        <w:rPr>
          <w:rFonts w:hint="eastAsia" w:ascii="黑体" w:hAnsi="黑体" w:eastAsia="黑体" w:cs="等线"/>
          <w:b w:val="0"/>
          <w:sz w:val="28"/>
          <w:szCs w:val="28"/>
        </w:rPr>
        <w:t>15 适用法律及争议解决</w:t>
      </w:r>
      <w:bookmarkEnd w:id="116"/>
      <w:bookmarkEnd w:id="117"/>
      <w:bookmarkEnd w:id="118"/>
      <w:bookmarkEnd w:id="119"/>
      <w:bookmarkEnd w:id="120"/>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15.1本合同条款的效力和解释适用中华人民共和国法律。</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312" w:beforeLines="100"/>
        <w:ind w:firstLine="529" w:firstLineChars="189"/>
        <w:rPr>
          <w:rFonts w:ascii="黑体" w:hAnsi="黑体" w:eastAsia="黑体" w:cs="等线"/>
          <w:b w:val="0"/>
          <w:sz w:val="28"/>
          <w:szCs w:val="28"/>
        </w:rPr>
      </w:pPr>
      <w:bookmarkStart w:id="121" w:name="_Toc23765"/>
      <w:bookmarkStart w:id="122" w:name="_Toc23906"/>
      <w:bookmarkStart w:id="123" w:name="_Toc16330033"/>
      <w:bookmarkStart w:id="124" w:name="_Toc18207"/>
      <w:bookmarkStart w:id="125" w:name="_Toc5747"/>
      <w:r>
        <w:rPr>
          <w:rFonts w:hint="eastAsia" w:ascii="黑体" w:hAnsi="黑体" w:eastAsia="黑体" w:cs="等线"/>
          <w:b w:val="0"/>
          <w:sz w:val="28"/>
          <w:szCs w:val="28"/>
        </w:rPr>
        <w:t>16 附件</w:t>
      </w:r>
      <w:bookmarkEnd w:id="121"/>
      <w:bookmarkEnd w:id="122"/>
      <w:bookmarkEnd w:id="123"/>
      <w:bookmarkEnd w:id="124"/>
      <w:bookmarkEnd w:id="125"/>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本合同及其附件构成双方关于本合同标的之全部协议，包括但不限于下列文件：</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16.1技术协议书；</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16.2合同设备一览表；</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16.3卖方中标的设备投标书以及一切书面承诺；</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16.4招标文件。</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上述附件内容与本合同约定有冲突的，以本合同约定为准。</w:t>
      </w:r>
    </w:p>
    <w:p>
      <w:pPr>
        <w:pStyle w:val="4"/>
        <w:tabs>
          <w:tab w:val="right" w:leader="dot" w:pos="9061"/>
        </w:tabs>
        <w:spacing w:before="312" w:beforeLines="100"/>
        <w:ind w:firstLine="529" w:firstLineChars="189"/>
        <w:rPr>
          <w:rFonts w:ascii="黑体" w:hAnsi="黑体" w:eastAsia="黑体" w:cs="等线"/>
          <w:b w:val="0"/>
          <w:sz w:val="28"/>
          <w:szCs w:val="28"/>
        </w:rPr>
      </w:pPr>
      <w:bookmarkStart w:id="126" w:name="_Toc17656"/>
      <w:bookmarkStart w:id="127" w:name="_Toc16330034"/>
      <w:bookmarkStart w:id="128" w:name="_Toc27202"/>
      <w:bookmarkStart w:id="129" w:name="_Toc9594"/>
      <w:bookmarkStart w:id="130" w:name="_Toc31331"/>
      <w:r>
        <w:rPr>
          <w:rFonts w:hint="eastAsia" w:ascii="黑体" w:hAnsi="黑体" w:eastAsia="黑体" w:cs="等线"/>
          <w:b w:val="0"/>
          <w:sz w:val="28"/>
          <w:szCs w:val="28"/>
        </w:rPr>
        <w:t>17 其他规定</w:t>
      </w:r>
      <w:bookmarkEnd w:id="126"/>
      <w:bookmarkEnd w:id="127"/>
      <w:bookmarkEnd w:id="128"/>
      <w:bookmarkEnd w:id="129"/>
      <w:bookmarkEnd w:id="130"/>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hAnsi="等线" w:eastAsia="仿宋_GB2312" w:cs="等线"/>
          <w:sz w:val="24"/>
          <w:szCs w:val="24"/>
        </w:rPr>
      </w:pPr>
      <w:bookmarkStart w:id="131" w:name="_Toc17952"/>
      <w:bookmarkStart w:id="132" w:name="_Toc19077"/>
      <w:bookmarkStart w:id="133" w:name="_Toc16330035"/>
      <w:bookmarkStart w:id="134" w:name="_Toc29136"/>
      <w:r>
        <w:rPr>
          <w:rFonts w:hint="eastAsia" w:ascii="仿宋_GB2312" w:hAnsi="等线" w:eastAsia="仿宋_GB2312" w:cs="等线"/>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312" w:beforeLines="100"/>
        <w:ind w:firstLine="529" w:firstLineChars="189"/>
        <w:rPr>
          <w:rFonts w:ascii="黑体" w:hAnsi="黑体" w:eastAsia="黑体" w:cs="等线"/>
          <w:b w:val="0"/>
          <w:sz w:val="28"/>
          <w:szCs w:val="28"/>
        </w:rPr>
      </w:pPr>
      <w:bookmarkStart w:id="135" w:name="_Toc15340"/>
      <w:r>
        <w:rPr>
          <w:rFonts w:hint="eastAsia" w:ascii="黑体" w:hAnsi="黑体" w:eastAsia="黑体" w:cs="等线"/>
          <w:b w:val="0"/>
          <w:sz w:val="28"/>
          <w:szCs w:val="28"/>
        </w:rPr>
        <w:t>18 签署事项</w:t>
      </w:r>
      <w:bookmarkEnd w:id="131"/>
      <w:bookmarkEnd w:id="132"/>
      <w:bookmarkEnd w:id="133"/>
      <w:bookmarkEnd w:id="134"/>
      <w:bookmarkEnd w:id="135"/>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本合同一式</w:t>
      </w:r>
      <w:r>
        <w:rPr>
          <w:rFonts w:hint="eastAsia" w:ascii="仿宋_GB2312" w:hAnsi="等线" w:eastAsia="仿宋_GB2312" w:cs="等线"/>
          <w:sz w:val="24"/>
          <w:szCs w:val="24"/>
          <w:u w:val="single"/>
        </w:rPr>
        <w:t xml:space="preserve">   </w:t>
      </w:r>
      <w:r>
        <w:rPr>
          <w:rFonts w:hint="eastAsia" w:ascii="仿宋_GB2312" w:hAnsi="等线" w:eastAsia="仿宋_GB2312" w:cs="等线"/>
          <w:sz w:val="24"/>
          <w:szCs w:val="24"/>
        </w:rPr>
        <w:t>份，买方持</w:t>
      </w:r>
      <w:r>
        <w:rPr>
          <w:rFonts w:hint="eastAsia" w:ascii="仿宋_GB2312" w:hAnsi="等线" w:eastAsia="仿宋_GB2312" w:cs="等线"/>
          <w:sz w:val="24"/>
          <w:szCs w:val="24"/>
          <w:u w:val="single"/>
        </w:rPr>
        <w:t xml:space="preserve">   </w:t>
      </w:r>
      <w:r>
        <w:rPr>
          <w:rFonts w:hint="eastAsia" w:ascii="仿宋_GB2312" w:hAnsi="等线" w:eastAsia="仿宋_GB2312" w:cs="等线"/>
          <w:sz w:val="24"/>
          <w:szCs w:val="24"/>
        </w:rPr>
        <w:t>份，卖方持</w:t>
      </w:r>
      <w:r>
        <w:rPr>
          <w:rFonts w:hint="eastAsia" w:ascii="仿宋_GB2312" w:hAnsi="等线" w:eastAsia="仿宋_GB2312" w:cs="等线"/>
          <w:sz w:val="24"/>
          <w:szCs w:val="24"/>
          <w:u w:val="single"/>
        </w:rPr>
        <w:t xml:space="preserve">   </w:t>
      </w:r>
      <w:r>
        <w:rPr>
          <w:rFonts w:hint="eastAsia" w:ascii="仿宋_GB2312" w:hAnsi="等线" w:eastAsia="仿宋_GB2312" w:cs="等线"/>
          <w:sz w:val="24"/>
          <w:szCs w:val="24"/>
        </w:rPr>
        <w:t>份；本合同经双方签署后生效。</w:t>
      </w:r>
    </w:p>
    <w:p>
      <w:pPr>
        <w:spacing w:line="360" w:lineRule="auto"/>
        <w:ind w:firstLine="453" w:firstLineChars="189"/>
        <w:rPr>
          <w:rFonts w:ascii="仿宋_GB2312" w:hAnsi="等线" w:eastAsia="仿宋_GB2312" w:cs="等线"/>
          <w:sz w:val="24"/>
          <w:szCs w:val="24"/>
        </w:rPr>
      </w:pPr>
      <w:r>
        <w:rPr>
          <w:rFonts w:hint="eastAsia" w:ascii="仿宋_GB2312" w:hAnsi="等线" w:eastAsia="仿宋_GB2312" w:cs="等线"/>
          <w:sz w:val="24"/>
          <w:szCs w:val="24"/>
        </w:rPr>
        <w:t>（以下无正文）</w:t>
      </w:r>
    </w:p>
    <w:p>
      <w:pPr>
        <w:spacing w:line="360" w:lineRule="auto"/>
        <w:ind w:firstLine="420" w:firstLineChars="200"/>
        <w:rPr>
          <w:rFonts w:ascii="等线" w:hAnsi="等线" w:cs="等线"/>
          <w:sz w:val="20"/>
          <w:szCs w:val="20"/>
        </w:rPr>
      </w:pPr>
      <w:r>
        <w:rPr>
          <w:rFonts w:hint="eastAsia"/>
        </w:rPr>
        <w:t xml:space="preserve">    </w:t>
      </w:r>
    </w:p>
    <w:p>
      <w:pPr>
        <w:spacing w:line="360" w:lineRule="auto"/>
        <w:rPr>
          <w:rFonts w:ascii="宋体" w:hAnsi="宋体"/>
          <w:snapToGrid w:val="0"/>
          <w:kern w:val="0"/>
          <w:sz w:val="20"/>
          <w:szCs w:val="20"/>
        </w:rPr>
      </w:pP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甲方（盖章）：                               乙方（盖章）：</w:t>
      </w:r>
    </w:p>
    <w:p>
      <w:pPr>
        <w:widowControl/>
        <w:adjustRightInd w:val="0"/>
        <w:snapToGrid w:val="0"/>
        <w:spacing w:line="360" w:lineRule="auto"/>
        <w:jc w:val="left"/>
        <w:rPr>
          <w:rFonts w:ascii="仿宋_GB2312" w:hAnsi="宋体" w:eastAsia="仿宋_GB2312"/>
          <w:snapToGrid w:val="0"/>
          <w:color w:val="000000"/>
          <w:kern w:val="0"/>
          <w:sz w:val="24"/>
          <w:szCs w:val="24"/>
        </w:rPr>
      </w:pPr>
      <w:r>
        <w:rPr>
          <w:rFonts w:hint="eastAsia" w:ascii="仿宋_GB2312" w:hAnsi="宋体" w:eastAsia="仿宋_GB2312"/>
          <w:snapToGrid w:val="0"/>
          <w:color w:val="000000"/>
          <w:kern w:val="0"/>
          <w:sz w:val="24"/>
          <w:szCs w:val="24"/>
        </w:rPr>
        <w:t xml:space="preserve">法定代表人或代理人（签字）：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color w:val="000000"/>
          <w:kern w:val="0"/>
          <w:sz w:val="24"/>
          <w:szCs w:val="24"/>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rPr>
      </w:pPr>
      <w:r>
        <w:rPr>
          <w:rFonts w:hint="eastAsia" w:ascii="仿宋_GB2312" w:hAnsi="宋体" w:eastAsia="仿宋_GB2312"/>
          <w:snapToGrid w:val="0"/>
          <w:color w:val="000000"/>
          <w:kern w:val="0"/>
          <w:sz w:val="24"/>
          <w:szCs w:val="24"/>
        </w:rPr>
        <w:t xml:space="preserve">地  址：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color w:val="000000"/>
          <w:kern w:val="0"/>
          <w:sz w:val="24"/>
          <w:szCs w:val="24"/>
        </w:rPr>
        <w:t xml:space="preserve">地  址：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 xml:space="preserve">电话：                                       电话：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rPr>
      </w:pPr>
      <w:r>
        <w:rPr>
          <w:rFonts w:hint="eastAsia" w:ascii="仿宋_GB2312" w:hAnsi="宋体" w:eastAsia="仿宋_GB2312"/>
          <w:snapToGrid w:val="0"/>
          <w:color w:val="000000"/>
          <w:kern w:val="0"/>
          <w:sz w:val="24"/>
          <w:szCs w:val="24"/>
        </w:rPr>
        <w:t xml:space="preserve">开户银行：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color w:val="000000"/>
          <w:kern w:val="0"/>
          <w:sz w:val="24"/>
          <w:szCs w:val="24"/>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rPr>
        <w:t xml:space="preserve">账  号：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color w:val="000000"/>
          <w:kern w:val="0"/>
          <w:sz w:val="24"/>
          <w:szCs w:val="24"/>
        </w:rPr>
        <w:t xml:space="preserve"> 账 号： </w:t>
      </w:r>
    </w:p>
    <w:p>
      <w:pPr>
        <w:spacing w:line="360" w:lineRule="auto"/>
        <w:rPr>
          <w:rFonts w:ascii="仿宋_GB2312" w:eastAsia="仿宋_GB2312"/>
          <w:sz w:val="24"/>
          <w:szCs w:val="24"/>
        </w:rPr>
      </w:pPr>
    </w:p>
    <w:p>
      <w:pPr>
        <w:tabs>
          <w:tab w:val="right" w:leader="dot" w:pos="9061"/>
        </w:tabs>
        <w:rPr>
          <w:rFonts w:ascii="仿宋_GB2312" w:eastAsia="仿宋_GB2312"/>
          <w:sz w:val="24"/>
          <w:szCs w:val="24"/>
        </w:rPr>
      </w:pPr>
      <w:bookmarkStart w:id="136" w:name="_Toc16330036"/>
      <w:bookmarkStart w:id="137" w:name="_Toc10272"/>
      <w:bookmarkStart w:id="138" w:name="_Toc28611"/>
      <w:bookmarkStart w:id="139" w:name="_Toc15689"/>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p>
      <w:pPr>
        <w:tabs>
          <w:tab w:val="right" w:leader="dot" w:pos="9061"/>
        </w:tabs>
        <w:rPr>
          <w:sz w:val="24"/>
          <w:szCs w:val="24"/>
        </w:rPr>
      </w:pPr>
    </w:p>
    <w:bookmarkEnd w:id="136"/>
    <w:bookmarkEnd w:id="137"/>
    <w:bookmarkEnd w:id="138"/>
    <w:bookmarkEnd w:id="139"/>
    <w:p>
      <w:pPr>
        <w:rPr>
          <w:sz w:val="24"/>
          <w:szCs w:val="24"/>
        </w:rPr>
      </w:pPr>
    </w:p>
    <w:p>
      <w:pPr>
        <w:pStyle w:val="4"/>
        <w:tabs>
          <w:tab w:val="right" w:leader="dot" w:pos="9061"/>
        </w:tabs>
        <w:rPr>
          <w:rFonts w:ascii="黑体" w:hAnsi="黑体" w:eastAsia="黑体" w:cs="等线"/>
          <w:b w:val="0"/>
          <w:sz w:val="28"/>
          <w:szCs w:val="28"/>
        </w:rPr>
      </w:pPr>
      <w:bookmarkStart w:id="140" w:name="_Toc14581"/>
      <w:r>
        <w:rPr>
          <w:rFonts w:hint="eastAsia" w:ascii="黑体" w:hAnsi="黑体" w:eastAsia="黑体" w:cs="等线"/>
          <w:b w:val="0"/>
          <w:sz w:val="28"/>
          <w:szCs w:val="28"/>
        </w:rPr>
        <w:t>附件一：设备清单明细表</w:t>
      </w:r>
      <w:bookmarkEnd w:id="140"/>
    </w:p>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5"/>
              <w:spacing w:line="360" w:lineRule="auto"/>
              <w:ind w:left="480" w:hanging="480"/>
              <w:jc w:val="center"/>
              <w:rPr>
                <w:rFonts w:ascii="仿宋_GB2312" w:hAnsi="等线" w:eastAsia="仿宋_GB2312" w:cs="等线"/>
                <w:sz w:val="24"/>
                <w:szCs w:val="24"/>
              </w:rPr>
            </w:pPr>
            <w:r>
              <w:rPr>
                <w:rFonts w:hint="eastAsia" w:ascii="仿宋_GB2312" w:hAnsi="等线" w:eastAsia="仿宋_GB2312" w:cs="等线"/>
                <w:sz w:val="24"/>
                <w:szCs w:val="24"/>
              </w:rPr>
              <w:t>序号</w:t>
            </w:r>
          </w:p>
        </w:tc>
        <w:tc>
          <w:tcPr>
            <w:tcW w:w="1541" w:type="dxa"/>
            <w:vAlign w:val="center"/>
          </w:tcPr>
          <w:p>
            <w:pPr>
              <w:pStyle w:val="25"/>
              <w:spacing w:line="360" w:lineRule="auto"/>
              <w:ind w:left="480" w:hanging="480"/>
              <w:jc w:val="left"/>
              <w:rPr>
                <w:rFonts w:ascii="仿宋_GB2312" w:hAnsi="等线" w:eastAsia="仿宋_GB2312" w:cs="等线"/>
                <w:sz w:val="24"/>
                <w:szCs w:val="24"/>
              </w:rPr>
            </w:pPr>
            <w:r>
              <w:rPr>
                <w:rFonts w:hint="eastAsia" w:ascii="仿宋_GB2312" w:hAnsi="等线" w:eastAsia="仿宋_GB2312" w:cs="等线"/>
                <w:sz w:val="24"/>
                <w:szCs w:val="24"/>
              </w:rPr>
              <w:t>产品及部件名称</w:t>
            </w:r>
          </w:p>
        </w:tc>
        <w:tc>
          <w:tcPr>
            <w:tcW w:w="2126" w:type="dxa"/>
            <w:vAlign w:val="center"/>
          </w:tcPr>
          <w:p>
            <w:pPr>
              <w:pStyle w:val="25"/>
              <w:spacing w:line="360" w:lineRule="auto"/>
              <w:ind w:left="480" w:hanging="480"/>
              <w:jc w:val="center"/>
              <w:rPr>
                <w:rFonts w:ascii="仿宋_GB2312" w:hAnsi="等线" w:eastAsia="仿宋_GB2312" w:cs="等线"/>
                <w:sz w:val="24"/>
                <w:szCs w:val="24"/>
              </w:rPr>
            </w:pPr>
            <w:r>
              <w:rPr>
                <w:rFonts w:hint="eastAsia" w:ascii="仿宋_GB2312" w:hAnsi="等线" w:eastAsia="仿宋_GB2312" w:cs="等线"/>
                <w:sz w:val="24"/>
                <w:szCs w:val="24"/>
              </w:rPr>
              <w:t>规格型号及</w:t>
            </w:r>
          </w:p>
          <w:p>
            <w:pPr>
              <w:pStyle w:val="25"/>
              <w:spacing w:line="360" w:lineRule="auto"/>
              <w:ind w:left="480" w:hanging="480"/>
              <w:jc w:val="center"/>
              <w:rPr>
                <w:rFonts w:ascii="仿宋_GB2312" w:hAnsi="等线" w:eastAsia="仿宋_GB2312" w:cs="等线"/>
                <w:sz w:val="24"/>
                <w:szCs w:val="24"/>
              </w:rPr>
            </w:pPr>
            <w:r>
              <w:rPr>
                <w:rFonts w:hint="eastAsia" w:ascii="仿宋_GB2312" w:hAnsi="等线" w:eastAsia="仿宋_GB2312" w:cs="等线"/>
                <w:sz w:val="24"/>
                <w:szCs w:val="24"/>
              </w:rPr>
              <w:t>技术参数</w:t>
            </w:r>
          </w:p>
        </w:tc>
        <w:tc>
          <w:tcPr>
            <w:tcW w:w="748" w:type="dxa"/>
            <w:vAlign w:val="center"/>
          </w:tcPr>
          <w:p>
            <w:pPr>
              <w:pStyle w:val="25"/>
              <w:spacing w:line="360" w:lineRule="auto"/>
              <w:ind w:left="480" w:hanging="480"/>
              <w:jc w:val="center"/>
              <w:rPr>
                <w:rFonts w:ascii="仿宋_GB2312" w:hAnsi="等线" w:eastAsia="仿宋_GB2312" w:cs="等线"/>
                <w:sz w:val="24"/>
                <w:szCs w:val="24"/>
              </w:rPr>
            </w:pPr>
            <w:r>
              <w:rPr>
                <w:rFonts w:hint="eastAsia" w:ascii="仿宋_GB2312" w:hAnsi="等线" w:eastAsia="仿宋_GB2312" w:cs="等线"/>
                <w:sz w:val="24"/>
                <w:szCs w:val="24"/>
              </w:rPr>
              <w:t>单位</w:t>
            </w:r>
          </w:p>
        </w:tc>
        <w:tc>
          <w:tcPr>
            <w:tcW w:w="812" w:type="dxa"/>
            <w:vAlign w:val="center"/>
          </w:tcPr>
          <w:p>
            <w:pPr>
              <w:pStyle w:val="25"/>
              <w:spacing w:line="360" w:lineRule="auto"/>
              <w:ind w:left="480" w:hanging="480"/>
              <w:jc w:val="center"/>
              <w:rPr>
                <w:rFonts w:ascii="仿宋_GB2312" w:hAnsi="等线" w:eastAsia="仿宋_GB2312" w:cs="等线"/>
                <w:sz w:val="24"/>
                <w:szCs w:val="24"/>
              </w:rPr>
            </w:pPr>
            <w:r>
              <w:rPr>
                <w:rFonts w:hint="eastAsia" w:ascii="仿宋_GB2312" w:hAnsi="等线" w:eastAsia="仿宋_GB2312" w:cs="等线"/>
                <w:sz w:val="24"/>
                <w:szCs w:val="24"/>
              </w:rPr>
              <w:t>数量</w:t>
            </w:r>
          </w:p>
        </w:tc>
        <w:tc>
          <w:tcPr>
            <w:tcW w:w="708" w:type="dxa"/>
            <w:vAlign w:val="center"/>
          </w:tcPr>
          <w:p>
            <w:pPr>
              <w:pStyle w:val="25"/>
              <w:spacing w:line="360" w:lineRule="auto"/>
              <w:ind w:left="480" w:hanging="480"/>
              <w:jc w:val="center"/>
              <w:rPr>
                <w:rFonts w:ascii="仿宋_GB2312" w:hAnsi="等线" w:eastAsia="仿宋_GB2312" w:cs="等线"/>
                <w:sz w:val="24"/>
                <w:szCs w:val="24"/>
              </w:rPr>
            </w:pPr>
            <w:r>
              <w:rPr>
                <w:rFonts w:hint="eastAsia" w:ascii="仿宋_GB2312" w:hAnsi="等线" w:eastAsia="仿宋_GB2312" w:cs="等线"/>
                <w:sz w:val="24"/>
                <w:szCs w:val="24"/>
              </w:rPr>
              <w:t>单价</w:t>
            </w:r>
          </w:p>
        </w:tc>
        <w:tc>
          <w:tcPr>
            <w:tcW w:w="708" w:type="dxa"/>
            <w:vAlign w:val="center"/>
          </w:tcPr>
          <w:p>
            <w:pPr>
              <w:pStyle w:val="25"/>
              <w:spacing w:line="360" w:lineRule="auto"/>
              <w:ind w:left="480" w:hanging="480"/>
              <w:jc w:val="center"/>
              <w:rPr>
                <w:rFonts w:ascii="仿宋_GB2312" w:hAnsi="等线" w:eastAsia="仿宋_GB2312" w:cs="等线"/>
                <w:sz w:val="24"/>
                <w:szCs w:val="24"/>
              </w:rPr>
            </w:pPr>
            <w:r>
              <w:rPr>
                <w:rFonts w:hint="eastAsia" w:ascii="仿宋_GB2312" w:hAnsi="等线" w:eastAsia="仿宋_GB2312" w:cs="等线"/>
                <w:sz w:val="24"/>
                <w:szCs w:val="24"/>
              </w:rPr>
              <w:t>总价</w:t>
            </w:r>
          </w:p>
        </w:tc>
        <w:tc>
          <w:tcPr>
            <w:tcW w:w="708" w:type="dxa"/>
            <w:vAlign w:val="center"/>
          </w:tcPr>
          <w:p>
            <w:pPr>
              <w:pStyle w:val="25"/>
              <w:spacing w:line="360" w:lineRule="auto"/>
              <w:ind w:left="480" w:hanging="480"/>
              <w:jc w:val="center"/>
              <w:rPr>
                <w:rFonts w:ascii="仿宋_GB2312" w:hAnsi="等线" w:eastAsia="仿宋_GB2312" w:cs="等线"/>
                <w:sz w:val="24"/>
                <w:szCs w:val="24"/>
              </w:rPr>
            </w:pPr>
            <w:r>
              <w:rPr>
                <w:rFonts w:hint="eastAsia" w:ascii="仿宋_GB2312" w:hAnsi="等线" w:eastAsia="仿宋_GB2312" w:cs="等线"/>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hAnsi="等线" w:eastAsia="仿宋_GB2312" w:cs="等线"/>
                <w:sz w:val="24"/>
                <w:szCs w:val="24"/>
              </w:rPr>
            </w:pPr>
            <w:r>
              <w:rPr>
                <w:rFonts w:hint="eastAsia" w:ascii="仿宋_GB2312" w:hAnsi="等线" w:eastAsia="仿宋_GB2312" w:cs="等线"/>
                <w:sz w:val="24"/>
                <w:szCs w:val="24"/>
              </w:rPr>
              <w:t>1</w:t>
            </w:r>
          </w:p>
        </w:tc>
        <w:tc>
          <w:tcPr>
            <w:tcW w:w="1541" w:type="dxa"/>
            <w:vAlign w:val="center"/>
          </w:tcPr>
          <w:p>
            <w:pPr>
              <w:pStyle w:val="25"/>
              <w:spacing w:line="360" w:lineRule="auto"/>
              <w:ind w:left="480" w:hanging="480"/>
              <w:jc w:val="center"/>
              <w:rPr>
                <w:rFonts w:ascii="仿宋_GB2312" w:hAnsi="等线" w:eastAsia="仿宋_GB2312" w:cs="等线"/>
                <w:sz w:val="24"/>
                <w:szCs w:val="24"/>
              </w:rPr>
            </w:pPr>
          </w:p>
        </w:tc>
        <w:tc>
          <w:tcPr>
            <w:tcW w:w="2126" w:type="dxa"/>
            <w:vAlign w:val="center"/>
          </w:tcPr>
          <w:p>
            <w:pPr>
              <w:pStyle w:val="25"/>
              <w:spacing w:line="360" w:lineRule="auto"/>
              <w:ind w:left="480" w:hanging="480"/>
              <w:jc w:val="center"/>
              <w:rPr>
                <w:rFonts w:ascii="仿宋_GB2312" w:hAnsi="等线" w:eastAsia="仿宋_GB2312" w:cs="等线"/>
                <w:sz w:val="24"/>
                <w:szCs w:val="24"/>
              </w:rPr>
            </w:pPr>
          </w:p>
        </w:tc>
        <w:tc>
          <w:tcPr>
            <w:tcW w:w="748" w:type="dxa"/>
            <w:vAlign w:val="center"/>
          </w:tcPr>
          <w:p>
            <w:pPr>
              <w:pStyle w:val="25"/>
              <w:spacing w:line="360" w:lineRule="auto"/>
              <w:ind w:left="480" w:hanging="480"/>
              <w:jc w:val="center"/>
              <w:rPr>
                <w:rFonts w:ascii="仿宋_GB2312" w:hAnsi="等线" w:eastAsia="仿宋_GB2312" w:cs="等线"/>
                <w:sz w:val="24"/>
                <w:szCs w:val="24"/>
              </w:rPr>
            </w:pPr>
          </w:p>
        </w:tc>
        <w:tc>
          <w:tcPr>
            <w:tcW w:w="812" w:type="dxa"/>
            <w:vAlign w:val="center"/>
          </w:tcPr>
          <w:p>
            <w:pPr>
              <w:pStyle w:val="25"/>
              <w:spacing w:line="360" w:lineRule="auto"/>
              <w:ind w:left="480" w:hanging="480"/>
              <w:jc w:val="center"/>
              <w:rPr>
                <w:rFonts w:ascii="仿宋_GB2312" w:hAnsi="等线" w:eastAsia="仿宋_GB2312" w:cs="等线"/>
                <w:sz w:val="24"/>
                <w:szCs w:val="24"/>
              </w:rPr>
            </w:pPr>
          </w:p>
        </w:tc>
        <w:tc>
          <w:tcPr>
            <w:tcW w:w="708" w:type="dxa"/>
            <w:vAlign w:val="center"/>
          </w:tcPr>
          <w:p>
            <w:pPr>
              <w:pStyle w:val="25"/>
              <w:spacing w:line="360" w:lineRule="auto"/>
              <w:ind w:left="480" w:hanging="480"/>
              <w:jc w:val="center"/>
              <w:rPr>
                <w:rFonts w:ascii="仿宋_GB2312" w:hAnsi="等线" w:eastAsia="仿宋_GB2312" w:cs="等线"/>
                <w:sz w:val="24"/>
                <w:szCs w:val="24"/>
              </w:rPr>
            </w:pPr>
          </w:p>
        </w:tc>
        <w:tc>
          <w:tcPr>
            <w:tcW w:w="708" w:type="dxa"/>
            <w:vAlign w:val="center"/>
          </w:tcPr>
          <w:p>
            <w:pPr>
              <w:pStyle w:val="25"/>
              <w:spacing w:line="360" w:lineRule="auto"/>
              <w:ind w:left="480" w:hanging="480"/>
              <w:jc w:val="center"/>
              <w:rPr>
                <w:rFonts w:ascii="仿宋_GB2312" w:hAnsi="等线" w:eastAsia="仿宋_GB2312" w:cs="等线"/>
                <w:sz w:val="24"/>
                <w:szCs w:val="24"/>
              </w:rPr>
            </w:pPr>
          </w:p>
        </w:tc>
        <w:tc>
          <w:tcPr>
            <w:tcW w:w="708" w:type="dxa"/>
            <w:vAlign w:val="center"/>
          </w:tcPr>
          <w:p>
            <w:pPr>
              <w:pStyle w:val="25"/>
              <w:spacing w:line="360" w:lineRule="auto"/>
              <w:ind w:left="480" w:hanging="480"/>
              <w:jc w:val="center"/>
              <w:rPr>
                <w:rFonts w:ascii="仿宋_GB2312" w:hAnsi="等线" w:eastAsia="仿宋_GB2312" w:cs="等线"/>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hAnsi="等线" w:eastAsia="仿宋_GB2312" w:cs="等线"/>
                <w:sz w:val="24"/>
                <w:szCs w:val="24"/>
              </w:rPr>
            </w:pPr>
            <w:r>
              <w:rPr>
                <w:rFonts w:hint="eastAsia" w:ascii="仿宋_GB2312" w:hAnsi="等线" w:eastAsia="仿宋_GB2312" w:cs="等线"/>
                <w:sz w:val="24"/>
                <w:szCs w:val="24"/>
              </w:rPr>
              <w:t>2</w:t>
            </w:r>
          </w:p>
        </w:tc>
        <w:tc>
          <w:tcPr>
            <w:tcW w:w="1541" w:type="dxa"/>
            <w:vAlign w:val="center"/>
          </w:tcPr>
          <w:p>
            <w:pPr>
              <w:pStyle w:val="25"/>
              <w:spacing w:line="360" w:lineRule="auto"/>
              <w:ind w:left="480" w:hanging="480"/>
              <w:jc w:val="center"/>
              <w:rPr>
                <w:rFonts w:ascii="仿宋_GB2312" w:hAnsi="等线" w:eastAsia="仿宋_GB2312" w:cs="等线"/>
                <w:sz w:val="24"/>
                <w:szCs w:val="24"/>
              </w:rPr>
            </w:pPr>
          </w:p>
        </w:tc>
        <w:tc>
          <w:tcPr>
            <w:tcW w:w="2126" w:type="dxa"/>
            <w:vAlign w:val="center"/>
          </w:tcPr>
          <w:p>
            <w:pPr>
              <w:pStyle w:val="25"/>
              <w:spacing w:line="360" w:lineRule="auto"/>
              <w:ind w:left="480" w:hanging="480"/>
              <w:jc w:val="center"/>
              <w:rPr>
                <w:rFonts w:ascii="仿宋_GB2312" w:hAnsi="等线" w:eastAsia="仿宋_GB2312" w:cs="等线"/>
                <w:sz w:val="24"/>
                <w:szCs w:val="24"/>
              </w:rPr>
            </w:pPr>
          </w:p>
        </w:tc>
        <w:tc>
          <w:tcPr>
            <w:tcW w:w="748" w:type="dxa"/>
            <w:vAlign w:val="center"/>
          </w:tcPr>
          <w:p>
            <w:pPr>
              <w:pStyle w:val="25"/>
              <w:spacing w:line="360" w:lineRule="auto"/>
              <w:ind w:left="480" w:hanging="480"/>
              <w:jc w:val="center"/>
              <w:rPr>
                <w:rFonts w:ascii="仿宋_GB2312" w:hAnsi="等线" w:eastAsia="仿宋_GB2312" w:cs="等线"/>
                <w:sz w:val="24"/>
                <w:szCs w:val="24"/>
              </w:rPr>
            </w:pPr>
          </w:p>
        </w:tc>
        <w:tc>
          <w:tcPr>
            <w:tcW w:w="812" w:type="dxa"/>
            <w:vAlign w:val="center"/>
          </w:tcPr>
          <w:p>
            <w:pPr>
              <w:pStyle w:val="25"/>
              <w:spacing w:line="360" w:lineRule="auto"/>
              <w:ind w:left="480" w:hanging="480"/>
              <w:jc w:val="center"/>
              <w:rPr>
                <w:rFonts w:ascii="仿宋_GB2312" w:hAnsi="等线" w:eastAsia="仿宋_GB2312" w:cs="等线"/>
                <w:sz w:val="24"/>
                <w:szCs w:val="24"/>
              </w:rPr>
            </w:pPr>
          </w:p>
        </w:tc>
        <w:tc>
          <w:tcPr>
            <w:tcW w:w="708" w:type="dxa"/>
            <w:vAlign w:val="center"/>
          </w:tcPr>
          <w:p>
            <w:pPr>
              <w:pStyle w:val="25"/>
              <w:spacing w:line="360" w:lineRule="auto"/>
              <w:ind w:left="480" w:hanging="480"/>
              <w:jc w:val="center"/>
              <w:rPr>
                <w:rFonts w:ascii="仿宋_GB2312" w:hAnsi="等线" w:eastAsia="仿宋_GB2312" w:cs="等线"/>
                <w:sz w:val="24"/>
                <w:szCs w:val="24"/>
              </w:rPr>
            </w:pPr>
          </w:p>
        </w:tc>
        <w:tc>
          <w:tcPr>
            <w:tcW w:w="708" w:type="dxa"/>
            <w:vAlign w:val="center"/>
          </w:tcPr>
          <w:p>
            <w:pPr>
              <w:pStyle w:val="25"/>
              <w:spacing w:line="360" w:lineRule="auto"/>
              <w:ind w:left="480" w:hanging="480"/>
              <w:jc w:val="center"/>
              <w:rPr>
                <w:rFonts w:ascii="仿宋_GB2312" w:hAnsi="等线" w:eastAsia="仿宋_GB2312" w:cs="等线"/>
                <w:sz w:val="24"/>
                <w:szCs w:val="24"/>
              </w:rPr>
            </w:pPr>
          </w:p>
        </w:tc>
        <w:tc>
          <w:tcPr>
            <w:tcW w:w="708" w:type="dxa"/>
            <w:vAlign w:val="center"/>
          </w:tcPr>
          <w:p>
            <w:pPr>
              <w:pStyle w:val="25"/>
              <w:spacing w:line="360" w:lineRule="auto"/>
              <w:ind w:left="480" w:hanging="480"/>
              <w:jc w:val="center"/>
              <w:rPr>
                <w:rFonts w:ascii="仿宋_GB2312" w:hAnsi="等线" w:eastAsia="仿宋_GB2312" w:cs="等线"/>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hAnsi="等线" w:eastAsia="仿宋_GB2312" w:cs="等线"/>
                <w:sz w:val="24"/>
                <w:szCs w:val="24"/>
              </w:rPr>
            </w:pPr>
            <w:r>
              <w:rPr>
                <w:rFonts w:hint="eastAsia" w:ascii="仿宋_GB2312" w:hAnsi="等线" w:eastAsia="仿宋_GB2312" w:cs="等线"/>
                <w:sz w:val="24"/>
                <w:szCs w:val="24"/>
              </w:rPr>
              <w:t>…</w:t>
            </w:r>
          </w:p>
        </w:tc>
        <w:tc>
          <w:tcPr>
            <w:tcW w:w="1541" w:type="dxa"/>
            <w:vAlign w:val="center"/>
          </w:tcPr>
          <w:p>
            <w:pPr>
              <w:pStyle w:val="25"/>
              <w:spacing w:line="360" w:lineRule="auto"/>
              <w:ind w:left="480" w:hanging="480"/>
              <w:jc w:val="center"/>
              <w:rPr>
                <w:rFonts w:ascii="仿宋_GB2312" w:hAnsi="等线" w:eastAsia="仿宋_GB2312" w:cs="等线"/>
                <w:sz w:val="24"/>
                <w:szCs w:val="24"/>
              </w:rPr>
            </w:pPr>
          </w:p>
        </w:tc>
        <w:tc>
          <w:tcPr>
            <w:tcW w:w="2126" w:type="dxa"/>
            <w:vAlign w:val="center"/>
          </w:tcPr>
          <w:p>
            <w:pPr>
              <w:pStyle w:val="25"/>
              <w:spacing w:line="360" w:lineRule="auto"/>
              <w:ind w:left="480" w:hanging="480"/>
              <w:jc w:val="center"/>
              <w:rPr>
                <w:rFonts w:ascii="仿宋_GB2312" w:hAnsi="等线" w:eastAsia="仿宋_GB2312" w:cs="等线"/>
                <w:sz w:val="24"/>
                <w:szCs w:val="24"/>
              </w:rPr>
            </w:pPr>
          </w:p>
        </w:tc>
        <w:tc>
          <w:tcPr>
            <w:tcW w:w="748" w:type="dxa"/>
            <w:vAlign w:val="center"/>
          </w:tcPr>
          <w:p>
            <w:pPr>
              <w:pStyle w:val="25"/>
              <w:spacing w:line="360" w:lineRule="auto"/>
              <w:ind w:left="480" w:hanging="480"/>
              <w:jc w:val="center"/>
              <w:rPr>
                <w:rFonts w:ascii="仿宋_GB2312" w:hAnsi="等线" w:eastAsia="仿宋_GB2312" w:cs="等线"/>
                <w:sz w:val="24"/>
                <w:szCs w:val="24"/>
              </w:rPr>
            </w:pPr>
          </w:p>
        </w:tc>
        <w:tc>
          <w:tcPr>
            <w:tcW w:w="812" w:type="dxa"/>
            <w:vAlign w:val="center"/>
          </w:tcPr>
          <w:p>
            <w:pPr>
              <w:pStyle w:val="25"/>
              <w:spacing w:line="360" w:lineRule="auto"/>
              <w:ind w:left="480" w:hanging="480"/>
              <w:jc w:val="center"/>
              <w:rPr>
                <w:rFonts w:ascii="仿宋_GB2312" w:hAnsi="等线" w:eastAsia="仿宋_GB2312" w:cs="等线"/>
                <w:sz w:val="24"/>
                <w:szCs w:val="24"/>
              </w:rPr>
            </w:pPr>
          </w:p>
        </w:tc>
        <w:tc>
          <w:tcPr>
            <w:tcW w:w="708" w:type="dxa"/>
            <w:vAlign w:val="center"/>
          </w:tcPr>
          <w:p>
            <w:pPr>
              <w:pStyle w:val="25"/>
              <w:spacing w:line="360" w:lineRule="auto"/>
              <w:ind w:left="480" w:hanging="480"/>
              <w:jc w:val="center"/>
              <w:rPr>
                <w:rFonts w:ascii="仿宋_GB2312" w:hAnsi="等线" w:eastAsia="仿宋_GB2312" w:cs="等线"/>
                <w:sz w:val="24"/>
                <w:szCs w:val="24"/>
              </w:rPr>
            </w:pPr>
          </w:p>
        </w:tc>
        <w:tc>
          <w:tcPr>
            <w:tcW w:w="708" w:type="dxa"/>
            <w:vAlign w:val="center"/>
          </w:tcPr>
          <w:p>
            <w:pPr>
              <w:pStyle w:val="25"/>
              <w:spacing w:line="360" w:lineRule="auto"/>
              <w:ind w:left="480" w:hanging="480"/>
              <w:jc w:val="center"/>
              <w:rPr>
                <w:rFonts w:ascii="仿宋_GB2312" w:hAnsi="等线" w:eastAsia="仿宋_GB2312" w:cs="等线"/>
                <w:sz w:val="24"/>
                <w:szCs w:val="24"/>
              </w:rPr>
            </w:pPr>
          </w:p>
        </w:tc>
        <w:tc>
          <w:tcPr>
            <w:tcW w:w="708" w:type="dxa"/>
            <w:vAlign w:val="center"/>
          </w:tcPr>
          <w:p>
            <w:pPr>
              <w:pStyle w:val="25"/>
              <w:spacing w:line="360" w:lineRule="auto"/>
              <w:ind w:left="480" w:hanging="480"/>
              <w:jc w:val="center"/>
              <w:rPr>
                <w:rFonts w:ascii="仿宋_GB2312" w:hAnsi="等线" w:eastAsia="仿宋_GB2312" w:cs="等线"/>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5"/>
              <w:spacing w:line="360" w:lineRule="auto"/>
              <w:ind w:left="480" w:hanging="480"/>
              <w:jc w:val="center"/>
              <w:rPr>
                <w:rFonts w:ascii="仿宋_GB2312" w:hAnsi="等线" w:eastAsia="仿宋_GB2312" w:cs="等线"/>
                <w:sz w:val="24"/>
                <w:szCs w:val="24"/>
              </w:rPr>
            </w:pPr>
            <w:r>
              <w:rPr>
                <w:rFonts w:hint="eastAsia" w:ascii="仿宋_GB2312" w:hAnsi="等线" w:eastAsia="仿宋_GB2312" w:cs="等线"/>
                <w:sz w:val="24"/>
                <w:szCs w:val="24"/>
              </w:rPr>
              <w:t>合计</w:t>
            </w:r>
          </w:p>
        </w:tc>
        <w:tc>
          <w:tcPr>
            <w:tcW w:w="1541" w:type="dxa"/>
            <w:vAlign w:val="center"/>
          </w:tcPr>
          <w:p>
            <w:pPr>
              <w:pStyle w:val="25"/>
              <w:spacing w:line="360" w:lineRule="auto"/>
              <w:ind w:left="480" w:hanging="480"/>
              <w:jc w:val="center"/>
              <w:rPr>
                <w:rFonts w:ascii="仿宋_GB2312" w:hAnsi="等线" w:eastAsia="仿宋_GB2312" w:cs="等线"/>
                <w:sz w:val="24"/>
                <w:szCs w:val="24"/>
              </w:rPr>
            </w:pPr>
          </w:p>
        </w:tc>
        <w:tc>
          <w:tcPr>
            <w:tcW w:w="2126" w:type="dxa"/>
            <w:vAlign w:val="center"/>
          </w:tcPr>
          <w:p>
            <w:pPr>
              <w:pStyle w:val="25"/>
              <w:spacing w:line="360" w:lineRule="auto"/>
              <w:ind w:left="480" w:hanging="480"/>
              <w:jc w:val="center"/>
              <w:rPr>
                <w:rFonts w:ascii="仿宋_GB2312" w:hAnsi="等线" w:eastAsia="仿宋_GB2312" w:cs="等线"/>
                <w:sz w:val="24"/>
                <w:szCs w:val="24"/>
              </w:rPr>
            </w:pPr>
          </w:p>
        </w:tc>
        <w:tc>
          <w:tcPr>
            <w:tcW w:w="748" w:type="dxa"/>
            <w:vAlign w:val="center"/>
          </w:tcPr>
          <w:p>
            <w:pPr>
              <w:pStyle w:val="25"/>
              <w:spacing w:line="360" w:lineRule="auto"/>
              <w:ind w:left="480" w:hanging="480"/>
              <w:jc w:val="center"/>
              <w:rPr>
                <w:rFonts w:ascii="仿宋_GB2312" w:hAnsi="等线" w:eastAsia="仿宋_GB2312" w:cs="等线"/>
                <w:sz w:val="24"/>
                <w:szCs w:val="24"/>
              </w:rPr>
            </w:pPr>
          </w:p>
        </w:tc>
        <w:tc>
          <w:tcPr>
            <w:tcW w:w="812" w:type="dxa"/>
            <w:vAlign w:val="center"/>
          </w:tcPr>
          <w:p>
            <w:pPr>
              <w:pStyle w:val="25"/>
              <w:spacing w:line="360" w:lineRule="auto"/>
              <w:ind w:left="480" w:hanging="480"/>
              <w:jc w:val="center"/>
              <w:rPr>
                <w:rFonts w:ascii="仿宋_GB2312" w:hAnsi="等线" w:eastAsia="仿宋_GB2312" w:cs="等线"/>
                <w:sz w:val="24"/>
                <w:szCs w:val="24"/>
              </w:rPr>
            </w:pPr>
          </w:p>
        </w:tc>
        <w:tc>
          <w:tcPr>
            <w:tcW w:w="708" w:type="dxa"/>
            <w:vAlign w:val="center"/>
          </w:tcPr>
          <w:p>
            <w:pPr>
              <w:spacing w:line="360" w:lineRule="auto"/>
              <w:jc w:val="center"/>
              <w:rPr>
                <w:rFonts w:ascii="仿宋_GB2312" w:hAnsi="等线" w:eastAsia="仿宋_GB2312" w:cs="等线"/>
                <w:sz w:val="24"/>
                <w:szCs w:val="24"/>
              </w:rPr>
            </w:pPr>
          </w:p>
        </w:tc>
        <w:tc>
          <w:tcPr>
            <w:tcW w:w="708" w:type="dxa"/>
            <w:vAlign w:val="center"/>
          </w:tcPr>
          <w:p>
            <w:pPr>
              <w:spacing w:line="360" w:lineRule="auto"/>
              <w:jc w:val="center"/>
              <w:rPr>
                <w:rFonts w:ascii="仿宋_GB2312" w:hAnsi="等线" w:eastAsia="仿宋_GB2312" w:cs="等线"/>
                <w:sz w:val="24"/>
                <w:szCs w:val="24"/>
              </w:rPr>
            </w:pPr>
          </w:p>
        </w:tc>
        <w:tc>
          <w:tcPr>
            <w:tcW w:w="708" w:type="dxa"/>
            <w:vAlign w:val="center"/>
          </w:tcPr>
          <w:p>
            <w:pPr>
              <w:spacing w:line="360" w:lineRule="auto"/>
              <w:jc w:val="center"/>
              <w:rPr>
                <w:rFonts w:ascii="仿宋_GB2312" w:hAnsi="等线" w:eastAsia="仿宋_GB2312" w:cs="等线"/>
                <w:sz w:val="24"/>
                <w:szCs w:val="24"/>
              </w:rPr>
            </w:pPr>
          </w:p>
        </w:tc>
      </w:tr>
    </w:tbl>
    <w:p>
      <w:pPr>
        <w:tabs>
          <w:tab w:val="right" w:leader="dot" w:pos="9061"/>
        </w:tabs>
        <w:rPr>
          <w:rFonts w:ascii="等线" w:hAnsi="等线" w:cs="等线"/>
          <w:sz w:val="20"/>
        </w:rPr>
      </w:pPr>
      <w:bookmarkStart w:id="141" w:name="_Toc25120"/>
      <w:bookmarkStart w:id="142" w:name="_Toc24623"/>
      <w:bookmarkStart w:id="143" w:name="_Toc5379"/>
      <w:bookmarkStart w:id="144" w:name="_Toc16330037"/>
      <w:bookmarkStart w:id="145" w:name="_Toc3778"/>
    </w:p>
    <w:p>
      <w:pPr>
        <w:rPr>
          <w:rFonts w:ascii="等线" w:hAnsi="等线" w:cs="等线"/>
          <w:sz w:val="20"/>
          <w:szCs w:val="20"/>
        </w:rPr>
      </w:pPr>
      <w:r>
        <w:rPr>
          <w:rFonts w:hint="eastAsia" w:ascii="等线" w:hAnsi="等线" w:cs="等线"/>
          <w:sz w:val="20"/>
          <w:szCs w:val="20"/>
        </w:rPr>
        <w:br w:type="page"/>
      </w:r>
    </w:p>
    <w:p>
      <w:pPr>
        <w:pStyle w:val="4"/>
        <w:tabs>
          <w:tab w:val="right" w:leader="dot" w:pos="9061"/>
        </w:tabs>
        <w:rPr>
          <w:rFonts w:ascii="黑体" w:hAnsi="黑体" w:eastAsia="黑体" w:cs="等线"/>
          <w:b w:val="0"/>
          <w:sz w:val="28"/>
          <w:szCs w:val="28"/>
        </w:rPr>
      </w:pPr>
      <w:bookmarkStart w:id="146" w:name="_Toc8175"/>
      <w:r>
        <w:rPr>
          <w:rFonts w:hint="eastAsia" w:ascii="黑体" w:hAnsi="黑体" w:eastAsia="黑体" w:cs="等线"/>
          <w:b w:val="0"/>
          <w:sz w:val="28"/>
          <w:szCs w:val="28"/>
        </w:rPr>
        <w:t xml:space="preserve">附件二 </w:t>
      </w:r>
      <w:bookmarkEnd w:id="141"/>
      <w:bookmarkEnd w:id="142"/>
      <w:bookmarkEnd w:id="143"/>
      <w:bookmarkEnd w:id="144"/>
      <w:bookmarkEnd w:id="145"/>
      <w:r>
        <w:rPr>
          <w:rFonts w:hint="eastAsia" w:ascii="黑体" w:hAnsi="黑体" w:eastAsia="黑体" w:cs="等线"/>
          <w:b w:val="0"/>
          <w:sz w:val="28"/>
          <w:szCs w:val="28"/>
        </w:rPr>
        <w:t>技术协议书</w:t>
      </w:r>
      <w:bookmarkEnd w:id="146"/>
    </w:p>
    <w:p>
      <w:pPr>
        <w:ind w:right="360"/>
        <w:rPr>
          <w:rFonts w:ascii="等线" w:hAnsi="等线" w:cs="等线"/>
          <w:sz w:val="20"/>
          <w:szCs w:val="20"/>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bookmarkStart w:id="147" w:name="_Toc29691"/>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47"/>
    </w:p>
    <w:p>
      <w:pPr>
        <w:keepNext/>
        <w:keepLines/>
        <w:outlineLvl w:val="9"/>
        <w:rPr>
          <w:rFonts w:hint="eastAsia" w:ascii="Times New Roman" w:hAnsi="Times New Roman" w:eastAsia="宋体" w:cs="Times New Roman"/>
          <w:b/>
          <w:bCs/>
          <w:color w:val="000000"/>
          <w:sz w:val="24"/>
          <w:szCs w:val="24"/>
        </w:rPr>
      </w:pPr>
    </w:p>
    <w:p>
      <w:pPr>
        <w:pStyle w:val="2"/>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2"/>
        <w:rPr>
          <w:rFonts w:hint="eastAsia" w:ascii="Times New Roman" w:hAnsi="Times New Roman" w:eastAsia="宋体" w:cs="Times New Roman"/>
          <w:b/>
          <w:bCs/>
          <w:color w:val="000000"/>
          <w:sz w:val="24"/>
          <w:szCs w:val="24"/>
        </w:rPr>
        <w:sectPr>
          <w:footerReference r:id="rId15" w:type="first"/>
          <w:footerReference r:id="rId1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48" w:name="_Toc212369550"/>
      <w:bookmarkStart w:id="149" w:name="_Toc639004"/>
      <w:bookmarkStart w:id="150" w:name="_Toc25811"/>
      <w:bookmarkStart w:id="151"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48"/>
      <w:bookmarkEnd w:id="149"/>
      <w:bookmarkEnd w:id="150"/>
      <w:bookmarkEnd w:id="151"/>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color w:val="000000"/>
          <w:sz w:val="24"/>
          <w:szCs w:val="24"/>
          <w:u w:val="single"/>
          <w:lang w:val="en-US" w:eastAsia="zh-CN"/>
        </w:rPr>
        <w:t>三维扫描仪</w:t>
      </w:r>
      <w:r>
        <w:rPr>
          <w:rFonts w:hint="eastAsia" w:ascii="宋体" w:hAnsi="宋体" w:eastAsia="宋体" w:cs="宋体"/>
          <w:color w:val="000000"/>
          <w:sz w:val="24"/>
          <w:szCs w:val="24"/>
          <w:u w:val="single"/>
        </w:rPr>
        <w:t>项目</w:t>
      </w:r>
      <w:r>
        <w:rPr>
          <w:rFonts w:hint="eastAsia" w:ascii="宋体" w:hAnsi="宋体" w:eastAsia="宋体" w:cs="Times New Roman"/>
          <w:bCs/>
          <w:snapToGrid w:val="0"/>
          <w:color w:val="000000"/>
          <w:kern w:val="0"/>
          <w:sz w:val="24"/>
          <w:szCs w:val="24"/>
        </w:rPr>
        <w:t>项目招标公告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lang w:val="en-US" w:eastAsia="zh-CN"/>
        </w:rPr>
        <w:t>四</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pStyle w:val="2"/>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宋体"/>
          <w:color w:val="000000"/>
          <w:sz w:val="24"/>
          <w:szCs w:val="24"/>
          <w:u w:val="single"/>
          <w:lang w:val="en-US" w:eastAsia="zh-CN"/>
        </w:rPr>
        <w:t>三维扫描仪</w:t>
      </w:r>
      <w:r>
        <w:rPr>
          <w:rFonts w:hint="eastAsia" w:ascii="宋体" w:hAnsi="宋体" w:eastAsia="宋体" w:cs="宋体"/>
          <w:color w:val="000000"/>
          <w:sz w:val="24"/>
          <w:szCs w:val="24"/>
          <w:u w:val="single"/>
        </w:rPr>
        <w:t>项目</w:t>
      </w:r>
      <w:r>
        <w:rPr>
          <w:rFonts w:hint="eastAsia" w:ascii="宋体" w:hAnsi="宋体" w:eastAsia="宋体" w:cs="Times New Roman"/>
          <w:color w:val="000000"/>
          <w:sz w:val="24"/>
          <w:szCs w:val="24"/>
        </w:rPr>
        <w:t>（CGZX2023040164）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sz w:val="24"/>
                <w:szCs w:val="20"/>
                <w:u w:val="none"/>
                <w:lang w:val="en-US" w:eastAsia="zh-CN"/>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solidFill>
              <w14:srgbClr w14:val="000000"/>
            </w14:solidFill>
            <w14:prstDash w14:val="solid"/>
            <w14:bevel/>
          </w14:textOutline>
        </w:rPr>
        <w:t>件</w:t>
      </w:r>
      <w:r>
        <w:rPr>
          <w:rFonts w:ascii="宋体" w:hAnsi="宋体" w:eastAsia="宋体" w:cs="宋体"/>
          <w:spacing w:val="-17"/>
          <w:sz w:val="24"/>
          <w:szCs w:val="24"/>
          <w14:textOutline w14:w="4356" w14:cap="sq" w14:cmpd="sng">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129"/>
              <w:spacing w:before="106"/>
              <w:ind w:left="154" w:right="26"/>
              <w:jc w:val="center"/>
              <w:rPr>
                <w:color w:val="000000"/>
              </w:rPr>
            </w:pPr>
            <w:r>
              <w:rPr>
                <w:color w:val="000000"/>
              </w:rPr>
              <w:t xml:space="preserve">联系人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129"/>
              <w:spacing w:before="106"/>
              <w:ind w:left="154" w:right="26"/>
              <w:jc w:val="center"/>
              <w:rPr>
                <w:color w:val="000000"/>
              </w:rPr>
            </w:pPr>
            <w:r>
              <w:rPr>
                <w:color w:val="000000"/>
              </w:rPr>
              <w:t xml:space="preserve">联系人电话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rPr>
            </w:pPr>
          </w:p>
        </w:tc>
        <w:tc>
          <w:tcPr>
            <w:tcW w:w="1310" w:type="dxa"/>
          </w:tcPr>
          <w:p>
            <w:pPr>
              <w:pStyle w:val="129"/>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rPr>
            </w:pPr>
          </w:p>
        </w:tc>
        <w:tc>
          <w:tcPr>
            <w:tcW w:w="1310" w:type="dxa"/>
          </w:tcPr>
          <w:p>
            <w:pPr>
              <w:pStyle w:val="129"/>
              <w:spacing w:before="103"/>
              <w:ind w:right="26"/>
              <w:jc w:val="center"/>
              <w:rPr>
                <w:color w:val="000000"/>
              </w:rPr>
            </w:pPr>
            <w:r>
              <w:rPr>
                <w:color w:val="000000"/>
              </w:rPr>
              <w:t>企业资质</w:t>
            </w:r>
          </w:p>
        </w:tc>
        <w:tc>
          <w:tcPr>
            <w:tcW w:w="1510" w:type="dxa"/>
            <w:vAlign w:val="center"/>
          </w:tcPr>
          <w:p>
            <w:pPr>
              <w:widowControl/>
              <w:jc w:val="center"/>
              <w:textAlignment w:val="center"/>
              <w:rPr>
                <w:rFonts w:ascii="宋体" w:hAnsi="宋体" w:eastAsia="宋体" w:cs="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pPr>
            <w:r>
              <w:t xml:space="preserve">品牌区分 </w:t>
            </w:r>
          </w:p>
        </w:tc>
        <w:tc>
          <w:tcPr>
            <w:tcW w:w="7500" w:type="dxa"/>
            <w:gridSpan w:val="6"/>
          </w:tcPr>
          <w:p>
            <w:pPr>
              <w:pStyle w:val="129"/>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pPr>
            <w:r>
              <w:t xml:space="preserve">品牌名称 </w:t>
            </w:r>
          </w:p>
        </w:tc>
        <w:tc>
          <w:tcPr>
            <w:tcW w:w="3583" w:type="dxa"/>
            <w:gridSpan w:val="3"/>
            <w:vAlign w:val="center"/>
          </w:tcPr>
          <w:p>
            <w:pPr>
              <w:widowControl/>
              <w:rPr>
                <w:rFonts w:ascii="宋体" w:hAnsi="宋体" w:eastAsia="仿宋_GB2312"/>
                <w:kern w:val="0"/>
                <w:szCs w:val="21"/>
              </w:rPr>
            </w:pPr>
          </w:p>
        </w:tc>
        <w:tc>
          <w:tcPr>
            <w:tcW w:w="1097" w:type="dxa"/>
          </w:tcPr>
          <w:p>
            <w:pPr>
              <w:pStyle w:val="129"/>
              <w:spacing w:before="15"/>
              <w:ind w:left="279"/>
            </w:pPr>
            <w:r>
              <w:rPr>
                <w:spacing w:val="-2"/>
              </w:rPr>
              <w:t>质量</w:t>
            </w:r>
            <w:r>
              <w:t xml:space="preserve"> </w:t>
            </w:r>
          </w:p>
          <w:p>
            <w:pPr>
              <w:pStyle w:val="129"/>
              <w:spacing w:before="30" w:line="277" w:lineRule="exact"/>
              <w:ind w:left="279"/>
            </w:pPr>
            <w:r>
              <w:rPr>
                <w:rFonts w:hint="eastAsia"/>
              </w:rPr>
              <w:t>体系</w:t>
            </w:r>
          </w:p>
        </w:tc>
        <w:tc>
          <w:tcPr>
            <w:tcW w:w="2820" w:type="dxa"/>
            <w:gridSpan w:val="2"/>
          </w:tcPr>
          <w:p>
            <w:pPr>
              <w:pStyle w:val="129"/>
              <w:spacing w:before="158"/>
              <w:jc w:val="center"/>
              <w:rPr>
                <w:sz w:val="24"/>
              </w:rPr>
            </w:pPr>
            <w:r>
              <w:rPr>
                <w:rFonts w:hint="eastAsia"/>
                <w:kern w:val="0"/>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rPr>
            </w:pPr>
          </w:p>
        </w:tc>
      </w:tr>
    </w:tbl>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rPr>
          <w:rFonts w:ascii="Times New Roman" w:hAnsi="Times New Roman" w:eastAsia="宋体" w:cs="Times New Roman"/>
          <w:b/>
          <w:bCs/>
          <w:color w:val="000000"/>
          <w:sz w:val="24"/>
          <w:szCs w:val="24"/>
        </w:rPr>
      </w:pPr>
    </w:p>
    <w:p>
      <w:pPr>
        <w:pStyle w:val="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
        <w:rPr>
          <w:rFonts w:ascii="Times New Roman" w:hAnsi="Times New Roman" w:eastAsia="宋体" w:cs="Times New Roman"/>
          <w:b/>
          <w:bCs/>
          <w:color w:val="000000"/>
          <w:sz w:val="24"/>
          <w:szCs w:val="24"/>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20</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color w:val="000000"/>
          <w:sz w:val="24"/>
          <w:szCs w:val="24"/>
          <w:u w:val="single"/>
          <w:lang w:val="en-US" w:eastAsia="zh-CN"/>
        </w:rPr>
        <w:t>三维扫描仪</w:t>
      </w:r>
      <w:r>
        <w:rPr>
          <w:rFonts w:hint="eastAsia" w:ascii="宋体" w:hAnsi="宋体" w:eastAsia="宋体" w:cs="宋体"/>
          <w:color w:val="000000"/>
          <w:sz w:val="24"/>
          <w:szCs w:val="24"/>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color w:val="000000"/>
          <w:sz w:val="24"/>
          <w:szCs w:val="24"/>
          <w:u w:val="single"/>
          <w:lang w:val="en-US" w:eastAsia="zh-CN"/>
        </w:rPr>
        <w:t>三维扫描仪</w:t>
      </w:r>
      <w:r>
        <w:rPr>
          <w:rFonts w:hint="eastAsia" w:ascii="宋体" w:hAnsi="宋体" w:eastAsia="宋体" w:cs="宋体"/>
          <w:color w:val="000000"/>
          <w:sz w:val="24"/>
          <w:szCs w:val="24"/>
          <w:u w:val="single"/>
        </w:rPr>
        <w:t>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color w:val="000000"/>
          <w:sz w:val="24"/>
          <w:szCs w:val="24"/>
          <w:u w:val="single"/>
          <w:lang w:val="en-US" w:eastAsia="zh-CN"/>
        </w:rPr>
        <w:t>三维扫描仪</w:t>
      </w:r>
      <w:r>
        <w:rPr>
          <w:rFonts w:hint="eastAsia" w:ascii="宋体" w:hAnsi="宋体" w:eastAsia="宋体" w:cs="宋体"/>
          <w:color w:val="000000"/>
          <w:sz w:val="24"/>
          <w:szCs w:val="24"/>
          <w:u w:val="single"/>
        </w:rPr>
        <w:t>项目</w:t>
      </w:r>
      <w:r>
        <w:rPr>
          <w:rFonts w:ascii="宋体" w:hAnsi="宋体" w:eastAsia="宋体" w:cs="Times New Roman"/>
          <w:color w:val="000000"/>
          <w:sz w:val="24"/>
          <w:szCs w:val="24"/>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pPr>
        <w:tabs>
          <w:tab w:val="left" w:pos="1578"/>
          <w:tab w:val="left" w:pos="10083"/>
        </w:tabs>
        <w:spacing w:line="500" w:lineRule="exact"/>
        <w:rPr>
          <w:rFonts w:ascii="宋体" w:hAnsi="Calibri" w:eastAsia="宋体" w:cs="Times New Roman"/>
          <w:sz w:val="24"/>
          <w:szCs w:val="20"/>
        </w:rPr>
      </w:pP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color w:val="000000"/>
          <w:sz w:val="24"/>
          <w:szCs w:val="24"/>
          <w:u w:val="single"/>
          <w:lang w:val="en-US" w:eastAsia="zh-CN"/>
        </w:rPr>
        <w:t>三维扫描仪</w:t>
      </w:r>
      <w:r>
        <w:rPr>
          <w:rFonts w:hint="eastAsia" w:ascii="宋体" w:hAnsi="宋体" w:eastAsia="宋体" w:cs="宋体"/>
          <w:color w:val="000000"/>
          <w:sz w:val="24"/>
          <w:szCs w:val="24"/>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color w:val="000000"/>
          <w:sz w:val="24"/>
          <w:szCs w:val="24"/>
          <w:u w:val="single"/>
          <w:lang w:val="en-US" w:eastAsia="zh-CN"/>
        </w:rPr>
        <w:t>三维扫描仪</w:t>
      </w:r>
      <w:r>
        <w:rPr>
          <w:rFonts w:hint="eastAsia" w:ascii="宋体" w:hAnsi="宋体" w:eastAsia="宋体" w:cs="宋体"/>
          <w:color w:val="000000"/>
          <w:sz w:val="24"/>
          <w:szCs w:val="24"/>
          <w:u w:val="single"/>
        </w:rPr>
        <w:t>项目</w:t>
      </w:r>
      <w:r>
        <w:rPr>
          <w:rFonts w:ascii="宋体" w:hAnsi="宋体" w:eastAsia="宋体" w:cs="Times New Roman"/>
          <w:color w:val="000000"/>
          <w:sz w:val="24"/>
          <w:szCs w:val="24"/>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color w:val="000000"/>
                <w:sz w:val="24"/>
                <w:szCs w:val="24"/>
                <w:u w:val="single"/>
                <w:lang w:val="en-US" w:eastAsia="zh-CN"/>
              </w:rPr>
              <w:t>三维扫描仪</w:t>
            </w:r>
            <w:r>
              <w:rPr>
                <w:rFonts w:hint="eastAsia" w:ascii="宋体" w:hAnsi="宋体" w:eastAsia="宋体" w:cs="宋体"/>
                <w:color w:val="000000"/>
                <w:sz w:val="24"/>
                <w:szCs w:val="24"/>
                <w:u w:val="single"/>
              </w:rPr>
              <w:t>项目</w:t>
            </w:r>
          </w:p>
        </w:tc>
        <w:tc>
          <w:tcPr>
            <w:tcW w:w="848" w:type="dxa"/>
            <w:vAlign w:val="center"/>
          </w:tcPr>
          <w:p>
            <w:pPr>
              <w:jc w:val="center"/>
              <w:rPr>
                <w:rFonts w:hint="eastAsia" w:ascii="Times New Roman" w:hAnsi="Times New Roman" w:eastAsia="宋体" w:cs="Times New Roman"/>
                <w:b/>
                <w:szCs w:val="20"/>
                <w:lang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jc w:val="center"/>
              <w:rPr>
                <w:rFonts w:ascii="等线" w:hAnsi="等线" w:eastAsia="等线" w:cs="Times New Roman"/>
                <w:b/>
                <w:szCs w:val="20"/>
              </w:rPr>
            </w:pPr>
            <w:r>
              <w:rPr>
                <w:rFonts w:hint="eastAsia" w:ascii="等线" w:hAnsi="等线" w:eastAsia="等线" w:cs="Times New Roman"/>
                <w:b/>
                <w:szCs w:val="20"/>
              </w:rPr>
              <w:t>不含税价：</w:t>
            </w:r>
          </w:p>
          <w:p>
            <w:pPr>
              <w:jc w:val="center"/>
              <w:rPr>
                <w:rFonts w:ascii="等线" w:hAnsi="等线" w:eastAsia="等线" w:cs="Times New Roman"/>
                <w:b/>
                <w:szCs w:val="20"/>
              </w:rPr>
            </w:pPr>
            <w:r>
              <w:rPr>
                <w:rFonts w:hint="eastAsia" w:ascii="等线" w:hAnsi="等线" w:eastAsia="等线" w:cs="Times New Roman"/>
                <w:b/>
                <w:szCs w:val="20"/>
              </w:rPr>
              <w:t>含税价格：</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eastAsia="宋体" w:cs="宋体"/>
          <w:spacing w:val="8"/>
          <w:sz w:val="24"/>
          <w:szCs w:val="24"/>
          <w:lang w:eastAsia="zh-CN"/>
          <w14:textOutline w14:w="5791" w14:cap="flat" w14:cmpd="sng">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solidFill>
              <w14:srgbClr w14:val="000000"/>
            </w14:solidFill>
            <w14:prstDash w14:val="solid"/>
            <w14:miter w14:val="0"/>
          </w14:textOutline>
        </w:rPr>
        <w:t>设</w:t>
      </w:r>
      <w:r>
        <w:rPr>
          <w:rFonts w:ascii="宋体" w:hAnsi="宋体" w:cs="宋体"/>
          <w:spacing w:val="8"/>
          <w:sz w:val="24"/>
          <w:szCs w:val="24"/>
          <w14:textOutline w14:w="5791" w14:cap="flat" w14:cmpd="sng">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solidFill>
              <w14:srgbClr w14:val="000000"/>
            </w14:solidFill>
            <w14:prstDash w14:val="solid"/>
            <w14:miter w14:val="0"/>
          </w14:textOutline>
        </w:rPr>
        <w:t>9</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solidFill>
              <w14:srgbClr w14:val="000000"/>
            </w14:solidFill>
            <w14:prstDash w14:val="solid"/>
            <w14:miter w14:val="0"/>
          </w14:textOutline>
        </w:rPr>
        <w:t>设</w:t>
      </w:r>
      <w:r>
        <w:rPr>
          <w:rFonts w:ascii="宋体" w:hAnsi="宋体" w:eastAsia="宋体" w:cs="宋体"/>
          <w:spacing w:val="8"/>
          <w:sz w:val="24"/>
          <w:szCs w:val="24"/>
          <w14:textOutline w14:w="5791" w14:cap="flat" w14:cmpd="sng">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共</w:t>
      </w:r>
      <w:r>
        <w:rPr>
          <w:rFonts w:hint="eastAsia" w:ascii="宋体" w:hAnsi="宋体" w:eastAsia="宋体" w:cs="宋体"/>
          <w:szCs w:val="21"/>
          <w14:textOutline w14:w="3834" w14:cap="flat" w14:cmpd="sng">
            <w14:solidFill>
              <w14:srgbClr w14:val="000000"/>
            </w14:solidFill>
            <w14:prstDash w14:val="solid"/>
            <w14:miter w14:val="0"/>
          </w14:textOutline>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tbl>
      <w:tblPr>
        <w:tblStyle w:val="127"/>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435"/>
        <w:gridCol w:w="106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1</w:t>
            </w:r>
          </w:p>
        </w:tc>
        <w:tc>
          <w:tcPr>
            <w:tcW w:w="2238" w:type="dxa"/>
          </w:tcPr>
          <w:p>
            <w:pPr>
              <w:spacing w:before="98" w:line="185" w:lineRule="auto"/>
              <w:ind w:left="1071"/>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2</w:t>
            </w:r>
          </w:p>
        </w:tc>
        <w:tc>
          <w:tcPr>
            <w:tcW w:w="2239" w:type="dxa"/>
          </w:tcPr>
          <w:p>
            <w:pPr>
              <w:spacing w:before="99" w:line="183" w:lineRule="auto"/>
              <w:ind w:left="107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3</w:t>
            </w:r>
          </w:p>
        </w:tc>
        <w:tc>
          <w:tcPr>
            <w:tcW w:w="1120" w:type="dxa"/>
          </w:tcPr>
          <w:p>
            <w:pPr>
              <w:spacing w:before="98" w:line="185" w:lineRule="auto"/>
              <w:ind w:left="511"/>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4</w:t>
            </w:r>
          </w:p>
        </w:tc>
        <w:tc>
          <w:tcPr>
            <w:tcW w:w="1682" w:type="dxa"/>
          </w:tcPr>
          <w:p>
            <w:pPr>
              <w:spacing w:before="100" w:line="182" w:lineRule="auto"/>
              <w:ind w:left="798"/>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5</w:t>
            </w:r>
          </w:p>
        </w:tc>
        <w:tc>
          <w:tcPr>
            <w:tcW w:w="2519" w:type="dxa"/>
            <w:tcBorders>
              <w:right w:val="single" w:color="000000" w:sz="4" w:space="0"/>
            </w:tcBorders>
          </w:tcPr>
          <w:p>
            <w:pPr>
              <w:spacing w:before="99" w:line="183" w:lineRule="auto"/>
              <w:ind w:left="1216"/>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6</w:t>
            </w:r>
          </w:p>
        </w:tc>
        <w:tc>
          <w:tcPr>
            <w:tcW w:w="2435"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7</w:t>
            </w:r>
          </w:p>
        </w:tc>
        <w:tc>
          <w:tcPr>
            <w:tcW w:w="1069"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序号</w:t>
            </w:r>
          </w:p>
        </w:tc>
        <w:tc>
          <w:tcPr>
            <w:tcW w:w="2238" w:type="dxa"/>
            <w:vAlign w:val="center"/>
          </w:tcPr>
          <w:p>
            <w:pPr>
              <w:spacing w:before="0"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货物名称</w:t>
            </w:r>
          </w:p>
        </w:tc>
        <w:tc>
          <w:tcPr>
            <w:tcW w:w="2239" w:type="dxa"/>
            <w:vAlign w:val="center"/>
          </w:tcPr>
          <w:p>
            <w:pPr>
              <w:spacing w:before="0"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型号和规格</w:t>
            </w:r>
          </w:p>
        </w:tc>
        <w:tc>
          <w:tcPr>
            <w:tcW w:w="1120" w:type="dxa"/>
            <w:vAlign w:val="center"/>
          </w:tcPr>
          <w:p>
            <w:pPr>
              <w:spacing w:before="0"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数量</w:t>
            </w:r>
          </w:p>
        </w:tc>
        <w:tc>
          <w:tcPr>
            <w:tcW w:w="1682" w:type="dxa"/>
            <w:vAlign w:val="center"/>
          </w:tcPr>
          <w:p>
            <w:pPr>
              <w:spacing w:before="0" w:line="221" w:lineRule="auto"/>
              <w:ind w:left="0" w:right="0" w:firstLine="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pPr>
              <w:spacing w:before="0"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不</w:t>
            </w:r>
            <w:r>
              <w:rPr>
                <w:rFonts w:hint="eastAsia" w:ascii="宋体" w:hAnsi="宋体" w:eastAsia="宋体" w:cs="宋体"/>
                <w:spacing w:val="-1"/>
                <w:szCs w:val="21"/>
                <w14:textOutline w14:w="3834" w14:cap="flat" w14:cmpd="sng">
                  <w14:solidFill>
                    <w14:srgbClr w14:val="000000"/>
                  </w14:solidFill>
                  <w14:prstDash w14:val="solid"/>
                  <w14:miter w14:val="0"/>
                </w14:textOutline>
              </w:rPr>
              <w:t>含税）</w:t>
            </w:r>
          </w:p>
          <w:p>
            <w:pPr>
              <w:spacing w:before="0"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p>
        </w:tc>
        <w:tc>
          <w:tcPr>
            <w:tcW w:w="2435"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总价[4×6]（</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不</w:t>
            </w:r>
            <w:r>
              <w:rPr>
                <w:rFonts w:hint="eastAsia" w:ascii="宋体" w:hAnsi="宋体" w:eastAsia="宋体" w:cs="宋体"/>
                <w:spacing w:val="-1"/>
                <w:szCs w:val="21"/>
                <w14:textOutline w14:w="3834" w14:cap="flat" w14:cmpd="sng">
                  <w14:solidFill>
                    <w14:srgbClr w14:val="000000"/>
                  </w14:solidFill>
                  <w14:prstDash w14:val="solid"/>
                  <w14:miter w14:val="0"/>
                </w14:textOutline>
              </w:rPr>
              <w:t>含税）</w:t>
            </w:r>
          </w:p>
          <w:p>
            <w:pPr>
              <w:spacing w:before="0" w:line="221" w:lineRule="auto"/>
              <w:ind w:left="0" w:leftChars="0" w:firstLine="0" w:firstLineChars="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p>
        </w:tc>
        <w:tc>
          <w:tcPr>
            <w:tcW w:w="1069" w:type="dxa"/>
            <w:vAlign w:val="center"/>
          </w:tcPr>
          <w:p>
            <w:pPr>
              <w:spacing w:before="0" w:line="221" w:lineRule="auto"/>
              <w:ind w:firstLine="0" w:firstLineChars="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rPr>
              <w:t>1</w:t>
            </w:r>
          </w:p>
        </w:tc>
        <w:tc>
          <w:tcPr>
            <w:tcW w:w="22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rPr>
              <w:t>ZEISS T-SCAN Hawk 2便携式激光扫描仪</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1.1</w:t>
            </w:r>
          </w:p>
        </w:tc>
        <w:tc>
          <w:tcPr>
            <w:tcW w:w="2238" w:type="dxa"/>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扫描速率</w:t>
            </w:r>
          </w:p>
        </w:tc>
        <w:tc>
          <w:tcPr>
            <w:tcW w:w="2239" w:type="dxa"/>
          </w:tcPr>
          <w:p>
            <w:pPr>
              <w:rPr>
                <w:rFonts w:ascii="Arial"/>
              </w:rPr>
            </w:pPr>
          </w:p>
        </w:tc>
        <w:tc>
          <w:tcPr>
            <w:tcW w:w="112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1.2</w:t>
            </w:r>
          </w:p>
        </w:tc>
        <w:tc>
          <w:tcPr>
            <w:tcW w:w="2238" w:type="dxa"/>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光源形式</w:t>
            </w:r>
          </w:p>
        </w:tc>
        <w:tc>
          <w:tcPr>
            <w:tcW w:w="2239" w:type="dxa"/>
          </w:tcPr>
          <w:p>
            <w:pPr>
              <w:rPr>
                <w:rFonts w:ascii="Arial"/>
              </w:rPr>
            </w:pPr>
          </w:p>
        </w:tc>
        <w:tc>
          <w:tcPr>
            <w:tcW w:w="112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1.3</w:t>
            </w:r>
          </w:p>
        </w:tc>
        <w:tc>
          <w:tcPr>
            <w:tcW w:w="2238" w:type="dxa"/>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GB" w:eastAsia="zh-CN"/>
              </w:rPr>
              <w:t>激光类别</w:t>
            </w:r>
          </w:p>
        </w:tc>
        <w:tc>
          <w:tcPr>
            <w:tcW w:w="2239" w:type="dxa"/>
          </w:tcPr>
          <w:p>
            <w:pPr>
              <w:rPr>
                <w:rFonts w:ascii="Arial"/>
              </w:rPr>
            </w:pPr>
          </w:p>
        </w:tc>
        <w:tc>
          <w:tcPr>
            <w:tcW w:w="112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1.4</w:t>
            </w:r>
          </w:p>
        </w:tc>
        <w:tc>
          <w:tcPr>
            <w:tcW w:w="2238" w:type="dxa"/>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全局摄影测量模块（内置）</w:t>
            </w:r>
          </w:p>
        </w:tc>
        <w:tc>
          <w:tcPr>
            <w:tcW w:w="2239" w:type="dxa"/>
          </w:tcPr>
          <w:p>
            <w:pPr>
              <w:rPr>
                <w:rFonts w:ascii="Arial"/>
              </w:rPr>
            </w:pPr>
          </w:p>
        </w:tc>
        <w:tc>
          <w:tcPr>
            <w:tcW w:w="112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1.5</w:t>
            </w:r>
          </w:p>
        </w:tc>
        <w:tc>
          <w:tcPr>
            <w:tcW w:w="2238" w:type="dxa"/>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扫描标定物</w:t>
            </w:r>
          </w:p>
        </w:tc>
        <w:tc>
          <w:tcPr>
            <w:tcW w:w="2239" w:type="dxa"/>
          </w:tcPr>
          <w:p>
            <w:pPr>
              <w:rPr>
                <w:rFonts w:ascii="Arial"/>
              </w:rPr>
            </w:pPr>
          </w:p>
        </w:tc>
        <w:tc>
          <w:tcPr>
            <w:tcW w:w="112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default"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1.6</w:t>
            </w:r>
          </w:p>
        </w:tc>
        <w:tc>
          <w:tcPr>
            <w:tcW w:w="2238" w:type="dxa"/>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摄影比例尺</w:t>
            </w:r>
          </w:p>
        </w:tc>
        <w:tc>
          <w:tcPr>
            <w:tcW w:w="2239" w:type="dxa"/>
          </w:tcPr>
          <w:p>
            <w:pPr>
              <w:rPr>
                <w:rFonts w:ascii="Arial"/>
              </w:rPr>
            </w:pPr>
          </w:p>
        </w:tc>
        <w:tc>
          <w:tcPr>
            <w:tcW w:w="112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1.7</w:t>
            </w:r>
          </w:p>
        </w:tc>
        <w:tc>
          <w:tcPr>
            <w:tcW w:w="2238" w:type="dxa"/>
            <w:vAlign w:val="center"/>
          </w:tcPr>
          <w:p>
            <w:pPr>
              <w:pStyle w:val="3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传输数据线</w:t>
            </w:r>
          </w:p>
        </w:tc>
        <w:tc>
          <w:tcPr>
            <w:tcW w:w="2239" w:type="dxa"/>
          </w:tcPr>
          <w:p>
            <w:pPr>
              <w:rPr>
                <w:rFonts w:ascii="Arial"/>
              </w:rPr>
            </w:pPr>
          </w:p>
        </w:tc>
        <w:tc>
          <w:tcPr>
            <w:tcW w:w="112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rPr>
              <w:t>2</w:t>
            </w:r>
          </w:p>
        </w:tc>
        <w:tc>
          <w:tcPr>
            <w:tcW w:w="22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rPr>
              <w:t>扫描测量软件</w:t>
            </w:r>
          </w:p>
        </w:tc>
        <w:tc>
          <w:tcPr>
            <w:tcW w:w="2239" w:type="dxa"/>
          </w:tcPr>
          <w:p>
            <w:pPr>
              <w:rPr>
                <w:rFonts w:ascii="Arial"/>
              </w:rPr>
            </w:pPr>
          </w:p>
        </w:tc>
        <w:tc>
          <w:tcPr>
            <w:tcW w:w="112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2.1</w:t>
            </w:r>
          </w:p>
        </w:tc>
        <w:tc>
          <w:tcPr>
            <w:tcW w:w="22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扫描测量</w:t>
            </w:r>
            <w:r>
              <w:rPr>
                <w:rFonts w:hint="eastAsia" w:ascii="宋体" w:hAnsi="宋体" w:eastAsia="宋体" w:cs="宋体"/>
                <w:kern w:val="2"/>
                <w:sz w:val="24"/>
                <w:szCs w:val="24"/>
                <w:lang w:val="de-DE" w:eastAsia="de-DE"/>
              </w:rPr>
              <w:t>GOM Inspect Suite with Sensor Driver T-SCAN hawk 2</w:t>
            </w:r>
          </w:p>
        </w:tc>
        <w:tc>
          <w:tcPr>
            <w:tcW w:w="2239" w:type="dxa"/>
          </w:tcPr>
          <w:p>
            <w:pPr>
              <w:rPr>
                <w:rFonts w:ascii="Arial"/>
              </w:rPr>
            </w:pPr>
          </w:p>
        </w:tc>
        <w:tc>
          <w:tcPr>
            <w:tcW w:w="112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rPr>
              <w:t>3</w:t>
            </w:r>
          </w:p>
        </w:tc>
        <w:tc>
          <w:tcPr>
            <w:tcW w:w="22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rPr>
              <w:t>图形处理工作站</w:t>
            </w:r>
          </w:p>
        </w:tc>
        <w:tc>
          <w:tcPr>
            <w:tcW w:w="2239" w:type="dxa"/>
          </w:tcPr>
          <w:p>
            <w:pPr>
              <w:rPr>
                <w:rFonts w:ascii="Arial"/>
              </w:rPr>
            </w:pPr>
          </w:p>
        </w:tc>
        <w:tc>
          <w:tcPr>
            <w:tcW w:w="112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default" w:ascii="宋体" w:hAnsi="宋体" w:eastAsia="宋体" w:cs="宋体"/>
                <w:b w:val="0"/>
                <w:bCs w:val="0"/>
                <w:kern w:val="2"/>
                <w:sz w:val="24"/>
                <w:szCs w:val="24"/>
                <w:lang w:val="en-US" w:eastAsia="zh-CN" w:bidi="ar-SA"/>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3.1</w:t>
            </w:r>
          </w:p>
        </w:tc>
        <w:tc>
          <w:tcPr>
            <w:tcW w:w="2238"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rPr>
              <w:t>DELL移动图形工作站</w:t>
            </w:r>
          </w:p>
        </w:tc>
        <w:tc>
          <w:tcPr>
            <w:tcW w:w="2239" w:type="dxa"/>
          </w:tcPr>
          <w:p>
            <w:pPr>
              <w:rPr>
                <w:rFonts w:ascii="Arial"/>
              </w:rPr>
            </w:pPr>
          </w:p>
        </w:tc>
        <w:tc>
          <w:tcPr>
            <w:tcW w:w="1120" w:type="dxa"/>
            <w:vAlign w:val="center"/>
          </w:tcPr>
          <w:p>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jc w:val="center"/>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rPr>
              <w:t>1</w:t>
            </w: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before="79" w:line="284" w:lineRule="exact"/>
              <w:ind w:left="249"/>
              <w:rPr>
                <w:rFonts w:ascii="宋体" w:hAnsi="宋体" w:eastAsia="宋体" w:cs="宋体"/>
                <w:szCs w:val="21"/>
              </w:rPr>
            </w:pPr>
            <w:r>
              <w:rPr>
                <w:rFonts w:ascii="宋体" w:hAnsi="宋体" w:eastAsia="宋体" w:cs="宋体"/>
                <w:position w:val="1"/>
                <w:szCs w:val="21"/>
              </w:rPr>
              <w:t>…</w:t>
            </w:r>
          </w:p>
        </w:tc>
        <w:tc>
          <w:tcPr>
            <w:tcW w:w="2238" w:type="dxa"/>
          </w:tcPr>
          <w:p>
            <w:pPr>
              <w:rPr>
                <w:rFonts w:ascii="Arial"/>
              </w:rPr>
            </w:pPr>
            <w:r>
              <w:rPr>
                <w:rFonts w:hint="eastAsia" w:ascii="宋体" w:hAnsi="宋体" w:eastAsia="宋体" w:cs="宋体"/>
              </w:rPr>
              <w:t>以上投标设备不足之处请往下添加序号自行补充</w:t>
            </w:r>
          </w:p>
        </w:tc>
        <w:tc>
          <w:tcPr>
            <w:tcW w:w="2239" w:type="dxa"/>
          </w:tcPr>
          <w:p>
            <w:pPr>
              <w:rPr>
                <w:rFonts w:ascii="Arial"/>
              </w:rPr>
            </w:pPr>
          </w:p>
        </w:tc>
        <w:tc>
          <w:tcPr>
            <w:tcW w:w="1120" w:type="dxa"/>
          </w:tcPr>
          <w:p>
            <w:pPr>
              <w:rPr>
                <w:rFonts w:ascii="Arial"/>
              </w:rPr>
            </w:pPr>
          </w:p>
        </w:tc>
        <w:tc>
          <w:tcPr>
            <w:tcW w:w="1682" w:type="dxa"/>
          </w:tcPr>
          <w:p>
            <w:pPr>
              <w:rPr>
                <w:rFonts w:ascii="Arial"/>
              </w:rPr>
            </w:pPr>
          </w:p>
        </w:tc>
        <w:tc>
          <w:tcPr>
            <w:tcW w:w="2519" w:type="dxa"/>
            <w:tcBorders>
              <w:right w:val="single" w:color="000000" w:sz="4" w:space="0"/>
            </w:tcBorders>
          </w:tcPr>
          <w:p>
            <w:pPr>
              <w:rPr>
                <w:rFonts w:ascii="Arial"/>
              </w:rPr>
            </w:pPr>
          </w:p>
        </w:tc>
        <w:tc>
          <w:tcPr>
            <w:tcW w:w="2435" w:type="dxa"/>
            <w:tcBorders>
              <w:left w:val="single" w:color="000000" w:sz="4" w:space="0"/>
            </w:tcBorders>
          </w:tcPr>
          <w:p>
            <w:pPr>
              <w:rPr>
                <w:rFonts w:ascii="Arial"/>
              </w:rPr>
            </w:pPr>
          </w:p>
        </w:tc>
        <w:tc>
          <w:tcPr>
            <w:tcW w:w="1069"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pPr>
              <w:jc w:val="center"/>
              <w:rPr>
                <w:rFonts w:ascii="Arial"/>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pPr>
              <w:rPr>
                <w:rFonts w:ascii="Arial"/>
              </w:rPr>
            </w:pPr>
          </w:p>
        </w:tc>
        <w:tc>
          <w:tcPr>
            <w:tcW w:w="1069" w:type="dxa"/>
          </w:tcPr>
          <w:p>
            <w:pPr>
              <w:rPr>
                <w:rFonts w:ascii="Arial"/>
              </w:rPr>
            </w:pPr>
          </w:p>
        </w:tc>
      </w:tr>
    </w:tbl>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4"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lang w:eastAsia="zh-CN"/>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4" w14:cap="flat" w14:cmpd="sng">
            <w14:solidFill>
              <w14:srgbClr w14:val="000000"/>
            </w14:solidFill>
            <w14:prstDash w14:val="solid"/>
            <w14:miter w14:val="0"/>
          </w14:textOutline>
        </w:rPr>
        <w:t>9</w:t>
      </w: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4" w14:cap="flat" w14:cmpd="sng">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solidFill>
              <w14:srgbClr w14:val="000000"/>
            </w14:solidFill>
            <w14:prstDash w14:val="solid"/>
            <w14:miter w14:val="0"/>
          </w14:textOutline>
        </w:rPr>
        <w:t>运</w:t>
      </w:r>
      <w:r>
        <w:rPr>
          <w:rFonts w:ascii="宋体" w:hAnsi="宋体" w:eastAsia="宋体" w:cs="宋体"/>
          <w:spacing w:val="9"/>
          <w:sz w:val="24"/>
          <w:szCs w:val="24"/>
          <w14:textOutline w14:w="5791" w14:cap="flat" w14:cmpd="sng">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pPr>
        <w:spacing w:line="172" w:lineRule="exact"/>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单价(元)</w:t>
            </w:r>
            <w:r>
              <w:rPr>
                <w:rFonts w:hint="eastAsia"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不</w:t>
            </w:r>
            <w:r>
              <w:rPr>
                <w:rFonts w:hint="eastAsia" w:ascii="宋体" w:hAnsi="宋体" w:eastAsia="宋体" w:cs="宋体"/>
                <w:spacing w:val="-1"/>
                <w:szCs w:val="21"/>
                <w14:textOutline w14:w="3834" w14:cap="flat" w14:cmpd="sng">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总价(元)</w:t>
            </w:r>
            <w:r>
              <w:rPr>
                <w:rFonts w:hint="eastAsia"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不</w:t>
            </w:r>
            <w:r>
              <w:rPr>
                <w:rFonts w:hint="eastAsia" w:ascii="宋体" w:hAnsi="宋体" w:eastAsia="宋体" w:cs="宋体"/>
                <w:spacing w:val="-1"/>
                <w:szCs w:val="21"/>
                <w14:textOutline w14:w="3834" w14:cap="flat" w14:cmpd="sng">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4" w14:cap="flat" w14:cmpd="sng">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4" w14:cap="flat" w14:cmpd="sng">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25"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4" w14:cap="flat" w14:cmpd="sng">
            <w14:solidFill>
              <w14:srgbClr w14:val="000000"/>
            </w14:solidFill>
            <w14:prstDash w14:val="solid"/>
            <w14:miter w14:val="0"/>
          </w14:textOutline>
        </w:rPr>
        <w:t>9</w:t>
      </w: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4" w14:cap="flat" w14:cmpd="sng">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p>
      <w:pPr>
        <w:spacing w:line="20" w:lineRule="exact"/>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单价</w:t>
            </w: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不</w:t>
            </w:r>
            <w:r>
              <w:rPr>
                <w:rFonts w:hint="eastAsia" w:ascii="宋体" w:hAnsi="宋体" w:eastAsia="宋体" w:cs="宋体"/>
                <w:spacing w:val="-1"/>
                <w:szCs w:val="21"/>
                <w14:textOutline w14:w="3834" w14:cap="flat" w14:cmpd="sng">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不</w:t>
            </w:r>
            <w:r>
              <w:rPr>
                <w:rFonts w:hint="eastAsia" w:ascii="宋体" w:hAnsi="宋体" w:eastAsia="宋体" w:cs="宋体"/>
                <w:spacing w:val="-1"/>
                <w:szCs w:val="21"/>
                <w14:textOutline w14:w="3834" w14:cap="flat" w14:cmpd="sng">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0" w:line="186" w:lineRule="auto"/>
              <w:ind w:left="443"/>
              <w:rPr>
                <w:rFonts w:ascii="宋体" w:hAnsi="宋体" w:eastAsia="宋体" w:cs="宋体"/>
                <w:szCs w:val="21"/>
              </w:rPr>
            </w:pPr>
            <w:r>
              <w:rPr>
                <w:rFonts w:ascii="宋体" w:hAnsi="宋体" w:eastAsia="宋体" w:cs="宋体"/>
                <w:szCs w:val="21"/>
              </w:rPr>
              <w:t>1</w:t>
            </w:r>
          </w:p>
        </w:tc>
        <w:tc>
          <w:tcPr>
            <w:tcW w:w="3625" w:type="dxa"/>
          </w:tcPr>
          <w:p>
            <w:pPr>
              <w:spacing w:before="266" w:line="221" w:lineRule="auto"/>
              <w:jc w:val="center"/>
              <w:rPr>
                <w:rFonts w:hint="default" w:ascii="宋体" w:hAnsi="宋体" w:eastAsia="宋体" w:cs="宋体"/>
                <w:szCs w:val="21"/>
                <w:lang w:val="en-US" w:eastAsia="zh-CN"/>
              </w:rPr>
            </w:pPr>
            <w:r>
              <w:rPr>
                <w:rFonts w:hint="eastAsia" w:ascii="宋体" w:hAnsi="宋体" w:eastAsia="宋体" w:cs="宋体"/>
                <w:kern w:val="2"/>
                <w:sz w:val="21"/>
                <w:szCs w:val="21"/>
                <w:lang w:val="en-US" w:eastAsia="zh-CN"/>
              </w:rPr>
              <w:t>客户现场设备安装、调试</w:t>
            </w:r>
          </w:p>
        </w:tc>
        <w:tc>
          <w:tcPr>
            <w:tcW w:w="1126" w:type="dxa"/>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pPr>
              <w:spacing w:before="302" w:line="185" w:lineRule="auto"/>
              <w:ind w:left="430"/>
              <w:rPr>
                <w:rFonts w:ascii="宋体" w:hAnsi="宋体" w:eastAsia="宋体" w:cs="宋体"/>
                <w:szCs w:val="21"/>
              </w:rPr>
            </w:pPr>
            <w:r>
              <w:rPr>
                <w:rFonts w:ascii="宋体" w:hAnsi="宋体" w:eastAsia="宋体" w:cs="宋体"/>
                <w:szCs w:val="21"/>
              </w:rPr>
              <w:t>2</w:t>
            </w:r>
          </w:p>
        </w:tc>
        <w:tc>
          <w:tcPr>
            <w:tcW w:w="3625" w:type="dxa"/>
          </w:tcPr>
          <w:p>
            <w:pPr>
              <w:spacing w:before="266" w:line="221" w:lineRule="auto"/>
              <w:jc w:val="center"/>
              <w:rPr>
                <w:rFonts w:hint="eastAsia" w:ascii="宋体" w:hAnsi="宋体" w:eastAsia="宋体" w:cs="宋体"/>
                <w:szCs w:val="21"/>
                <w:lang w:eastAsia="zh-CN"/>
              </w:rPr>
            </w:pPr>
            <w:r>
              <w:rPr>
                <w:rFonts w:hint="eastAsia" w:ascii="宋体" w:hAnsi="宋体" w:eastAsia="宋体" w:cs="宋体"/>
                <w:spacing w:val="-1"/>
                <w:szCs w:val="21"/>
                <w:lang w:val="en-US" w:eastAsia="zh-CN"/>
              </w:rPr>
              <w:t>技术培训</w:t>
            </w:r>
          </w:p>
        </w:tc>
        <w:tc>
          <w:tcPr>
            <w:tcW w:w="1126" w:type="dxa"/>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tcPr>
          <w:p>
            <w:pPr>
              <w:spacing w:before="303" w:line="183" w:lineRule="auto"/>
              <w:ind w:left="432"/>
              <w:rPr>
                <w:rFonts w:ascii="宋体" w:hAnsi="宋体" w:eastAsia="宋体" w:cs="宋体"/>
                <w:szCs w:val="21"/>
              </w:rPr>
            </w:pPr>
            <w:r>
              <w:rPr>
                <w:rFonts w:ascii="宋体" w:hAnsi="宋体" w:eastAsia="宋体" w:cs="宋体"/>
                <w:szCs w:val="21"/>
              </w:rPr>
              <w:t>3</w:t>
            </w:r>
          </w:p>
        </w:tc>
        <w:tc>
          <w:tcPr>
            <w:tcW w:w="3625" w:type="dxa"/>
          </w:tcPr>
          <w:p>
            <w:pPr>
              <w:spacing w:before="266"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9</w:t>
            </w:r>
            <w:r>
              <w:rPr>
                <w:rFonts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14:textOutline w14:w="3834" w14:cap="flat" w14:cmpd="sng">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4" w14:cap="flat" w14:cmpd="sng">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26"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4" w14:cap="flat" w14:cmpd="sng">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4" w14:cap="flat" w14:cmpd="sng">
            <w14:solidFill>
              <w14:srgbClr w14:val="000000"/>
            </w14:solidFill>
            <w14:prstDash w14:val="solid"/>
            <w14:miter w14:val="0"/>
          </w14:textOutline>
        </w:rPr>
        <w:t>9</w:t>
      </w:r>
      <w:r>
        <w:rPr>
          <w:rFonts w:ascii="宋体" w:hAnsi="宋体" w:eastAsia="宋体" w:cs="宋体"/>
          <w:spacing w:val="-9"/>
          <w:sz w:val="24"/>
          <w:szCs w:val="24"/>
          <w14:textOutline w14:w="3834" w14:cap="flat" w14:cmpd="sng">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4" w14:cap="flat" w14:cmpd="sng">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pPr>
        <w:spacing w:line="172" w:lineRule="exact"/>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4" w14:cap="flat" w14:cmpd="sng">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备件或</w:t>
            </w:r>
            <w:r>
              <w:rPr>
                <w:rFonts w:hint="eastAsia" w:ascii="宋体" w:hAnsi="宋体" w:eastAsia="宋体" w:cs="宋体"/>
                <w:spacing w:val="-1"/>
                <w:szCs w:val="21"/>
                <w14:textOutline w14:w="3834" w14:cap="flat" w14:cmpd="sng">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型号和</w:t>
            </w:r>
            <w:r>
              <w:rPr>
                <w:rFonts w:ascii="宋体" w:hAnsi="宋体" w:eastAsia="宋体" w:cs="宋体"/>
                <w:spacing w:val="-1"/>
                <w:szCs w:val="21"/>
                <w14:textOutline w14:w="3834" w14:cap="flat" w14:cmpd="sng">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position w:val="0"/>
                <w:szCs w:val="21"/>
                <w14:textOutline w14:w="3834" w14:cap="flat" w14:cmpd="sng">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制造商</w:t>
            </w:r>
            <w:r>
              <w:rPr>
                <w:rFonts w:hint="eastAsia" w:ascii="宋体" w:hAnsi="宋体" w:eastAsia="宋体" w:cs="宋体"/>
                <w:spacing w:val="-1"/>
                <w:szCs w:val="21"/>
                <w14:textOutline w14:w="3834" w14:cap="flat" w14:cmpd="sng">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不</w:t>
            </w:r>
            <w:r>
              <w:rPr>
                <w:rFonts w:hint="eastAsia" w:ascii="宋体" w:hAnsi="宋体" w:eastAsia="宋体" w:cs="宋体"/>
                <w:spacing w:val="-1"/>
                <w:szCs w:val="21"/>
                <w14:textOutline w14:w="3834" w14:cap="flat" w14:cmpd="sng">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w:t>
            </w:r>
            <w:r>
              <w:rPr>
                <w:rFonts w:hint="eastAsia" w:ascii="宋体" w:hAnsi="宋体" w:eastAsia="宋体" w:cs="宋体"/>
                <w:spacing w:val="-1"/>
                <w:szCs w:val="21"/>
                <w14:textOutline w14:w="3834" w14:cap="flat" w14:cmpd="sng">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不</w:t>
            </w:r>
            <w:r>
              <w:rPr>
                <w:rFonts w:hint="eastAsia" w:ascii="宋体" w:hAnsi="宋体" w:eastAsia="宋体" w:cs="宋体"/>
                <w:spacing w:val="-1"/>
                <w:szCs w:val="21"/>
                <w14:textOutline w14:w="3834" w14:cap="flat" w14:cmpd="sng">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position w:val="0"/>
                <w:szCs w:val="21"/>
                <w14:textOutline w14:w="3834" w14:cap="flat" w14:cmpd="sng">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hint="eastAsia" w:ascii="宋体" w:hAnsi="宋体" w:eastAsia="宋体" w:cs="宋体"/>
                <w:spacing w:val="-1"/>
                <w:szCs w:val="21"/>
                <w14:textOutline w14:w="3834" w14:cap="flat" w14:cmpd="sng">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备</w:t>
            </w:r>
            <w:r>
              <w:rPr>
                <w:rFonts w:hint="eastAsia" w:ascii="宋体" w:hAnsi="宋体" w:eastAsia="宋体" w:cs="宋体"/>
                <w:spacing w:val="-1"/>
                <w:szCs w:val="21"/>
                <w14:textOutline w14:w="3834" w14:cap="flat" w14:cmpd="sng">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1</w:t>
            </w:r>
          </w:p>
        </w:tc>
        <w:tc>
          <w:tcPr>
            <w:tcW w:w="2543"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GB" w:eastAsia="zh-CN"/>
              </w:rPr>
              <w:t>反光</w:t>
            </w:r>
            <w:r>
              <w:rPr>
                <w:rFonts w:hint="eastAsia" w:ascii="宋体" w:hAnsi="宋体" w:eastAsia="宋体" w:cs="宋体"/>
                <w:kern w:val="2"/>
                <w:sz w:val="24"/>
                <w:szCs w:val="24"/>
                <w:lang w:val="en-US" w:eastAsia="zh-CN"/>
              </w:rPr>
              <w:t>参考点1</w:t>
            </w:r>
          </w:p>
        </w:tc>
        <w:tc>
          <w:tcPr>
            <w:tcW w:w="2100"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GB" w:eastAsia="zh-CN"/>
              </w:rPr>
            </w:pPr>
            <w:r>
              <w:rPr>
                <w:rFonts w:hint="eastAsia" w:ascii="宋体" w:hAnsi="宋体" w:eastAsia="宋体" w:cs="宋体"/>
                <w:kern w:val="2"/>
                <w:sz w:val="24"/>
                <w:szCs w:val="24"/>
                <w:lang w:val="en-GB" w:eastAsia="zh-CN"/>
              </w:rPr>
              <w:t>直径3mm</w:t>
            </w:r>
          </w:p>
        </w:tc>
        <w:tc>
          <w:tcPr>
            <w:tcW w:w="840"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7</w:t>
            </w:r>
          </w:p>
        </w:tc>
        <w:tc>
          <w:tcPr>
            <w:tcW w:w="2239" w:type="dxa"/>
            <w:vAlign w:val="center"/>
          </w:tcPr>
          <w:p>
            <w:pPr>
              <w:jc w:val="center"/>
              <w:rPr>
                <w:rFonts w:ascii="Arial"/>
              </w:rPr>
            </w:pPr>
          </w:p>
        </w:tc>
        <w:tc>
          <w:tcPr>
            <w:tcW w:w="1498" w:type="dxa"/>
            <w:vAlign w:val="center"/>
          </w:tcPr>
          <w:p>
            <w:pPr>
              <w:jc w:val="center"/>
              <w:rPr>
                <w:rFonts w:ascii="Arial"/>
              </w:rPr>
            </w:pPr>
          </w:p>
        </w:tc>
        <w:tc>
          <w:tcPr>
            <w:tcW w:w="1861" w:type="dxa"/>
            <w:vAlign w:val="center"/>
          </w:tcPr>
          <w:p>
            <w:pPr>
              <w:jc w:val="center"/>
              <w:rPr>
                <w:rFonts w:ascii="Arial"/>
              </w:rPr>
            </w:pPr>
          </w:p>
        </w:tc>
        <w:tc>
          <w:tcPr>
            <w:tcW w:w="1120" w:type="dxa"/>
            <w:vAlign w:val="center"/>
          </w:tcPr>
          <w:p>
            <w:pPr>
              <w:jc w:val="center"/>
              <w:rPr>
                <w:rFonts w:ascii="Arial"/>
              </w:rPr>
            </w:pPr>
          </w:p>
        </w:tc>
        <w:tc>
          <w:tcPr>
            <w:tcW w:w="1125" w:type="dxa"/>
            <w:vAlign w:val="center"/>
          </w:tcPr>
          <w:p>
            <w:pPr>
              <w:jc w:val="cente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2</w:t>
            </w:r>
          </w:p>
        </w:tc>
        <w:tc>
          <w:tcPr>
            <w:tcW w:w="2543"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GB" w:eastAsia="zh-CN"/>
              </w:rPr>
              <w:t>反光</w:t>
            </w:r>
            <w:r>
              <w:rPr>
                <w:rFonts w:hint="eastAsia" w:ascii="宋体" w:hAnsi="宋体" w:eastAsia="宋体" w:cs="宋体"/>
                <w:kern w:val="2"/>
                <w:sz w:val="24"/>
                <w:szCs w:val="24"/>
                <w:lang w:val="en-US" w:eastAsia="zh-CN"/>
              </w:rPr>
              <w:t>参考点2</w:t>
            </w:r>
          </w:p>
        </w:tc>
        <w:tc>
          <w:tcPr>
            <w:tcW w:w="2100"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GB" w:eastAsia="zh-CN"/>
              </w:rPr>
            </w:pPr>
            <w:r>
              <w:rPr>
                <w:rFonts w:hint="eastAsia" w:ascii="宋体" w:hAnsi="宋体" w:eastAsia="宋体" w:cs="宋体"/>
                <w:kern w:val="2"/>
                <w:sz w:val="24"/>
                <w:szCs w:val="24"/>
                <w:lang w:val="en-GB" w:eastAsia="zh-CN"/>
              </w:rPr>
              <w:t>直径6mm</w:t>
            </w:r>
          </w:p>
        </w:tc>
        <w:tc>
          <w:tcPr>
            <w:tcW w:w="840" w:type="dxa"/>
            <w:vAlign w:val="center"/>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US" w:eastAsia="zh-CN"/>
              </w:rPr>
            </w:pPr>
            <w:r>
              <w:rPr>
                <w:rFonts w:hint="eastAsia" w:ascii="宋体" w:hAnsi="宋体" w:eastAsia="宋体" w:cs="宋体"/>
                <w:kern w:val="2"/>
                <w:sz w:val="24"/>
                <w:szCs w:val="24"/>
                <w:lang w:val="en-US" w:eastAsia="zh-CN"/>
              </w:rPr>
              <w:t>7</w:t>
            </w:r>
          </w:p>
        </w:tc>
        <w:tc>
          <w:tcPr>
            <w:tcW w:w="2239" w:type="dxa"/>
            <w:vAlign w:val="center"/>
          </w:tcPr>
          <w:p>
            <w:pPr>
              <w:jc w:val="center"/>
              <w:rPr>
                <w:rFonts w:ascii="Arial"/>
              </w:rPr>
            </w:pPr>
          </w:p>
        </w:tc>
        <w:tc>
          <w:tcPr>
            <w:tcW w:w="1498" w:type="dxa"/>
            <w:vAlign w:val="center"/>
          </w:tcPr>
          <w:p>
            <w:pPr>
              <w:jc w:val="center"/>
              <w:rPr>
                <w:rFonts w:ascii="Arial"/>
              </w:rPr>
            </w:pPr>
          </w:p>
        </w:tc>
        <w:tc>
          <w:tcPr>
            <w:tcW w:w="1861" w:type="dxa"/>
            <w:vAlign w:val="center"/>
          </w:tcPr>
          <w:p>
            <w:pPr>
              <w:jc w:val="center"/>
              <w:rPr>
                <w:rFonts w:ascii="Arial"/>
              </w:rPr>
            </w:pPr>
          </w:p>
        </w:tc>
        <w:tc>
          <w:tcPr>
            <w:tcW w:w="1120" w:type="dxa"/>
            <w:vAlign w:val="center"/>
          </w:tcPr>
          <w:p>
            <w:pPr>
              <w:jc w:val="center"/>
              <w:rPr>
                <w:rFonts w:ascii="Arial"/>
              </w:rPr>
            </w:pPr>
          </w:p>
        </w:tc>
        <w:tc>
          <w:tcPr>
            <w:tcW w:w="1125" w:type="dxa"/>
            <w:vAlign w:val="center"/>
          </w:tcPr>
          <w:p>
            <w:pPr>
              <w:jc w:val="cente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GB" w:eastAsia="zh-CN"/>
              </w:rPr>
            </w:pPr>
          </w:p>
        </w:tc>
        <w:tc>
          <w:tcPr>
            <w:tcW w:w="840" w:type="dxa"/>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GB" w:eastAsia="zh-CN"/>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GB" w:eastAsia="zh-CN"/>
              </w:rPr>
            </w:pPr>
          </w:p>
        </w:tc>
        <w:tc>
          <w:tcPr>
            <w:tcW w:w="840" w:type="dxa"/>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GB" w:eastAsia="zh-CN"/>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GB" w:eastAsia="zh-CN"/>
              </w:rPr>
            </w:pPr>
          </w:p>
        </w:tc>
        <w:tc>
          <w:tcPr>
            <w:tcW w:w="840" w:type="dxa"/>
          </w:tcPr>
          <w:p>
            <w:pPr>
              <w:pStyle w:val="30"/>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240" w:lineRule="auto"/>
              <w:ind w:left="0" w:leftChars="0" w:right="0" w:rightChars="0" w:firstLine="0" w:firstLineChars="0"/>
              <w:jc w:val="center"/>
              <w:rPr>
                <w:rFonts w:hint="eastAsia" w:ascii="宋体" w:hAnsi="宋体" w:eastAsia="宋体" w:cs="宋体"/>
                <w:kern w:val="2"/>
                <w:sz w:val="24"/>
                <w:szCs w:val="24"/>
                <w:lang w:val="en-GB" w:eastAsia="zh-CN"/>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4" w14:cap="flat" w14:cmpd="sng">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4" w14:cap="flat" w14:cmpd="sng">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27"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4" w14:cap="flat" w14:cmpd="sng">
            <w14:solidFill>
              <w14:srgbClr w14:val="000000"/>
            </w14:solidFill>
            <w14:prstDash w14:val="solid"/>
            <w14:miter w14:val="0"/>
          </w14:textOutline>
        </w:rPr>
      </w:pP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4" w14:cap="flat" w14:cmpd="sng">
            <w14:solidFill>
              <w14:srgbClr w14:val="000000"/>
            </w14:solidFill>
            <w14:prstDash w14:val="solid"/>
            <w14:miter w14:val="0"/>
          </w14:textOutline>
        </w:rPr>
        <w:t>9</w:t>
      </w:r>
      <w:r>
        <w:rPr>
          <w:rFonts w:hint="eastAsia" w:ascii="宋体" w:hAnsi="宋体" w:eastAsia="宋体" w:cs="宋体"/>
          <w:spacing w:val="-10"/>
          <w:sz w:val="24"/>
          <w:szCs w:val="24"/>
          <w14:textOutline w14:w="3834" w14:cap="flat" w14:cmpd="sng">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solidFill>
              <w14:srgbClr w14:val="000000"/>
            </w14:solidFill>
            <w14:prstDash w14:val="solid"/>
            <w14:miter w14:val="0"/>
          </w14:textOutline>
        </w:rPr>
        <w:t>价</w:t>
      </w:r>
      <w:r>
        <w:rPr>
          <w:rFonts w:ascii="宋体" w:hAnsi="宋体" w:eastAsia="宋体" w:cs="宋体"/>
          <w:spacing w:val="8"/>
          <w:sz w:val="24"/>
          <w:szCs w:val="24"/>
          <w14:textOutline w14:w="5791" w14:cap="flat" w14:cmpd="sng">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4" w14:cap="flat" w14:cmpd="sng">
            <w14:solidFill>
              <w14:srgbClr w14:val="000000"/>
            </w14:solidFill>
            <w14:prstDash w14:val="solid"/>
            <w14:miter w14:val="0"/>
          </w14:textOutline>
        </w:rPr>
        <w:t>页</w:t>
      </w:r>
    </w:p>
    <w:p>
      <w:pPr>
        <w:spacing w:line="127" w:lineRule="exact"/>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4" w14:cap="flat" w14:cmpd="sng">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4" w14:cap="flat" w14:cmpd="sng">
                  <w14:solidFill>
                    <w14:srgbClr w14:val="000000"/>
                  </w14:solidFill>
                  <w14:prstDash w14:val="solid"/>
                  <w14:miter w14:val="0"/>
                </w14:textOutline>
              </w:rPr>
              <w:t>不</w:t>
            </w:r>
            <w:r>
              <w:rPr>
                <w:rFonts w:hint="eastAsia" w:ascii="宋体" w:hAnsi="宋体" w:eastAsia="宋体" w:cs="宋体"/>
                <w:spacing w:val="-3"/>
                <w:szCs w:val="21"/>
                <w14:textOutline w14:w="3834" w14:cap="flat" w14:cmpd="sng">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kern w:val="2"/>
                <w:sz w:val="21"/>
                <w:szCs w:val="21"/>
                <w:lang w:val="en-US" w:eastAsia="zh-CN" w:bidi="ar-SA"/>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kern w:val="2"/>
                <w:sz w:val="21"/>
                <w:szCs w:val="21"/>
                <w:lang w:val="en-US" w:eastAsia="zh-CN" w:bidi="ar-SA"/>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4" w14:cap="flat" w14:cmpd="sng">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4" w14:cap="flat" w14:cmpd="sng">
                  <w14:solidFill>
                    <w14:srgbClr w14:val="000000"/>
                  </w14:solidFill>
                  <w14:prstDash w14:val="solid"/>
                  <w14:miter w14:val="0"/>
                </w14:textOutline>
              </w:rPr>
            </w:pPr>
            <w:r>
              <w:rPr>
                <w:rFonts w:ascii="宋体" w:hAnsi="宋体" w:eastAsia="宋体" w:cs="宋体"/>
                <w:spacing w:val="-1"/>
                <w:szCs w:val="21"/>
                <w14:textOutline w14:w="3834" w14:cap="flat" w14:cmpd="sng">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4" w14:cap="flat" w14:cmpd="sng">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4" w14:cap="flat" w14:cmpd="sng">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4" w14:cap="flat" w14:cmpd="sng">
                  <w14:solidFill>
                    <w14:srgbClr w14:val="000000"/>
                  </w14:solidFill>
                  <w14:prstDash w14:val="solid"/>
                  <w14:miter w14:val="0"/>
                </w14:textOutline>
              </w:rPr>
              <w:t>%</w:t>
            </w:r>
            <w:r>
              <w:rPr>
                <w:rFonts w:hint="eastAsia" w:ascii="宋体" w:hAnsi="宋体" w:eastAsia="宋体" w:cs="宋体"/>
                <w:spacing w:val="-1"/>
                <w:szCs w:val="21"/>
                <w:lang w:eastAsia="zh-CN"/>
                <w14:textOutline w14:w="3834" w14:cap="flat" w14:cmpd="sng">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
      </w:pPr>
    </w:p>
    <w:p>
      <w:pPr>
        <w:pStyle w:val="2"/>
      </w:pPr>
    </w:p>
    <w:p>
      <w:pPr>
        <w:spacing w:before="140" w:line="220" w:lineRule="auto"/>
        <w:ind w:left="2" w:firstLine="464" w:firstLineChars="200"/>
        <w:rPr>
          <w:rFonts w:ascii="宋体" w:hAnsi="宋体" w:eastAsia="宋体" w:cs="宋体"/>
          <w:spacing w:val="-2"/>
          <w:szCs w:val="21"/>
        </w:rPr>
        <w:sectPr>
          <w:footerReference r:id="rId2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color w:val="000000"/>
          <w:sz w:val="24"/>
          <w:szCs w:val="24"/>
          <w:u w:val="single"/>
          <w:lang w:val="en-US" w:eastAsia="zh-CN"/>
        </w:rPr>
        <w:t>三维扫描仪</w:t>
      </w:r>
      <w:r>
        <w:rPr>
          <w:rFonts w:hint="eastAsia" w:ascii="宋体" w:hAnsi="宋体" w:eastAsia="宋体" w:cs="宋体"/>
          <w:color w:val="000000"/>
          <w:sz w:val="24"/>
          <w:szCs w:val="24"/>
          <w:u w:val="single"/>
        </w:rPr>
        <w:t>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2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color w:val="000000"/>
          <w:sz w:val="24"/>
          <w:szCs w:val="24"/>
          <w:u w:val="single"/>
          <w:lang w:val="en-US" w:eastAsia="zh-CN"/>
        </w:rPr>
        <w:t>三维扫描仪</w:t>
      </w:r>
      <w:r>
        <w:rPr>
          <w:rFonts w:hint="eastAsia" w:ascii="宋体" w:hAnsi="宋体" w:eastAsia="宋体" w:cs="宋体"/>
          <w:color w:val="000000"/>
          <w:sz w:val="24"/>
          <w:szCs w:val="24"/>
          <w:u w:val="single"/>
        </w:rPr>
        <w:t>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
      </w:pPr>
    </w:p>
    <w:p>
      <w:pPr>
        <w:jc w:val="right"/>
        <w:rPr>
          <w:rFonts w:ascii="等线" w:hAnsi="等线" w:cs="等线"/>
          <w:sz w:val="20"/>
          <w:szCs w:val="20"/>
        </w:rPr>
      </w:pPr>
    </w:p>
    <w:p>
      <w:pPr>
        <w:jc w:val="right"/>
        <w:rPr>
          <w:rFonts w:ascii="等线" w:hAnsi="等线" w:cs="等线"/>
          <w:sz w:val="20"/>
          <w:szCs w:val="20"/>
        </w:rPr>
      </w:pPr>
    </w:p>
    <w:p>
      <w:pPr>
        <w:sectPr>
          <w:headerReference r:id="rId31" w:type="first"/>
          <w:footerReference r:id="rId33" w:type="first"/>
          <w:headerReference r:id="rId30" w:type="default"/>
          <w:footerReference r:id="rId32"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p>
      <w:pPr>
        <w:ind w:firstLine="6023" w:firstLineChars="2500"/>
        <w:jc w:val="both"/>
        <w:outlineLvl w:val="9"/>
        <w:rPr>
          <w:rFonts w:hint="eastAsia" w:ascii="宋体" w:hAnsi="宋体" w:eastAsia="宋体" w:cs="Times New Roman"/>
          <w:b/>
          <w:bCs/>
          <w:sz w:val="24"/>
          <w:szCs w:val="24"/>
          <w:highlight w:val="none"/>
        </w:rPr>
      </w:pPr>
      <w:r>
        <w:rPr>
          <w:rFonts w:hint="eastAsia" w:ascii="宋体" w:hAnsi="宋体" w:eastAsia="宋体" w:cs="Times New Roman"/>
          <w:b/>
          <w:bCs/>
          <w:sz w:val="24"/>
          <w:szCs w:val="24"/>
          <w:highlight w:val="none"/>
        </w:rPr>
        <w:t>技术</w:t>
      </w:r>
      <w:r>
        <w:rPr>
          <w:rFonts w:hint="eastAsia" w:ascii="宋体" w:hAnsi="宋体" w:eastAsia="宋体" w:cs="Times New Roman"/>
          <w:b/>
          <w:bCs/>
          <w:sz w:val="24"/>
          <w:szCs w:val="24"/>
          <w:highlight w:val="none"/>
          <w:lang w:val="en-US" w:eastAsia="zh-CN"/>
        </w:rPr>
        <w:t>标评审</w:t>
      </w:r>
      <w:r>
        <w:rPr>
          <w:rFonts w:hint="eastAsia" w:ascii="宋体" w:hAnsi="宋体" w:eastAsia="宋体" w:cs="Times New Roman"/>
          <w:b/>
          <w:bCs/>
          <w:sz w:val="24"/>
          <w:szCs w:val="24"/>
          <w:highlight w:val="none"/>
        </w:rPr>
        <w:t>表（</w:t>
      </w:r>
      <w:r>
        <w:rPr>
          <w:rFonts w:hint="eastAsia" w:ascii="宋体" w:hAnsi="宋体" w:eastAsia="宋体" w:cs="Times New Roman"/>
          <w:b/>
          <w:bCs/>
          <w:sz w:val="24"/>
          <w:szCs w:val="24"/>
          <w:highlight w:val="none"/>
          <w:lang w:val="en-US" w:eastAsia="zh-CN"/>
        </w:rPr>
        <w:t>5</w:t>
      </w:r>
      <w:r>
        <w:rPr>
          <w:rFonts w:hint="eastAsia" w:ascii="宋体" w:hAnsi="宋体" w:eastAsia="宋体" w:cs="Times New Roman"/>
          <w:b/>
          <w:bCs/>
          <w:sz w:val="24"/>
          <w:szCs w:val="24"/>
          <w:highlight w:val="none"/>
        </w:rPr>
        <w:t>0分）</w:t>
      </w:r>
    </w:p>
    <w:p>
      <w:pPr>
        <w:rPr>
          <w:rFonts w:hint="eastAsia" w:ascii="宋体" w:hAnsi="宋体" w:eastAsia="宋体" w:cs="Times New Roman"/>
          <w:b/>
          <w:bCs/>
          <w:sz w:val="24"/>
          <w:szCs w:val="24"/>
          <w:highlight w:val="none"/>
        </w:rPr>
      </w:pPr>
    </w:p>
    <w:tbl>
      <w:tblPr>
        <w:tblStyle w:val="35"/>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717"/>
        <w:gridCol w:w="750"/>
        <w:gridCol w:w="2916"/>
        <w:gridCol w:w="700"/>
        <w:gridCol w:w="7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22"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评价类型</w:t>
            </w:r>
          </w:p>
        </w:tc>
        <w:tc>
          <w:tcPr>
            <w:tcW w:w="717" w:type="dxa"/>
            <w:vAlign w:val="center"/>
          </w:tcPr>
          <w:p>
            <w:pPr>
              <w:tabs>
                <w:tab w:val="left" w:pos="13965"/>
              </w:tabs>
              <w:spacing w:line="360" w:lineRule="auto"/>
              <w:ind w:right="-6"/>
              <w:jc w:val="center"/>
              <w:rPr>
                <w:rFonts w:hint="eastAsia" w:ascii="宋体" w:hAnsi="宋体" w:eastAsia="宋体" w:cs="Times New Roman"/>
                <w:b/>
                <w:sz w:val="24"/>
                <w:szCs w:val="24"/>
                <w:lang w:val="en-US" w:eastAsia="zh-CN"/>
              </w:rPr>
            </w:pPr>
            <w:r>
              <w:rPr>
                <w:rFonts w:hint="eastAsia" w:ascii="宋体" w:hAnsi="宋体" w:eastAsia="宋体" w:cs="Times New Roman"/>
                <w:b/>
                <w:sz w:val="24"/>
                <w:szCs w:val="24"/>
                <w:lang w:val="en-US" w:eastAsia="zh-CN"/>
              </w:rPr>
              <w:t>评审内容</w:t>
            </w:r>
          </w:p>
        </w:tc>
        <w:tc>
          <w:tcPr>
            <w:tcW w:w="750"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序号</w:t>
            </w:r>
          </w:p>
        </w:tc>
        <w:tc>
          <w:tcPr>
            <w:tcW w:w="2916"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内</w:t>
            </w:r>
            <w:r>
              <w:rPr>
                <w:rFonts w:ascii="宋体" w:hAnsi="宋体" w:eastAsia="宋体" w:cs="Times New Roman"/>
                <w:b/>
                <w:sz w:val="24"/>
                <w:szCs w:val="24"/>
              </w:rPr>
              <w:t xml:space="preserve">   </w:t>
            </w:r>
            <w:r>
              <w:rPr>
                <w:rFonts w:hint="eastAsia" w:ascii="宋体" w:hAnsi="宋体" w:eastAsia="宋体" w:cs="Times New Roman"/>
                <w:b/>
                <w:sz w:val="24"/>
                <w:szCs w:val="24"/>
              </w:rPr>
              <w:t>容</w:t>
            </w:r>
          </w:p>
        </w:tc>
        <w:tc>
          <w:tcPr>
            <w:tcW w:w="700"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标准分</w:t>
            </w:r>
          </w:p>
        </w:tc>
        <w:tc>
          <w:tcPr>
            <w:tcW w:w="7906" w:type="dxa"/>
            <w:vAlign w:val="center"/>
          </w:tcPr>
          <w:p>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22" w:type="dxa"/>
            <w:vMerge w:val="restart"/>
            <w:vAlign w:val="center"/>
          </w:tcPr>
          <w:p>
            <w:pPr>
              <w:tabs>
                <w:tab w:val="left" w:pos="13965"/>
              </w:tabs>
              <w:spacing w:line="360" w:lineRule="auto"/>
              <w:ind w:right="-6"/>
              <w:jc w:val="center"/>
              <w:rPr>
                <w:rFonts w:ascii="宋体" w:hAnsi="Times New Roman" w:eastAsia="宋体" w:cs="Times New Roman"/>
                <w:sz w:val="24"/>
                <w:szCs w:val="24"/>
              </w:rPr>
            </w:pPr>
            <w:r>
              <w:rPr>
                <w:rFonts w:hint="eastAsia" w:ascii="宋体" w:hAnsi="宋体" w:eastAsia="宋体" w:cs="Times New Roman"/>
                <w:sz w:val="24"/>
                <w:szCs w:val="24"/>
              </w:rPr>
              <w:t>技术</w:t>
            </w:r>
          </w:p>
          <w:p>
            <w:pPr>
              <w:tabs>
                <w:tab w:val="left" w:pos="13965"/>
              </w:tabs>
              <w:spacing w:line="360" w:lineRule="auto"/>
              <w:ind w:right="-6"/>
              <w:jc w:val="center"/>
              <w:rPr>
                <w:rFonts w:ascii="宋体" w:hAnsi="Times New Roman" w:eastAsia="宋体" w:cs="Times New Roman"/>
                <w:sz w:val="24"/>
                <w:szCs w:val="24"/>
              </w:rPr>
            </w:pPr>
            <w:r>
              <w:rPr>
                <w:rFonts w:hint="eastAsia" w:ascii="宋体" w:hAnsi="宋体" w:eastAsia="宋体" w:cs="Times New Roman"/>
                <w:sz w:val="24"/>
                <w:szCs w:val="24"/>
                <w:lang w:val="en-US" w:eastAsia="zh-CN"/>
              </w:rPr>
              <w:t>5</w:t>
            </w:r>
            <w:r>
              <w:rPr>
                <w:rFonts w:ascii="宋体" w:hAnsi="宋体" w:eastAsia="宋体" w:cs="Times New Roman"/>
                <w:sz w:val="24"/>
                <w:szCs w:val="24"/>
              </w:rPr>
              <w:t>0</w:t>
            </w:r>
            <w:r>
              <w:rPr>
                <w:rFonts w:hint="eastAsia" w:ascii="宋体" w:hAnsi="宋体" w:eastAsia="宋体" w:cs="Times New Roman"/>
                <w:sz w:val="24"/>
                <w:szCs w:val="24"/>
              </w:rPr>
              <w:t>分</w:t>
            </w:r>
          </w:p>
        </w:tc>
        <w:tc>
          <w:tcPr>
            <w:tcW w:w="717" w:type="dxa"/>
            <w:vAlign w:val="center"/>
          </w:tcPr>
          <w:p>
            <w:pPr>
              <w:tabs>
                <w:tab w:val="left" w:pos="13965"/>
              </w:tabs>
              <w:spacing w:line="420" w:lineRule="exact"/>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业绩</w:t>
            </w:r>
          </w:p>
        </w:tc>
        <w:tc>
          <w:tcPr>
            <w:tcW w:w="750" w:type="dxa"/>
            <w:vAlign w:val="center"/>
          </w:tcPr>
          <w:p>
            <w:pPr>
              <w:tabs>
                <w:tab w:val="left" w:pos="13965"/>
              </w:tabs>
              <w:spacing w:line="420" w:lineRule="exact"/>
              <w:jc w:val="center"/>
              <w:rPr>
                <w:rFonts w:ascii="宋体" w:hAnsi="宋体" w:eastAsia="宋体" w:cs="Times New Roman"/>
                <w:sz w:val="24"/>
                <w:szCs w:val="24"/>
                <w:highlight w:val="none"/>
              </w:rPr>
            </w:pPr>
            <w:r>
              <w:rPr>
                <w:rFonts w:ascii="宋体" w:hAnsi="宋体" w:eastAsia="宋体" w:cs="Times New Roman"/>
                <w:sz w:val="24"/>
                <w:szCs w:val="24"/>
                <w:highlight w:val="none"/>
              </w:rPr>
              <w:t>1</w:t>
            </w:r>
          </w:p>
        </w:tc>
        <w:tc>
          <w:tcPr>
            <w:tcW w:w="2916" w:type="dxa"/>
            <w:vAlign w:val="center"/>
          </w:tcPr>
          <w:p>
            <w:pPr>
              <w:spacing w:line="420" w:lineRule="exact"/>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设备制造商同类型项目业绩</w:t>
            </w:r>
          </w:p>
        </w:tc>
        <w:tc>
          <w:tcPr>
            <w:tcW w:w="700" w:type="dxa"/>
            <w:vAlign w:val="center"/>
          </w:tcPr>
          <w:p>
            <w:pPr>
              <w:tabs>
                <w:tab w:val="left" w:pos="13965"/>
              </w:tabs>
              <w:spacing w:line="420" w:lineRule="exact"/>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w:t>
            </w:r>
          </w:p>
        </w:tc>
        <w:tc>
          <w:tcPr>
            <w:tcW w:w="7906" w:type="dxa"/>
            <w:vAlign w:val="center"/>
          </w:tcPr>
          <w:p>
            <w:pPr>
              <w:spacing w:line="420" w:lineRule="exact"/>
              <w:rPr>
                <w:rFonts w:ascii="宋体" w:hAnsi="宋体"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3</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1</w:t>
            </w:r>
            <w:r>
              <w:rPr>
                <w:rFonts w:hint="eastAsia" w:ascii="宋体" w:hAnsi="宋体" w:eastAsia="宋体" w:cs="Times New Roman"/>
                <w:bCs/>
                <w:sz w:val="24"/>
                <w:szCs w:val="24"/>
                <w:highlight w:val="none"/>
              </w:rPr>
              <w:t>分（时间以签订日期为准）。</w:t>
            </w:r>
          </w:p>
          <w:p>
            <w:pPr>
              <w:spacing w:line="420" w:lineRule="exact"/>
              <w:rPr>
                <w:highlight w:val="none"/>
              </w:rPr>
            </w:pPr>
            <w:r>
              <w:rPr>
                <w:rFonts w:hint="eastAsia" w:ascii="宋体" w:hAnsi="宋体" w:eastAsia="宋体" w:cs="Times New Roman"/>
                <w:bCs/>
                <w:sz w:val="24"/>
                <w:szCs w:val="24"/>
                <w:highlight w:val="none"/>
              </w:rPr>
              <w:t>投标人在2019年1月1日以来在中国与本标同类规格产品的业绩，以合同复印件加盖公章为准（须有客户联系方式及联系人以供招标人核实确认）。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22" w:type="dxa"/>
            <w:vMerge w:val="continue"/>
            <w:vAlign w:val="center"/>
          </w:tcPr>
          <w:p>
            <w:pPr>
              <w:spacing w:line="360" w:lineRule="auto"/>
              <w:jc w:val="center"/>
              <w:rPr>
                <w:rFonts w:ascii="宋体" w:hAnsi="Times New Roman" w:eastAsia="宋体" w:cs="Times New Roman"/>
                <w:sz w:val="24"/>
                <w:szCs w:val="24"/>
              </w:rPr>
            </w:pPr>
          </w:p>
        </w:tc>
        <w:tc>
          <w:tcPr>
            <w:tcW w:w="717" w:type="dxa"/>
            <w:vMerge w:val="restart"/>
            <w:vAlign w:val="center"/>
          </w:tcPr>
          <w:p>
            <w:pPr>
              <w:spacing w:line="420" w:lineRule="exact"/>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产品技术</w:t>
            </w:r>
          </w:p>
        </w:tc>
        <w:tc>
          <w:tcPr>
            <w:tcW w:w="750" w:type="dxa"/>
            <w:vAlign w:val="center"/>
          </w:tcPr>
          <w:p>
            <w:pPr>
              <w:spacing w:line="420" w:lineRule="exact"/>
              <w:jc w:val="center"/>
              <w:rPr>
                <w:rFonts w:ascii="宋体" w:hAnsi="宋体" w:eastAsia="宋体" w:cs="Times New Roman"/>
                <w:sz w:val="24"/>
                <w:szCs w:val="24"/>
                <w:highlight w:val="none"/>
              </w:rPr>
            </w:pPr>
            <w:r>
              <w:rPr>
                <w:rFonts w:ascii="宋体" w:hAnsi="宋体" w:eastAsia="宋体" w:cs="Times New Roman"/>
                <w:sz w:val="24"/>
                <w:szCs w:val="24"/>
                <w:highlight w:val="none"/>
              </w:rPr>
              <w:t>2</w:t>
            </w:r>
          </w:p>
        </w:tc>
        <w:tc>
          <w:tcPr>
            <w:tcW w:w="2916" w:type="dxa"/>
            <w:vAlign w:val="center"/>
          </w:tcPr>
          <w:p>
            <w:pPr>
              <w:spacing w:line="420" w:lineRule="exact"/>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设备制造商装备制造能力、生产设备、加工工艺、完善程度</w:t>
            </w:r>
          </w:p>
        </w:tc>
        <w:tc>
          <w:tcPr>
            <w:tcW w:w="700" w:type="dxa"/>
            <w:vAlign w:val="center"/>
          </w:tcPr>
          <w:p>
            <w:pPr>
              <w:spacing w:line="420" w:lineRule="exact"/>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w:t>
            </w:r>
          </w:p>
        </w:tc>
        <w:tc>
          <w:tcPr>
            <w:tcW w:w="7906" w:type="dxa"/>
            <w:vAlign w:val="center"/>
          </w:tcPr>
          <w:p>
            <w:pPr>
              <w:spacing w:line="420" w:lineRule="exact"/>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3</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分，一般得</w:t>
            </w:r>
            <w:r>
              <w:rPr>
                <w:rFonts w:hint="eastAsia" w:ascii="宋体" w:hAnsi="Times New Roman" w:eastAsia="宋体" w:cs="Times New Roman"/>
                <w:bCs/>
                <w:sz w:val="24"/>
                <w:szCs w:val="24"/>
                <w:highlight w:val="none"/>
                <w:lang w:val="en-US" w:eastAsia="zh-CN"/>
              </w:rPr>
              <w:t>1</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22" w:type="dxa"/>
            <w:vMerge w:val="continue"/>
            <w:vAlign w:val="center"/>
          </w:tcPr>
          <w:p>
            <w:pPr>
              <w:spacing w:line="360" w:lineRule="auto"/>
              <w:jc w:val="center"/>
              <w:rPr>
                <w:rFonts w:ascii="宋体" w:hAnsi="Times New Roman" w:eastAsia="宋体" w:cs="Times New Roman"/>
                <w:sz w:val="24"/>
                <w:szCs w:val="24"/>
              </w:rPr>
            </w:pPr>
          </w:p>
        </w:tc>
        <w:tc>
          <w:tcPr>
            <w:tcW w:w="717" w:type="dxa"/>
            <w:vMerge w:val="continue"/>
            <w:vAlign w:val="center"/>
          </w:tcPr>
          <w:p>
            <w:pPr>
              <w:spacing w:line="420" w:lineRule="exact"/>
              <w:jc w:val="center"/>
              <w:rPr>
                <w:rFonts w:ascii="宋体" w:hAnsi="宋体" w:eastAsia="宋体" w:cs="Times New Roman"/>
                <w:sz w:val="24"/>
                <w:szCs w:val="24"/>
                <w:highlight w:val="none"/>
              </w:rPr>
            </w:pPr>
          </w:p>
        </w:tc>
        <w:tc>
          <w:tcPr>
            <w:tcW w:w="750" w:type="dxa"/>
            <w:vAlign w:val="center"/>
          </w:tcPr>
          <w:p>
            <w:pPr>
              <w:spacing w:line="42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sz w:val="24"/>
                <w:szCs w:val="24"/>
                <w:highlight w:val="none"/>
                <w:lang w:val="en-US" w:eastAsia="zh-CN"/>
              </w:rPr>
              <w:t>3</w:t>
            </w:r>
          </w:p>
        </w:tc>
        <w:tc>
          <w:tcPr>
            <w:tcW w:w="2916" w:type="dxa"/>
            <w:vAlign w:val="center"/>
          </w:tcPr>
          <w:p>
            <w:pPr>
              <w:spacing w:line="420" w:lineRule="exact"/>
              <w:rPr>
                <w:rFonts w:hint="eastAsia" w:ascii="宋体" w:hAnsi="Times New Roman" w:eastAsia="宋体" w:cs="Times New Roman"/>
                <w:bCs/>
                <w:kern w:val="2"/>
                <w:sz w:val="24"/>
                <w:szCs w:val="24"/>
                <w:highlight w:val="none"/>
                <w:lang w:val="en-US" w:eastAsia="zh-CN" w:bidi="ar-SA"/>
              </w:rPr>
            </w:pPr>
            <w:r>
              <w:rPr>
                <w:rFonts w:hint="eastAsia" w:ascii="宋体" w:hAnsi="宋体" w:eastAsia="宋体" w:cs="Times New Roman"/>
                <w:bCs/>
                <w:sz w:val="24"/>
                <w:szCs w:val="24"/>
                <w:highlight w:val="none"/>
              </w:rPr>
              <w:t>产品方案技术先进、各系统完善、性能可靠，设备主要核心部件，具备自身技术优势</w:t>
            </w:r>
          </w:p>
        </w:tc>
        <w:tc>
          <w:tcPr>
            <w:tcW w:w="700" w:type="dxa"/>
            <w:vAlign w:val="center"/>
          </w:tcPr>
          <w:p>
            <w:pPr>
              <w:spacing w:line="42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sz w:val="24"/>
                <w:szCs w:val="24"/>
                <w:highlight w:val="none"/>
              </w:rPr>
              <w:t>2</w:t>
            </w:r>
            <w:r>
              <w:rPr>
                <w:rFonts w:hint="eastAsia" w:ascii="宋体" w:hAnsi="宋体" w:eastAsia="宋体" w:cs="Times New Roman"/>
                <w:sz w:val="24"/>
                <w:szCs w:val="24"/>
                <w:highlight w:val="none"/>
                <w:lang w:val="en-US" w:eastAsia="zh-CN"/>
              </w:rPr>
              <w:t>5</w:t>
            </w:r>
          </w:p>
        </w:tc>
        <w:tc>
          <w:tcPr>
            <w:tcW w:w="7906" w:type="dxa"/>
            <w:vAlign w:val="center"/>
          </w:tcPr>
          <w:p>
            <w:pPr>
              <w:spacing w:line="420" w:lineRule="exact"/>
              <w:rPr>
                <w:rFonts w:ascii="宋体" w:hAnsi="宋体" w:eastAsia="宋体" w:cs="Times New Roman"/>
                <w:sz w:val="24"/>
                <w:szCs w:val="24"/>
                <w:highlight w:val="none"/>
              </w:rPr>
            </w:pPr>
            <w:r>
              <w:rPr>
                <w:rFonts w:hint="eastAsia" w:ascii="宋体" w:hAnsi="宋体" w:eastAsia="宋体" w:cs="Times New Roman"/>
                <w:sz w:val="24"/>
                <w:szCs w:val="24"/>
                <w:highlight w:val="none"/>
              </w:rPr>
              <w:t>以下各项由评标委员会成员独立进行客观、公正的评价打分。</w:t>
            </w:r>
            <w:r>
              <w:rPr>
                <w:rFonts w:ascii="宋体" w:hAnsi="宋体" w:eastAsia="宋体" w:cs="Times New Roman"/>
                <w:sz w:val="24"/>
                <w:szCs w:val="24"/>
                <w:highlight w:val="none"/>
              </w:rPr>
              <w:t xml:space="preserve"> </w:t>
            </w:r>
          </w:p>
          <w:p>
            <w:pPr>
              <w:numPr>
                <w:ilvl w:val="0"/>
                <w:numId w:val="11"/>
              </w:numPr>
              <w:spacing w:line="420" w:lineRule="exact"/>
              <w:ind w:left="0" w:firstLine="0"/>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定制系统方案已到达招标要求，设备主要核心部件，具备自身技术优势，打分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8</w:t>
            </w:r>
            <w:r>
              <w:rPr>
                <w:rFonts w:hint="eastAsia" w:ascii="宋体" w:hAnsi="宋体" w:eastAsia="宋体" w:cs="Times New Roman"/>
                <w:bCs/>
                <w:sz w:val="24"/>
                <w:szCs w:val="24"/>
                <w:highlight w:val="none"/>
              </w:rPr>
              <w:t>分。</w:t>
            </w:r>
          </w:p>
          <w:p>
            <w:pPr>
              <w:numPr>
                <w:ilvl w:val="0"/>
                <w:numId w:val="11"/>
              </w:numPr>
              <w:spacing w:line="420" w:lineRule="exact"/>
              <w:ind w:left="0" w:firstLine="0"/>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系统配置齐全，其精度、参数、技术水平、可靠性等优势明显，打分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8</w:t>
            </w:r>
            <w:r>
              <w:rPr>
                <w:rFonts w:hint="eastAsia" w:ascii="宋体" w:hAnsi="宋体" w:eastAsia="宋体" w:cs="Times New Roman"/>
                <w:bCs/>
                <w:sz w:val="24"/>
                <w:szCs w:val="24"/>
                <w:highlight w:val="none"/>
              </w:rPr>
              <w:t>分</w:t>
            </w:r>
            <w:r>
              <w:rPr>
                <w:rFonts w:hint="eastAsia" w:ascii="宋体" w:hAnsi="宋体" w:eastAsia="宋体" w:cs="Times New Roman"/>
                <w:sz w:val="24"/>
                <w:szCs w:val="24"/>
                <w:highlight w:val="none"/>
              </w:rPr>
              <w:t>。</w:t>
            </w:r>
          </w:p>
          <w:p>
            <w:pPr>
              <w:numPr>
                <w:ilvl w:val="0"/>
                <w:numId w:val="11"/>
              </w:numPr>
              <w:spacing w:line="420" w:lineRule="exact"/>
              <w:ind w:left="0" w:firstLine="0"/>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操作灵活方便，系统开放程度高，</w:t>
            </w:r>
            <w:r>
              <w:rPr>
                <w:rFonts w:hint="eastAsia" w:ascii="宋体" w:hAnsi="宋体" w:eastAsia="宋体" w:cs="Times New Roman"/>
                <w:bCs/>
                <w:sz w:val="24"/>
                <w:szCs w:val="24"/>
                <w:highlight w:val="none"/>
              </w:rPr>
              <w:t>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5</w:t>
            </w:r>
            <w:r>
              <w:rPr>
                <w:rFonts w:hint="eastAsia" w:ascii="宋体" w:hAnsi="宋体" w:eastAsia="宋体" w:cs="Times New Roman"/>
                <w:bCs/>
                <w:sz w:val="24"/>
                <w:szCs w:val="24"/>
                <w:highlight w:val="none"/>
              </w:rPr>
              <w:t>分</w:t>
            </w:r>
            <w:r>
              <w:rPr>
                <w:rFonts w:hint="eastAsia" w:ascii="宋体" w:hAnsi="宋体" w:eastAsia="宋体" w:cs="Times New Roman"/>
                <w:sz w:val="24"/>
                <w:szCs w:val="24"/>
                <w:highlight w:val="none"/>
              </w:rPr>
              <w:t>。</w:t>
            </w:r>
          </w:p>
          <w:p>
            <w:pPr>
              <w:numPr>
                <w:ilvl w:val="0"/>
                <w:numId w:val="11"/>
              </w:numPr>
              <w:spacing w:line="420" w:lineRule="exact"/>
              <w:ind w:left="0" w:leftChars="0" w:firstLine="0" w:firstLineChars="0"/>
              <w:rPr>
                <w:rFonts w:hint="eastAsia" w:ascii="宋体" w:hAnsi="Times New Roman" w:eastAsia="宋体" w:cs="Times New Roman"/>
                <w:kern w:val="2"/>
                <w:sz w:val="24"/>
                <w:szCs w:val="24"/>
                <w:highlight w:val="none"/>
                <w:lang w:val="en-US" w:eastAsia="zh-CN" w:bidi="ar-SA"/>
              </w:rPr>
            </w:pPr>
            <w:r>
              <w:rPr>
                <w:rFonts w:hint="eastAsia" w:ascii="宋体" w:hAnsi="宋体" w:eastAsia="宋体" w:cs="Times New Roman"/>
                <w:sz w:val="24"/>
                <w:szCs w:val="24"/>
                <w:highlight w:val="none"/>
              </w:rPr>
              <w:t>综合评价，</w:t>
            </w:r>
            <w:r>
              <w:rPr>
                <w:rFonts w:hint="eastAsia" w:ascii="宋体" w:hAnsi="宋体" w:eastAsia="宋体" w:cs="Times New Roman"/>
                <w:bCs/>
                <w:sz w:val="24"/>
                <w:szCs w:val="24"/>
                <w:highlight w:val="none"/>
              </w:rPr>
              <w:t>打分</w:t>
            </w:r>
            <w:r>
              <w:rPr>
                <w:rFonts w:ascii="宋体" w:hAnsi="宋体" w:eastAsia="宋体" w:cs="Times New Roman"/>
                <w:bCs/>
                <w:sz w:val="24"/>
                <w:szCs w:val="24"/>
                <w:highlight w:val="none"/>
              </w:rPr>
              <w:t>0-</w:t>
            </w:r>
            <w:r>
              <w:rPr>
                <w:rFonts w:hint="eastAsia" w:ascii="宋体" w:hAnsi="宋体" w:eastAsia="宋体" w:cs="Times New Roman"/>
                <w:bCs/>
                <w:sz w:val="24"/>
                <w:szCs w:val="24"/>
                <w:highlight w:val="none"/>
                <w:lang w:val="en-US" w:eastAsia="zh-CN"/>
              </w:rPr>
              <w:t>4</w:t>
            </w:r>
            <w:r>
              <w:rPr>
                <w:rFonts w:hint="eastAsia" w:ascii="宋体" w:hAnsi="宋体" w:eastAsia="宋体" w:cs="Times New Roman"/>
                <w:bCs/>
                <w:sz w:val="24"/>
                <w:szCs w:val="24"/>
                <w:highlight w:val="none"/>
              </w:rPr>
              <w:t>分</w:t>
            </w:r>
            <w:r>
              <w:rPr>
                <w:rFonts w:hint="eastAsia" w:ascii="宋体" w:hAnsi="宋体" w:eastAsia="宋体" w:cs="Times New Roman"/>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22" w:type="dxa"/>
            <w:vMerge w:val="continue"/>
            <w:vAlign w:val="center"/>
          </w:tcPr>
          <w:p>
            <w:pPr>
              <w:spacing w:line="360" w:lineRule="auto"/>
              <w:jc w:val="center"/>
              <w:rPr>
                <w:rFonts w:ascii="宋体" w:hAnsi="Times New Roman" w:eastAsia="宋体" w:cs="Times New Roman"/>
                <w:sz w:val="24"/>
                <w:szCs w:val="24"/>
              </w:rPr>
            </w:pPr>
          </w:p>
        </w:tc>
        <w:tc>
          <w:tcPr>
            <w:tcW w:w="717" w:type="dxa"/>
            <w:vAlign w:val="center"/>
          </w:tcPr>
          <w:p>
            <w:pPr>
              <w:spacing w:line="420" w:lineRule="exact"/>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答疑</w:t>
            </w:r>
          </w:p>
        </w:tc>
        <w:tc>
          <w:tcPr>
            <w:tcW w:w="750" w:type="dxa"/>
            <w:vAlign w:val="center"/>
          </w:tcPr>
          <w:p>
            <w:pPr>
              <w:spacing w:line="420" w:lineRule="exact"/>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4</w:t>
            </w:r>
          </w:p>
        </w:tc>
        <w:tc>
          <w:tcPr>
            <w:tcW w:w="2916" w:type="dxa"/>
            <w:vAlign w:val="center"/>
          </w:tcPr>
          <w:p>
            <w:pPr>
              <w:spacing w:line="420" w:lineRule="exact"/>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现场答疑</w:t>
            </w:r>
          </w:p>
        </w:tc>
        <w:tc>
          <w:tcPr>
            <w:tcW w:w="700" w:type="dxa"/>
            <w:vAlign w:val="center"/>
          </w:tcPr>
          <w:p>
            <w:pPr>
              <w:spacing w:line="420" w:lineRule="exact"/>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4</w:t>
            </w:r>
          </w:p>
        </w:tc>
        <w:tc>
          <w:tcPr>
            <w:tcW w:w="7906" w:type="dxa"/>
            <w:vAlign w:val="center"/>
          </w:tcPr>
          <w:p>
            <w:pPr>
              <w:spacing w:line="420" w:lineRule="exact"/>
              <w:rPr>
                <w:rFonts w:ascii="宋体" w:hAnsi="Times New Roman" w:eastAsia="宋体" w:cs="Times New Roman"/>
                <w:bCs/>
                <w:sz w:val="24"/>
                <w:szCs w:val="24"/>
                <w:highlight w:val="none"/>
              </w:rPr>
            </w:pPr>
            <w:r>
              <w:rPr>
                <w:rFonts w:hint="eastAsia" w:ascii="宋体" w:hAnsi="宋体" w:eastAsia="宋体" w:cs="Times New Roman"/>
                <w:sz w:val="24"/>
                <w:szCs w:val="24"/>
                <w:highlight w:val="none"/>
              </w:rPr>
              <w:t>投标人代表对方案、技术优势的讲解，以及就该项目难点回答评标专家现场提问，打分0-4分。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722" w:type="dxa"/>
            <w:vMerge w:val="continue"/>
            <w:vAlign w:val="center"/>
          </w:tcPr>
          <w:p>
            <w:pPr>
              <w:spacing w:line="360" w:lineRule="auto"/>
              <w:jc w:val="center"/>
              <w:rPr>
                <w:rFonts w:ascii="宋体" w:hAnsi="Times New Roman" w:eastAsia="宋体" w:cs="Times New Roman"/>
                <w:sz w:val="24"/>
                <w:szCs w:val="24"/>
              </w:rPr>
            </w:pPr>
          </w:p>
        </w:tc>
        <w:tc>
          <w:tcPr>
            <w:tcW w:w="717" w:type="dxa"/>
            <w:vAlign w:val="center"/>
          </w:tcPr>
          <w:p>
            <w:pPr>
              <w:spacing w:line="420" w:lineRule="exact"/>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技术偏离</w:t>
            </w:r>
          </w:p>
        </w:tc>
        <w:tc>
          <w:tcPr>
            <w:tcW w:w="750" w:type="dxa"/>
            <w:vAlign w:val="center"/>
          </w:tcPr>
          <w:p>
            <w:pPr>
              <w:spacing w:line="420" w:lineRule="exact"/>
              <w:jc w:val="center"/>
              <w:rPr>
                <w:rFonts w:ascii="宋体" w:hAnsi="宋体" w:eastAsia="宋体" w:cs="Times New Roman"/>
                <w:sz w:val="24"/>
                <w:szCs w:val="24"/>
                <w:highlight w:val="none"/>
              </w:rPr>
            </w:pPr>
            <w:r>
              <w:rPr>
                <w:rFonts w:ascii="宋体" w:hAnsi="宋体" w:eastAsia="宋体" w:cs="Times New Roman"/>
                <w:sz w:val="24"/>
                <w:szCs w:val="24"/>
                <w:highlight w:val="none"/>
              </w:rPr>
              <w:t>5</w:t>
            </w:r>
          </w:p>
        </w:tc>
        <w:tc>
          <w:tcPr>
            <w:tcW w:w="2916" w:type="dxa"/>
            <w:vAlign w:val="center"/>
          </w:tcPr>
          <w:p>
            <w:pPr>
              <w:spacing w:line="420" w:lineRule="exact"/>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技术偏离</w:t>
            </w:r>
          </w:p>
        </w:tc>
        <w:tc>
          <w:tcPr>
            <w:tcW w:w="700" w:type="dxa"/>
            <w:vAlign w:val="center"/>
          </w:tcPr>
          <w:p>
            <w:pPr>
              <w:spacing w:line="420" w:lineRule="exact"/>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6</w:t>
            </w:r>
          </w:p>
        </w:tc>
        <w:tc>
          <w:tcPr>
            <w:tcW w:w="7906" w:type="dxa"/>
            <w:vAlign w:val="center"/>
          </w:tcPr>
          <w:p>
            <w:pPr>
              <w:spacing w:line="420" w:lineRule="exact"/>
              <w:jc w:val="left"/>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由评标委员会成员独立进行客观、公正的评价，根据各</w:t>
            </w:r>
            <w:r>
              <w:rPr>
                <w:rFonts w:hint="eastAsia" w:ascii="宋体" w:hAnsi="宋体" w:eastAsia="宋体" w:cs="Times New Roman"/>
                <w:bCs/>
                <w:sz w:val="24"/>
                <w:szCs w:val="24"/>
                <w:highlight w:val="none"/>
                <w:lang w:eastAsia="zh-CN"/>
              </w:rPr>
              <w:t>投标人</w:t>
            </w:r>
            <w:r>
              <w:rPr>
                <w:rFonts w:hint="eastAsia" w:ascii="宋体" w:hAnsi="宋体" w:eastAsia="宋体" w:cs="Times New Roman"/>
                <w:bCs/>
                <w:sz w:val="24"/>
                <w:szCs w:val="24"/>
                <w:highlight w:val="none"/>
              </w:rPr>
              <w:t>的核心产品的配置参数、技术偏离情况，在满足我司技术基本要求的前提下偏离，无偏离得满分6分，较大偏离每一项扣</w:t>
            </w:r>
            <w:r>
              <w:rPr>
                <w:rFonts w:ascii="宋体" w:hAnsi="宋体" w:eastAsia="宋体" w:cs="Times New Roman"/>
                <w:bCs/>
                <w:sz w:val="24"/>
                <w:szCs w:val="24"/>
                <w:highlight w:val="none"/>
              </w:rPr>
              <w:t>2</w:t>
            </w:r>
            <w:r>
              <w:rPr>
                <w:rFonts w:hint="eastAsia" w:ascii="宋体" w:hAnsi="宋体" w:eastAsia="宋体" w:cs="Times New Roman"/>
                <w:bCs/>
                <w:sz w:val="24"/>
                <w:szCs w:val="24"/>
                <w:highlight w:val="none"/>
              </w:rPr>
              <w:t>分，一般偏离每一项扣</w:t>
            </w:r>
            <w:r>
              <w:rPr>
                <w:rFonts w:ascii="宋体" w:hAnsi="宋体" w:eastAsia="宋体" w:cs="Times New Roman"/>
                <w:bCs/>
                <w:sz w:val="24"/>
                <w:szCs w:val="24"/>
                <w:highlight w:val="none"/>
              </w:rPr>
              <w:t>1</w:t>
            </w:r>
            <w:r>
              <w:rPr>
                <w:rFonts w:hint="eastAsia" w:ascii="宋体" w:hAnsi="宋体" w:eastAsia="宋体" w:cs="Times New Roman"/>
                <w:bCs/>
                <w:sz w:val="24"/>
                <w:szCs w:val="24"/>
                <w:highlight w:val="none"/>
              </w:rPr>
              <w:t>分，最低</w:t>
            </w:r>
            <w:r>
              <w:rPr>
                <w:rFonts w:ascii="宋体" w:hAnsi="Times New Roman" w:eastAsia="宋体" w:cs="Times New Roman"/>
                <w:bCs/>
                <w:sz w:val="24"/>
                <w:szCs w:val="24"/>
                <w:highlight w:val="none"/>
              </w:rPr>
              <w:t>0</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22" w:type="dxa"/>
            <w:vMerge w:val="continue"/>
            <w:vAlign w:val="center"/>
          </w:tcPr>
          <w:p>
            <w:pPr>
              <w:spacing w:line="360" w:lineRule="auto"/>
              <w:jc w:val="center"/>
              <w:rPr>
                <w:rFonts w:ascii="宋体" w:hAnsi="Times New Roman" w:eastAsia="宋体" w:cs="Times New Roman"/>
                <w:sz w:val="24"/>
                <w:szCs w:val="24"/>
              </w:rPr>
            </w:pPr>
          </w:p>
        </w:tc>
        <w:tc>
          <w:tcPr>
            <w:tcW w:w="717" w:type="dxa"/>
            <w:vMerge w:val="restart"/>
            <w:vAlign w:val="center"/>
          </w:tcPr>
          <w:p>
            <w:pPr>
              <w:spacing w:line="420" w:lineRule="exact"/>
              <w:jc w:val="center"/>
              <w:rPr>
                <w:rFonts w:ascii="宋体" w:hAnsi="宋体" w:eastAsia="宋体" w:cs="Times New Roman"/>
                <w:sz w:val="24"/>
                <w:szCs w:val="24"/>
                <w:highlight w:val="none"/>
              </w:rPr>
            </w:pPr>
            <w:r>
              <w:rPr>
                <w:rFonts w:hint="eastAsia" w:ascii="宋体" w:hAnsi="宋体" w:eastAsia="宋体" w:cs="Times New Roman"/>
                <w:sz w:val="24"/>
                <w:szCs w:val="24"/>
                <w:highlight w:val="none"/>
              </w:rPr>
              <w:t>售后服务</w:t>
            </w:r>
          </w:p>
        </w:tc>
        <w:tc>
          <w:tcPr>
            <w:tcW w:w="750" w:type="dxa"/>
            <w:vAlign w:val="center"/>
          </w:tcPr>
          <w:p>
            <w:pPr>
              <w:spacing w:line="420" w:lineRule="exact"/>
              <w:jc w:val="center"/>
              <w:rPr>
                <w:rFonts w:ascii="宋体" w:hAnsi="宋体" w:eastAsia="宋体" w:cs="Times New Roman"/>
                <w:sz w:val="24"/>
                <w:szCs w:val="24"/>
                <w:highlight w:val="none"/>
              </w:rPr>
            </w:pPr>
            <w:r>
              <w:rPr>
                <w:rFonts w:ascii="宋体" w:hAnsi="宋体" w:eastAsia="宋体" w:cs="Times New Roman"/>
                <w:sz w:val="24"/>
                <w:szCs w:val="24"/>
                <w:highlight w:val="none"/>
              </w:rPr>
              <w:t>6</w:t>
            </w:r>
          </w:p>
        </w:tc>
        <w:tc>
          <w:tcPr>
            <w:tcW w:w="2916" w:type="dxa"/>
            <w:vAlign w:val="center"/>
          </w:tcPr>
          <w:p>
            <w:pPr>
              <w:spacing w:line="420" w:lineRule="exact"/>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技术培训方案：对采购方人员的技术培训方案安排科学、合理、可行</w:t>
            </w:r>
          </w:p>
        </w:tc>
        <w:tc>
          <w:tcPr>
            <w:tcW w:w="700" w:type="dxa"/>
            <w:vAlign w:val="center"/>
          </w:tcPr>
          <w:p>
            <w:pPr>
              <w:spacing w:line="420" w:lineRule="exact"/>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w:t>
            </w:r>
          </w:p>
        </w:tc>
        <w:tc>
          <w:tcPr>
            <w:tcW w:w="7906" w:type="dxa"/>
            <w:vAlign w:val="center"/>
          </w:tcPr>
          <w:p>
            <w:pPr>
              <w:spacing w:line="420" w:lineRule="exact"/>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3</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1</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22" w:type="dxa"/>
            <w:vMerge w:val="continue"/>
            <w:vAlign w:val="center"/>
          </w:tcPr>
          <w:p>
            <w:pPr>
              <w:spacing w:line="360" w:lineRule="auto"/>
              <w:jc w:val="center"/>
              <w:rPr>
                <w:rFonts w:ascii="宋体" w:hAnsi="Times New Roman" w:eastAsia="宋体" w:cs="Times New Roman"/>
                <w:sz w:val="24"/>
                <w:szCs w:val="24"/>
              </w:rPr>
            </w:pPr>
          </w:p>
        </w:tc>
        <w:tc>
          <w:tcPr>
            <w:tcW w:w="717" w:type="dxa"/>
            <w:vMerge w:val="continue"/>
            <w:vAlign w:val="center"/>
          </w:tcPr>
          <w:p>
            <w:pPr>
              <w:spacing w:line="420" w:lineRule="exact"/>
              <w:jc w:val="center"/>
              <w:rPr>
                <w:rFonts w:ascii="宋体" w:hAnsi="宋体" w:eastAsia="宋体" w:cs="Times New Roman"/>
                <w:sz w:val="24"/>
                <w:szCs w:val="24"/>
                <w:highlight w:val="none"/>
              </w:rPr>
            </w:pPr>
          </w:p>
        </w:tc>
        <w:tc>
          <w:tcPr>
            <w:tcW w:w="750" w:type="dxa"/>
            <w:vAlign w:val="center"/>
          </w:tcPr>
          <w:p>
            <w:pPr>
              <w:spacing w:line="420" w:lineRule="exact"/>
              <w:jc w:val="center"/>
              <w:rPr>
                <w:rFonts w:ascii="宋体" w:hAnsi="宋体" w:eastAsia="宋体" w:cs="Times New Roman"/>
                <w:sz w:val="24"/>
                <w:szCs w:val="24"/>
                <w:highlight w:val="none"/>
              </w:rPr>
            </w:pPr>
            <w:r>
              <w:rPr>
                <w:rFonts w:ascii="宋体" w:hAnsi="宋体" w:eastAsia="宋体" w:cs="Times New Roman"/>
                <w:sz w:val="24"/>
                <w:szCs w:val="24"/>
                <w:highlight w:val="none"/>
              </w:rPr>
              <w:t>7</w:t>
            </w:r>
          </w:p>
        </w:tc>
        <w:tc>
          <w:tcPr>
            <w:tcW w:w="2916" w:type="dxa"/>
            <w:shd w:val="clear" w:color="auto" w:fill="auto"/>
            <w:vAlign w:val="center"/>
          </w:tcPr>
          <w:p>
            <w:pPr>
              <w:spacing w:line="420" w:lineRule="exact"/>
              <w:rPr>
                <w:rFonts w:ascii="宋体" w:hAnsi="Times New Roman" w:eastAsia="宋体" w:cs="Times New Roman"/>
                <w:sz w:val="24"/>
                <w:szCs w:val="24"/>
                <w:highlight w:val="none"/>
              </w:rPr>
            </w:pPr>
            <w:r>
              <w:rPr>
                <w:rFonts w:hint="eastAsia" w:ascii="宋体" w:hAnsi="宋体" w:eastAsia="宋体" w:cs="Times New Roman"/>
                <w:bCs/>
                <w:sz w:val="24"/>
                <w:szCs w:val="24"/>
                <w:highlight w:val="none"/>
              </w:rPr>
              <w:t>投标人在中国有常驻的专业技术力量的维保机构并具有实施本项目维保的专业技术人员：</w:t>
            </w:r>
          </w:p>
        </w:tc>
        <w:tc>
          <w:tcPr>
            <w:tcW w:w="700" w:type="dxa"/>
            <w:shd w:val="clear" w:color="auto" w:fill="auto"/>
            <w:vAlign w:val="center"/>
          </w:tcPr>
          <w:p>
            <w:pPr>
              <w:spacing w:line="420" w:lineRule="exact"/>
              <w:jc w:val="center"/>
              <w:rPr>
                <w:rFonts w:hint="eastAsia" w:ascii="宋体" w:hAnsi="宋体" w:eastAsia="宋体" w:cs="Times New Roman"/>
                <w:sz w:val="24"/>
                <w:szCs w:val="24"/>
                <w:highlight w:val="none"/>
                <w:lang w:eastAsia="zh-CN"/>
              </w:rPr>
            </w:pPr>
            <w:r>
              <w:rPr>
                <w:rFonts w:hint="eastAsia" w:ascii="宋体" w:hAnsi="宋体" w:eastAsia="宋体" w:cs="Times New Roman"/>
                <w:bCs/>
                <w:sz w:val="24"/>
                <w:szCs w:val="24"/>
                <w:highlight w:val="none"/>
                <w:lang w:val="en-US" w:eastAsia="zh-CN"/>
              </w:rPr>
              <w:t>3</w:t>
            </w:r>
          </w:p>
        </w:tc>
        <w:tc>
          <w:tcPr>
            <w:tcW w:w="7906" w:type="dxa"/>
            <w:shd w:val="clear" w:color="auto" w:fill="auto"/>
            <w:vAlign w:val="center"/>
          </w:tcPr>
          <w:p>
            <w:pPr>
              <w:spacing w:line="420" w:lineRule="exact"/>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3</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1</w:t>
            </w:r>
            <w:r>
              <w:rPr>
                <w:rFonts w:hint="eastAsia" w:ascii="宋体" w:hAnsi="宋体" w:eastAsia="宋体" w:cs="Times New Roman"/>
                <w:bCs/>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22" w:type="dxa"/>
            <w:vMerge w:val="continue"/>
            <w:vAlign w:val="center"/>
          </w:tcPr>
          <w:p>
            <w:pPr>
              <w:spacing w:line="360" w:lineRule="auto"/>
              <w:jc w:val="center"/>
              <w:rPr>
                <w:rFonts w:ascii="宋体" w:hAnsi="Times New Roman" w:eastAsia="宋体" w:cs="Times New Roman"/>
                <w:sz w:val="24"/>
                <w:szCs w:val="24"/>
              </w:rPr>
            </w:pPr>
          </w:p>
        </w:tc>
        <w:tc>
          <w:tcPr>
            <w:tcW w:w="717" w:type="dxa"/>
            <w:vMerge w:val="continue"/>
            <w:vAlign w:val="center"/>
          </w:tcPr>
          <w:p>
            <w:pPr>
              <w:spacing w:line="420" w:lineRule="exact"/>
              <w:jc w:val="center"/>
              <w:rPr>
                <w:rFonts w:ascii="宋体" w:hAnsi="宋体" w:eastAsia="宋体" w:cs="Times New Roman"/>
                <w:sz w:val="24"/>
                <w:szCs w:val="24"/>
                <w:highlight w:val="none"/>
              </w:rPr>
            </w:pPr>
          </w:p>
        </w:tc>
        <w:tc>
          <w:tcPr>
            <w:tcW w:w="750" w:type="dxa"/>
            <w:vAlign w:val="center"/>
          </w:tcPr>
          <w:p>
            <w:pPr>
              <w:spacing w:line="420" w:lineRule="exact"/>
              <w:jc w:val="center"/>
              <w:rPr>
                <w:rFonts w:ascii="宋体" w:hAnsi="宋体" w:eastAsia="宋体" w:cs="Times New Roman"/>
                <w:sz w:val="24"/>
                <w:szCs w:val="24"/>
                <w:highlight w:val="none"/>
              </w:rPr>
            </w:pPr>
            <w:r>
              <w:rPr>
                <w:rFonts w:ascii="宋体" w:hAnsi="宋体" w:eastAsia="宋体" w:cs="Times New Roman"/>
                <w:sz w:val="24"/>
                <w:szCs w:val="24"/>
                <w:highlight w:val="none"/>
              </w:rPr>
              <w:t>8</w:t>
            </w:r>
          </w:p>
        </w:tc>
        <w:tc>
          <w:tcPr>
            <w:tcW w:w="2916" w:type="dxa"/>
            <w:vAlign w:val="center"/>
          </w:tcPr>
          <w:p>
            <w:pPr>
              <w:spacing w:line="420" w:lineRule="exact"/>
              <w:rPr>
                <w:rFonts w:ascii="宋体" w:hAnsi="Times New Roman" w:eastAsia="宋体" w:cs="Times New Roman"/>
                <w:sz w:val="24"/>
                <w:szCs w:val="24"/>
                <w:highlight w:val="none"/>
              </w:rPr>
            </w:pPr>
            <w:r>
              <w:rPr>
                <w:rFonts w:hint="eastAsia" w:ascii="宋体" w:hAnsi="宋体" w:eastAsia="宋体" w:cs="Times New Roman"/>
                <w:sz w:val="24"/>
                <w:szCs w:val="24"/>
                <w:highlight w:val="none"/>
              </w:rPr>
              <w:t>售后服务及时周到，有相应的服务承诺和具体的保证措施</w:t>
            </w:r>
          </w:p>
        </w:tc>
        <w:tc>
          <w:tcPr>
            <w:tcW w:w="700" w:type="dxa"/>
            <w:vAlign w:val="center"/>
          </w:tcPr>
          <w:p>
            <w:pPr>
              <w:spacing w:line="420" w:lineRule="exact"/>
              <w:jc w:val="center"/>
              <w:rPr>
                <w:rFonts w:hint="eastAsia" w:ascii="宋体" w:hAnsi="宋体" w:eastAsia="宋体" w:cs="Times New Roman"/>
                <w:sz w:val="24"/>
                <w:szCs w:val="24"/>
                <w:highlight w:val="none"/>
                <w:lang w:eastAsia="zh-CN"/>
              </w:rPr>
            </w:pPr>
            <w:r>
              <w:rPr>
                <w:rFonts w:hint="eastAsia" w:ascii="宋体" w:hAnsi="宋体" w:eastAsia="宋体" w:cs="Times New Roman"/>
                <w:sz w:val="24"/>
                <w:szCs w:val="24"/>
                <w:highlight w:val="none"/>
                <w:lang w:val="en-US" w:eastAsia="zh-CN"/>
              </w:rPr>
              <w:t>3</w:t>
            </w:r>
          </w:p>
        </w:tc>
        <w:tc>
          <w:tcPr>
            <w:tcW w:w="7906" w:type="dxa"/>
            <w:vAlign w:val="center"/>
          </w:tcPr>
          <w:p>
            <w:pPr>
              <w:spacing w:line="420" w:lineRule="exact"/>
              <w:rPr>
                <w:rFonts w:ascii="宋体" w:hAnsi="Times New Roman" w:eastAsia="宋体" w:cs="Times New Roman"/>
                <w:bCs/>
                <w:sz w:val="24"/>
                <w:szCs w:val="24"/>
                <w:highlight w:val="none"/>
              </w:rPr>
            </w:pPr>
            <w:r>
              <w:rPr>
                <w:rFonts w:hint="eastAsia" w:ascii="宋体" w:hAnsi="宋体" w:eastAsia="宋体" w:cs="Times New Roman"/>
                <w:bCs/>
                <w:sz w:val="24"/>
                <w:szCs w:val="24"/>
                <w:highlight w:val="none"/>
              </w:rPr>
              <w:t>由评标委员会成员独立进行客观、公正的评价，按照优、良、一般进行赋分，优得</w:t>
            </w:r>
            <w:r>
              <w:rPr>
                <w:rFonts w:hint="eastAsia" w:ascii="宋体" w:hAnsi="宋体" w:eastAsia="宋体" w:cs="Times New Roman"/>
                <w:bCs/>
                <w:sz w:val="24"/>
                <w:szCs w:val="24"/>
                <w:highlight w:val="none"/>
                <w:lang w:val="en-US" w:eastAsia="zh-CN"/>
              </w:rPr>
              <w:t>3</w:t>
            </w:r>
            <w:r>
              <w:rPr>
                <w:rFonts w:hint="eastAsia" w:ascii="宋体" w:hAnsi="宋体" w:eastAsia="宋体" w:cs="Times New Roman"/>
                <w:bCs/>
                <w:sz w:val="24"/>
                <w:szCs w:val="24"/>
                <w:highlight w:val="none"/>
              </w:rPr>
              <w:t>分，良得</w:t>
            </w:r>
            <w:r>
              <w:rPr>
                <w:rFonts w:hint="eastAsia" w:ascii="宋体" w:hAnsi="宋体" w:eastAsia="宋体" w:cs="Times New Roman"/>
                <w:bCs/>
                <w:sz w:val="24"/>
                <w:szCs w:val="24"/>
                <w:highlight w:val="none"/>
                <w:lang w:val="en-US" w:eastAsia="zh-CN"/>
              </w:rPr>
              <w:t>2</w:t>
            </w:r>
            <w:r>
              <w:rPr>
                <w:rFonts w:hint="eastAsia" w:ascii="宋体" w:hAnsi="宋体" w:eastAsia="宋体" w:cs="Times New Roman"/>
                <w:bCs/>
                <w:sz w:val="24"/>
                <w:szCs w:val="24"/>
                <w:highlight w:val="none"/>
              </w:rPr>
              <w:t>分，一般得</w:t>
            </w:r>
            <w:r>
              <w:rPr>
                <w:rFonts w:hint="eastAsia" w:ascii="宋体" w:hAnsi="宋体" w:eastAsia="宋体" w:cs="Times New Roman"/>
                <w:bCs/>
                <w:sz w:val="24"/>
                <w:szCs w:val="24"/>
                <w:highlight w:val="none"/>
                <w:lang w:val="en-US" w:eastAsia="zh-CN"/>
              </w:rPr>
              <w:t>1</w:t>
            </w:r>
            <w:r>
              <w:rPr>
                <w:rFonts w:hint="eastAsia" w:ascii="宋体" w:hAnsi="宋体" w:eastAsia="宋体" w:cs="Times New Roman"/>
                <w:bCs/>
                <w:sz w:val="24"/>
                <w:szCs w:val="24"/>
                <w:highlight w:val="none"/>
              </w:rPr>
              <w:t>分。</w:t>
            </w:r>
          </w:p>
        </w:tc>
      </w:tr>
    </w:tbl>
    <w:p>
      <w:pPr>
        <w:pStyle w:val="2"/>
        <w:rPr>
          <w:rFonts w:hint="eastAsia"/>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a、若</w:t>
      </w:r>
      <w:r>
        <w:rPr>
          <w:rFonts w:hint="eastAsia" w:ascii="宋体" w:hAnsi="宋体" w:eastAsia="宋体" w:cs="宋体"/>
          <w:color w:val="000000"/>
          <w:sz w:val="24"/>
          <w:szCs w:val="24"/>
          <w:lang w:val="en-US" w:eastAsia="zh-CN"/>
        </w:rPr>
        <w:t>技术标评审</w:t>
      </w:r>
      <w:r>
        <w:rPr>
          <w:rFonts w:hint="eastAsia" w:ascii="宋体" w:hAnsi="宋体" w:eastAsia="宋体" w:cs="宋体"/>
          <w:color w:val="000000"/>
          <w:sz w:val="24"/>
          <w:szCs w:val="24"/>
        </w:rPr>
        <w:t>出现总分并列时，比较产品技术与</w:t>
      </w:r>
      <w:r>
        <w:rPr>
          <w:rFonts w:hint="eastAsia" w:ascii="宋体" w:hAnsi="宋体" w:eastAsia="宋体" w:cs="宋体"/>
          <w:color w:val="000000"/>
          <w:sz w:val="24"/>
          <w:szCs w:val="24"/>
          <w:lang w:val="en-US" w:eastAsia="zh-CN"/>
        </w:rPr>
        <w:t>售后</w:t>
      </w:r>
      <w:bookmarkStart w:id="152" w:name="_GoBack"/>
      <w:bookmarkEnd w:id="152"/>
      <w:r>
        <w:rPr>
          <w:rFonts w:hint="eastAsia" w:ascii="宋体" w:hAnsi="宋体" w:eastAsia="宋体" w:cs="宋体"/>
          <w:color w:val="000000"/>
          <w:sz w:val="24"/>
          <w:szCs w:val="24"/>
        </w:rPr>
        <w:t>服务部分综合得分，此分项得分高者排序在前；若产品技术与服务承诺综合得分仍相同，则由全体评委成员无记名投票，得票高者排序在前。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outlineLvl w:val="9"/>
        <w:rPr>
          <w:rFonts w:hint="eastAsia" w:eastAsia="宋体"/>
          <w:b w:val="0"/>
          <w:bCs w:val="0"/>
          <w:lang w:eastAsia="zh-CN"/>
        </w:rPr>
        <w:sectPr>
          <w:pgSz w:w="16838" w:h="11906" w:orient="landscape"/>
          <w:pgMar w:top="1418" w:right="1588" w:bottom="1418" w:left="1134" w:header="851" w:footer="992" w:gutter="0"/>
          <w:pgNumType w:fmt="decimal"/>
          <w:cols w:space="720" w:num="1"/>
          <w:titlePg/>
          <w:docGrid w:type="lines" w:linePitch="312" w:charSpace="0"/>
        </w:sectPr>
      </w:pPr>
      <w:r>
        <w:rPr>
          <w:rFonts w:hint="eastAsia" w:ascii="宋体" w:hAnsi="宋体" w:eastAsia="宋体" w:cs="宋体"/>
          <w:b w:val="0"/>
          <w:bCs w:val="0"/>
          <w:color w:val="000000"/>
          <w:sz w:val="24"/>
          <w:szCs w:val="24"/>
        </w:rPr>
        <w:t>c、评标过程中，若出现本办法以外的特殊情况时，将暂停评标，有关情况处理意见待招标工作小组确认后，再行评定</w:t>
      </w:r>
      <w:r>
        <w:rPr>
          <w:rFonts w:hint="eastAsia" w:ascii="宋体" w:hAnsi="宋体" w:cs="宋体"/>
          <w:b w:val="0"/>
          <w:bCs w:val="0"/>
          <w:color w:val="000000"/>
          <w:sz w:val="24"/>
          <w:szCs w:val="24"/>
          <w:lang w:eastAsia="zh-CN"/>
        </w:rPr>
        <w:t>。</w:t>
      </w:r>
    </w:p>
    <w:p>
      <w:pPr>
        <w:pStyle w:val="2"/>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adjustRightInd w:val="0"/>
        <w:snapToGrid w:val="0"/>
        <w:spacing w:before="0" w:after="0" w:line="240" w:lineRule="auto"/>
        <w:ind w:left="0" w:right="0" w:firstLine="0" w:firstLineChars="0"/>
        <w:jc w:val="left"/>
        <w:rPr>
          <w:rFonts w:ascii="宋体" w:hAnsi="宋体" w:eastAsia="宋体" w:cs="宋体"/>
          <w:i w:val="0"/>
          <w:sz w:val="24"/>
          <w:szCs w:val="24"/>
          <w:u w:val="none"/>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z w:val="24"/>
          <w:szCs w:val="24"/>
          <w:u w:val="none"/>
        </w:rPr>
        <w:t>1.点击立即注册</w:t>
      </w:r>
    </w:p>
    <w:p>
      <w:pPr>
        <w:snapToGrid w:val="0"/>
        <w:spacing w:line="312" w:lineRule="auto"/>
      </w:pPr>
      <w:r>
        <w:drawing>
          <wp:inline distT="0" distB="0" distL="0" distR="0">
            <wp:extent cx="5760085" cy="2933065"/>
            <wp:effectExtent l="0" t="0" r="1206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35" cstate="print"/>
                    <a:srcRect/>
                    <a:stretch>
                      <a:fillRect/>
                    </a:stretch>
                  </pic:blipFill>
                  <pic:spPr>
                    <a:xfrm>
                      <a:off x="0" y="0"/>
                      <a:ext cx="5760085" cy="293306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color w:val="000000"/>
          <w:sz w:val="24"/>
          <w:szCs w:val="28"/>
          <w:u w:val="none"/>
        </w:rPr>
        <w:t>2.</w:t>
      </w:r>
      <w:r>
        <w:rPr>
          <w:rFonts w:ascii="宋体" w:hAnsi="宋体" w:eastAsia="宋体" w:cs="宋体"/>
          <w:i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36" cstate="print"/>
                    <a:srcRect/>
                    <a:stretch>
                      <a:fillRect/>
                    </a:stretch>
                  </pic:blipFill>
                  <pic:spPr>
                    <a:xfrm>
                      <a:off x="0" y="0"/>
                      <a:ext cx="5760085" cy="276669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color w:val="000000"/>
          <w:sz w:val="24"/>
          <w:szCs w:val="28"/>
          <w:u w:val="none"/>
        </w:rPr>
        <w:t>3.</w:t>
      </w:r>
      <w:r>
        <w:rPr>
          <w:rFonts w:ascii="宋体" w:hAnsi="宋体" w:eastAsia="宋体" w:cs="宋体"/>
          <w:i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37" cstate="print"/>
                    <a:srcRect/>
                    <a:stretch>
                      <a:fillRect/>
                    </a:stretch>
                  </pic:blipFill>
                  <pic:spPr>
                    <a:xfrm>
                      <a:off x="0" y="0"/>
                      <a:ext cx="5760085" cy="286956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color w:val="000000"/>
          <w:sz w:val="24"/>
          <w:szCs w:val="28"/>
          <w:u w:val="none"/>
        </w:rPr>
        <w:t>4.</w:t>
      </w:r>
      <w:r>
        <w:rPr>
          <w:rFonts w:ascii="宋体" w:hAnsi="宋体" w:eastAsia="宋体" w:cs="宋体"/>
          <w:i w:val="0"/>
          <w:color w:val="000000"/>
          <w:sz w:val="24"/>
          <w:szCs w:val="28"/>
          <w:u w:val="none"/>
        </w:rPr>
        <w:t>点击新增</w:t>
      </w:r>
    </w:p>
    <w:p>
      <w:pPr>
        <w:snapToGrid w:val="0"/>
        <w:spacing w:line="312" w:lineRule="auto"/>
      </w:pPr>
      <w:r>
        <w:drawing>
          <wp:inline distT="0" distB="0" distL="0" distR="0">
            <wp:extent cx="5760085" cy="2853055"/>
            <wp:effectExtent l="0" t="0" r="1206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38" cstate="print"/>
                    <a:srcRect/>
                    <a:stretch>
                      <a:fillRect/>
                    </a:stretch>
                  </pic:blipFill>
                  <pic:spPr>
                    <a:xfrm>
                      <a:off x="0" y="0"/>
                      <a:ext cx="5760085" cy="285305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color w:val="000000"/>
          <w:sz w:val="24"/>
          <w:szCs w:val="28"/>
          <w:u w:val="none"/>
          <w:lang w:eastAsia="zh-CN"/>
        </w:rPr>
        <w:t>.</w:t>
      </w:r>
      <w:r>
        <w:rPr>
          <w:rFonts w:ascii="宋体" w:hAnsi="宋体" w:eastAsia="宋体" w:cs="宋体"/>
          <w:i w:val="0"/>
          <w:color w:val="000000"/>
          <w:sz w:val="24"/>
          <w:szCs w:val="28"/>
          <w:u w:val="none"/>
        </w:rPr>
        <w:t>按要求填写所有信息，注意非生产类要填写合作单位，最后提交审批</w:t>
      </w:r>
    </w:p>
    <w:p>
      <w:pPr>
        <w:snapToGrid/>
        <w:spacing w:before="0" w:after="0" w:line="240" w:lineRule="auto"/>
        <w:ind w:left="0" w:right="0" w:firstLine="0"/>
        <w:jc w:val="both"/>
        <w:rPr>
          <w:rFonts w:ascii="宋体" w:hAnsi="宋体" w:eastAsia="宋体" w:cs="宋体"/>
          <w:i w:val="0"/>
          <w:color w:val="000000"/>
          <w:sz w:val="21"/>
          <w:u w:val="none"/>
        </w:rPr>
      </w:pPr>
    </w:p>
    <w:p>
      <w:pPr>
        <w:snapToGrid/>
        <w:spacing w:before="0" w:after="0" w:line="240" w:lineRule="auto"/>
        <w:ind w:left="0" w:right="0" w:firstLine="0"/>
        <w:jc w:val="both"/>
      </w:pPr>
      <w:r>
        <w:drawing>
          <wp:inline distT="0" distB="0" distL="0" distR="0">
            <wp:extent cx="5760085" cy="2809875"/>
            <wp:effectExtent l="0" t="0" r="1206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39" cstate="print"/>
                    <a:srcRect/>
                    <a:stretch>
                      <a:fillRect/>
                    </a:stretch>
                  </pic:blipFill>
                  <pic:spPr>
                    <a:xfrm>
                      <a:off x="0" y="0"/>
                      <a:ext cx="5760085" cy="2809875"/>
                    </a:xfrm>
                    <a:prstGeom prst="rect">
                      <a:avLst/>
                    </a:prstGeom>
                  </pic:spPr>
                </pic:pic>
              </a:graphicData>
            </a:graphic>
          </wp:inline>
        </w:drawing>
      </w:r>
    </w:p>
    <w:p>
      <w:pPr>
        <w:pStyle w:val="2"/>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12065" b="1841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40" cstate="print"/>
                    <a:srcRect/>
                    <a:stretch>
                      <a:fillRect/>
                    </a:stretch>
                  </pic:blipFill>
                  <pic:spPr>
                    <a:xfrm>
                      <a:off x="0" y="0"/>
                      <a:ext cx="5760085" cy="2820035"/>
                    </a:xfrm>
                    <a:prstGeom prst="rect">
                      <a:avLst/>
                    </a:prstGeom>
                  </pic:spPr>
                </pic:pic>
              </a:graphicData>
            </a:graphic>
          </wp:inline>
        </w:drawing>
      </w:r>
    </w:p>
    <w:p>
      <w:pPr>
        <w:pStyle w:val="2"/>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color w:val="000000"/>
          <w:sz w:val="24"/>
          <w:szCs w:val="24"/>
          <w:u w:val="none"/>
        </w:rPr>
        <w:t>系统网址：</w:t>
      </w:r>
      <w:r>
        <w:rPr>
          <w:rStyle w:val="43"/>
          <w:rFonts w:hint="eastAsia" w:ascii="宋体" w:hAnsi="宋体" w:eastAsia="宋体" w:cs="宋体"/>
          <w:sz w:val="24"/>
          <w:szCs w:val="24"/>
        </w:rPr>
        <w:fldChar w:fldCharType="begin"/>
      </w:r>
      <w:r>
        <w:rPr>
          <w:rStyle w:val="43"/>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3"/>
          <w:rFonts w:hint="eastAsia" w:ascii="宋体" w:hAnsi="宋体" w:eastAsia="宋体" w:cs="宋体"/>
          <w:sz w:val="24"/>
          <w:szCs w:val="24"/>
        </w:rPr>
        <w:fldChar w:fldCharType="separate"/>
      </w:r>
      <w:r>
        <w:rPr>
          <w:rStyle w:val="43"/>
          <w:rFonts w:hint="eastAsia" w:ascii="宋体" w:hAnsi="宋体" w:eastAsia="宋体" w:cs="宋体"/>
          <w:sz w:val="24"/>
          <w:szCs w:val="24"/>
        </w:rPr>
        <w:t>http://ecaitong.sinotruk.com:8012/</w:t>
      </w:r>
      <w:r>
        <w:rPr>
          <w:rStyle w:val="43"/>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color w:val="000000"/>
          <w:sz w:val="24"/>
          <w:szCs w:val="24"/>
          <w:u w:val="none"/>
        </w:rPr>
        <w:t>用 户 名：gys+供应商代码</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color w:val="000000"/>
          <w:sz w:val="24"/>
          <w:szCs w:val="24"/>
          <w:u w:val="none"/>
        </w:rPr>
        <w:t>初始密码：</w:t>
      </w:r>
      <w:r>
        <w:rPr>
          <w:rFonts w:hint="eastAsia" w:ascii="宋体" w:hAnsi="宋体" w:eastAsia="宋体" w:cs="宋体"/>
          <w:i w:val="0"/>
          <w:color w:val="000000"/>
          <w:sz w:val="24"/>
          <w:szCs w:val="24"/>
          <w:highlight w:val="yellow"/>
          <w:u w:val="none"/>
          <w:lang w:val="en-US" w:eastAsia="zh-CN"/>
        </w:rPr>
        <w:t>scm</w:t>
      </w:r>
      <w:r>
        <w:rPr>
          <w:rFonts w:hint="eastAsia" w:ascii="宋体" w:hAnsi="宋体" w:eastAsia="宋体" w:cs="宋体"/>
          <w:i w:val="0"/>
          <w:color w:val="000000"/>
          <w:sz w:val="24"/>
          <w:szCs w:val="24"/>
          <w:highlight w:val="yellow"/>
          <w:u w:val="none"/>
        </w:rPr>
        <w:t>@202</w:t>
      </w:r>
      <w:r>
        <w:rPr>
          <w:rFonts w:hint="eastAsia" w:ascii="宋体" w:hAnsi="宋体" w:eastAsia="宋体" w:cs="宋体"/>
          <w:i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color w:val="000000"/>
          <w:sz w:val="24"/>
          <w:szCs w:val="24"/>
          <w:u w:val="none"/>
        </w:rPr>
        <w:t>路径：招投标中心</w:t>
      </w:r>
      <w:r>
        <w:rPr>
          <w:rFonts w:hint="eastAsia" w:ascii="宋体" w:hAnsi="宋体" w:eastAsia="宋体" w:cs="宋体"/>
          <w:i w:val="0"/>
          <w:color w:val="000000"/>
          <w:sz w:val="24"/>
          <w:szCs w:val="24"/>
          <w:u w:val="none"/>
        </w:rPr>
        <w:t>-</w:t>
      </w:r>
      <w:r>
        <w:rPr>
          <w:rFonts w:ascii="宋体" w:hAnsi="宋体" w:eastAsia="宋体" w:cs="宋体"/>
          <w:i w:val="0"/>
          <w:color w:val="000000"/>
          <w:sz w:val="24"/>
          <w:szCs w:val="24"/>
          <w:u w:val="none"/>
        </w:rPr>
        <w:t>非生产类招投标</w:t>
      </w:r>
      <w:r>
        <w:rPr>
          <w:rFonts w:hint="eastAsia" w:ascii="宋体" w:hAnsi="宋体" w:eastAsia="宋体" w:cs="宋体"/>
          <w:i w:val="0"/>
          <w:color w:val="000000"/>
          <w:sz w:val="24"/>
          <w:szCs w:val="24"/>
          <w:u w:val="none"/>
        </w:rPr>
        <w:t>-</w:t>
      </w:r>
      <w:r>
        <w:rPr>
          <w:rFonts w:ascii="宋体" w:hAnsi="宋体" w:eastAsia="宋体" w:cs="宋体"/>
          <w:i w:val="0"/>
          <w:color w:val="000000"/>
          <w:sz w:val="24"/>
          <w:szCs w:val="24"/>
          <w:u w:val="none"/>
        </w:rPr>
        <w:t>供应商应标</w:t>
      </w:r>
    </w:p>
    <w:p>
      <w:pPr>
        <w:snapToGrid/>
        <w:spacing w:before="0" w:after="0" w:line="360" w:lineRule="auto"/>
        <w:ind w:left="0" w:right="0"/>
        <w:jc w:val="both"/>
        <w:rPr>
          <w:rFonts w:ascii="宋体" w:hAnsi="宋体" w:eastAsia="宋体" w:cs="宋体"/>
          <w:i w:val="0"/>
          <w:color w:val="000000"/>
          <w:sz w:val="24"/>
          <w:szCs w:val="24"/>
          <w:u w:val="none"/>
        </w:rPr>
      </w:pPr>
      <w:r>
        <w:rPr>
          <w:rFonts w:ascii="宋体" w:hAnsi="宋体" w:eastAsia="宋体" w:cs="宋体"/>
          <w:i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41" cstate="print"/>
                    <a:srcRect/>
                    <a:stretch>
                      <a:fillRect/>
                    </a:stretch>
                  </pic:blipFill>
                  <pic:spPr>
                    <a:xfrm>
                      <a:off x="0" y="0"/>
                      <a:ext cx="5760085" cy="2269490"/>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color w:val="000000"/>
          <w:sz w:val="24"/>
          <w:szCs w:val="24"/>
          <w:u w:val="none"/>
        </w:rPr>
        <w:t>路径：招投标中心</w:t>
      </w:r>
      <w:r>
        <w:rPr>
          <w:rFonts w:hint="eastAsia" w:ascii="宋体" w:hAnsi="宋体" w:eastAsia="宋体" w:cs="宋体"/>
          <w:i w:val="0"/>
          <w:color w:val="000000"/>
          <w:sz w:val="24"/>
          <w:szCs w:val="24"/>
          <w:u w:val="none"/>
        </w:rPr>
        <w:t>-</w:t>
      </w:r>
      <w:r>
        <w:rPr>
          <w:rFonts w:ascii="宋体" w:hAnsi="宋体" w:eastAsia="宋体" w:cs="宋体"/>
          <w:i w:val="0"/>
          <w:color w:val="000000"/>
          <w:sz w:val="24"/>
          <w:szCs w:val="24"/>
          <w:u w:val="none"/>
        </w:rPr>
        <w:t>非生产类招投标</w:t>
      </w:r>
      <w:r>
        <w:rPr>
          <w:rFonts w:hint="eastAsia" w:ascii="宋体" w:hAnsi="宋体" w:eastAsia="宋体" w:cs="宋体"/>
          <w:i w:val="0"/>
          <w:color w:val="000000"/>
          <w:sz w:val="24"/>
          <w:szCs w:val="24"/>
          <w:u w:val="none"/>
        </w:rPr>
        <w:t>-</w:t>
      </w:r>
      <w:r>
        <w:rPr>
          <w:rFonts w:ascii="宋体" w:hAnsi="宋体" w:eastAsia="宋体" w:cs="宋体"/>
          <w:i w:val="0"/>
          <w:color w:val="000000"/>
          <w:sz w:val="24"/>
          <w:szCs w:val="24"/>
          <w:u w:val="none"/>
        </w:rPr>
        <w:t>供应商投标</w:t>
      </w:r>
    </w:p>
    <w:p>
      <w:pPr>
        <w:snapToGrid/>
        <w:spacing w:before="0" w:after="0" w:line="240" w:lineRule="auto"/>
        <w:ind w:left="0" w:right="0"/>
        <w:jc w:val="both"/>
        <w:rPr>
          <w:rFonts w:ascii="宋体" w:hAnsi="宋体" w:eastAsia="宋体" w:cs="宋体"/>
          <w:i w:val="0"/>
          <w:color w:val="000000"/>
          <w:sz w:val="21"/>
          <w:u w:val="none"/>
        </w:rPr>
      </w:pPr>
      <w:r>
        <w:rPr>
          <w:rFonts w:ascii="宋体" w:hAnsi="宋体" w:eastAsia="宋体" w:cs="宋体"/>
          <w:i w:val="0"/>
          <w:color w:val="000000"/>
          <w:sz w:val="21"/>
          <w:u w:val="none"/>
        </w:rPr>
        <w:drawing>
          <wp:inline distT="0" distB="0" distL="0" distR="0">
            <wp:extent cx="5760085" cy="2125345"/>
            <wp:effectExtent l="0" t="0" r="1206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42" cstate="print"/>
                    <a:srcRect/>
                    <a:stretch>
                      <a:fillRect/>
                    </a:stretch>
                  </pic:blipFill>
                  <pic:spPr>
                    <a:xfrm>
                      <a:off x="0" y="0"/>
                      <a:ext cx="5760085" cy="2125345"/>
                    </a:xfrm>
                    <a:prstGeom prst="rect">
                      <a:avLst/>
                    </a:prstGeom>
                  </pic:spPr>
                </pic:pic>
              </a:graphicData>
            </a:graphic>
          </wp:inline>
        </w:drawing>
      </w:r>
    </w:p>
    <w:p>
      <w:pPr>
        <w:snapToGrid/>
        <w:spacing w:before="0" w:after="0" w:line="360" w:lineRule="auto"/>
        <w:ind w:left="0" w:right="0"/>
        <w:jc w:val="both"/>
        <w:rPr>
          <w:sz w:val="24"/>
          <w:szCs w:val="28"/>
        </w:rPr>
      </w:pPr>
      <w:r>
        <w:rPr>
          <w:rFonts w:ascii="宋体" w:hAnsi="宋体" w:eastAsia="宋体" w:cs="宋体"/>
          <w:i w:val="0"/>
          <w:color w:val="000000"/>
          <w:sz w:val="24"/>
          <w:szCs w:val="28"/>
          <w:u w:val="none"/>
        </w:rPr>
        <w:t>点击投标按钮，进入详情页，输入投标报价并上传相应的附件。</w:t>
      </w:r>
    </w:p>
    <w:p>
      <w:pPr>
        <w:pStyle w:val="6"/>
        <w:snapToGrid/>
        <w:spacing w:before="280" w:after="290" w:line="372" w:lineRule="auto"/>
        <w:ind w:left="425" w:right="0" w:hanging="425"/>
        <w:jc w:val="both"/>
        <w:rPr>
          <w:rFonts w:ascii="Arial" w:hAnsi="Arial" w:eastAsia="Arial" w:cs="Arial"/>
          <w:i w:val="0"/>
          <w:color w:val="000000"/>
          <w:sz w:val="28"/>
          <w:u w:val="none"/>
        </w:rPr>
      </w:pPr>
      <w:r>
        <w:rPr>
          <w:rFonts w:ascii="Arial" w:hAnsi="Arial" w:eastAsia="Arial" w:cs="Arial"/>
          <w:i w:val="0"/>
          <w:color w:val="000000"/>
          <w:sz w:val="28"/>
          <w:u w:val="none"/>
        </w:rPr>
        <w:drawing>
          <wp:inline distT="0" distB="0" distL="0" distR="0">
            <wp:extent cx="5490210" cy="2668905"/>
            <wp:effectExtent l="0" t="0" r="15240" b="1714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43" cstate="print"/>
                    <a:srcRect/>
                    <a:stretch>
                      <a:fillRect/>
                    </a:stretch>
                  </pic:blipFill>
                  <pic:spPr>
                    <a:xfrm>
                      <a:off x="0" y="0"/>
                      <a:ext cx="5490210" cy="2668905"/>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color w:val="000000"/>
          <w:sz w:val="24"/>
          <w:szCs w:val="24"/>
          <w:u w:val="none"/>
        </w:rPr>
        <w:t>路径：招投标中心</w:t>
      </w:r>
      <w:r>
        <w:rPr>
          <w:rFonts w:hint="eastAsia" w:ascii="宋体" w:hAnsi="宋体" w:eastAsia="宋体" w:cs="宋体"/>
          <w:i w:val="0"/>
          <w:color w:val="000000"/>
          <w:sz w:val="24"/>
          <w:szCs w:val="24"/>
          <w:u w:val="none"/>
        </w:rPr>
        <w:t>-</w:t>
      </w:r>
      <w:r>
        <w:rPr>
          <w:rFonts w:ascii="宋体" w:hAnsi="宋体" w:eastAsia="宋体" w:cs="宋体"/>
          <w:i w:val="0"/>
          <w:color w:val="000000"/>
          <w:sz w:val="24"/>
          <w:szCs w:val="24"/>
          <w:u w:val="none"/>
        </w:rPr>
        <w:t>非生产类招投标</w:t>
      </w:r>
      <w:r>
        <w:rPr>
          <w:rFonts w:hint="eastAsia" w:ascii="宋体" w:hAnsi="宋体" w:eastAsia="宋体" w:cs="宋体"/>
          <w:i w:val="0"/>
          <w:color w:val="000000"/>
          <w:sz w:val="24"/>
          <w:szCs w:val="24"/>
          <w:u w:val="none"/>
        </w:rPr>
        <w:t>-</w:t>
      </w:r>
      <w:r>
        <w:rPr>
          <w:rFonts w:ascii="宋体" w:hAnsi="宋体" w:eastAsia="宋体" w:cs="宋体"/>
          <w:i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color w:val="000000"/>
          <w:sz w:val="24"/>
          <w:szCs w:val="24"/>
          <w:u w:val="none"/>
        </w:rPr>
        <w:t>点击编辑按钮进入系统，上传技术标澄清函。</w:t>
      </w:r>
    </w:p>
    <w:p>
      <w:pPr>
        <w:spacing w:before="0" w:after="0" w:line="360" w:lineRule="auto"/>
        <w:ind w:left="0"/>
        <w:rPr>
          <w:rFonts w:ascii="Arial" w:hAnsi="Arial" w:eastAsia="Arial" w:cs="Arial"/>
          <w:i w:val="0"/>
          <w:color w:val="000000"/>
          <w:sz w:val="28"/>
          <w:u w:val="none"/>
        </w:rPr>
      </w:pPr>
      <w:r>
        <w:rPr>
          <w:rFonts w:ascii="宋体" w:hAnsi="宋体" w:eastAsia="宋体" w:cs="宋体"/>
          <w:i w:val="0"/>
          <w:color w:val="000000"/>
          <w:sz w:val="24"/>
          <w:szCs w:val="24"/>
          <w:u w:val="none"/>
        </w:rPr>
        <w:t>开标之后所有投标的供应商都可编辑提交，技术标入围之后</w:t>
      </w:r>
      <w:r>
        <w:rPr>
          <w:rFonts w:hint="eastAsia" w:ascii="宋体" w:hAnsi="宋体" w:eastAsia="宋体" w:cs="宋体"/>
          <w:i w:val="0"/>
          <w:color w:val="000000"/>
          <w:sz w:val="24"/>
          <w:szCs w:val="24"/>
          <w:u w:val="none"/>
        </w:rPr>
        <w:t xml:space="preserve"> </w:t>
      </w:r>
      <w:r>
        <w:rPr>
          <w:rFonts w:ascii="宋体" w:hAnsi="宋体" w:eastAsia="宋体" w:cs="宋体"/>
          <w:i w:val="0"/>
          <w:color w:val="000000"/>
          <w:sz w:val="24"/>
          <w:szCs w:val="24"/>
          <w:u w:val="none"/>
        </w:rPr>
        <w:t>都不可编辑</w:t>
      </w:r>
      <w:r>
        <w:rPr>
          <w:rFonts w:ascii="Arial" w:hAnsi="Arial" w:eastAsia="Arial" w:cs="Arial"/>
          <w:i w:val="0"/>
          <w:color w:val="000000"/>
          <w:sz w:val="28"/>
          <w:u w:val="none"/>
        </w:rPr>
        <w:drawing>
          <wp:inline distT="0" distB="0" distL="0" distR="0">
            <wp:extent cx="5490210" cy="1991995"/>
            <wp:effectExtent l="0" t="0" r="15240" b="7620"/>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44" cstate="print"/>
                    <a:srcRect/>
                    <a:stretch>
                      <a:fillRect/>
                    </a:stretch>
                  </pic:blipFill>
                  <pic:spPr>
                    <a:xfrm>
                      <a:off x="0" y="0"/>
                      <a:ext cx="5490210" cy="199262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color w:val="000000"/>
          <w:sz w:val="24"/>
          <w:szCs w:val="24"/>
          <w:u w:val="none"/>
        </w:rPr>
        <w:t>路径：招投标中心</w:t>
      </w:r>
      <w:r>
        <w:rPr>
          <w:rFonts w:hint="eastAsia" w:ascii="宋体" w:hAnsi="宋体" w:eastAsia="宋体" w:cs="宋体"/>
          <w:i w:val="0"/>
          <w:color w:val="000000"/>
          <w:sz w:val="24"/>
          <w:szCs w:val="24"/>
          <w:u w:val="none"/>
        </w:rPr>
        <w:t>-</w:t>
      </w:r>
      <w:r>
        <w:rPr>
          <w:rFonts w:ascii="宋体" w:hAnsi="宋体" w:eastAsia="宋体" w:cs="宋体"/>
          <w:i w:val="0"/>
          <w:color w:val="000000"/>
          <w:sz w:val="24"/>
          <w:szCs w:val="24"/>
          <w:u w:val="none"/>
        </w:rPr>
        <w:t>非生产类招投标</w:t>
      </w:r>
      <w:r>
        <w:rPr>
          <w:rFonts w:hint="eastAsia" w:ascii="宋体" w:hAnsi="宋体" w:eastAsia="宋体" w:cs="宋体"/>
          <w:i w:val="0"/>
          <w:color w:val="000000"/>
          <w:sz w:val="24"/>
          <w:szCs w:val="24"/>
          <w:u w:val="none"/>
        </w:rPr>
        <w:t>-</w:t>
      </w:r>
      <w:r>
        <w:rPr>
          <w:rFonts w:ascii="宋体" w:hAnsi="宋体" w:eastAsia="宋体" w:cs="宋体"/>
          <w:i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color w:val="000000"/>
          <w:sz w:val="24"/>
          <w:szCs w:val="24"/>
          <w:u w:val="none"/>
        </w:rPr>
        <w:t>路径：招投标中心</w:t>
      </w:r>
      <w:r>
        <w:rPr>
          <w:rFonts w:hint="eastAsia" w:ascii="宋体" w:hAnsi="宋体" w:eastAsia="宋体" w:cs="宋体"/>
          <w:i w:val="0"/>
          <w:color w:val="000000"/>
          <w:sz w:val="24"/>
          <w:szCs w:val="24"/>
          <w:u w:val="none"/>
        </w:rPr>
        <w:t>-</w:t>
      </w:r>
      <w:r>
        <w:rPr>
          <w:rFonts w:ascii="宋体" w:hAnsi="宋体" w:eastAsia="宋体" w:cs="宋体"/>
          <w:i w:val="0"/>
          <w:color w:val="000000"/>
          <w:sz w:val="24"/>
          <w:szCs w:val="24"/>
          <w:u w:val="none"/>
        </w:rPr>
        <w:t>非生产类招投标</w:t>
      </w:r>
      <w:r>
        <w:rPr>
          <w:rFonts w:hint="eastAsia" w:ascii="宋体" w:hAnsi="宋体" w:eastAsia="宋体" w:cs="宋体"/>
          <w:i w:val="0"/>
          <w:color w:val="000000"/>
          <w:sz w:val="24"/>
          <w:szCs w:val="24"/>
          <w:u w:val="none"/>
        </w:rPr>
        <w:t>-</w:t>
      </w:r>
      <w:r>
        <w:rPr>
          <w:rFonts w:ascii="宋体" w:hAnsi="宋体" w:eastAsia="宋体" w:cs="宋体"/>
          <w:i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color w:val="000000"/>
          <w:sz w:val="28"/>
          <w:u w:val="none"/>
        </w:rPr>
      </w:pPr>
      <w:r>
        <w:rPr>
          <w:rFonts w:ascii="Arial" w:hAnsi="Arial" w:eastAsia="Arial" w:cs="Arial"/>
          <w:i w:val="0"/>
          <w:color w:val="000000"/>
          <w:sz w:val="28"/>
          <w:u w:val="none"/>
        </w:rPr>
        <w:drawing>
          <wp:inline distT="0" distB="0" distL="0" distR="0">
            <wp:extent cx="5490210" cy="2544445"/>
            <wp:effectExtent l="0" t="0" r="1524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45" cstate="print"/>
                    <a:srcRect/>
                    <a:stretch>
                      <a:fillRect/>
                    </a:stretch>
                  </pic:blipFill>
                  <pic:spPr>
                    <a:xfrm>
                      <a:off x="0" y="0"/>
                      <a:ext cx="5490210" cy="2544445"/>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color w:val="000000"/>
          <w:sz w:val="24"/>
          <w:szCs w:val="24"/>
          <w:u w:val="none"/>
        </w:rPr>
        <w:t>路径：招投标中心</w:t>
      </w:r>
      <w:r>
        <w:rPr>
          <w:rFonts w:hint="eastAsia" w:ascii="宋体" w:hAnsi="宋体" w:eastAsia="宋体" w:cs="宋体"/>
          <w:i w:val="0"/>
          <w:color w:val="000000"/>
          <w:sz w:val="24"/>
          <w:szCs w:val="24"/>
          <w:u w:val="none"/>
        </w:rPr>
        <w:t>-</w:t>
      </w:r>
      <w:r>
        <w:rPr>
          <w:rFonts w:ascii="宋体" w:hAnsi="宋体" w:eastAsia="宋体" w:cs="宋体"/>
          <w:i w:val="0"/>
          <w:color w:val="000000"/>
          <w:sz w:val="24"/>
          <w:szCs w:val="24"/>
          <w:u w:val="none"/>
        </w:rPr>
        <w:t>非生产类招投标</w:t>
      </w:r>
      <w:r>
        <w:rPr>
          <w:rFonts w:hint="eastAsia" w:ascii="宋体" w:hAnsi="宋体" w:eastAsia="宋体" w:cs="宋体"/>
          <w:i w:val="0"/>
          <w:color w:val="000000"/>
          <w:sz w:val="24"/>
          <w:szCs w:val="24"/>
          <w:u w:val="none"/>
        </w:rPr>
        <w:t>-</w:t>
      </w:r>
      <w:r>
        <w:rPr>
          <w:rFonts w:ascii="宋体" w:hAnsi="宋体" w:eastAsia="宋体" w:cs="宋体"/>
          <w:i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46" cstate="print"/>
                    <a:srcRect/>
                    <a:stretch>
                      <a:fillRect/>
                    </a:stretch>
                  </pic:blipFill>
                  <pic:spPr>
                    <a:xfrm>
                      <a:off x="0" y="0"/>
                      <a:ext cx="5760085" cy="1956435"/>
                    </a:xfrm>
                    <a:prstGeom prst="rect">
                      <a:avLst/>
                    </a:prstGeom>
                  </pic:spPr>
                </pic:pic>
              </a:graphicData>
            </a:graphic>
          </wp:inline>
        </w:drawing>
      </w:r>
    </w:p>
    <w:p>
      <w:pPr>
        <w:pStyle w:val="2"/>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vert="horz" wrap="none" lIns="0" tIns="0" rIns="0" bIns="0" anchor="t">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7Y9/3KAQAAkg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dpEcagMWdPAu3MKYIYVJbleDTV8Swrre1ePZVdVFJmlzvlwslzkZLqk2JYSTPV4PgPGL8pal&#10;oORAz9a7KQ7fMA5HpyOpm3Fpdf5aGzNU006WaA7EUhS7bTey3frqSCpp6Am88fDAWUtPXnJHE86Z&#10;+erI0TQdUwBTsJ0C4SRdLPnAC8PV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7Y9/3KAQAAkgMAAA4AAAAAAAAAAQAgAAAAHw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5"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vert="horz" wrap="none" lIns="0" tIns="0" rIns="0" bIns="0" anchor="t">
                      <a:spAutoFit/>
                    </wps:bodyPr>
                  </wps:wsp>
                </a:graphicData>
              </a:graphic>
            </wp:anchor>
          </w:drawing>
        </mc:Choice>
        <mc:Fallback>
          <w:pict>
            <v:rect id="文本框 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FFRnckBAACSAwAADgAAAAAAAAABACAAAAAfAQAAZHJzL2Uyb0Rv&#10;Yy54bWxQSwUGAAAAAAYABgBZAQAAWg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rect>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6"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vert="horz" wrap="none" lIns="0" tIns="0" rIns="0" bIns="0" anchor="t">
                      <a:spAutoFit/>
                    </wps:bodyPr>
                  </wps:wsp>
                </a:graphicData>
              </a:graphic>
            </wp:anchor>
          </w:drawing>
        </mc:Choice>
        <mc:Fallback>
          <w:pict>
            <v:rect id="文本框 9"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IC7lFjKAQAAkgMAAA4AAAAAAAAAAQAgAAAAHw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rect>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7" name="文本框 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vert="horz" wrap="none" lIns="0" tIns="0" rIns="0" bIns="0" anchor="t">
                      <a:spAutoFit/>
                    </wps:bodyPr>
                  </wps:wsp>
                </a:graphicData>
              </a:graphic>
            </wp:anchor>
          </w:drawing>
        </mc:Choice>
        <mc:Fallback>
          <w:pict>
            <v:rect id="文本框 8"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DEcEy7KAQAAkgMAAA4AAAAAAAAAAQAgAAAAHw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rect>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8" name="文本框 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vert="horz" wrap="none" lIns="0" tIns="0" rIns="0" bIns="0" anchor="t">
                      <a:spAutoFit/>
                    </wps:bodyPr>
                  </wps:wsp>
                </a:graphicData>
              </a:graphic>
            </wp:anchor>
          </w:drawing>
        </mc:Choice>
        <mc:Fallback>
          <w:pict>
            <v:rect id="文本框 1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FiIjorKAQAAkwMAAA4AAAAAAAAAAQAgAAAAHw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9" name="文本框 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vert="horz" wrap="none" lIns="0" tIns="0" rIns="0" bIns="0" anchor="t">
                      <a:spAutoFit/>
                    </wps:bodyPr>
                  </wps:wsp>
                </a:graphicData>
              </a:graphic>
            </wp:anchor>
          </w:drawing>
        </mc:Choice>
        <mc:Fallback>
          <w:pict>
            <v:rect id="文本框 10"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bnlDTKAQAAkwMAAA4AAABkcnMvZTJvRG9jLnhtbK1TzY7TMBC+I/EO&#10;lu80SYVQie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K95RYbnDm558/zr/+&#10;nH9/J1WWqPdQY+ajfwgoWPIAzcR3aINJX2RChizr6SKrHCIReFmtlqtViYoLjM0O4hTX5z5AvJfO&#10;kGQwGnBuWU5+/AhxTJ1TUjVt02ndndJ6jKab4tpYsuKwG6Zud645IU3cegTvXPhGSY8zZ9TiilOi&#10;P1iUNK3HbITZ2M0GtwIfMjr2Bf72ELF87i0VGytMPeCsMrtpr9IyPPVz1vVf2vw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DbnlDTKAQAAkwMAAA4AAAAAAAAAAQAgAAAAHw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0" name="文本框 1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vert="horz" wrap="none" lIns="0" tIns="0" rIns="0" bIns="0" anchor="t">
                      <a:spAutoFit/>
                    </wps:bodyPr>
                  </wps:wsp>
                </a:graphicData>
              </a:graphic>
            </wp:anchor>
          </w:drawing>
        </mc:Choice>
        <mc:Fallback>
          <w:pict>
            <v:rect id="文本框 1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2jyjXKAQAAkwMAAA4AAAAAAAAAAQAgAAAAHw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rect>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1"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vert="horz" wrap="none" lIns="0" tIns="0" rIns="0" bIns="0" anchor="t">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LPM0IvKAQAAkwMAAA4AAAAAAAAAAQAgAAAAHw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rect>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2" name="文本框 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vert="horz" wrap="none" lIns="0" tIns="0" rIns="0" bIns="0" anchor="t">
                      <a:spAutoFit/>
                    </wps:bodyPr>
                  </wps:wsp>
                </a:graphicData>
              </a:graphic>
            </wp:anchor>
          </w:drawing>
        </mc:Choice>
        <mc:Fallback>
          <w:pict>
            <v:rect id="文本框 1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4HvCvKAQAAkw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dcXfF8WSMycsvfn554/zrz/n&#10;399ZcZMs6gKWdPIpPMKUIYVJb9+ATV9SwvrB1tPFVtVHJmmzWC1Xq5wcl1SbE8LJnq8HwPhRectS&#10;UHGgdxvsFMd7jOPR+UjqZlxanb/TxozVtJMlmiOxFMV+109sd74+kUyaegJvPXzjrKM3r7ijEefM&#10;fHJkaRqPOYA52M2BcJIuVnzkheHDIVL7gVtqNnaYONBbDeqmuUrD8DIfTj3/S5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D4HvCvKAQAAkwMAAA4AAAAAAAAAAQAgAAAAHw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rect>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3" name="文本框 1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vert="horz" wrap="none" lIns="0" tIns="0" rIns="0" bIns="0" anchor="t">
                      <a:spAutoFit/>
                    </wps:bodyPr>
                  </wps:wsp>
                </a:graphicData>
              </a:graphic>
            </wp:anchor>
          </w:drawing>
        </mc:Choice>
        <mc:Fallback>
          <w:pict>
            <v:rect id="文本框 1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ClPxiywEAAJMDAAAOAAAAAAAAAAEAIAAAAB8BAABkcnMvZTJv&#10;RG9jLnhtbFBLBQYAAAAABgAGAFkBAABc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rect>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vert="horz" wrap="none" lIns="0" tIns="0" rIns="0" bIns="0" anchor="t">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j2fYzMkBAACSAwAADgAAAAAAAAABACAAAAAfAQAAZHJzL2Uyb0Rv&#10;Yy54bWxQSwUGAAAAAAYABgBZAQAAWg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rect>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4" name="文本框 3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pPr>
                          <w:r>
                            <w:fldChar w:fldCharType="begin"/>
                          </w:r>
                          <w:r>
                            <w:instrText xml:space="preserve"> PAGE  \* MERGEFORMAT </w:instrText>
                          </w:r>
                          <w:r>
                            <w:fldChar w:fldCharType="separate"/>
                          </w:r>
                          <w:r>
                            <w:t>71</w:t>
                          </w:r>
                          <w:r>
                            <w:fldChar w:fldCharType="end"/>
                          </w:r>
                        </w:p>
                      </w:txbxContent>
                    </wps:txbx>
                    <wps:bodyPr vert="horz" wrap="none" lIns="0" tIns="0" rIns="0" bIns="0" anchor="t">
                      <a:spAutoFit/>
                    </wps:bodyPr>
                  </wps:wsp>
                </a:graphicData>
              </a:graphic>
            </wp:anchor>
          </w:drawing>
        </mc:Choice>
        <mc:Fallback>
          <w:pict>
            <v:rect id="文本框 38"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Ka/xIHKAQAAkwMAAA4AAAAAAAAAAQAgAAAAHwEAAGRycy9lMm9E&#10;b2MueG1sUEsFBgAAAAAGAAYAWQEAAFsFA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71</w:t>
                    </w:r>
                    <w:r>
                      <w:fldChar w:fldCharType="end"/>
                    </w:r>
                  </w:p>
                </w:txbxContent>
              </v:textbox>
            </v:rect>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5" name="文本框 7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pPr>
                          <w:r>
                            <w:fldChar w:fldCharType="begin"/>
                          </w:r>
                          <w:r>
                            <w:instrText xml:space="preserve"> PAGE  \* MERGEFORMAT </w:instrText>
                          </w:r>
                          <w:r>
                            <w:fldChar w:fldCharType="separate"/>
                          </w:r>
                          <w:r>
                            <w:t>73</w:t>
                          </w:r>
                          <w:r>
                            <w:fldChar w:fldCharType="end"/>
                          </w:r>
                        </w:p>
                      </w:txbxContent>
                    </wps:txbx>
                    <wps:bodyPr vert="horz" wrap="none" lIns="0" tIns="0" rIns="0" bIns="0" anchor="t">
                      <a:spAutoFit/>
                    </wps:bodyPr>
                  </wps:wsp>
                </a:graphicData>
              </a:graphic>
            </wp:anchor>
          </w:drawing>
        </mc:Choice>
        <mc:Fallback>
          <w:pict>
            <v:rect id="文本框 75"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BOg35cywEAAJMDAAAOAAAAAAAAAAEAIAAAAB8BAABkcnMvZTJv&#10;RG9jLnhtbFBLBQYAAAAABgAGAFkBAABcBQ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73</w:t>
                    </w:r>
                    <w:r>
                      <w:fldChar w:fldCharType="end"/>
                    </w:r>
                  </w:p>
                </w:txbxContent>
              </v:textbox>
            </v:rect>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16" name="文本框 9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vert="horz" wrap="none" lIns="0" tIns="0" rIns="0" bIns="0" anchor="t">
                      <a:spAutoFit/>
                    </wps:bodyPr>
                  </wps:wsp>
                </a:graphicData>
              </a:graphic>
            </wp:anchor>
          </w:drawing>
        </mc:Choice>
        <mc:Fallback>
          <w:pict>
            <v:rect id="文本框 9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l1uVLQAAAABQEAAA8AAAAAAAAAAQAgAAAAIgAAAGRycy9kb3ducmV2&#10;LnhtbFBLAQIUABQAAAAIAIdO4kAXEpzFywEAAJMDAAAOAAAAAAAAAAEAIAAAAB8BAABkcnMvZTJv&#10;RG9jLnhtbFBLBQYAAAAABgAGAFkBAABc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pPr>
                          <w:r>
                            <w:fldChar w:fldCharType="begin"/>
                          </w:r>
                          <w:r>
                            <w:instrText xml:space="preserve"> PAGE  \* MERGEFORMAT </w:instrText>
                          </w:r>
                          <w:r>
                            <w:fldChar w:fldCharType="separate"/>
                          </w:r>
                          <w:r>
                            <w:t>2</w:t>
                          </w:r>
                          <w:r>
                            <w:fldChar w:fldCharType="end"/>
                          </w:r>
                        </w:p>
                      </w:txbxContent>
                    </wps:txbx>
                    <wps:bodyPr vert="horz" wrap="none" lIns="0" tIns="0" rIns="0" bIns="0" anchor="t">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EC8bAPKAQAAkgMAAA4AAAAAAAAAAQAgAAAAHwEAAGRycy9lMm9E&#10;b2MueG1sUEsFBgAAAAAGAAYAWQEAAFsFA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vert="horz" wrap="none" lIns="0" tIns="0" rIns="0" bIns="0" anchor="t">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DBEBSRyAEAAJIDAAAOAAAAAAAAAAEAIAAAAB8BAABkcnMvZTJvRG9j&#10;LnhtbFBLBQYAAAAABgAGAFkBAABZ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1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pPr>
                          <w:r>
                            <w:fldChar w:fldCharType="begin"/>
                          </w:r>
                          <w:r>
                            <w:instrText xml:space="preserve"> PAGE  \* MERGEFORMAT </w:instrText>
                          </w:r>
                          <w:r>
                            <w:fldChar w:fldCharType="separate"/>
                          </w:r>
                          <w:r>
                            <w:t>- 8 -</w:t>
                          </w:r>
                          <w:r>
                            <w:fldChar w:fldCharType="end"/>
                          </w:r>
                        </w:p>
                      </w:txbxContent>
                    </wps:txbx>
                    <wps:bodyPr vert="horz" wrap="none" lIns="0" tIns="0" rIns="0" bIns="0" anchor="t">
                      <a:spAutoFit/>
                    </wps:bodyPr>
                  </wps:wsp>
                </a:graphicData>
              </a:graphic>
            </wp:anchor>
          </w:drawing>
        </mc:Choice>
        <mc:Fallback>
          <w:pict>
            <v:rect id="文本框 18"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IGPEMTKAQAAkwMAAA4AAAAAAAAAAQAgAAAAHwEAAGRycy9lMm9E&#10;b2MueG1sUEsFBgAAAAAGAAYAWQEAAFsFA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- 8 -</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1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pPr>
                          <w:r>
                            <w:fldChar w:fldCharType="begin"/>
                          </w:r>
                          <w:r>
                            <w:instrText xml:space="preserve"> PAGE  \* MERGEFORMAT </w:instrText>
                          </w:r>
                          <w:r>
                            <w:fldChar w:fldCharType="separate"/>
                          </w:r>
                          <w:r>
                            <w:t>- 1 -</w:t>
                          </w:r>
                          <w:r>
                            <w:fldChar w:fldCharType="end"/>
                          </w:r>
                        </w:p>
                      </w:txbxContent>
                    </wps:txbx>
                    <wps:bodyPr vert="horz" wrap="none" lIns="0" tIns="0" rIns="0" bIns="0" anchor="t">
                      <a:spAutoFit/>
                    </wps:bodyPr>
                  </wps:wsp>
                </a:graphicData>
              </a:graphic>
            </wp:anchor>
          </w:drawing>
        </mc:Choice>
        <mc:Fallback>
          <w:pict>
            <v:rect id="文本框 1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Ma49Q/KAQAAkwMAAA4AAAAAAAAAAQAgAAAAHwEAAGRycy9lMm9E&#10;b2MueG1sUEsFBgAAAAAGAAYAWQEAAFsFA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- 1 -</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3"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1"/>
                          </w:pPr>
                          <w:r>
                            <w:fldChar w:fldCharType="begin"/>
                          </w:r>
                          <w:r>
                            <w:instrText xml:space="preserve"> PAGE  \* MERGEFORMAT </w:instrText>
                          </w:r>
                          <w:r>
                            <w:fldChar w:fldCharType="separate"/>
                          </w:r>
                          <w:r>
                            <w:t>55</w:t>
                          </w:r>
                          <w: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4nArKAQAAkgMAAA4AAAAAAAAAAQAgAAAAHwEAAGRycy9lMm9E&#10;b2MueG1sUEsFBgAAAAAGAAYAWQEAAFsFAAAAAA==&#10;">
              <v:fill on="f" focussize="0,0"/>
              <v:stroke on="f"/>
              <v:imagedata o:title=""/>
              <o:lock v:ext="edit" aspectratio="f"/>
              <v:textbox inset="0mm,0mm,0mm,0mm" style="mso-fit-shape-to-text:t;">
                <w:txbxContent>
                  <w:p>
                    <w:pPr>
                      <w:pStyle w:val="21"/>
                    </w:pPr>
                    <w:r>
                      <w:fldChar w:fldCharType="begin"/>
                    </w:r>
                    <w:r>
                      <w:instrText xml:space="preserve"> PAGE  \* MERGEFORMAT </w:instrText>
                    </w:r>
                    <w:r>
                      <w:fldChar w:fldCharType="separate"/>
                    </w:r>
                    <w:r>
                      <w:t>55</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4" name="文本框 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vert="horz" wrap="none" lIns="0" tIns="0" rIns="0" bIns="0" anchor="t">
                      <a:spAutoFit/>
                    </wps:bodyPr>
                  </wps:wsp>
                </a:graphicData>
              </a:graphic>
            </wp:anchor>
          </w:drawing>
        </mc:Choice>
        <mc:Fallback>
          <w:pict>
            <v:rect id="文本框 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E321uvKAQAAkgMAAA4AAAAAAAAAAQAgAAAAHwEAAGRycy9lMm9E&#10;b2MueG1sUEsFBgAAAAAGAAYAWQEAAFs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2"/>
      <w:numFmt w:val="chineseCounting"/>
      <w:suff w:val="nothing"/>
      <w:lvlText w:val="%1、"/>
      <w:lvlJc w:val="left"/>
      <w:rPr>
        <w:rFonts w:hint="eastAsia"/>
      </w:rPr>
    </w:lvl>
  </w:abstractNum>
  <w:abstractNum w:abstractNumId="1">
    <w:nsid w:val="00000001"/>
    <w:multiLevelType w:val="singleLevel"/>
    <w:tmpl w:val="00000001"/>
    <w:lvl w:ilvl="0" w:tentative="0">
      <w:start w:val="1"/>
      <w:numFmt w:val="bullet"/>
      <w:lvlText w:val=""/>
      <w:lvlJc w:val="left"/>
      <w:pPr>
        <w:ind w:left="420" w:hanging="420"/>
      </w:pPr>
      <w:rPr>
        <w:rFonts w:hint="default" w:ascii="Wingdings" w:hAnsi="Wingdings"/>
      </w:rPr>
    </w:lvl>
  </w:abstractNum>
  <w:abstractNum w:abstractNumId="2">
    <w:nsid w:val="00000002"/>
    <w:multiLevelType w:val="multilevel"/>
    <w:tmpl w:val="00000002"/>
    <w:lvl w:ilvl="0" w:tentative="0">
      <w:start w:val="1"/>
      <w:numFmt w:val="decimal"/>
      <w:suff w:val="space"/>
      <w:lvlText w:val="%1."/>
      <w:lvlJc w:val="left"/>
      <w:pPr>
        <w:ind w:left="420" w:firstLine="0"/>
      </w:pPr>
      <w:rPr>
        <w:rFonts w:hint="default" w:ascii="Times New Roman" w:hAnsi="Times New Roman" w:cs="Times New Roman"/>
      </w:rPr>
    </w:lvl>
    <w:lvl w:ilvl="1" w:tentative="0">
      <w:start w:val="1"/>
      <w:numFmt w:val="decimal"/>
      <w:suff w:val="space"/>
      <w:lvlText w:val="%1.%2"/>
      <w:lvlJc w:val="left"/>
      <w:pPr>
        <w:ind w:left="420" w:firstLine="0"/>
      </w:pPr>
      <w:rPr>
        <w:rFonts w:hint="default" w:ascii="Times New Roman" w:hAnsi="Times New Roman" w:cs="Times New Roman"/>
      </w:rPr>
    </w:lvl>
    <w:lvl w:ilvl="2" w:tentative="0">
      <w:start w:val="1"/>
      <w:numFmt w:val="decimal"/>
      <w:suff w:val="space"/>
      <w:lvlText w:val="%1.%2.%3"/>
      <w:lvlJc w:val="left"/>
      <w:pPr>
        <w:ind w:left="420" w:firstLine="0"/>
      </w:pPr>
      <w:rPr>
        <w:rFonts w:hint="default" w:ascii="Times New Roman" w:hAnsi="Times New Roman" w:cs="Times New Roman"/>
      </w:rPr>
    </w:lvl>
    <w:lvl w:ilvl="3" w:tentative="0">
      <w:start w:val="1"/>
      <w:numFmt w:val="decimal"/>
      <w:suff w:val="space"/>
      <w:lvlText w:val="%1.%2.%3.%4"/>
      <w:lvlJc w:val="left"/>
      <w:pPr>
        <w:ind w:left="420" w:firstLine="0"/>
      </w:pPr>
      <w:rPr>
        <w:rFonts w:hint="default" w:ascii="Times New Roman" w:hAnsi="Times New Roman" w:cs="Times New Roman"/>
      </w:rPr>
    </w:lvl>
    <w:lvl w:ilvl="4" w:tentative="0">
      <w:start w:val="1"/>
      <w:numFmt w:val="decimal"/>
      <w:lvlText w:val="%1.%2.%3.%4.%5"/>
      <w:lvlJc w:val="left"/>
      <w:pPr>
        <w:tabs>
          <w:tab w:val="left" w:pos="2551"/>
        </w:tabs>
        <w:ind w:left="2971" w:hanging="850"/>
      </w:pPr>
      <w:rPr>
        <w:rFonts w:hint="default" w:ascii="Times New Roman" w:hAnsi="Times New Roman" w:cs="Times New Roman"/>
      </w:rPr>
    </w:lvl>
    <w:lvl w:ilvl="5" w:tentative="0">
      <w:start w:val="1"/>
      <w:numFmt w:val="decimal"/>
      <w:lvlText w:val="%1.%2.%3.%4.%5.%6"/>
      <w:lvlJc w:val="left"/>
      <w:pPr>
        <w:tabs>
          <w:tab w:val="left" w:pos="3260"/>
        </w:tabs>
        <w:ind w:left="3680" w:hanging="1134"/>
      </w:pPr>
      <w:rPr>
        <w:rFonts w:hint="eastAsia" w:ascii="宋体" w:hAnsi="宋体" w:eastAsia="宋体" w:cs="宋体"/>
      </w:rPr>
    </w:lvl>
    <w:lvl w:ilvl="6" w:tentative="0">
      <w:start w:val="1"/>
      <w:numFmt w:val="decimal"/>
      <w:lvlText w:val="%1.%2.%3.%4.%5.%6.%7"/>
      <w:lvlJc w:val="left"/>
      <w:pPr>
        <w:tabs>
          <w:tab w:val="left" w:pos="3827"/>
        </w:tabs>
        <w:ind w:left="4247" w:hanging="1276"/>
      </w:pPr>
      <w:rPr>
        <w:rFonts w:hint="eastAsia" w:ascii="宋体" w:hAnsi="宋体" w:eastAsia="宋体" w:cs="宋体"/>
      </w:rPr>
    </w:lvl>
    <w:lvl w:ilvl="7" w:tentative="0">
      <w:start w:val="1"/>
      <w:numFmt w:val="decimal"/>
      <w:lvlText w:val="%1.%2.%3.%4.%5.%6.%7.%8"/>
      <w:lvlJc w:val="left"/>
      <w:pPr>
        <w:tabs>
          <w:tab w:val="left" w:pos="4394"/>
        </w:tabs>
        <w:ind w:left="4814" w:hanging="1418"/>
      </w:pPr>
      <w:rPr>
        <w:rFonts w:hint="eastAsia" w:ascii="宋体" w:hAnsi="宋体" w:eastAsia="宋体" w:cs="宋体"/>
      </w:rPr>
    </w:lvl>
    <w:lvl w:ilvl="8" w:tentative="0">
      <w:start w:val="1"/>
      <w:numFmt w:val="decimal"/>
      <w:lvlText w:val="%1.%2.%3.%4.%5.%6.%7.%8.%9"/>
      <w:lvlJc w:val="left"/>
      <w:pPr>
        <w:tabs>
          <w:tab w:val="left" w:pos="5102"/>
        </w:tabs>
        <w:ind w:left="5522" w:hanging="1700"/>
      </w:pPr>
      <w:rPr>
        <w:rFonts w:hint="eastAsia" w:ascii="宋体" w:hAnsi="宋体" w:eastAsia="宋体" w:cs="宋体"/>
      </w:rPr>
    </w:lvl>
  </w:abstractNum>
  <w:abstractNum w:abstractNumId="3">
    <w:nsid w:val="00000003"/>
    <w:multiLevelType w:val="multilevel"/>
    <w:tmpl w:val="00000003"/>
    <w:lvl w:ilvl="0" w:tentative="0">
      <w:start w:val="1"/>
      <w:numFmt w:val="decimal"/>
      <w:lvlText w:val="（%1）"/>
      <w:lvlJc w:val="left"/>
      <w:pPr>
        <w:ind w:left="862" w:hanging="720"/>
      </w:pPr>
      <w:rPr>
        <w:rFonts w:hint="default" w:cs="Times New Roman"/>
      </w:rPr>
    </w:lvl>
    <w:lvl w:ilvl="1" w:tentative="0">
      <w:start w:val="1"/>
      <w:numFmt w:val="lowerLetter"/>
      <w:lvlText w:val="%2)"/>
      <w:lvlJc w:val="left"/>
      <w:pPr>
        <w:ind w:left="982" w:hanging="420"/>
      </w:pPr>
      <w:rPr>
        <w:rFonts w:cs="Times New Roman"/>
      </w:rPr>
    </w:lvl>
    <w:lvl w:ilvl="2" w:tentative="0">
      <w:start w:val="1"/>
      <w:numFmt w:val="lowerRoman"/>
      <w:lvlText w:val="%3."/>
      <w:lvlJc w:val="right"/>
      <w:pPr>
        <w:ind w:left="1402" w:hanging="420"/>
      </w:pPr>
      <w:rPr>
        <w:rFonts w:cs="Times New Roman"/>
      </w:rPr>
    </w:lvl>
    <w:lvl w:ilvl="3" w:tentative="0">
      <w:start w:val="1"/>
      <w:numFmt w:val="decimal"/>
      <w:lvlText w:val="%4."/>
      <w:lvlJc w:val="left"/>
      <w:pPr>
        <w:ind w:left="1822" w:hanging="420"/>
      </w:pPr>
      <w:rPr>
        <w:rFonts w:cs="Times New Roman"/>
      </w:rPr>
    </w:lvl>
    <w:lvl w:ilvl="4" w:tentative="0">
      <w:start w:val="1"/>
      <w:numFmt w:val="lowerLetter"/>
      <w:lvlText w:val="%5)"/>
      <w:lvlJc w:val="left"/>
      <w:pPr>
        <w:ind w:left="2242" w:hanging="420"/>
      </w:pPr>
      <w:rPr>
        <w:rFonts w:cs="Times New Roman"/>
      </w:rPr>
    </w:lvl>
    <w:lvl w:ilvl="5" w:tentative="0">
      <w:start w:val="1"/>
      <w:numFmt w:val="lowerRoman"/>
      <w:lvlText w:val="%6."/>
      <w:lvlJc w:val="right"/>
      <w:pPr>
        <w:ind w:left="2662" w:hanging="420"/>
      </w:pPr>
      <w:rPr>
        <w:rFonts w:cs="Times New Roman"/>
      </w:rPr>
    </w:lvl>
    <w:lvl w:ilvl="6" w:tentative="0">
      <w:start w:val="1"/>
      <w:numFmt w:val="decimal"/>
      <w:lvlText w:val="%7."/>
      <w:lvlJc w:val="left"/>
      <w:pPr>
        <w:ind w:left="3082" w:hanging="420"/>
      </w:pPr>
      <w:rPr>
        <w:rFonts w:cs="Times New Roman"/>
      </w:rPr>
    </w:lvl>
    <w:lvl w:ilvl="7" w:tentative="0">
      <w:start w:val="1"/>
      <w:numFmt w:val="lowerLetter"/>
      <w:lvlText w:val="%8)"/>
      <w:lvlJc w:val="left"/>
      <w:pPr>
        <w:ind w:left="3502" w:hanging="420"/>
      </w:pPr>
      <w:rPr>
        <w:rFonts w:cs="Times New Roman"/>
      </w:rPr>
    </w:lvl>
    <w:lvl w:ilvl="8" w:tentative="0">
      <w:start w:val="1"/>
      <w:numFmt w:val="lowerRoman"/>
      <w:lvlText w:val="%9."/>
      <w:lvlJc w:val="right"/>
      <w:pPr>
        <w:ind w:left="3922" w:hanging="420"/>
      </w:pPr>
      <w:rPr>
        <w:rFonts w:cs="Times New Roman"/>
      </w:rPr>
    </w:lvl>
  </w:abstractNum>
  <w:abstractNum w:abstractNumId="4">
    <w:nsid w:val="00000004"/>
    <w:multiLevelType w:val="singleLevel"/>
    <w:tmpl w:val="00000004"/>
    <w:lvl w:ilvl="0" w:tentative="0">
      <w:start w:val="1"/>
      <w:numFmt w:val="bullet"/>
      <w:lvlText w:val=""/>
      <w:lvlJc w:val="left"/>
      <w:pPr>
        <w:ind w:left="420" w:hanging="420"/>
      </w:pPr>
      <w:rPr>
        <w:rFonts w:hint="default" w:ascii="Wingdings" w:hAnsi="Wingdings"/>
      </w:rPr>
    </w:lvl>
  </w:abstractNum>
  <w:abstractNum w:abstractNumId="5">
    <w:nsid w:val="00000005"/>
    <w:multiLevelType w:val="singleLevel"/>
    <w:tmpl w:val="00000005"/>
    <w:lvl w:ilvl="0" w:tentative="0">
      <w:start w:val="1"/>
      <w:numFmt w:val="bullet"/>
      <w:lvlText w:val=""/>
      <w:lvlJc w:val="left"/>
      <w:pPr>
        <w:ind w:left="420" w:hanging="420"/>
      </w:pPr>
      <w:rPr>
        <w:rFonts w:hint="default" w:ascii="Wingdings" w:hAnsi="Wingdings"/>
      </w:rPr>
    </w:lvl>
  </w:abstractNum>
  <w:abstractNum w:abstractNumId="6">
    <w:nsid w:val="00000006"/>
    <w:multiLevelType w:val="multilevel"/>
    <w:tmpl w:val="0000000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7">
    <w:nsid w:val="00000007"/>
    <w:multiLevelType w:val="singleLevel"/>
    <w:tmpl w:val="00000007"/>
    <w:lvl w:ilvl="0" w:tentative="0">
      <w:start w:val="1"/>
      <w:numFmt w:val="bullet"/>
      <w:lvlText w:val=""/>
      <w:lvlJc w:val="left"/>
      <w:pPr>
        <w:ind w:left="420" w:hanging="420"/>
      </w:pPr>
      <w:rPr>
        <w:rFonts w:hint="default" w:ascii="Wingdings" w:hAnsi="Wingdings"/>
      </w:rPr>
    </w:lvl>
  </w:abstractNum>
  <w:abstractNum w:abstractNumId="8">
    <w:nsid w:val="00000008"/>
    <w:multiLevelType w:val="singleLevel"/>
    <w:tmpl w:val="00000008"/>
    <w:lvl w:ilvl="0" w:tentative="0">
      <w:start w:val="1"/>
      <w:numFmt w:val="bullet"/>
      <w:lvlText w:val=""/>
      <w:lvlJc w:val="left"/>
      <w:pPr>
        <w:ind w:left="420" w:hanging="420"/>
      </w:pPr>
      <w:rPr>
        <w:rFonts w:hint="default" w:ascii="Wingdings" w:hAnsi="Wingdings"/>
      </w:rPr>
    </w:lvl>
  </w:abstractNum>
  <w:abstractNum w:abstractNumId="9">
    <w:nsid w:val="00000009"/>
    <w:multiLevelType w:val="singleLevel"/>
    <w:tmpl w:val="00000009"/>
    <w:lvl w:ilvl="0" w:tentative="0">
      <w:start w:val="1"/>
      <w:numFmt w:val="chineseCounting"/>
      <w:suff w:val="space"/>
      <w:lvlText w:val="第%1部分"/>
      <w:lvlJc w:val="left"/>
      <w:rPr>
        <w:rFonts w:hint="eastAsia"/>
      </w:rPr>
    </w:lvl>
  </w:abstractNum>
  <w:abstractNum w:abstractNumId="10">
    <w:nsid w:val="0000000A"/>
    <w:multiLevelType w:val="singleLevel"/>
    <w:tmpl w:val="0000000A"/>
    <w:lvl w:ilvl="0" w:tentative="0">
      <w:start w:val="2"/>
      <w:numFmt w:val="decimal"/>
      <w:lvlText w:val="%1."/>
      <w:lvlJc w:val="left"/>
      <w:pPr>
        <w:tabs>
          <w:tab w:val="left" w:pos="312"/>
        </w:tabs>
      </w:pPr>
    </w:lvl>
  </w:abstractNum>
  <w:num w:numId="1">
    <w:abstractNumId w:val="9"/>
  </w:num>
  <w:num w:numId="2">
    <w:abstractNumId w:val="0"/>
  </w:num>
  <w:num w:numId="3">
    <w:abstractNumId w:val="10"/>
  </w:num>
  <w:num w:numId="4">
    <w:abstractNumId w:val="6"/>
  </w:num>
  <w:num w:numId="5">
    <w:abstractNumId w:val="4"/>
  </w:num>
  <w:num w:numId="6">
    <w:abstractNumId w:val="8"/>
  </w:num>
  <w:num w:numId="7">
    <w:abstractNumId w:val="1"/>
  </w:num>
  <w:num w:numId="8">
    <w:abstractNumId w:val="7"/>
  </w:num>
  <w:num w:numId="9">
    <w:abstractNumId w:val="5"/>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NotDisplayPageBoundarie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s>
  <w:rsids>
    <w:rsidRoot w:val="00000000"/>
    <w:rsid w:val="04552582"/>
    <w:rsid w:val="24E51EAD"/>
    <w:rsid w:val="620D6760"/>
    <w:rsid w:val="63D063E5"/>
    <w:rsid w:val="65355217"/>
    <w:rsid w:val="6C1D2B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99"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宋体"/>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qFormat/>
    <w:uiPriority w:val="1"/>
  </w:style>
  <w:style w:type="table" w:default="1" w:styleId="35">
    <w:name w:val="Normal Table"/>
    <w:qFormat/>
    <w:uiPriority w:val="99"/>
    <w:tblPr>
      <w:tblCellMar>
        <w:top w:w="0" w:type="dxa"/>
        <w:left w:w="108" w:type="dxa"/>
        <w:bottom w:w="0" w:type="dxa"/>
        <w:right w:w="108" w:type="dxa"/>
      </w:tblCellMar>
    </w:tblPr>
  </w:style>
  <w:style w:type="paragraph" w:styleId="2">
    <w:name w:val="Plain Text"/>
    <w:basedOn w:val="1"/>
    <w:link w:val="70"/>
    <w:qFormat/>
    <w:uiPriority w:val="0"/>
    <w:rPr>
      <w:rFonts w:ascii="宋体" w:hAnsi="Courier New"/>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uiPriority w:val="0"/>
  </w:style>
  <w:style w:type="character" w:customStyle="1" w:styleId="50">
    <w:name w:val="批注主题 字符"/>
    <w:link w:val="33"/>
    <w:qFormat/>
    <w:uiPriority w:val="0"/>
    <w:rPr>
      <w:b/>
    </w:rPr>
  </w:style>
  <w:style w:type="character" w:customStyle="1" w:styleId="51">
    <w:name w:val="正文文本缩进 3 字符"/>
    <w:link w:val="27"/>
    <w:qFormat/>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uiPriority w:val="0"/>
    <w:rPr>
      <w:sz w:val="18"/>
    </w:rPr>
  </w:style>
  <w:style w:type="character" w:customStyle="1" w:styleId="58">
    <w:name w:val="BODY TEXT Char"/>
    <w:qFormat/>
    <w:uiPriority w:val="0"/>
    <w:rPr>
      <w:rFonts w:eastAsia="新宋体"/>
      <w:kern w:val="2"/>
      <w:sz w:val="21"/>
    </w:rPr>
  </w:style>
  <w:style w:type="character" w:customStyle="1" w:styleId="59">
    <w:name w:val="批注文字 字符"/>
    <w:link w:val="11"/>
    <w:qFormat/>
    <w:uiPriority w:val="0"/>
  </w:style>
  <w:style w:type="character" w:customStyle="1" w:styleId="60">
    <w:name w:val="标题 字符"/>
    <w:link w:val="32"/>
    <w:qFormat/>
    <w:uiPriority w:val="0"/>
    <w:rPr>
      <w:rFonts w:ascii="Arial" w:hAnsi="Arial"/>
      <w:b/>
      <w:sz w:val="32"/>
    </w:rPr>
  </w:style>
  <w:style w:type="character" w:customStyle="1" w:styleId="61">
    <w:name w:val="日期 字符"/>
    <w:link w:val="18"/>
    <w:qFormat/>
    <w:uiPriority w:val="0"/>
    <w:rPr>
      <w:sz w:val="24"/>
    </w:rPr>
  </w:style>
  <w:style w:type="character" w:customStyle="1" w:styleId="62">
    <w:name w:val="ATXT_Bullets Zchn"/>
    <w:link w:val="63"/>
    <w:qFormat/>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等线" w:cs="宋体"/>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2"/>
    <w:qFormat/>
    <w:uiPriority w:val="0"/>
    <w:rPr>
      <w:rFonts w:ascii="宋体" w:hAnsi="Courier New"/>
    </w:rPr>
  </w:style>
  <w:style w:type="character" w:customStyle="1" w:styleId="71">
    <w:name w:val="页脚 字符"/>
    <w:link w:val="21"/>
    <w:qFormat/>
    <w:uiPriority w:val="99"/>
    <w:rPr>
      <w:sz w:val="18"/>
    </w:rPr>
  </w:style>
  <w:style w:type="character" w:customStyle="1" w:styleId="72">
    <w:name w:val="Default Char"/>
    <w:link w:val="73"/>
    <w:qFormat/>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hAnsi="等线" w:eastAsia="仿宋_GB2312" w:cs="宋体"/>
      <w:color w:val="000000"/>
      <w:kern w:val="2"/>
      <w:sz w:val="24"/>
      <w:szCs w:val="22"/>
      <w:lang w:val="en-US" w:eastAsia="zh-CN" w:bidi="ar-SA"/>
    </w:rPr>
  </w:style>
  <w:style w:type="character" w:customStyle="1" w:styleId="74">
    <w:name w:val="页脚 Char"/>
    <w:qFormat/>
    <w:uiPriority w:val="99"/>
    <w:rPr>
      <w:sz w:val="18"/>
    </w:rPr>
  </w:style>
  <w:style w:type="character" w:customStyle="1" w:styleId="75">
    <w:name w:val="批注文字 字符1"/>
    <w:basedOn w:val="37"/>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qFormat/>
    <w:uiPriority w:val="99"/>
    <w:rPr>
      <w:rFonts w:ascii="Microsoft YaHei UI" w:eastAsia="Microsoft YaHei UI"/>
      <w:sz w:val="18"/>
      <w:szCs w:val="18"/>
    </w:rPr>
  </w:style>
  <w:style w:type="character" w:customStyle="1" w:styleId="79">
    <w:name w:val="文档结构图 字符11"/>
    <w:basedOn w:val="37"/>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qFormat/>
    <w:uiPriority w:val="99"/>
    <w:rPr>
      <w:rFonts w:ascii="等线" w:hAnsi="Courier New" w:cs="Courier New"/>
    </w:rPr>
  </w:style>
  <w:style w:type="character" w:customStyle="1" w:styleId="82">
    <w:name w:val="纯文本 字符11"/>
    <w:basedOn w:val="37"/>
    <w:qFormat/>
    <w:uiPriority w:val="0"/>
    <w:rPr>
      <w:rFonts w:ascii="等线" w:hAnsi="Courier New" w:eastAsia="等线" w:cs="Courier New"/>
      <w:kern w:val="2"/>
      <w:sz w:val="21"/>
    </w:rPr>
  </w:style>
  <w:style w:type="character" w:customStyle="1" w:styleId="83">
    <w:name w:val="页眉 字符1"/>
    <w:basedOn w:val="37"/>
    <w:qFormat/>
    <w:uiPriority w:val="99"/>
    <w:rPr>
      <w:sz w:val="18"/>
      <w:szCs w:val="18"/>
    </w:rPr>
  </w:style>
  <w:style w:type="character" w:customStyle="1" w:styleId="84">
    <w:name w:val="页眉 字符11"/>
    <w:basedOn w:val="37"/>
    <w:qFormat/>
    <w:uiPriority w:val="99"/>
    <w:rPr>
      <w:rFonts w:cs="Times New Roman"/>
      <w:kern w:val="2"/>
      <w:sz w:val="18"/>
      <w:szCs w:val="18"/>
    </w:rPr>
  </w:style>
  <w:style w:type="character" w:customStyle="1" w:styleId="85">
    <w:name w:val="批注框文本 字符1"/>
    <w:basedOn w:val="37"/>
    <w:qFormat/>
    <w:uiPriority w:val="99"/>
    <w:rPr>
      <w:sz w:val="18"/>
      <w:szCs w:val="18"/>
    </w:rPr>
  </w:style>
  <w:style w:type="character" w:customStyle="1" w:styleId="86">
    <w:name w:val="批注框文本 字符11"/>
    <w:basedOn w:val="37"/>
    <w:qFormat/>
    <w:uiPriority w:val="99"/>
    <w:rPr>
      <w:rFonts w:cs="Times New Roman"/>
      <w:kern w:val="2"/>
      <w:sz w:val="18"/>
      <w:szCs w:val="18"/>
    </w:rPr>
  </w:style>
  <w:style w:type="character" w:customStyle="1" w:styleId="87">
    <w:name w:val="日期 字符1"/>
    <w:basedOn w:val="37"/>
    <w:qFormat/>
    <w:uiPriority w:val="99"/>
  </w:style>
  <w:style w:type="character" w:customStyle="1" w:styleId="88">
    <w:name w:val="日期 字符11"/>
    <w:basedOn w:val="37"/>
    <w:qFormat/>
    <w:uiPriority w:val="99"/>
    <w:rPr>
      <w:rFonts w:cs="Times New Roman"/>
      <w:kern w:val="2"/>
      <w:sz w:val="21"/>
    </w:rPr>
  </w:style>
  <w:style w:type="character" w:customStyle="1" w:styleId="89">
    <w:name w:val="页脚 字符1"/>
    <w:basedOn w:val="37"/>
    <w:qFormat/>
    <w:uiPriority w:val="99"/>
    <w:rPr>
      <w:sz w:val="18"/>
      <w:szCs w:val="18"/>
    </w:rPr>
  </w:style>
  <w:style w:type="character" w:customStyle="1" w:styleId="90">
    <w:name w:val="页脚 字符11"/>
    <w:basedOn w:val="37"/>
    <w:qFormat/>
    <w:uiPriority w:val="99"/>
    <w:rPr>
      <w:rFonts w:cs="Times New Roman"/>
      <w:kern w:val="2"/>
      <w:sz w:val="18"/>
      <w:szCs w:val="18"/>
    </w:rPr>
  </w:style>
  <w:style w:type="character" w:customStyle="1" w:styleId="91">
    <w:name w:val="正文文本缩进 2 字符1"/>
    <w:basedOn w:val="37"/>
    <w:qFormat/>
    <w:uiPriority w:val="99"/>
  </w:style>
  <w:style w:type="character" w:customStyle="1" w:styleId="92">
    <w:name w:val="正文文本缩进 2 字符11"/>
    <w:basedOn w:val="37"/>
    <w:qFormat/>
    <w:uiPriority w:val="99"/>
    <w:rPr>
      <w:rFonts w:cs="Times New Roman"/>
      <w:kern w:val="2"/>
      <w:sz w:val="21"/>
    </w:rPr>
  </w:style>
  <w:style w:type="character" w:customStyle="1" w:styleId="93">
    <w:name w:val="正文文本缩进 3 字符1"/>
    <w:basedOn w:val="37"/>
    <w:qFormat/>
    <w:uiPriority w:val="99"/>
    <w:rPr>
      <w:sz w:val="16"/>
      <w:szCs w:val="16"/>
    </w:rPr>
  </w:style>
  <w:style w:type="character" w:customStyle="1" w:styleId="94">
    <w:name w:val="正文文本缩进 3 字符11"/>
    <w:basedOn w:val="37"/>
    <w:qFormat/>
    <w:uiPriority w:val="99"/>
    <w:rPr>
      <w:rFonts w:cs="Times New Roman"/>
      <w:kern w:val="2"/>
      <w:sz w:val="16"/>
      <w:szCs w:val="16"/>
    </w:rPr>
  </w:style>
  <w:style w:type="character" w:customStyle="1" w:styleId="95">
    <w:name w:val="批注主题 字符1"/>
    <w:basedOn w:val="75"/>
    <w:qFormat/>
    <w:uiPriority w:val="99"/>
    <w:rPr>
      <w:b/>
      <w:bCs/>
    </w:rPr>
  </w:style>
  <w:style w:type="character" w:customStyle="1" w:styleId="96">
    <w:name w:val="批注主题 字符11"/>
    <w:basedOn w:val="76"/>
    <w:qFormat/>
    <w:uiPriority w:val="99"/>
    <w:rPr>
      <w:rFonts w:cs="Times New Roman"/>
      <w:b/>
      <w:bCs/>
      <w:kern w:val="2"/>
      <w:sz w:val="21"/>
    </w:rPr>
  </w:style>
  <w:style w:type="character" w:customStyle="1" w:styleId="97">
    <w:name w:val="标题 字符1"/>
    <w:basedOn w:val="37"/>
    <w:qFormat/>
    <w:uiPriority w:val="10"/>
    <w:rPr>
      <w:rFonts w:ascii="等线 Light" w:hAnsi="等线 Light" w:eastAsia="等线 Light" w:cs="宋体"/>
      <w:b/>
      <w:bCs/>
      <w:sz w:val="32"/>
      <w:szCs w:val="32"/>
    </w:rPr>
  </w:style>
  <w:style w:type="character" w:customStyle="1" w:styleId="98">
    <w:name w:val="标题 字符11"/>
    <w:basedOn w:val="37"/>
    <w:qFormat/>
    <w:uiPriority w:val="10"/>
    <w:rPr>
      <w:rFonts w:ascii="等线 Light" w:hAnsi="等线 Light" w:eastAsia="等线 Light" w:cs="Times New Roman"/>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2"/>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uiPriority w:val="0"/>
    <w:rPr>
      <w:rFonts w:ascii="宋体" w:hAnsi="宋体" w:eastAsia="黑体" w:cs="Times New Roman"/>
      <w:bCs/>
      <w:sz w:val="28"/>
      <w:szCs w:val="30"/>
    </w:rPr>
  </w:style>
  <w:style w:type="character" w:customStyle="1" w:styleId="116">
    <w:name w:val="标书表格 字符"/>
    <w:link w:val="114"/>
    <w:qFormat/>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uiPriority w:val="0"/>
    <w:rPr>
      <w:rFonts w:ascii="Times New Roman" w:hAnsi="Times New Roman" w:eastAsia="宋体" w:cs="Times New Roman"/>
      <w:b/>
      <w:bCs/>
      <w:color w:val="000000"/>
      <w:sz w:val="24"/>
      <w:szCs w:val="24"/>
    </w:rPr>
  </w:style>
  <w:style w:type="character" w:customStyle="1" w:styleId="119">
    <w:name w:val="标三级标题 字符"/>
    <w:link w:val="120"/>
    <w:qFormat/>
    <w:uiPriority w:val="0"/>
    <w:rPr>
      <w:b/>
      <w:color w:val="000000"/>
      <w:sz w:val="24"/>
    </w:rPr>
  </w:style>
  <w:style w:type="paragraph" w:customStyle="1" w:styleId="120">
    <w:name w:val="标三级标题"/>
    <w:basedOn w:val="117"/>
    <w:link w:val="119"/>
    <w:qFormat/>
    <w:uiPriority w:val="0"/>
    <w:rPr>
      <w:rFonts w:ascii="等线" w:hAnsi="等线" w:eastAsia="等线" w:cs="宋体"/>
      <w:bCs w:val="0"/>
      <w:szCs w:val="22"/>
    </w:rPr>
  </w:style>
  <w:style w:type="character" w:customStyle="1" w:styleId="121">
    <w:name w:val="标正文 字符"/>
    <w:link w:val="122"/>
    <w:qFormat/>
    <w:uiPriority w:val="0"/>
    <w:rPr>
      <w:rFonts w:ascii="宋体" w:eastAsia="宋体"/>
      <w:color w:val="000000"/>
      <w:sz w:val="24"/>
    </w:rPr>
  </w:style>
  <w:style w:type="paragraph" w:customStyle="1" w:styleId="122">
    <w:name w:val="标正文"/>
    <w:basedOn w:val="111"/>
    <w:link w:val="121"/>
    <w:qFormat/>
    <w:uiPriority w:val="0"/>
    <w:pPr>
      <w:ind w:firstLine="480"/>
    </w:pPr>
    <w:rPr>
      <w:rFonts w:hAnsi="等线" w:eastAsia="宋体"/>
      <w:szCs w:val="22"/>
    </w:rPr>
  </w:style>
  <w:style w:type="paragraph" w:customStyle="1" w:styleId="123">
    <w:name w:val="TOC 标题1"/>
    <w:basedOn w:val="3"/>
    <w:next w:val="1"/>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customXml" Target="../customXml/item2.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footer" Target="foot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header" Target="header5.xml"/><Relationship Id="rId30" Type="http://schemas.openxmlformats.org/officeDocument/2006/relationships/header" Target="header4.xml"/><Relationship Id="rId3" Type="http://schemas.openxmlformats.org/officeDocument/2006/relationships/footer" Target="footer1.xml"/><Relationship Id="rId29" Type="http://schemas.openxmlformats.org/officeDocument/2006/relationships/footer" Target="footer24.xml"/><Relationship Id="rId28" Type="http://schemas.openxmlformats.org/officeDocument/2006/relationships/footer" Target="footer23.xml"/><Relationship Id="rId27" Type="http://schemas.openxmlformats.org/officeDocument/2006/relationships/footer" Target="footer22.xml"/><Relationship Id="rId26" Type="http://schemas.openxmlformats.org/officeDocument/2006/relationships/footer" Target="footer21.xml"/><Relationship Id="rId25" Type="http://schemas.openxmlformats.org/officeDocument/2006/relationships/footer" Target="footer20.xml"/><Relationship Id="rId24" Type="http://schemas.openxmlformats.org/officeDocument/2006/relationships/footer" Target="footer19.xml"/><Relationship Id="rId23" Type="http://schemas.openxmlformats.org/officeDocument/2006/relationships/footer" Target="footer18.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79</Pages>
  <Words>34455</Words>
  <Characters>36797</Characters>
  <Paragraphs>2396</Paragraphs>
  <TotalTime>24</TotalTime>
  <ScaleCrop>false</ScaleCrop>
  <LinksUpToDate>false</LinksUpToDate>
  <CharactersWithSpaces>43043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孔明伟</cp:lastModifiedBy>
  <cp:lastPrinted>2022-07-01T03:19:00Z</cp:lastPrinted>
  <dcterms:modified xsi:type="dcterms:W3CDTF">2023-04-21T09:14:56Z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2AD029C490574E2F9EF024DBE62E5144_13</vt:lpwstr>
  </property>
</Properties>
</file>