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AE35B">
      <w:pPr>
        <w:pStyle w:val="2"/>
        <w:widowControl/>
        <w:jc w:val="center"/>
        <w:rPr>
          <w:rFonts w:hint="eastAsia" w:ascii="Cambria" w:hAnsi="Cambria" w:eastAsia="宋体" w:cs="宋体"/>
          <w:b/>
          <w:bCs/>
          <w:i w:val="0"/>
          <w:iCs/>
          <w:sz w:val="22"/>
          <w:szCs w:val="22"/>
          <w:highlight w:val="none"/>
          <w:lang w:eastAsia="zh-CN"/>
        </w:rPr>
      </w:pPr>
      <w:bookmarkStart w:id="0" w:name="_Toc27465"/>
      <w:r>
        <w:rPr>
          <w:rFonts w:hint="eastAsia" w:ascii="Cambria" w:hAnsi="Cambria" w:eastAsia="宋体" w:cs="宋体"/>
          <w:b/>
          <w:bCs/>
          <w:i w:val="0"/>
          <w:iCs/>
          <w:sz w:val="22"/>
          <w:szCs w:val="22"/>
          <w:highlight w:val="none"/>
          <w:lang w:eastAsia="zh-CN"/>
        </w:rPr>
        <w:t>车辆证书采购项目</w:t>
      </w:r>
    </w:p>
    <w:p w14:paraId="2538CB01">
      <w:pPr>
        <w:pStyle w:val="2"/>
        <w:widowControl/>
        <w:jc w:val="center"/>
        <w:rPr>
          <w:rFonts w:hint="eastAsia" w:ascii="Cambria" w:hAnsi="Cambria" w:eastAsia="宋体" w:cs="宋体"/>
          <w:b/>
          <w:bCs/>
          <w:i w:val="0"/>
          <w:iCs/>
          <w:sz w:val="22"/>
          <w:szCs w:val="22"/>
          <w:highlight w:val="none"/>
          <w:lang w:eastAsia="zh-CN"/>
        </w:rPr>
      </w:pPr>
      <w:r>
        <w:rPr>
          <w:rFonts w:hint="eastAsia" w:ascii="Cambria" w:hAnsi="Cambria" w:eastAsia="宋体" w:cs="宋体"/>
          <w:b/>
          <w:bCs/>
          <w:i w:val="0"/>
          <w:iCs/>
          <w:sz w:val="22"/>
          <w:szCs w:val="22"/>
          <w:highlight w:val="none"/>
          <w:lang w:eastAsia="zh-CN"/>
        </w:rPr>
        <w:t>招标编号：（ZBGL2026090175 ）</w:t>
      </w:r>
      <w:bookmarkEnd w:id="0"/>
    </w:p>
    <w:p w14:paraId="24774EDC">
      <w:pPr>
        <w:rPr>
          <w:rFonts w:hint="eastAsia" w:asciiTheme="majorEastAsia" w:hAnsiTheme="majorEastAsia" w:eastAsiaTheme="majorEastAsia" w:cstheme="majorEastAsia"/>
          <w:b/>
          <w:bCs/>
          <w:sz w:val="24"/>
          <w:szCs w:val="24"/>
        </w:rPr>
      </w:pPr>
    </w:p>
    <w:p w14:paraId="38C4E671">
      <w:pPr>
        <w:rPr>
          <w:rFonts w:hint="eastAsia" w:asciiTheme="majorEastAsia" w:hAnsiTheme="majorEastAsia" w:eastAsiaTheme="majorEastAsia" w:cstheme="majorEastAsia"/>
          <w:b/>
          <w:bCs/>
          <w:sz w:val="24"/>
          <w:szCs w:val="24"/>
        </w:rPr>
      </w:pPr>
    </w:p>
    <w:tbl>
      <w:tblPr>
        <w:tblStyle w:val="11"/>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7CDB0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0" w:hRule="atLeast"/>
          <w:jc w:val="center"/>
        </w:trPr>
        <w:tc>
          <w:tcPr>
            <w:tcW w:w="2199" w:type="dxa"/>
            <w:shd w:val="clear" w:color="auto" w:fill="DEDEDE"/>
            <w:vAlign w:val="center"/>
          </w:tcPr>
          <w:p w14:paraId="52EADA8B">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74BA8EA9">
            <w:pPr>
              <w:keepNext w:val="0"/>
              <w:keepLines w:val="0"/>
              <w:widowControl/>
              <w:suppressLineNumbers w:val="0"/>
              <w:spacing w:before="0" w:beforeAutospacing="0" w:after="0" w:afterAutospacing="0" w:line="300" w:lineRule="atLeast"/>
              <w:ind w:left="0" w:right="0" w:firstLine="480" w:firstLineChars="200"/>
              <w:jc w:val="left"/>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2026-10-8 </w:t>
            </w:r>
          </w:p>
        </w:tc>
        <w:tc>
          <w:tcPr>
            <w:tcW w:w="2200" w:type="dxa"/>
            <w:shd w:val="clear" w:color="auto" w:fill="DEDEDE"/>
            <w:vAlign w:val="center"/>
          </w:tcPr>
          <w:p w14:paraId="79C8B3E5">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0B5E7584">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2026-10-14 </w:t>
            </w:r>
          </w:p>
        </w:tc>
      </w:tr>
    </w:tbl>
    <w:p w14:paraId="40D0D37B">
      <w:pPr>
        <w:rPr>
          <w:rFonts w:hint="eastAsia" w:asciiTheme="majorEastAsia" w:hAnsiTheme="majorEastAsia" w:eastAsiaTheme="majorEastAsia" w:cstheme="majorEastAsia"/>
          <w:b/>
          <w:bCs/>
          <w:sz w:val="24"/>
          <w:szCs w:val="24"/>
        </w:rPr>
      </w:pPr>
    </w:p>
    <w:p w14:paraId="3B47EF56">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14:paraId="472C57F9">
      <w:pPr>
        <w:ind w:firstLine="48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根据中国重</w:t>
      </w:r>
      <w:r>
        <w:rPr>
          <w:rFonts w:hint="eastAsia" w:ascii="仿宋_GB2312" w:hAnsi="仿宋_GB2312" w:eastAsia="仿宋_GB2312" w:cs="仿宋_GB2312"/>
          <w:sz w:val="24"/>
          <w:szCs w:val="24"/>
          <w:highlight w:val="none"/>
          <w:lang w:val="en-US" w:eastAsia="zh-CN"/>
        </w:rPr>
        <w:t>型汽车</w:t>
      </w:r>
      <w:r>
        <w:rPr>
          <w:rFonts w:hint="eastAsia" w:ascii="仿宋_GB2312" w:hAnsi="仿宋_GB2312" w:eastAsia="仿宋_GB2312" w:cs="仿宋_GB2312"/>
          <w:sz w:val="24"/>
          <w:szCs w:val="24"/>
          <w:highlight w:val="none"/>
        </w:rPr>
        <w:t>集团有限公司的使用需求，对车辆证书采购项目进行公开招标，资金已落实，该项目具备招标条件，现组织公开招标，欢迎合格潜在投标人前来参加投标。</w:t>
      </w:r>
    </w:p>
    <w:p w14:paraId="7A1685D8">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14:paraId="0E642E8B">
      <w:pPr>
        <w:rPr>
          <w:rFonts w:hint="eastAsia" w:ascii="仿宋_GB2312" w:hAnsi="仿宋_GB2312" w:eastAsia="仿宋_GB2312" w:cs="仿宋_GB2312"/>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项目名称：车辆证书采购项目</w:t>
      </w:r>
    </w:p>
    <w:p w14:paraId="580B950B">
      <w:pPr>
        <w:ind w:firstLine="480"/>
        <w:rPr>
          <w:rFonts w:hint="eastAsia" w:ascii="仿宋_GB2312" w:hAnsi="仿宋_GB2312" w:eastAsia="仿宋_GB2312" w:cs="仿宋_GB2312"/>
          <w:sz w:val="24"/>
          <w:szCs w:val="24"/>
          <w:highlight w:val="yellow"/>
          <w:lang w:val="en-US" w:eastAsia="zh-CN"/>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项目类别：</w:t>
      </w:r>
      <w:r>
        <w:rPr>
          <w:rFonts w:hint="eastAsia" w:ascii="仿宋_GB2312" w:hAnsi="仿宋_GB2312" w:eastAsia="仿宋_GB2312" w:cs="仿宋_GB2312"/>
          <w:sz w:val="24"/>
          <w:szCs w:val="24"/>
          <w:lang w:val="en-US" w:eastAsia="zh-CN"/>
        </w:rPr>
        <w:t>直管单位非生产招标 / 货物 / 车辆证书</w:t>
      </w:r>
    </w:p>
    <w:p w14:paraId="56C59FDB">
      <w:pPr>
        <w:ind w:firstLine="48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3</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采购方式：</w:t>
      </w:r>
      <w:r>
        <w:rPr>
          <w:rFonts w:hint="eastAsia" w:ascii="仿宋_GB2312" w:hAnsi="仿宋_GB2312" w:eastAsia="仿宋_GB2312" w:cs="仿宋_GB2312"/>
          <w:sz w:val="24"/>
          <w:szCs w:val="24"/>
          <w:lang w:val="en-US" w:eastAsia="zh-CN"/>
        </w:rPr>
        <w:t>公开招标</w:t>
      </w:r>
    </w:p>
    <w:p w14:paraId="3BC11B35">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4</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采购内容：</w:t>
      </w:r>
      <w:r>
        <w:rPr>
          <w:rFonts w:hint="eastAsia"/>
        </w:rPr>
        <w:t>车辆证书</w:t>
      </w:r>
      <w:r>
        <w:rPr>
          <w:rFonts w:hint="eastAsia" w:ascii="仿宋_GB2312" w:hAnsi="仿宋_GB2312" w:eastAsia="仿宋_GB2312" w:cs="仿宋_GB2312"/>
          <w:sz w:val="24"/>
          <w:szCs w:val="24"/>
          <w:highlight w:val="none"/>
          <w:u w:val="none"/>
          <w:lang w:val="en-US" w:eastAsia="zh-CN"/>
        </w:rPr>
        <w:t>。</w:t>
      </w:r>
      <w:r>
        <w:rPr>
          <w:rFonts w:hint="eastAsia" w:ascii="仿宋_GB2312" w:hAnsi="仿宋_GB2312" w:eastAsia="仿宋_GB2312" w:cs="仿宋_GB2312"/>
          <w:sz w:val="24"/>
          <w:szCs w:val="24"/>
        </w:rPr>
        <w:t xml:space="preserve"> </w:t>
      </w:r>
    </w:p>
    <w:p w14:paraId="0F94CFE6">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三、供应商资格条件  </w:t>
      </w:r>
    </w:p>
    <w:p w14:paraId="2ADC8124">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⑴投标人须遵守《中华人民共和国招标投标法》、《中华人民共和国民法典》及其它有关的法律和法规；为中华人民共和国境内注册的独立法人机构，具有独立承担民事责任能力，注册资金不少于200万人民币（或等值其他货币）。</w:t>
      </w:r>
    </w:p>
    <w:p w14:paraId="453EA803">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⑵公司成立一年以上（以营业执照成立日期到开标当日满一年为准）；公司经营范围满足招标项目需求；具有有效的三证合一营业执照。</w:t>
      </w:r>
    </w:p>
    <w:p w14:paraId="7DC72A72">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⑶投标人须提供具有统一社会信用代码的三证合一的营业执照副本原件及复印件（加盖公章）。</w:t>
      </w:r>
    </w:p>
    <w:p w14:paraId="45E2751A">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⑷具有良好的商业信誉，在国家企业信用信息公示系统中无与招标项目有关的重大行政处罚、列入经营异常名录和列入严重违法失信企业名单（黑名单）信息或上述信息已被移除。</w:t>
      </w:r>
    </w:p>
    <w:p w14:paraId="4248F819">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⑸投标人在近三年内在经营活动中无违法记录。</w:t>
      </w:r>
    </w:p>
    <w:p w14:paraId="66678348">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⑹具有健全的财务会计制度，财务状况和市场行为良好。没有处于被有权机关吊销营业执照、吊销资质、停业整顿、取消投标资格以及财产被接管、冻结或进入破产程序等。投标人提供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5C52C568">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⑺投标人没有被列入招标人处《黑名单》（《黑名单》指投标人与招标人在以往或正在进行的合作中，存在招标人认为的违反合同约定或违反法律法规等的失信行为）的。</w:t>
      </w:r>
    </w:p>
    <w:p w14:paraId="37B9D795">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⑻投标人须提供法人授权委托书原件（在投标文件副本中可用复印件）及投标单位的法定代表人或授权代表的身份证原件及复印件（加盖公章），法人到场的，出具法定代表人资格证明文件。</w:t>
      </w:r>
    </w:p>
    <w:p w14:paraId="429B03C5">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⑼投标人须具有履行合同所必须的设备（凹印机等）、财务、技术、服务等方面的资质和能力。投标人须提供具备凹印机的相关证明材料。</w:t>
      </w:r>
    </w:p>
    <w:p w14:paraId="6405FF4B">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⑽投标人须具有完全履行招标文件的所有要求的能力。</w:t>
      </w:r>
    </w:p>
    <w:p w14:paraId="6854087A">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⑾投标人须负责提供合理的便于运输的包装物，并承担相关费用。送货车辆如需进厂，须为中国重汽品牌车辆。</w:t>
      </w:r>
    </w:p>
    <w:p w14:paraId="797D5FC5">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⑿投标人须认可招标人的工作指令，包括节、假日能正常开展工作的要求。</w:t>
      </w:r>
    </w:p>
    <w:p w14:paraId="1F07F33C">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⒀投标人必须是最终投标、签订合同的单位，不得以任何理由将已中标项目以任何形式转包或者分包给其他单位。</w:t>
      </w:r>
    </w:p>
    <w:p w14:paraId="2367456F">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⒁本次招标项目不接受联合体投标。</w:t>
      </w:r>
    </w:p>
    <w:p w14:paraId="3401738B">
      <w:pPr>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⒂逾期的投标文件招标人不予受理。</w:t>
      </w:r>
    </w:p>
    <w:p w14:paraId="02157DD2">
      <w:pPr>
        <w:ind w:firstLine="482" w:firstLineChars="200"/>
        <w:rPr>
          <w:rFonts w:hint="eastAsia" w:ascii="仿宋_GB2312" w:hAnsi="仿宋_GB2312" w:eastAsia="仿宋_GB2312" w:cs="仿宋_GB2312"/>
          <w:b w:val="0"/>
          <w:bCs w:val="0"/>
          <w:sz w:val="24"/>
          <w:szCs w:val="24"/>
          <w:highlight w:val="none"/>
          <w:lang w:eastAsia="zh-CN"/>
        </w:rPr>
      </w:pPr>
      <w:r>
        <w:rPr>
          <w:rFonts w:hint="eastAsia" w:asciiTheme="majorEastAsia" w:hAnsiTheme="majorEastAsia" w:eastAsiaTheme="majorEastAsia" w:cstheme="majorEastAsia"/>
          <w:b/>
          <w:bCs/>
          <w:sz w:val="24"/>
          <w:szCs w:val="24"/>
          <w:lang w:val="en-US" w:eastAsia="zh-CN"/>
        </w:rPr>
        <w:t>四</w:t>
      </w:r>
      <w:r>
        <w:rPr>
          <w:rFonts w:hint="eastAsia" w:asciiTheme="majorEastAsia" w:hAnsiTheme="majorEastAsia" w:eastAsiaTheme="majorEastAsia" w:cstheme="majorEastAsia"/>
          <w:b/>
          <w:bCs/>
          <w:sz w:val="24"/>
          <w:szCs w:val="24"/>
        </w:rPr>
        <w:t>、报名方式</w:t>
      </w:r>
    </w:p>
    <w:p w14:paraId="067FB587">
      <w:pPr>
        <w:pStyle w:val="27"/>
        <w:numPr>
          <w:ilvl w:val="1"/>
          <w:numId w:val="2"/>
        </w:numPr>
        <w:spacing w:line="44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拟投标人根据招标人在中国重汽官网</w:t>
      </w:r>
      <w:r>
        <w:rPr>
          <w:rFonts w:hint="eastAsia" w:ascii="仿宋_GB2312" w:hAnsi="仿宋_GB2312" w:eastAsia="仿宋_GB2312" w:cs="仿宋_GB2312"/>
          <w:sz w:val="24"/>
          <w:szCs w:val="24"/>
          <w:lang w:val="en-US" w:eastAsia="zh-CN"/>
        </w:rPr>
        <w:t>等</w:t>
      </w:r>
      <w:r>
        <w:rPr>
          <w:rFonts w:hint="eastAsia" w:ascii="仿宋_GB2312" w:hAnsi="仿宋_GB2312" w:eastAsia="仿宋_GB2312" w:cs="仿宋_GB2312"/>
          <w:sz w:val="24"/>
          <w:szCs w:val="24"/>
        </w:rPr>
        <w:t>公开媒体上发布的招标信息，在</w:t>
      </w:r>
      <w:r>
        <w:rPr>
          <w:rFonts w:hint="eastAsia" w:ascii="仿宋_GB2312" w:hAnsi="仿宋_GB2312" w:eastAsia="仿宋_GB2312" w:cs="仿宋_GB2312"/>
          <w:b/>
          <w:bCs/>
          <w:sz w:val="24"/>
          <w:szCs w:val="24"/>
        </w:rPr>
        <w:t>“中国重汽e采通”</w:t>
      </w:r>
      <w:r>
        <w:rPr>
          <w:rFonts w:hint="eastAsia" w:ascii="仿宋_GB2312" w:hAnsi="仿宋_GB2312" w:eastAsia="仿宋_GB2312" w:cs="仿宋_GB2312"/>
          <w:sz w:val="24"/>
          <w:szCs w:val="24"/>
        </w:rPr>
        <w:t>平台报名。具体流程如下：</w:t>
      </w:r>
    </w:p>
    <w:p w14:paraId="6C63A6F9">
      <w:pPr>
        <w:pStyle w:val="27"/>
        <w:spacing w:before="78" w:beforeLines="25" w:line="440" w:lineRule="exact"/>
        <w:ind w:left="420" w:leftChars="200" w:firstLine="48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①系统注册与信息维护</w:t>
      </w:r>
    </w:p>
    <w:p w14:paraId="4609A1BB">
      <w:pPr>
        <w:pStyle w:val="27"/>
        <w:numPr>
          <w:ilvl w:val="0"/>
          <w:numId w:val="3"/>
        </w:numPr>
        <w:spacing w:line="440" w:lineRule="exact"/>
        <w:ind w:leftChars="200" w:firstLine="482"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首次注册供应商：</w:t>
      </w:r>
      <w:r>
        <w:rPr>
          <w:rFonts w:hint="eastAsia" w:ascii="仿宋_GB2312" w:hAnsi="仿宋_GB2312" w:eastAsia="仿宋_GB2312" w:cs="仿宋_GB2312"/>
          <w:sz w:val="24"/>
          <w:szCs w:val="24"/>
        </w:rPr>
        <w:t>请根据《SRM非生产供应商注册手册》</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highlight w:val="yellow"/>
        </w:rPr>
        <w:t>附件</w:t>
      </w:r>
      <w:r>
        <w:rPr>
          <w:rFonts w:hint="eastAsia" w:ascii="仿宋_GB2312" w:hAnsi="仿宋_GB2312" w:eastAsia="仿宋_GB2312" w:cs="仿宋_GB2312"/>
          <w:color w:val="auto"/>
          <w:sz w:val="24"/>
          <w:szCs w:val="24"/>
          <w:highlight w:val="yellow"/>
          <w:lang w:val="en-US" w:eastAsia="zh-CN"/>
        </w:rPr>
        <w:t>4</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sz w:val="24"/>
          <w:szCs w:val="24"/>
        </w:rPr>
        <w:t>完成平台账号注册。</w:t>
      </w:r>
    </w:p>
    <w:p w14:paraId="7A8E65C3">
      <w:pPr>
        <w:pStyle w:val="27"/>
        <w:numPr>
          <w:ilvl w:val="0"/>
          <w:numId w:val="3"/>
        </w:numPr>
        <w:spacing w:line="440" w:lineRule="exact"/>
        <w:ind w:leftChars="200" w:firstLine="482"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已注册供应商：</w:t>
      </w:r>
      <w:r>
        <w:rPr>
          <w:rFonts w:hint="eastAsia" w:ascii="仿宋_GB2312" w:hAnsi="仿宋_GB2312" w:eastAsia="仿宋_GB2312" w:cs="仿宋_GB2312"/>
          <w:sz w:val="24"/>
          <w:szCs w:val="24"/>
        </w:rPr>
        <w:t>请登录系统核对系统中</w:t>
      </w:r>
      <w:r>
        <w:rPr>
          <w:rFonts w:hint="eastAsia" w:ascii="仿宋_GB2312" w:hAnsi="仿宋_GB2312" w:eastAsia="仿宋_GB2312" w:cs="仿宋_GB2312"/>
          <w:b/>
          <w:bCs/>
          <w:sz w:val="24"/>
          <w:szCs w:val="24"/>
        </w:rPr>
        <w:t>202</w:t>
      </w:r>
      <w:r>
        <w:rPr>
          <w:rFonts w:hint="eastAsia" w:ascii="仿宋_GB2312" w:hAnsi="仿宋_GB2312" w:eastAsia="仿宋_GB2312" w:cs="仿宋_GB2312"/>
          <w:b/>
          <w:bCs/>
          <w:sz w:val="24"/>
          <w:szCs w:val="24"/>
          <w:lang w:val="en-US" w:eastAsia="zh-CN"/>
        </w:rPr>
        <w:t>3</w:t>
      </w:r>
      <w:r>
        <w:rPr>
          <w:rFonts w:hint="eastAsia" w:ascii="仿宋_GB2312" w:hAnsi="仿宋_GB2312" w:eastAsia="仿宋_GB2312" w:cs="仿宋_GB2312"/>
          <w:b/>
          <w:bCs/>
          <w:sz w:val="24"/>
          <w:szCs w:val="24"/>
        </w:rPr>
        <w:t>-202</w:t>
      </w:r>
      <w:r>
        <w:rPr>
          <w:rFonts w:hint="eastAsia" w:ascii="仿宋_GB2312" w:hAnsi="仿宋_GB2312" w:eastAsia="仿宋_GB2312" w:cs="仿宋_GB2312"/>
          <w:b/>
          <w:bCs/>
          <w:sz w:val="24"/>
          <w:szCs w:val="24"/>
          <w:lang w:val="en-US" w:eastAsia="zh-CN"/>
        </w:rPr>
        <w:t>5</w:t>
      </w:r>
      <w:r>
        <w:rPr>
          <w:rFonts w:hint="eastAsia" w:ascii="仿宋_GB2312" w:hAnsi="仿宋_GB2312" w:eastAsia="仿宋_GB2312" w:cs="仿宋_GB2312"/>
          <w:b/>
          <w:bCs/>
          <w:sz w:val="24"/>
          <w:szCs w:val="24"/>
        </w:rPr>
        <w:t>年度财务数据</w:t>
      </w:r>
      <w:r>
        <w:rPr>
          <w:rFonts w:hint="eastAsia" w:ascii="仿宋_GB2312" w:hAnsi="仿宋_GB2312" w:eastAsia="仿宋_GB2312" w:cs="仿宋_GB2312"/>
          <w:sz w:val="24"/>
          <w:szCs w:val="24"/>
        </w:rPr>
        <w:t>。如尚未填写或信息不全，请参照《SRM非生产供应商注册手册》</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highlight w:val="yellow"/>
        </w:rPr>
        <w:t>附件</w:t>
      </w:r>
      <w:r>
        <w:rPr>
          <w:rFonts w:hint="eastAsia" w:ascii="仿宋_GB2312" w:hAnsi="仿宋_GB2312" w:eastAsia="仿宋_GB2312" w:cs="仿宋_GB2312"/>
          <w:color w:val="auto"/>
          <w:sz w:val="24"/>
          <w:szCs w:val="24"/>
          <w:highlight w:val="yellow"/>
          <w:lang w:val="en-US" w:eastAsia="zh-CN"/>
        </w:rPr>
        <w:t>4</w:t>
      </w:r>
      <w:r>
        <w:rPr>
          <w:rFonts w:hint="eastAsia" w:ascii="仿宋_GB2312" w:hAnsi="仿宋_GB2312" w:eastAsia="仿宋_GB2312" w:cs="仿宋_GB2312"/>
          <w:sz w:val="24"/>
          <w:szCs w:val="24"/>
        </w:rPr>
        <w:t>）及时进行补充与更新，确保信息真实、完整。</w:t>
      </w:r>
    </w:p>
    <w:p w14:paraId="43E2DA15">
      <w:pPr>
        <w:pStyle w:val="27"/>
        <w:spacing w:before="78" w:beforeLines="25" w:line="440" w:lineRule="exact"/>
        <w:ind w:left="420" w:leftChars="200" w:firstLine="48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②应标流程</w:t>
      </w:r>
    </w:p>
    <w:p w14:paraId="70D5355D">
      <w:pPr>
        <w:pStyle w:val="27"/>
        <w:spacing w:line="440" w:lineRule="exact"/>
        <w:ind w:left="420" w:leftChars="200" w:firstLine="48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注册及财务数据维护完成后，参照《SRM系统供应商用户手册》</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highlight w:val="yellow"/>
        </w:rPr>
        <w:t>附件</w:t>
      </w:r>
      <w:r>
        <w:rPr>
          <w:rFonts w:hint="eastAsia" w:ascii="仿宋_GB2312" w:hAnsi="仿宋_GB2312" w:eastAsia="仿宋_GB2312" w:cs="仿宋_GB2312"/>
          <w:color w:val="auto"/>
          <w:sz w:val="24"/>
          <w:szCs w:val="24"/>
          <w:highlight w:val="yellow"/>
          <w:lang w:val="en-US" w:eastAsia="zh-CN"/>
        </w:rPr>
        <w:t>5</w:t>
      </w:r>
      <w:r>
        <w:rPr>
          <w:rFonts w:hint="eastAsia" w:ascii="仿宋_GB2312" w:hAnsi="仿宋_GB2312" w:eastAsia="仿宋_GB2312" w:cs="仿宋_GB2312"/>
          <w:sz w:val="24"/>
          <w:szCs w:val="24"/>
        </w:rPr>
        <w:t>）登录平台，进入“供应商应标”模块，选择对应项目点击“应标”，并按照</w:t>
      </w:r>
      <w:r>
        <w:rPr>
          <w:rFonts w:hint="eastAsia" w:ascii="仿宋_GB2312" w:hAnsi="仿宋_GB2312" w:eastAsia="仿宋_GB2312" w:cs="仿宋_GB2312"/>
          <w:b/>
          <w:bCs/>
          <w:sz w:val="24"/>
          <w:szCs w:val="24"/>
        </w:rPr>
        <w:t>“应标文件的编制”</w:t>
      </w:r>
      <w:r>
        <w:rPr>
          <w:rFonts w:hint="eastAsia" w:ascii="仿宋_GB2312" w:hAnsi="仿宋_GB2312" w:eastAsia="仿宋_GB2312" w:cs="仿宋_GB2312"/>
          <w:sz w:val="24"/>
          <w:szCs w:val="24"/>
        </w:rPr>
        <w:t>要求准备资料并上传。资质审查通过后，视为报名成功。</w:t>
      </w:r>
    </w:p>
    <w:p w14:paraId="3E6D138B">
      <w:pPr>
        <w:pStyle w:val="27"/>
        <w:spacing w:line="440" w:lineRule="exact"/>
        <w:ind w:left="420" w:leftChars="200" w:firstLine="480" w:firstLineChars="200"/>
        <w:jc w:val="both"/>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如资质文件被退回，请按审核意见修改后重新上传。请注意：</w:t>
      </w:r>
      <w:r>
        <w:rPr>
          <w:rFonts w:hint="eastAsia" w:ascii="仿宋_GB2312" w:hAnsi="仿宋_GB2312" w:eastAsia="仿宋_GB2312" w:cs="仿宋_GB2312"/>
          <w:b/>
          <w:bCs/>
          <w:sz w:val="24"/>
          <w:szCs w:val="24"/>
        </w:rPr>
        <w:t>应标截止时间后将无法再次上传或修改应标文件。</w:t>
      </w:r>
    </w:p>
    <w:p w14:paraId="79937E8E">
      <w:pPr>
        <w:pStyle w:val="27"/>
        <w:spacing w:before="156" w:beforeLines="50" w:line="440" w:lineRule="exact"/>
        <w:ind w:firstLine="482" w:firstLineChars="200"/>
        <w:jc w:val="both"/>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注：请务必在应标截止时间前完成注册、财务数据变更及应标操作，注册审核需2-4日，财务数据变更审核需1-2日，应标截止时间精确到秒，逾期将无法应标。请自行掌握时间，避免无法应标。</w:t>
      </w:r>
    </w:p>
    <w:p w14:paraId="2A6AFD3B">
      <w:pPr>
        <w:pStyle w:val="27"/>
        <w:numPr>
          <w:ilvl w:val="1"/>
          <w:numId w:val="2"/>
        </w:numPr>
        <w:spacing w:line="44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应标文件的编制</w:t>
      </w:r>
    </w:p>
    <w:p w14:paraId="65818CC9">
      <w:pPr>
        <w:pStyle w:val="27"/>
        <w:spacing w:line="440" w:lineRule="exact"/>
        <w:ind w:firstLine="480" w:firstLine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拟投标人须准备以下材料的盖章电子扫描件，并在应标时作为三个独立的PDF格式文件上传至“中国重汽e采通”平台，文件均以“公司简称+文件名称”格式命名：</w:t>
      </w:r>
    </w:p>
    <w:p w14:paraId="3602D862">
      <w:pPr>
        <w:pStyle w:val="27"/>
        <w:spacing w:line="440" w:lineRule="exact"/>
        <w:ind w:left="1110" w:leftChars="300" w:hanging="480" w:hanging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① 供方资质：</w:t>
      </w:r>
      <w:r>
        <w:rPr>
          <w:rFonts w:hint="eastAsia" w:ascii="仿宋_GB2312" w:hAnsi="仿宋_GB2312" w:eastAsia="仿宋_GB2312" w:cs="仿宋_GB2312"/>
          <w:sz w:val="24"/>
          <w:szCs w:val="24"/>
          <w:lang w:val="en-US" w:eastAsia="zh-CN"/>
        </w:rPr>
        <w:t>需提供</w:t>
      </w:r>
      <w:r>
        <w:rPr>
          <w:rFonts w:hint="eastAsia" w:ascii="仿宋_GB2312" w:hAnsi="仿宋_GB2312" w:eastAsia="仿宋_GB2312" w:cs="仿宋_GB2312"/>
          <w:b/>
          <w:bCs/>
          <w:color w:val="auto"/>
          <w:sz w:val="24"/>
          <w:szCs w:val="24"/>
          <w:highlight w:val="yellow"/>
        </w:rPr>
        <w:t>1.1-1.</w:t>
      </w:r>
      <w:r>
        <w:rPr>
          <w:rFonts w:hint="eastAsia" w:ascii="仿宋_GB2312" w:hAnsi="仿宋_GB2312" w:eastAsia="仿宋_GB2312" w:cs="仿宋_GB2312"/>
          <w:b/>
          <w:bCs/>
          <w:color w:val="auto"/>
          <w:sz w:val="24"/>
          <w:szCs w:val="24"/>
          <w:highlight w:val="yellow"/>
          <w:lang w:val="en-US" w:eastAsia="zh-CN"/>
        </w:rPr>
        <w:t>9</w:t>
      </w:r>
      <w:r>
        <w:rPr>
          <w:rFonts w:hint="eastAsia" w:ascii="仿宋_GB2312" w:hAnsi="仿宋_GB2312" w:eastAsia="仿宋_GB2312" w:cs="仿宋_GB2312"/>
          <w:b/>
          <w:bCs/>
          <w:sz w:val="24"/>
          <w:szCs w:val="24"/>
        </w:rPr>
        <w:t>资料</w:t>
      </w:r>
      <w:r>
        <w:rPr>
          <w:rFonts w:hint="eastAsia" w:ascii="仿宋_GB2312" w:hAnsi="仿宋_GB2312" w:eastAsia="仿宋_GB2312" w:cs="仿宋_GB2312"/>
          <w:sz w:val="24"/>
          <w:szCs w:val="24"/>
        </w:rPr>
        <w:t>，须附目录，并在首页清晰列出公司名称、联系人、电话及邮箱；</w:t>
      </w:r>
    </w:p>
    <w:p w14:paraId="2633E784">
      <w:pPr>
        <w:pStyle w:val="27"/>
        <w:spacing w:line="440" w:lineRule="exact"/>
        <w:ind w:left="1110" w:leftChars="300" w:hanging="480" w:hanging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② 企业简介；</w:t>
      </w:r>
    </w:p>
    <w:p w14:paraId="30458A78">
      <w:pPr>
        <w:pStyle w:val="27"/>
        <w:spacing w:line="440" w:lineRule="exact"/>
        <w:ind w:left="1110" w:leftChars="300" w:hanging="480" w:hangingChars="20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③ 项目业绩：</w:t>
      </w:r>
      <w:r>
        <w:rPr>
          <w:rFonts w:hint="eastAsia" w:ascii="仿宋_GB2312" w:hAnsi="仿宋_GB2312" w:eastAsia="仿宋_GB2312" w:cs="仿宋_GB2312"/>
          <w:sz w:val="24"/>
          <w:szCs w:val="24"/>
          <w:lang w:val="en-US" w:eastAsia="zh-CN"/>
        </w:rPr>
        <w:t>需提供</w:t>
      </w:r>
      <w:r>
        <w:rPr>
          <w:rFonts w:hint="eastAsia" w:ascii="仿宋_GB2312" w:hAnsi="仿宋_GB2312" w:eastAsia="仿宋_GB2312" w:cs="仿宋_GB2312"/>
          <w:b/>
          <w:bCs/>
          <w:color w:val="auto"/>
          <w:sz w:val="24"/>
          <w:szCs w:val="24"/>
        </w:rPr>
        <w:t>1.1</w:t>
      </w:r>
      <w:r>
        <w:rPr>
          <w:rFonts w:hint="eastAsia" w:ascii="仿宋_GB2312" w:hAnsi="仿宋_GB2312" w:eastAsia="仿宋_GB2312" w:cs="仿宋_GB2312"/>
          <w:b/>
          <w:bCs/>
          <w:color w:val="auto"/>
          <w:sz w:val="24"/>
          <w:szCs w:val="24"/>
          <w:lang w:val="en-US" w:eastAsia="zh-CN"/>
        </w:rPr>
        <w:t>0</w:t>
      </w:r>
      <w:r>
        <w:rPr>
          <w:rFonts w:hint="eastAsia" w:ascii="仿宋_GB2312" w:hAnsi="仿宋_GB2312" w:eastAsia="仿宋_GB2312" w:cs="仿宋_GB2312"/>
          <w:b/>
          <w:bCs/>
          <w:sz w:val="24"/>
          <w:szCs w:val="24"/>
        </w:rPr>
        <w:t>资料</w:t>
      </w:r>
      <w:r>
        <w:rPr>
          <w:rFonts w:hint="eastAsia" w:ascii="仿宋_GB2312" w:hAnsi="仿宋_GB2312" w:eastAsia="仿宋_GB2312" w:cs="仿宋_GB2312"/>
          <w:sz w:val="24"/>
          <w:szCs w:val="24"/>
        </w:rPr>
        <w:t>。</w:t>
      </w:r>
    </w:p>
    <w:p w14:paraId="3FB59EE7">
      <w:pPr>
        <w:spacing w:line="360" w:lineRule="auto"/>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1.1</w:t>
      </w:r>
      <w:r>
        <w:rPr>
          <w:rFonts w:hint="eastAsia" w:ascii="仿宋_GB2312" w:hAnsi="仿宋_GB2312" w:eastAsia="仿宋_GB2312" w:cs="仿宋_GB2312"/>
          <w:color w:val="000000" w:themeColor="text1"/>
          <w:sz w:val="24"/>
          <w:szCs w:val="24"/>
          <w14:textFill>
            <w14:solidFill>
              <w14:schemeClr w14:val="tx1"/>
            </w14:solidFill>
          </w14:textFill>
        </w:rPr>
        <w:t>营业执照副本原件或复印件（需加盖公章）；</w:t>
      </w:r>
    </w:p>
    <w:p w14:paraId="06A38549">
      <w:pPr>
        <w:spacing w:line="360" w:lineRule="auto"/>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1.2</w:t>
      </w:r>
      <w:r>
        <w:rPr>
          <w:rFonts w:hint="eastAsia" w:ascii="仿宋_GB2312" w:hAnsi="仿宋_GB2312" w:eastAsia="仿宋_GB2312" w:cs="仿宋_GB2312"/>
          <w:color w:val="000000" w:themeColor="text1"/>
          <w:sz w:val="24"/>
          <w:szCs w:val="24"/>
          <w14:textFill>
            <w14:solidFill>
              <w14:schemeClr w14:val="tx1"/>
            </w14:solidFill>
          </w14:textFill>
        </w:rPr>
        <w:t>法定代表人授权书（格式6）；法定代表人参加投标的，提供法人身份证明文件即可；被授权人参加投标的，需提供法定代表人授权委托书（含法人身份证和被授权人身份证正反面复印件）；</w:t>
      </w:r>
    </w:p>
    <w:p w14:paraId="39EF2BF8">
      <w:pPr>
        <w:spacing w:line="360" w:lineRule="auto"/>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1.3</w:t>
      </w:r>
      <w:r>
        <w:rPr>
          <w:rFonts w:hint="eastAsia" w:ascii="仿宋_GB2312" w:hAnsi="仿宋_GB2312" w:eastAsia="仿宋_GB2312" w:cs="仿宋_GB2312"/>
          <w:color w:val="000000" w:themeColor="text1"/>
          <w:sz w:val="24"/>
          <w:szCs w:val="24"/>
          <w14:textFill>
            <w14:solidFill>
              <w14:schemeClr w14:val="tx1"/>
            </w14:solidFill>
          </w14:textFill>
        </w:rPr>
        <w:t>经会计师事务所审计且出具无保留意见的近三年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应提供中文版本的审计报告或财务报表，必须连续；</w:t>
      </w:r>
    </w:p>
    <w:p w14:paraId="07CEB210">
      <w:pPr>
        <w:spacing w:line="360" w:lineRule="auto"/>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1.4</w:t>
      </w:r>
      <w:r>
        <w:rPr>
          <w:rFonts w:hint="eastAsia" w:ascii="仿宋_GB2312" w:hAnsi="仿宋_GB2312" w:eastAsia="仿宋_GB2312" w:cs="仿宋_GB2312"/>
          <w:color w:val="000000" w:themeColor="text1"/>
          <w:sz w:val="24"/>
          <w:szCs w:val="24"/>
          <w14:textFill>
            <w14:solidFill>
              <w14:schemeClr w14:val="tx1"/>
            </w14:solidFill>
          </w14:textFill>
        </w:rPr>
        <w:t>企业最近半年完税证明、信用证明材料（征信报告）；</w:t>
      </w:r>
    </w:p>
    <w:p w14:paraId="60568C19">
      <w:pPr>
        <w:spacing w:line="360" w:lineRule="auto"/>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1.5</w:t>
      </w:r>
      <w:r>
        <w:rPr>
          <w:rFonts w:hint="eastAsia" w:ascii="仿宋_GB2312" w:hAnsi="仿宋_GB2312" w:eastAsia="仿宋_GB2312" w:cs="仿宋_GB2312"/>
          <w:color w:val="000000" w:themeColor="text1"/>
          <w:sz w:val="24"/>
          <w:szCs w:val="24"/>
          <w14:textFill>
            <w14:solidFill>
              <w14:schemeClr w14:val="tx1"/>
            </w14:solidFill>
          </w14:textFill>
        </w:rPr>
        <w:t>年度纳税信用评价信息（可从电子税务局查询截图，需加盖公章）；</w:t>
      </w:r>
    </w:p>
    <w:p w14:paraId="15F3C726">
      <w:pPr>
        <w:spacing w:line="360" w:lineRule="auto"/>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1.6</w:t>
      </w:r>
      <w:r>
        <w:rPr>
          <w:rFonts w:hint="eastAsia" w:ascii="仿宋_GB2312" w:hAnsi="仿宋_GB2312" w:eastAsia="仿宋_GB2312" w:cs="仿宋_GB2312"/>
          <w:color w:val="000000" w:themeColor="text1"/>
          <w:sz w:val="24"/>
          <w:szCs w:val="24"/>
          <w14:textFill>
            <w14:solidFill>
              <w14:schemeClr w14:val="tx1"/>
            </w14:solidFill>
          </w14:textFill>
        </w:rPr>
        <w:t>企业对外担保说明（写明贵单位对外有无对外担保和质押业务，需加盖公章）；</w:t>
      </w:r>
    </w:p>
    <w:p w14:paraId="48F2F172">
      <w:pPr>
        <w:spacing w:line="360" w:lineRule="auto"/>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1.7</w:t>
      </w:r>
      <w:r>
        <w:rPr>
          <w:rFonts w:hint="eastAsia" w:ascii="仿宋_GB2312" w:hAnsi="仿宋_GB2312" w:eastAsia="仿宋_GB2312" w:cs="仿宋_GB2312"/>
          <w:color w:val="000000" w:themeColor="text1"/>
          <w:sz w:val="24"/>
          <w:szCs w:val="24"/>
          <w14:textFill>
            <w14:solidFill>
              <w14:schemeClr w14:val="tx1"/>
            </w14:solidFill>
          </w14:textFill>
        </w:rPr>
        <w:t>投标人在国家企业信用信息公示系统中无与本项目有关的行政处罚、经营异常和失信信息的声明（附投标当日系统内相关截图）；</w:t>
      </w:r>
    </w:p>
    <w:p w14:paraId="52EE7D52">
      <w:pPr>
        <w:spacing w:line="360" w:lineRule="auto"/>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1.8</w:t>
      </w:r>
      <w:r>
        <w:rPr>
          <w:rFonts w:hint="eastAsia" w:ascii="仿宋_GB2312" w:hAnsi="仿宋_GB2312" w:eastAsia="仿宋_GB2312" w:cs="仿宋_GB2312"/>
          <w:color w:val="000000" w:themeColor="text1"/>
          <w:sz w:val="24"/>
          <w:szCs w:val="24"/>
          <w14:textFill>
            <w14:solidFill>
              <w14:schemeClr w14:val="tx1"/>
            </w14:solidFill>
          </w14:textFill>
        </w:rPr>
        <w:t>投标人应具有相应生产证明（原件或加盖投标单位公章的彩色打印件）；</w:t>
      </w:r>
    </w:p>
    <w:p w14:paraId="503F4461">
      <w:pPr>
        <w:spacing w:line="360" w:lineRule="auto"/>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1.9</w:t>
      </w:r>
      <w:r>
        <w:rPr>
          <w:rFonts w:hint="eastAsia" w:ascii="仿宋_GB2312" w:hAnsi="仿宋_GB2312" w:eastAsia="仿宋_GB2312" w:cs="仿宋_GB2312"/>
          <w:color w:val="000000" w:themeColor="text1"/>
          <w:sz w:val="24"/>
          <w:szCs w:val="24"/>
          <w14:textFill>
            <w14:solidFill>
              <w14:schemeClr w14:val="tx1"/>
            </w14:solidFill>
          </w14:textFill>
        </w:rPr>
        <w:t>投标人具备凹印机的相关证明材料（需加盖公章）；</w:t>
      </w:r>
    </w:p>
    <w:p w14:paraId="411B00D6">
      <w:pPr>
        <w:spacing w:line="360" w:lineRule="auto"/>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 xml:space="preserve">1.10  </w:t>
      </w:r>
      <w:r>
        <w:rPr>
          <w:rFonts w:hint="eastAsia" w:ascii="仿宋_GB2312" w:hAnsi="仿宋_GB2312" w:eastAsia="仿宋_GB2312" w:cs="仿宋_GB2312"/>
          <w:color w:val="000000" w:themeColor="text1"/>
          <w:sz w:val="24"/>
          <w:szCs w:val="24"/>
          <w14:textFill>
            <w14:solidFill>
              <w14:schemeClr w14:val="tx1"/>
            </w14:solidFill>
          </w14:textFill>
        </w:rPr>
        <w:t>2023年1月1日至今，企业近三年同类项目业绩证明，须提供用户清单、采购合同复印件；</w:t>
      </w:r>
    </w:p>
    <w:p w14:paraId="731D99CF">
      <w:pPr>
        <w:spacing w:line="360" w:lineRule="auto"/>
        <w:ind w:firstLine="480" w:firstLineChars="200"/>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 xml:space="preserve">1.11 </w:t>
      </w:r>
      <w:r>
        <w:rPr>
          <w:rFonts w:hint="eastAsia" w:ascii="仿宋_GB2312" w:hAnsi="仿宋_GB2312" w:eastAsia="仿宋_GB2312" w:cs="仿宋_GB2312"/>
          <w:color w:val="000000" w:themeColor="text1"/>
          <w:sz w:val="24"/>
          <w:szCs w:val="24"/>
          <w14:textFill>
            <w14:solidFill>
              <w14:schemeClr w14:val="tx1"/>
            </w14:solidFill>
          </w14:textFill>
        </w:rPr>
        <w:t>投标保证金缴纳凭证，同时正文描述付款账号、户名、开户行名称、开户行行号、保证金金额。</w:t>
      </w:r>
      <w:r>
        <w:rPr>
          <w:rFonts w:hint="eastAsia" w:ascii="仿宋_GB2312" w:hAnsi="仿宋_GB2312" w:eastAsia="仿宋_GB2312" w:cs="仿宋_GB2312"/>
          <w:color w:val="000000" w:themeColor="text1"/>
          <w:sz w:val="18"/>
          <w:szCs w:val="18"/>
          <w14:textFill>
            <w14:solidFill>
              <w14:schemeClr w14:val="tx1"/>
            </w14:solidFill>
          </w14:textFill>
        </w:rPr>
        <w:t>(</w:t>
      </w:r>
      <w:r>
        <w:rPr>
          <w:rFonts w:hint="eastAsia" w:ascii="仿宋_GB2312" w:hAnsi="仿宋_GB2312" w:eastAsia="仿宋_GB2312" w:cs="仿宋_GB2312"/>
          <w:color w:val="000000" w:themeColor="text1"/>
          <w:sz w:val="18"/>
          <w:szCs w:val="18"/>
          <w:highlight w:val="yellow"/>
          <w14:textFill>
            <w14:solidFill>
              <w14:schemeClr w14:val="tx1"/>
            </w14:solidFill>
          </w14:textFill>
        </w:rPr>
        <w:t>应标时不作要求，须随投标文件一同上传</w:t>
      </w:r>
      <w:r>
        <w:rPr>
          <w:rFonts w:hint="eastAsia" w:ascii="仿宋_GB2312" w:hAnsi="仿宋_GB2312" w:eastAsia="仿宋_GB2312" w:cs="仿宋_GB2312"/>
          <w:color w:val="000000" w:themeColor="text1"/>
          <w:sz w:val="18"/>
          <w:szCs w:val="18"/>
          <w14:textFill>
            <w14:solidFill>
              <w14:schemeClr w14:val="tx1"/>
            </w14:solidFill>
          </w14:textFill>
        </w:rPr>
        <w:t>）</w:t>
      </w:r>
    </w:p>
    <w:p w14:paraId="463C8DEE">
      <w:pPr>
        <w:ind w:firstLine="482"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lang w:val="en-US" w:eastAsia="zh-CN"/>
        </w:rPr>
        <w:t>五</w:t>
      </w:r>
      <w:r>
        <w:rPr>
          <w:rFonts w:hint="eastAsia" w:asciiTheme="majorEastAsia" w:hAnsiTheme="majorEastAsia" w:eastAsiaTheme="majorEastAsia" w:cstheme="majorEastAsia"/>
          <w:b/>
          <w:bCs/>
          <w:sz w:val="24"/>
          <w:szCs w:val="24"/>
        </w:rPr>
        <w:t xml:space="preserve">、采购文件领取 </w:t>
      </w:r>
      <w:r>
        <w:rPr>
          <w:rFonts w:hint="eastAsia" w:asciiTheme="majorEastAsia" w:hAnsiTheme="majorEastAsia" w:eastAsiaTheme="majorEastAsia" w:cstheme="majorEastAsia"/>
          <w:sz w:val="24"/>
          <w:szCs w:val="24"/>
        </w:rPr>
        <w:t xml:space="preserve"> </w:t>
      </w:r>
    </w:p>
    <w:p w14:paraId="01A8CB3D">
      <w:pPr>
        <w:rPr>
          <w:rFonts w:hint="eastAsia" w:ascii="仿宋_GB2312" w:hAnsi="仿宋_GB2312" w:eastAsia="仿宋_GB2312" w:cs="仿宋_GB2312"/>
          <w:sz w:val="24"/>
          <w:szCs w:val="24"/>
        </w:rPr>
      </w:pPr>
      <w:r>
        <w:rPr>
          <w:rFonts w:hint="eastAsia" w:asciiTheme="majorEastAsia" w:hAnsiTheme="majorEastAsia" w:eastAsiaTheme="majorEastAsia" w:cstheme="majorEastAsia"/>
          <w:sz w:val="24"/>
          <w:szCs w:val="24"/>
        </w:rPr>
        <w:t xml:space="preserve"> </w:t>
      </w:r>
      <w:r>
        <w:rPr>
          <w:rFonts w:hint="eastAsia" w:ascii="仿宋_GB2312" w:hAnsi="仿宋_GB2312" w:eastAsia="仿宋_GB2312" w:cs="仿宋_GB2312"/>
          <w:b/>
          <w:bCs/>
          <w:sz w:val="24"/>
          <w:szCs w:val="24"/>
        </w:rPr>
        <w:t xml:space="preserve">   1</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sz w:val="24"/>
          <w:szCs w:val="24"/>
        </w:rPr>
        <w:t>采购文件领取方式：</w:t>
      </w:r>
      <w:r>
        <w:rPr>
          <w:rFonts w:hint="eastAsia" w:ascii="仿宋_GB2312" w:hAnsi="仿宋_GB2312" w:eastAsia="仿宋_GB2312" w:cs="仿宋_GB2312"/>
          <w:sz w:val="24"/>
          <w:szCs w:val="24"/>
        </w:rPr>
        <w:t>线</w:t>
      </w:r>
      <w:r>
        <w:rPr>
          <w:rFonts w:hint="eastAsia" w:ascii="仿宋_GB2312" w:hAnsi="仿宋_GB2312" w:eastAsia="仿宋_GB2312" w:cs="仿宋_GB2312"/>
          <w:sz w:val="24"/>
          <w:szCs w:val="24"/>
          <w:lang w:val="en-US" w:eastAsia="zh-CN"/>
        </w:rPr>
        <w:t>上</w:t>
      </w:r>
      <w:r>
        <w:rPr>
          <w:rFonts w:hint="eastAsia" w:ascii="仿宋_GB2312" w:hAnsi="仿宋_GB2312" w:eastAsia="仿宋_GB2312" w:cs="仿宋_GB2312"/>
          <w:sz w:val="24"/>
          <w:szCs w:val="24"/>
        </w:rPr>
        <w:t xml:space="preserve"> </w:t>
      </w:r>
    </w:p>
    <w:p w14:paraId="3710A1FE">
      <w:pPr>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 xml:space="preserve">    2</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sz w:val="24"/>
          <w:szCs w:val="24"/>
        </w:rPr>
        <w:t>采购文件领取截止时间：</w:t>
      </w:r>
      <w:r>
        <w:rPr>
          <w:rFonts w:hint="eastAsia" w:ascii="仿宋_GB2312" w:hAnsi="仿宋_GB2312" w:eastAsia="仿宋_GB2312" w:cs="仿宋_GB2312"/>
          <w:b w:val="0"/>
          <w:bCs w:val="0"/>
          <w:color w:val="auto"/>
          <w:sz w:val="24"/>
          <w:szCs w:val="24"/>
        </w:rPr>
        <w:t>2026年</w:t>
      </w:r>
      <w:r>
        <w:rPr>
          <w:rFonts w:hint="eastAsia" w:ascii="仿宋_GB2312" w:hAnsi="仿宋_GB2312" w:eastAsia="仿宋_GB2312" w:cs="仿宋_GB2312"/>
          <w:b w:val="0"/>
          <w:bCs w:val="0"/>
          <w:color w:val="auto"/>
          <w:sz w:val="24"/>
          <w:szCs w:val="24"/>
          <w:lang w:val="en-US" w:eastAsia="zh-CN"/>
        </w:rPr>
        <w:t>10</w:t>
      </w:r>
      <w:r>
        <w:rPr>
          <w:rFonts w:hint="eastAsia" w:ascii="仿宋_GB2312" w:hAnsi="仿宋_GB2312" w:eastAsia="仿宋_GB2312" w:cs="仿宋_GB2312"/>
          <w:b w:val="0"/>
          <w:bCs w:val="0"/>
          <w:color w:val="auto"/>
          <w:sz w:val="24"/>
          <w:szCs w:val="24"/>
        </w:rPr>
        <w:t>月</w:t>
      </w:r>
      <w:r>
        <w:rPr>
          <w:rFonts w:hint="eastAsia" w:ascii="仿宋_GB2312" w:hAnsi="仿宋_GB2312" w:eastAsia="仿宋_GB2312" w:cs="仿宋_GB2312"/>
          <w:b w:val="0"/>
          <w:bCs w:val="0"/>
          <w:color w:val="auto"/>
          <w:sz w:val="24"/>
          <w:szCs w:val="24"/>
          <w:lang w:val="en-US" w:eastAsia="zh-CN"/>
        </w:rPr>
        <w:t>14</w:t>
      </w:r>
      <w:r>
        <w:rPr>
          <w:rFonts w:hint="eastAsia" w:ascii="仿宋_GB2312" w:hAnsi="仿宋_GB2312" w:eastAsia="仿宋_GB2312" w:cs="仿宋_GB2312"/>
          <w:b w:val="0"/>
          <w:bCs w:val="0"/>
          <w:color w:val="auto"/>
          <w:sz w:val="24"/>
          <w:szCs w:val="24"/>
        </w:rPr>
        <w:t>日</w:t>
      </w:r>
      <w:r>
        <w:rPr>
          <w:rFonts w:hint="eastAsia" w:ascii="仿宋_GB2312" w:hAnsi="仿宋_GB2312" w:eastAsia="仿宋_GB2312" w:cs="仿宋_GB2312"/>
          <w:b w:val="0"/>
          <w:bCs w:val="0"/>
          <w:color w:val="auto"/>
          <w:sz w:val="24"/>
          <w:szCs w:val="24"/>
          <w:lang w:val="en-US" w:eastAsia="zh-CN"/>
        </w:rPr>
        <w:t>17</w:t>
      </w:r>
      <w:r>
        <w:rPr>
          <w:rFonts w:hint="eastAsia" w:ascii="仿宋_GB2312" w:hAnsi="仿宋_GB2312" w:eastAsia="仿宋_GB2312" w:cs="仿宋_GB2312"/>
          <w:b w:val="0"/>
          <w:bCs w:val="0"/>
          <w:color w:val="auto"/>
          <w:sz w:val="24"/>
          <w:szCs w:val="24"/>
        </w:rPr>
        <w:t>时00分00秒</w:t>
      </w:r>
      <w:r>
        <w:rPr>
          <w:rFonts w:hint="eastAsia" w:ascii="仿宋_GB2312" w:hAnsi="仿宋_GB2312" w:eastAsia="仿宋_GB2312" w:cs="仿宋_GB2312"/>
          <w:sz w:val="24"/>
          <w:szCs w:val="24"/>
        </w:rPr>
        <w:t xml:space="preserve"> </w:t>
      </w:r>
    </w:p>
    <w:p w14:paraId="5F3381B0">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b/>
          <w:bCs/>
          <w:sz w:val="24"/>
          <w:szCs w:val="24"/>
        </w:rPr>
        <w:t>3</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sz w:val="24"/>
          <w:szCs w:val="24"/>
        </w:rPr>
        <w:t>采购文件领取地点：</w:t>
      </w:r>
      <w:r>
        <w:rPr>
          <w:rFonts w:hint="eastAsia" w:ascii="仿宋_GB2312" w:hAnsi="仿宋_GB2312" w:eastAsia="仿宋_GB2312" w:cs="仿宋_GB2312"/>
          <w:b w:val="0"/>
          <w:bCs w:val="0"/>
          <w:sz w:val="24"/>
          <w:szCs w:val="24"/>
          <w:lang w:val="en-US" w:eastAsia="zh-CN"/>
        </w:rPr>
        <w:t>中国</w:t>
      </w:r>
      <w:r>
        <w:rPr>
          <w:rFonts w:hint="eastAsia" w:ascii="仿宋_GB2312" w:hAnsi="仿宋_GB2312" w:eastAsia="仿宋_GB2312" w:cs="仿宋_GB2312"/>
          <w:sz w:val="24"/>
          <w:szCs w:val="24"/>
          <w:lang w:val="en-US" w:eastAsia="zh-CN"/>
        </w:rPr>
        <w:t>重汽e采通系统</w:t>
      </w:r>
    </w:p>
    <w:p w14:paraId="7A00C32E">
      <w:pPr>
        <w:jc w:val="left"/>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 xml:space="preserve"> </w:t>
      </w:r>
      <w:r>
        <w:rPr>
          <w:rFonts w:hint="eastAsia" w:ascii="仿宋_GB2312" w:hAnsi="仿宋_GB2312" w:eastAsia="仿宋_GB2312" w:cs="仿宋_GB2312"/>
          <w:b/>
          <w:bCs/>
          <w:sz w:val="24"/>
          <w:szCs w:val="24"/>
          <w:lang w:val="en-US" w:eastAsia="zh-CN"/>
        </w:rPr>
        <w:t xml:space="preserve">   六</w:t>
      </w:r>
      <w:r>
        <w:rPr>
          <w:rFonts w:hint="eastAsia" w:ascii="仿宋_GB2312" w:hAnsi="仿宋_GB2312" w:eastAsia="仿宋_GB2312" w:cs="仿宋_GB2312"/>
          <w:b/>
          <w:bCs/>
          <w:sz w:val="24"/>
          <w:szCs w:val="24"/>
        </w:rPr>
        <w:t xml:space="preserve">、响应文件提交 </w:t>
      </w:r>
    </w:p>
    <w:p w14:paraId="4A81EC52">
      <w:pPr>
        <w:keepNext w:val="0"/>
        <w:keepLines w:val="0"/>
        <w:widowControl/>
        <w:suppressLineNumbers w:val="0"/>
        <w:ind w:firstLine="482" w:firstLineChars="200"/>
        <w:jc w:val="left"/>
        <w:rPr>
          <w:rFonts w:ascii="宋体" w:hAnsi="宋体" w:eastAsia="宋体" w:cs="宋体"/>
          <w:sz w:val="24"/>
          <w:szCs w:val="24"/>
        </w:rPr>
      </w:pPr>
      <w:r>
        <w:rPr>
          <w:rFonts w:hint="eastAsia" w:ascii="仿宋_GB2312" w:hAnsi="仿宋_GB2312" w:eastAsia="仿宋_GB2312" w:cs="仿宋_GB2312"/>
          <w:b/>
          <w:bCs/>
          <w:sz w:val="24"/>
          <w:szCs w:val="24"/>
        </w:rPr>
        <w:t>1</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kern w:val="0"/>
          <w:sz w:val="24"/>
          <w:szCs w:val="24"/>
          <w:lang w:val="en-US" w:eastAsia="zh-CN" w:bidi="ar"/>
        </w:rPr>
        <w:t>递交方式：</w:t>
      </w:r>
      <w:r>
        <w:rPr>
          <w:rFonts w:hint="eastAsia" w:ascii="仿宋_GB2312" w:hAnsi="仿宋_GB2312" w:eastAsia="仿宋_GB2312" w:cs="仿宋_GB2312"/>
          <w:sz w:val="24"/>
          <w:szCs w:val="24"/>
        </w:rPr>
        <w:t>电子版须在递交截止时间前上传至“中国重汽e采通”系统，纸质版于线下开标时现场提交。</w:t>
      </w:r>
    </w:p>
    <w:p w14:paraId="58FB382A">
      <w:pPr>
        <w:keepNext w:val="0"/>
        <w:keepLines w:val="0"/>
        <w:widowControl/>
        <w:suppressLineNumbers w:val="0"/>
        <w:ind w:firstLine="482" w:firstLineChars="200"/>
        <w:jc w:val="left"/>
        <w:rPr>
          <w:rFonts w:hint="eastAsia" w:ascii="仿宋_GB2312" w:hAnsi="仿宋_GB2312" w:eastAsia="仿宋_GB2312" w:cs="仿宋_GB2312"/>
          <w:b w:val="0"/>
          <w:bCs w:val="0"/>
          <w:sz w:val="24"/>
          <w:szCs w:val="24"/>
        </w:rPr>
      </w:pPr>
      <w:r>
        <w:rPr>
          <w:rFonts w:hint="eastAsia" w:ascii="仿宋_GB2312" w:hAnsi="仿宋_GB2312" w:eastAsia="仿宋_GB2312" w:cs="仿宋_GB2312"/>
          <w:b/>
          <w:bCs/>
          <w:kern w:val="0"/>
          <w:sz w:val="24"/>
          <w:szCs w:val="24"/>
          <w:lang w:val="en-US" w:eastAsia="zh-CN" w:bidi="ar"/>
        </w:rPr>
        <w:t>2.递交截止时间：</w:t>
      </w:r>
      <w:r>
        <w:rPr>
          <w:rFonts w:hint="eastAsia" w:ascii="仿宋_GB2312" w:hAnsi="仿宋_GB2312" w:eastAsia="仿宋_GB2312" w:cs="仿宋_GB2312"/>
          <w:b w:val="0"/>
          <w:bCs w:val="0"/>
          <w:kern w:val="0"/>
          <w:sz w:val="24"/>
          <w:szCs w:val="24"/>
          <w:lang w:val="en-US" w:eastAsia="zh-CN" w:bidi="ar"/>
        </w:rPr>
        <w:t>2026年10月21日上午9:00:00（北京时间）</w:t>
      </w:r>
    </w:p>
    <w:p w14:paraId="483F04C6">
      <w:pPr>
        <w:keepNext w:val="0"/>
        <w:keepLines w:val="0"/>
        <w:widowControl/>
        <w:suppressLineNumbers w:val="0"/>
        <w:ind w:firstLine="482" w:firstLineChars="200"/>
        <w:jc w:val="left"/>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bCs/>
          <w:kern w:val="0"/>
          <w:sz w:val="24"/>
          <w:szCs w:val="24"/>
          <w:lang w:val="en-US" w:eastAsia="zh-CN" w:bidi="ar"/>
        </w:rPr>
        <w:t>3.电子版递交地点</w:t>
      </w:r>
      <w:r>
        <w:rPr>
          <w:rFonts w:hint="eastAsia" w:ascii="仿宋_GB2312" w:hAnsi="仿宋_GB2312" w:eastAsia="仿宋_GB2312" w:cs="仿宋_GB2312"/>
          <w:kern w:val="0"/>
          <w:sz w:val="24"/>
          <w:szCs w:val="24"/>
          <w:lang w:val="en-US" w:eastAsia="zh-CN" w:bidi="ar"/>
        </w:rPr>
        <w:t>：</w:t>
      </w:r>
      <w:r>
        <w:rPr>
          <w:rFonts w:hint="eastAsia" w:ascii="仿宋_GB2312" w:hAnsi="仿宋_GB2312" w:eastAsia="仿宋_GB2312" w:cs="仿宋_GB2312"/>
          <w:b w:val="0"/>
          <w:bCs w:val="0"/>
          <w:sz w:val="24"/>
          <w:szCs w:val="24"/>
          <w:lang w:val="en-US" w:eastAsia="zh-CN"/>
        </w:rPr>
        <w:t>中国重汽e采通-招标中心-非生产类招投标-供应商投标</w:t>
      </w:r>
    </w:p>
    <w:p w14:paraId="3F97F168">
      <w:pPr>
        <w:keepNext w:val="0"/>
        <w:keepLines w:val="0"/>
        <w:widowControl/>
        <w:suppressLineNumbers w:val="0"/>
        <w:ind w:firstLine="482" w:firstLineChars="200"/>
        <w:jc w:val="left"/>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bCs/>
          <w:kern w:val="0"/>
          <w:sz w:val="24"/>
          <w:szCs w:val="24"/>
          <w:lang w:val="en-US" w:eastAsia="zh-CN" w:bidi="ar"/>
        </w:rPr>
        <w:t>4.纸质版递交地点</w:t>
      </w:r>
      <w:r>
        <w:rPr>
          <w:rFonts w:hint="eastAsia" w:ascii="仿宋_GB2312" w:hAnsi="仿宋_GB2312" w:eastAsia="仿宋_GB2312" w:cs="仿宋_GB2312"/>
          <w:kern w:val="0"/>
          <w:sz w:val="24"/>
          <w:szCs w:val="24"/>
          <w:lang w:val="en-US" w:eastAsia="zh-CN" w:bidi="ar"/>
        </w:rPr>
        <w:t>：济南市历城区华奥路777号重汽科技大厦。（以实际通知为准）</w:t>
      </w:r>
    </w:p>
    <w:p w14:paraId="77F2C3AC">
      <w:pP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 xml:space="preserve"> </w:t>
      </w:r>
      <w:r>
        <w:rPr>
          <w:rFonts w:hint="eastAsia" w:ascii="仿宋_GB2312" w:hAnsi="仿宋_GB2312" w:eastAsia="仿宋_GB2312" w:cs="仿宋_GB2312"/>
          <w:b/>
          <w:bCs/>
          <w:sz w:val="24"/>
          <w:szCs w:val="24"/>
          <w:lang w:val="en-US" w:eastAsia="zh-CN"/>
        </w:rPr>
        <w:t xml:space="preserve">   七</w:t>
      </w:r>
      <w:r>
        <w:rPr>
          <w:rFonts w:hint="eastAsia" w:ascii="仿宋_GB2312" w:hAnsi="仿宋_GB2312" w:eastAsia="仿宋_GB2312" w:cs="仿宋_GB2312"/>
          <w:b/>
          <w:bCs/>
          <w:sz w:val="24"/>
          <w:szCs w:val="24"/>
        </w:rPr>
        <w:t xml:space="preserve">、开标时间和地点 </w:t>
      </w:r>
    </w:p>
    <w:p w14:paraId="44E01652">
      <w:pPr>
        <w:keepNext w:val="0"/>
        <w:keepLines w:val="0"/>
        <w:widowControl/>
        <w:suppressLineNumbers w:val="0"/>
        <w:ind w:firstLine="482"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1</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sz w:val="24"/>
          <w:szCs w:val="24"/>
        </w:rPr>
        <w:t>开标时间：</w:t>
      </w:r>
      <w:r>
        <w:rPr>
          <w:rFonts w:hint="eastAsia" w:ascii="仿宋_GB2312" w:hAnsi="仿宋_GB2312" w:eastAsia="仿宋_GB2312" w:cs="仿宋_GB2312"/>
          <w:b w:val="0"/>
          <w:bCs w:val="0"/>
          <w:kern w:val="0"/>
          <w:sz w:val="24"/>
          <w:szCs w:val="24"/>
          <w:lang w:val="en-US" w:eastAsia="zh-CN" w:bidi="ar"/>
        </w:rPr>
        <w:t>2026年10月21</w:t>
      </w:r>
      <w:bookmarkStart w:id="3" w:name="_GoBack"/>
      <w:bookmarkEnd w:id="3"/>
      <w:r>
        <w:rPr>
          <w:rFonts w:hint="eastAsia" w:ascii="仿宋_GB2312" w:hAnsi="仿宋_GB2312" w:eastAsia="仿宋_GB2312" w:cs="仿宋_GB2312"/>
          <w:b w:val="0"/>
          <w:bCs w:val="0"/>
          <w:kern w:val="0"/>
          <w:sz w:val="24"/>
          <w:szCs w:val="24"/>
          <w:lang w:val="en-US" w:eastAsia="zh-CN" w:bidi="ar"/>
        </w:rPr>
        <w:t>日上午9:00:00（北京时间）</w:t>
      </w:r>
    </w:p>
    <w:p w14:paraId="7648B8D5">
      <w:pPr>
        <w:keepNext w:val="0"/>
        <w:keepLines w:val="0"/>
        <w:widowControl/>
        <w:suppressLineNumbers w:val="0"/>
        <w:ind w:firstLine="482" w:firstLineChars="200"/>
        <w:jc w:val="left"/>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bCs/>
          <w:sz w:val="24"/>
          <w:szCs w:val="24"/>
        </w:rPr>
        <w:t>2</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bCs/>
          <w:sz w:val="24"/>
          <w:szCs w:val="24"/>
        </w:rPr>
        <w:t>开标地点：</w:t>
      </w:r>
      <w:r>
        <w:rPr>
          <w:rFonts w:hint="eastAsia" w:ascii="仿宋_GB2312" w:hAnsi="仿宋_GB2312" w:eastAsia="仿宋_GB2312" w:cs="仿宋_GB2312"/>
          <w:kern w:val="0"/>
          <w:sz w:val="24"/>
          <w:szCs w:val="24"/>
          <w:lang w:val="en-US" w:eastAsia="zh-CN" w:bidi="ar"/>
        </w:rPr>
        <w:t>济南市历城区华奥路777号重汽科技大厦。（以实际通知为准）</w:t>
      </w:r>
    </w:p>
    <w:p w14:paraId="263E755C">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lang w:val="en-US" w:eastAsia="zh-CN"/>
        </w:rPr>
        <w:t>八</w:t>
      </w:r>
      <w:r>
        <w:rPr>
          <w:rFonts w:hint="eastAsia" w:asciiTheme="majorEastAsia" w:hAnsiTheme="majorEastAsia" w:eastAsiaTheme="majorEastAsia" w:cstheme="majorEastAsia"/>
          <w:b/>
          <w:bCs/>
          <w:sz w:val="24"/>
          <w:szCs w:val="24"/>
        </w:rPr>
        <w:t>、发布公告的媒介</w:t>
      </w:r>
      <w:r>
        <w:rPr>
          <w:rFonts w:hint="eastAsia" w:asciiTheme="majorEastAsia" w:hAnsiTheme="majorEastAsia" w:eastAsiaTheme="majorEastAsia" w:cstheme="majorEastAsia"/>
          <w:sz w:val="24"/>
          <w:szCs w:val="24"/>
        </w:rPr>
        <w:t xml:space="preserve">  </w:t>
      </w:r>
    </w:p>
    <w:p w14:paraId="737E60EC">
      <w:pPr>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rPr>
        <w:t xml:space="preserve">    </w:t>
      </w:r>
      <w:r>
        <w:rPr>
          <w:rFonts w:hint="eastAsia" w:ascii="仿宋_GB2312" w:hAnsi="仿宋_GB2312" w:eastAsia="仿宋_GB2312" w:cs="仿宋_GB2312"/>
          <w:sz w:val="24"/>
          <w:szCs w:val="24"/>
        </w:rPr>
        <w:t xml:space="preserve">阳光采购服务平台（www.ygcgfw.com） </w:t>
      </w:r>
      <w:r>
        <w:rPr>
          <w:rFonts w:hint="eastAsia" w:ascii="仿宋_GB2312" w:hAnsi="仿宋_GB2312" w:eastAsia="仿宋_GB2312" w:cs="仿宋_GB2312"/>
          <w:sz w:val="24"/>
          <w:szCs w:val="24"/>
          <w:highlight w:val="none"/>
          <w:lang w:val="en-US" w:eastAsia="zh-CN"/>
        </w:rPr>
        <w:t>中国重汽</w:t>
      </w:r>
      <w:r>
        <w:rPr>
          <w:rFonts w:hint="eastAsia" w:ascii="仿宋_GB2312" w:hAnsi="仿宋_GB2312" w:eastAsia="仿宋_GB2312" w:cs="仿宋_GB2312"/>
          <w:sz w:val="24"/>
          <w:szCs w:val="24"/>
          <w:highlight w:val="none"/>
          <w:lang w:eastAsia="zh-CN"/>
        </w:rPr>
        <w:t>集团官网</w:t>
      </w:r>
      <w:r>
        <w:rPr>
          <w:rFonts w:hint="eastAsia" w:ascii="仿宋_GB2312" w:hAnsi="仿宋_GB2312" w:eastAsia="仿宋_GB2312" w:cs="仿宋_GB2312"/>
          <w:sz w:val="24"/>
          <w:szCs w:val="24"/>
          <w:highlight w:val="none"/>
          <w:lang w:val="en-US" w:eastAsia="zh-CN"/>
        </w:rPr>
        <w:t>（ww.cnhtc.com.cn）</w:t>
      </w:r>
    </w:p>
    <w:p w14:paraId="353AB269">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w:t>
      </w:r>
      <w:r>
        <w:rPr>
          <w:rFonts w:hint="eastAsia" w:asciiTheme="majorEastAsia" w:hAnsiTheme="majorEastAsia" w:eastAsiaTheme="majorEastAsia" w:cstheme="majorEastAsia"/>
          <w:b/>
          <w:bCs/>
          <w:sz w:val="24"/>
          <w:szCs w:val="24"/>
          <w:lang w:val="en-US" w:eastAsia="zh-CN"/>
        </w:rPr>
        <w:t>九</w:t>
      </w:r>
      <w:r>
        <w:rPr>
          <w:rFonts w:hint="eastAsia" w:asciiTheme="majorEastAsia" w:hAnsiTheme="majorEastAsia" w:eastAsiaTheme="majorEastAsia" w:cstheme="majorEastAsia"/>
          <w:b/>
          <w:bCs/>
          <w:sz w:val="24"/>
          <w:szCs w:val="24"/>
        </w:rPr>
        <w:t>、联系方式</w:t>
      </w:r>
      <w:r>
        <w:rPr>
          <w:rFonts w:hint="eastAsia" w:asciiTheme="majorEastAsia" w:hAnsiTheme="majorEastAsia" w:eastAsiaTheme="majorEastAsia" w:cstheme="majorEastAsia"/>
          <w:sz w:val="24"/>
          <w:szCs w:val="24"/>
        </w:rPr>
        <w:t xml:space="preserve"> </w:t>
      </w:r>
    </w:p>
    <w:p w14:paraId="30D1D38F">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采购人信息：</w:t>
      </w:r>
      <w:r>
        <w:rPr>
          <w:rFonts w:hint="eastAsia" w:asciiTheme="majorEastAsia" w:hAnsiTheme="majorEastAsia" w:eastAsiaTheme="majorEastAsia" w:cstheme="majorEastAsia"/>
          <w:sz w:val="24"/>
          <w:szCs w:val="24"/>
        </w:rPr>
        <w:t xml:space="preserve"> </w:t>
      </w:r>
    </w:p>
    <w:p w14:paraId="13AB6E4A">
      <w:pPr>
        <w:rPr>
          <w:rFonts w:hint="eastAsia" w:ascii="仿宋_GB2312" w:hAnsi="仿宋_GB2312" w:eastAsia="仿宋_GB2312" w:cs="仿宋_GB2312"/>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 xml:space="preserve">  </w:t>
      </w:r>
      <w:r>
        <w:rPr>
          <w:rFonts w:hint="eastAsia" w:ascii="仿宋_GB2312" w:hAnsi="仿宋_GB2312" w:eastAsia="仿宋_GB2312" w:cs="仿宋_GB2312"/>
          <w:sz w:val="24"/>
          <w:szCs w:val="24"/>
        </w:rPr>
        <w:t xml:space="preserve">名称：中国重型汽车集团有限公司 </w:t>
      </w:r>
    </w:p>
    <w:p w14:paraId="04D7726E">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地址：山东省济南市历城区华奥路777号 </w:t>
      </w:r>
    </w:p>
    <w:p w14:paraId="73B930C5">
      <w:pPr>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仿宋_GB2312" w:hAnsi="仿宋_GB2312" w:eastAsia="仿宋_GB2312" w:cs="仿宋_GB2312"/>
          <w:b w:val="0"/>
          <w:bCs w:val="0"/>
          <w:sz w:val="24"/>
          <w:szCs w:val="24"/>
        </w:rPr>
        <w:t>技术联系人</w:t>
      </w:r>
      <w:r>
        <w:rPr>
          <w:rFonts w:hint="eastAsia" w:ascii="仿宋_GB2312" w:hAnsi="仿宋_GB2312" w:eastAsia="仿宋_GB2312" w:cs="仿宋_GB2312"/>
          <w:sz w:val="24"/>
          <w:szCs w:val="24"/>
        </w:rPr>
        <w:t>：</w:t>
      </w:r>
      <w:r>
        <w:rPr>
          <w:rFonts w:hint="eastAsia"/>
        </w:rPr>
        <w:t>郭杨</w:t>
      </w:r>
    </w:p>
    <w:p w14:paraId="1C2DC1E7">
      <w:pPr>
        <w:ind w:firstLine="480"/>
        <w:rPr>
          <w:rFonts w:hint="eastAsia" w:ascii="仿宋_GB2312" w:hAnsi="仿宋_GB2312" w:eastAsia="仿宋_GB2312" w:cs="仿宋_GB2312"/>
          <w:sz w:val="24"/>
          <w:szCs w:val="24"/>
        </w:rPr>
      </w:pPr>
      <w:r>
        <w:rPr>
          <w:rFonts w:hint="eastAsia" w:ascii="仿宋_GB2312" w:hAnsi="仿宋_GB2312" w:eastAsia="仿宋_GB2312" w:cs="仿宋_GB2312"/>
          <w:b w:val="0"/>
          <w:bCs w:val="0"/>
          <w:sz w:val="24"/>
          <w:szCs w:val="24"/>
        </w:rPr>
        <w:t>电话</w:t>
      </w:r>
      <w:r>
        <w:rPr>
          <w:rFonts w:hint="eastAsia" w:ascii="仿宋_GB2312" w:hAnsi="仿宋_GB2312" w:eastAsia="仿宋_GB2312" w:cs="仿宋_GB2312"/>
          <w:sz w:val="24"/>
          <w:szCs w:val="24"/>
        </w:rPr>
        <w:t>：15554102927</w:t>
      </w:r>
    </w:p>
    <w:p w14:paraId="52461AFD">
      <w:pPr>
        <w:ind w:firstLine="480"/>
        <w:rPr>
          <w:rFonts w:hint="eastAsia" w:ascii="仿宋_GB2312" w:hAnsi="仿宋_GB2312" w:eastAsia="仿宋_GB2312" w:cs="仿宋_GB2312"/>
          <w:color w:val="auto"/>
          <w:sz w:val="24"/>
          <w:szCs w:val="24"/>
        </w:rPr>
      </w:pPr>
      <w:r>
        <w:rPr>
          <w:rFonts w:hint="eastAsia" w:ascii="仿宋_GB2312" w:hAnsi="仿宋_GB2312" w:eastAsia="仿宋_GB2312" w:cs="仿宋_GB2312"/>
          <w:b w:val="0"/>
          <w:bCs w:val="0"/>
          <w:color w:val="auto"/>
          <w:sz w:val="24"/>
          <w:szCs w:val="24"/>
        </w:rPr>
        <w:t>商务联系人</w:t>
      </w:r>
      <w:r>
        <w:rPr>
          <w:rFonts w:hint="eastAsia" w:ascii="仿宋_GB2312" w:hAnsi="仿宋_GB2312" w:eastAsia="仿宋_GB2312" w:cs="仿宋_GB2312"/>
          <w:color w:val="auto"/>
          <w:sz w:val="24"/>
          <w:szCs w:val="24"/>
        </w:rPr>
        <w:t xml:space="preserve">：王芳  </w:t>
      </w:r>
    </w:p>
    <w:p w14:paraId="7945E155">
      <w:pPr>
        <w:ind w:firstLine="480"/>
        <w:rPr>
          <w:rFonts w:hint="eastAsia" w:ascii="仿宋_GB2312" w:hAnsi="仿宋_GB2312" w:eastAsia="仿宋_GB2312" w:cs="仿宋_GB2312"/>
          <w:sz w:val="24"/>
          <w:szCs w:val="24"/>
        </w:rPr>
      </w:pPr>
      <w:r>
        <w:rPr>
          <w:rFonts w:hint="eastAsia" w:ascii="仿宋_GB2312" w:hAnsi="仿宋_GB2312" w:eastAsia="仿宋_GB2312" w:cs="仿宋_GB2312"/>
          <w:b w:val="0"/>
          <w:bCs w:val="0"/>
          <w:sz w:val="24"/>
          <w:szCs w:val="24"/>
        </w:rPr>
        <w:t>电话：</w:t>
      </w:r>
      <w:r>
        <w:rPr>
          <w:rFonts w:hint="eastAsia" w:ascii="仿宋_GB2312" w:hAnsi="仿宋_GB2312" w:eastAsia="仿宋_GB2312" w:cs="仿宋_GB2312"/>
          <w:sz w:val="24"/>
          <w:szCs w:val="24"/>
        </w:rPr>
        <w:t>15050868264</w:t>
      </w:r>
    </w:p>
    <w:p w14:paraId="6986140B">
      <w:pPr>
        <w:ind w:firstLine="480"/>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lang w:val="en-US" w:eastAsia="zh-CN"/>
        </w:rPr>
        <w:t>十</w:t>
      </w:r>
      <w:r>
        <w:rPr>
          <w:rFonts w:hint="eastAsia" w:asciiTheme="majorEastAsia" w:hAnsiTheme="majorEastAsia" w:eastAsiaTheme="majorEastAsia" w:cstheme="majorEastAsia"/>
          <w:b/>
          <w:bCs/>
          <w:sz w:val="24"/>
          <w:szCs w:val="24"/>
        </w:rPr>
        <w:t xml:space="preserve">、其他说明  </w:t>
      </w:r>
    </w:p>
    <w:p w14:paraId="7F352A2E">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1</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供应商需在阳光采购服务平台进行注册，注册后搜索该项目并进行报名。</w:t>
      </w:r>
    </w:p>
    <w:p w14:paraId="5CBCB798">
      <w:pPr>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供应商需在重汽官网搜索本项目招标公告，根据要求准备报名资料。</w:t>
      </w:r>
    </w:p>
    <w:p w14:paraId="233C8080">
      <w:pPr>
        <w:ind w:firstLine="480"/>
        <w:rPr>
          <w:rFonts w:hint="eastAsia" w:asciiTheme="majorEastAsia" w:hAnsiTheme="majorEastAsia" w:eastAsiaTheme="majorEastAsia" w:cstheme="majorEastAsia"/>
          <w:sz w:val="24"/>
          <w:szCs w:val="24"/>
        </w:rPr>
      </w:pPr>
    </w:p>
    <w:p w14:paraId="0595BCE4">
      <w:pPr>
        <w:ind w:firstLine="480"/>
        <w:rPr>
          <w:rFonts w:hint="eastAsia" w:asciiTheme="majorEastAsia" w:hAnsiTheme="majorEastAsia" w:eastAsiaTheme="majorEastAsia" w:cstheme="majorEastAsia"/>
          <w:sz w:val="24"/>
          <w:szCs w:val="24"/>
        </w:rPr>
      </w:pPr>
    </w:p>
    <w:p w14:paraId="33E67BF5">
      <w:pPr>
        <w:ind w:firstLine="480"/>
        <w:rPr>
          <w:rFonts w:hint="eastAsia" w:asciiTheme="majorEastAsia" w:hAnsiTheme="majorEastAsia" w:eastAsiaTheme="majorEastAsia" w:cstheme="majorEastAsia"/>
          <w:sz w:val="24"/>
          <w:szCs w:val="24"/>
        </w:rPr>
      </w:pPr>
    </w:p>
    <w:p w14:paraId="79924D5D">
      <w:pPr>
        <w:ind w:firstLine="480"/>
        <w:rPr>
          <w:rFonts w:hint="eastAsia" w:asciiTheme="majorEastAsia" w:hAnsiTheme="majorEastAsia" w:eastAsiaTheme="majorEastAsia" w:cstheme="majorEastAsia"/>
          <w:sz w:val="24"/>
          <w:szCs w:val="24"/>
        </w:rPr>
      </w:pPr>
    </w:p>
    <w:p w14:paraId="267A35C3">
      <w:pPr>
        <w:ind w:firstLine="480"/>
        <w:rPr>
          <w:rFonts w:hint="eastAsia" w:asciiTheme="majorEastAsia" w:hAnsiTheme="majorEastAsia" w:eastAsiaTheme="majorEastAsia" w:cstheme="majorEastAsia"/>
          <w:sz w:val="24"/>
          <w:szCs w:val="24"/>
        </w:rPr>
      </w:pPr>
    </w:p>
    <w:p w14:paraId="5A855CA9">
      <w:pPr>
        <w:ind w:firstLine="480"/>
        <w:rPr>
          <w:rFonts w:hint="eastAsia" w:asciiTheme="majorEastAsia" w:hAnsiTheme="majorEastAsia" w:eastAsiaTheme="majorEastAsia" w:cstheme="majorEastAsia"/>
          <w:sz w:val="24"/>
          <w:szCs w:val="24"/>
        </w:rPr>
      </w:pPr>
    </w:p>
    <w:p w14:paraId="65AB3B26">
      <w:pPr>
        <w:ind w:firstLine="480"/>
        <w:rPr>
          <w:rFonts w:hint="eastAsia" w:asciiTheme="majorEastAsia" w:hAnsiTheme="majorEastAsia" w:eastAsiaTheme="majorEastAsia" w:cstheme="majorEastAsia"/>
          <w:sz w:val="24"/>
          <w:szCs w:val="24"/>
        </w:rPr>
      </w:pPr>
    </w:p>
    <w:p w14:paraId="44A8EB07">
      <w:pPr>
        <w:ind w:firstLine="480"/>
        <w:rPr>
          <w:rFonts w:hint="eastAsia" w:asciiTheme="majorEastAsia" w:hAnsiTheme="majorEastAsia" w:eastAsiaTheme="majorEastAsia" w:cstheme="majorEastAsia"/>
          <w:sz w:val="24"/>
          <w:szCs w:val="24"/>
        </w:rPr>
      </w:pPr>
    </w:p>
    <w:p w14:paraId="3CAFF51B">
      <w:pPr>
        <w:ind w:firstLine="480"/>
        <w:rPr>
          <w:rFonts w:hint="eastAsia" w:asciiTheme="majorEastAsia" w:hAnsiTheme="majorEastAsia" w:eastAsiaTheme="majorEastAsia" w:cstheme="majorEastAsia"/>
          <w:sz w:val="24"/>
          <w:szCs w:val="24"/>
        </w:rPr>
      </w:pPr>
    </w:p>
    <w:p w14:paraId="6993C1C3">
      <w:pPr>
        <w:ind w:firstLine="480"/>
        <w:rPr>
          <w:rFonts w:hint="eastAsia" w:asciiTheme="majorEastAsia" w:hAnsiTheme="majorEastAsia" w:eastAsiaTheme="majorEastAsia" w:cstheme="majorEastAsia"/>
          <w:sz w:val="24"/>
          <w:szCs w:val="24"/>
        </w:rPr>
      </w:pPr>
    </w:p>
    <w:p w14:paraId="10170BD5">
      <w:pPr>
        <w:ind w:firstLine="480"/>
        <w:rPr>
          <w:rFonts w:hint="eastAsia" w:asciiTheme="majorEastAsia" w:hAnsiTheme="majorEastAsia" w:eastAsiaTheme="majorEastAsia" w:cstheme="majorEastAsia"/>
          <w:sz w:val="24"/>
          <w:szCs w:val="24"/>
        </w:rPr>
      </w:pPr>
    </w:p>
    <w:p w14:paraId="5A12A095">
      <w:pPr>
        <w:ind w:firstLine="480"/>
        <w:rPr>
          <w:rFonts w:hint="eastAsia" w:asciiTheme="majorEastAsia" w:hAnsiTheme="majorEastAsia" w:eastAsiaTheme="majorEastAsia" w:cstheme="majorEastAsia"/>
          <w:sz w:val="24"/>
          <w:szCs w:val="24"/>
        </w:rPr>
      </w:pPr>
    </w:p>
    <w:p w14:paraId="522BA26C">
      <w:pPr>
        <w:ind w:firstLine="480"/>
        <w:rPr>
          <w:rFonts w:hint="eastAsia" w:asciiTheme="majorEastAsia" w:hAnsiTheme="majorEastAsia" w:eastAsiaTheme="majorEastAsia" w:cstheme="majorEastAsia"/>
          <w:sz w:val="24"/>
          <w:szCs w:val="24"/>
        </w:rPr>
      </w:pPr>
    </w:p>
    <w:p w14:paraId="0999A404">
      <w:pPr>
        <w:ind w:firstLine="480"/>
        <w:rPr>
          <w:rFonts w:hint="eastAsia" w:asciiTheme="majorEastAsia" w:hAnsiTheme="majorEastAsia" w:eastAsiaTheme="majorEastAsia" w:cstheme="majorEastAsia"/>
          <w:sz w:val="24"/>
          <w:szCs w:val="24"/>
        </w:rPr>
      </w:pPr>
    </w:p>
    <w:p w14:paraId="64B92236">
      <w:pPr>
        <w:ind w:firstLine="480"/>
        <w:rPr>
          <w:rFonts w:hint="eastAsia" w:asciiTheme="majorEastAsia" w:hAnsiTheme="majorEastAsia" w:eastAsiaTheme="majorEastAsia" w:cstheme="majorEastAsia"/>
          <w:sz w:val="24"/>
          <w:szCs w:val="24"/>
        </w:rPr>
      </w:pPr>
    </w:p>
    <w:p w14:paraId="0D662AEB">
      <w:pPr>
        <w:ind w:firstLine="480"/>
        <w:rPr>
          <w:rFonts w:hint="eastAsia" w:asciiTheme="majorEastAsia" w:hAnsiTheme="majorEastAsia" w:eastAsiaTheme="majorEastAsia" w:cstheme="majorEastAsia"/>
          <w:sz w:val="24"/>
          <w:szCs w:val="24"/>
        </w:rPr>
      </w:pPr>
    </w:p>
    <w:p w14:paraId="5F616D67">
      <w:pPr>
        <w:ind w:firstLine="480"/>
        <w:rPr>
          <w:rFonts w:hint="eastAsia" w:asciiTheme="majorEastAsia" w:hAnsiTheme="majorEastAsia" w:eastAsiaTheme="majorEastAsia" w:cstheme="majorEastAsia"/>
          <w:sz w:val="24"/>
          <w:szCs w:val="24"/>
        </w:rPr>
      </w:pPr>
    </w:p>
    <w:p w14:paraId="1943E023">
      <w:pPr>
        <w:ind w:firstLine="480"/>
        <w:rPr>
          <w:rFonts w:hint="eastAsia" w:asciiTheme="majorEastAsia" w:hAnsiTheme="majorEastAsia" w:eastAsiaTheme="majorEastAsia" w:cstheme="majorEastAsia"/>
          <w:sz w:val="24"/>
          <w:szCs w:val="24"/>
        </w:rPr>
      </w:pPr>
    </w:p>
    <w:p w14:paraId="0ED60747">
      <w:pPr>
        <w:ind w:firstLine="480"/>
        <w:rPr>
          <w:rFonts w:hint="eastAsia" w:asciiTheme="majorEastAsia" w:hAnsiTheme="majorEastAsia" w:eastAsiaTheme="majorEastAsia" w:cstheme="majorEastAsia"/>
          <w:sz w:val="24"/>
          <w:szCs w:val="24"/>
        </w:rPr>
      </w:pPr>
    </w:p>
    <w:p w14:paraId="4082FBA8">
      <w:pPr>
        <w:ind w:firstLine="480"/>
        <w:rPr>
          <w:rFonts w:hint="eastAsia" w:asciiTheme="majorEastAsia" w:hAnsiTheme="majorEastAsia" w:eastAsiaTheme="majorEastAsia" w:cstheme="majorEastAsia"/>
          <w:sz w:val="24"/>
          <w:szCs w:val="24"/>
        </w:rPr>
      </w:pPr>
    </w:p>
    <w:p w14:paraId="04E980BE">
      <w:pPr>
        <w:ind w:firstLine="480"/>
        <w:rPr>
          <w:rFonts w:hint="eastAsia" w:asciiTheme="majorEastAsia" w:hAnsiTheme="majorEastAsia" w:eastAsiaTheme="majorEastAsia" w:cstheme="majorEastAsia"/>
          <w:sz w:val="24"/>
          <w:szCs w:val="24"/>
        </w:rPr>
      </w:pPr>
    </w:p>
    <w:p w14:paraId="7B9C610C">
      <w:pPr>
        <w:ind w:firstLine="480"/>
        <w:rPr>
          <w:rFonts w:hint="eastAsia" w:asciiTheme="majorEastAsia" w:hAnsiTheme="majorEastAsia" w:eastAsiaTheme="majorEastAsia" w:cstheme="majorEastAsia"/>
          <w:sz w:val="24"/>
          <w:szCs w:val="24"/>
        </w:rPr>
      </w:pPr>
    </w:p>
    <w:p w14:paraId="612E0D87">
      <w:pPr>
        <w:ind w:firstLine="480"/>
        <w:rPr>
          <w:rFonts w:hint="eastAsia" w:asciiTheme="majorEastAsia" w:hAnsiTheme="majorEastAsia" w:eastAsiaTheme="majorEastAsia" w:cstheme="majorEastAsia"/>
          <w:sz w:val="24"/>
          <w:szCs w:val="24"/>
        </w:rPr>
      </w:pPr>
    </w:p>
    <w:p w14:paraId="6984D85D">
      <w:pPr>
        <w:ind w:firstLine="480"/>
        <w:rPr>
          <w:rFonts w:hint="eastAsia" w:asciiTheme="majorEastAsia" w:hAnsiTheme="majorEastAsia" w:eastAsiaTheme="majorEastAsia" w:cstheme="majorEastAsia"/>
          <w:sz w:val="24"/>
          <w:szCs w:val="24"/>
        </w:rPr>
      </w:pPr>
    </w:p>
    <w:p w14:paraId="2A0B07E2">
      <w:pPr>
        <w:ind w:firstLine="480"/>
        <w:rPr>
          <w:rFonts w:hint="eastAsia" w:asciiTheme="majorEastAsia" w:hAnsiTheme="majorEastAsia" w:eastAsiaTheme="majorEastAsia" w:cstheme="majorEastAsia"/>
          <w:sz w:val="24"/>
          <w:szCs w:val="24"/>
        </w:rPr>
      </w:pPr>
    </w:p>
    <w:p w14:paraId="5F9FA097">
      <w:pPr>
        <w:ind w:firstLine="480"/>
        <w:rPr>
          <w:rFonts w:hint="eastAsia" w:asciiTheme="majorEastAsia" w:hAnsiTheme="majorEastAsia" w:eastAsiaTheme="majorEastAsia" w:cstheme="majorEastAsia"/>
          <w:sz w:val="24"/>
          <w:szCs w:val="24"/>
        </w:rPr>
      </w:pPr>
    </w:p>
    <w:p w14:paraId="1C51ACE8">
      <w:pPr>
        <w:ind w:firstLine="480"/>
        <w:rPr>
          <w:rFonts w:hint="eastAsia" w:asciiTheme="majorEastAsia" w:hAnsiTheme="majorEastAsia" w:eastAsiaTheme="majorEastAsia" w:cstheme="majorEastAsia"/>
          <w:sz w:val="24"/>
          <w:szCs w:val="24"/>
        </w:rPr>
      </w:pPr>
    </w:p>
    <w:p w14:paraId="7B87AB8F">
      <w:pPr>
        <w:ind w:firstLine="480"/>
        <w:rPr>
          <w:rFonts w:hint="eastAsia" w:asciiTheme="majorEastAsia" w:hAnsiTheme="majorEastAsia" w:eastAsiaTheme="majorEastAsia" w:cstheme="majorEastAsia"/>
          <w:sz w:val="24"/>
          <w:szCs w:val="24"/>
        </w:rPr>
      </w:pPr>
    </w:p>
    <w:p w14:paraId="375F489A">
      <w:pPr>
        <w:ind w:firstLine="480"/>
        <w:rPr>
          <w:rFonts w:hint="eastAsia" w:asciiTheme="majorEastAsia" w:hAnsiTheme="majorEastAsia" w:eastAsiaTheme="majorEastAsia" w:cstheme="majorEastAsia"/>
          <w:sz w:val="24"/>
          <w:szCs w:val="24"/>
        </w:rPr>
      </w:pPr>
    </w:p>
    <w:p w14:paraId="1C05193A">
      <w:pPr>
        <w:ind w:firstLine="480"/>
        <w:rPr>
          <w:rFonts w:hint="eastAsia" w:asciiTheme="majorEastAsia" w:hAnsiTheme="majorEastAsia" w:eastAsiaTheme="majorEastAsia" w:cstheme="majorEastAsia"/>
          <w:sz w:val="24"/>
          <w:szCs w:val="24"/>
        </w:rPr>
      </w:pPr>
    </w:p>
    <w:p w14:paraId="4A870664">
      <w:pPr>
        <w:ind w:firstLine="480"/>
        <w:rPr>
          <w:rFonts w:hint="eastAsia" w:asciiTheme="majorEastAsia" w:hAnsiTheme="majorEastAsia" w:eastAsiaTheme="majorEastAsia" w:cstheme="majorEastAsia"/>
          <w:sz w:val="24"/>
          <w:szCs w:val="24"/>
        </w:rPr>
      </w:pPr>
    </w:p>
    <w:p w14:paraId="30AA7288">
      <w:pPr>
        <w:ind w:firstLine="480"/>
        <w:rPr>
          <w:rFonts w:hint="eastAsia" w:asciiTheme="majorEastAsia" w:hAnsiTheme="majorEastAsia" w:eastAsiaTheme="majorEastAsia" w:cstheme="majorEastAsia"/>
          <w:sz w:val="24"/>
          <w:szCs w:val="24"/>
        </w:rPr>
      </w:pPr>
    </w:p>
    <w:p w14:paraId="481E04EE">
      <w:pPr>
        <w:ind w:firstLine="480"/>
        <w:rPr>
          <w:rFonts w:hint="eastAsia" w:asciiTheme="majorEastAsia" w:hAnsiTheme="majorEastAsia" w:eastAsiaTheme="majorEastAsia" w:cstheme="majorEastAsia"/>
          <w:sz w:val="24"/>
          <w:szCs w:val="24"/>
        </w:rPr>
      </w:pPr>
    </w:p>
    <w:p w14:paraId="04F9EF13">
      <w:pPr>
        <w:ind w:firstLine="480"/>
        <w:rPr>
          <w:rFonts w:hint="eastAsia" w:asciiTheme="majorEastAsia" w:hAnsiTheme="majorEastAsia" w:eastAsiaTheme="majorEastAsia" w:cstheme="majorEastAsia"/>
          <w:sz w:val="24"/>
          <w:szCs w:val="24"/>
        </w:rPr>
      </w:pPr>
    </w:p>
    <w:p w14:paraId="03DA79B7">
      <w:pPr>
        <w:rPr>
          <w:rFonts w:hint="eastAsia" w:eastAsia="黑体"/>
          <w:b/>
          <w:bCs/>
          <w:sz w:val="28"/>
        </w:rPr>
      </w:pPr>
      <w:bookmarkStart w:id="1" w:name="_Toc29366869"/>
      <w:bookmarkStart w:id="2" w:name="_Toc29366865"/>
      <w:r>
        <w:rPr>
          <w:rFonts w:hint="eastAsia" w:eastAsia="黑体"/>
          <w:b/>
          <w:bCs/>
          <w:sz w:val="28"/>
        </w:rPr>
        <w:t>格式6</w:t>
      </w:r>
    </w:p>
    <w:p w14:paraId="5803BA9A">
      <w:pPr>
        <w:rPr>
          <w:rFonts w:ascii="宋体" w:hAnsi="宋体"/>
        </w:rPr>
      </w:pPr>
      <w:r>
        <w:rPr>
          <w:rFonts w:hint="eastAsia" w:ascii="宋体" w:hAnsi="宋体"/>
        </w:rPr>
        <w:t>项目名称：车辆证书采购项目</w:t>
      </w:r>
    </w:p>
    <w:p w14:paraId="752D0536">
      <w:pPr>
        <w:pStyle w:val="7"/>
        <w:spacing w:line="360" w:lineRule="auto"/>
        <w:rPr>
          <w:rFonts w:hAnsi="宋体"/>
          <w:szCs w:val="21"/>
        </w:rPr>
      </w:pPr>
      <w:r>
        <w:rPr>
          <w:rFonts w:hint="eastAsia" w:hAnsi="宋体"/>
          <w:szCs w:val="21"/>
        </w:rPr>
        <w:t>日期：  年   月   日</w:t>
      </w:r>
    </w:p>
    <w:p w14:paraId="115BF1CD">
      <w:pPr>
        <w:jc w:val="center"/>
        <w:rPr>
          <w:rFonts w:eastAsia="黑体"/>
          <w:b/>
          <w:bCs/>
          <w:sz w:val="28"/>
        </w:rPr>
      </w:pPr>
      <w:r>
        <w:rPr>
          <w:rFonts w:hint="eastAsia" w:eastAsia="黑体"/>
          <w:b/>
          <w:bCs/>
          <w:sz w:val="28"/>
        </w:rPr>
        <w:t>法人授权委托书</w:t>
      </w:r>
    </w:p>
    <w:p w14:paraId="3260E200">
      <w:pPr>
        <w:rPr>
          <w:rFonts w:ascii="宋体" w:hAnsi="宋体"/>
          <w:u w:val="single"/>
        </w:rPr>
      </w:pPr>
      <w:r>
        <w:rPr>
          <w:rFonts w:hint="eastAsia" w:ascii="宋体" w:hAnsi="宋体"/>
        </w:rPr>
        <w:t>致</w:t>
      </w:r>
      <w:r>
        <w:rPr>
          <w:rFonts w:hint="eastAsia" w:ascii="宋体" w:hAnsi="宋体"/>
          <w:u w:val="single"/>
        </w:rPr>
        <w:t>（招标人名称）                            ：</w:t>
      </w:r>
    </w:p>
    <w:p w14:paraId="0CE78CFE">
      <w:pPr>
        <w:spacing w:line="360" w:lineRule="auto"/>
        <w:ind w:firstLine="420" w:firstLineChars="200"/>
        <w:rPr>
          <w:rFonts w:ascii="宋体"/>
          <w:kern w:val="0"/>
          <w:szCs w:val="21"/>
        </w:rPr>
      </w:pPr>
      <w:r>
        <w:rPr>
          <w:rFonts w:hint="eastAsia" w:ascii="宋体" w:hAnsi="宋体"/>
          <w:kern w:val="0"/>
          <w:szCs w:val="21"/>
        </w:rPr>
        <w:t>本授权委托书声明：我</w:t>
      </w:r>
      <w:r>
        <w:rPr>
          <w:rFonts w:hint="eastAsia" w:ascii="宋体" w:hAnsi="宋体"/>
          <w:kern w:val="0"/>
          <w:szCs w:val="21"/>
          <w:u w:val="single"/>
        </w:rPr>
        <w:t xml:space="preserve">（法人姓名）       </w:t>
      </w:r>
      <w:r>
        <w:rPr>
          <w:rFonts w:hint="eastAsia" w:ascii="宋体" w:hAnsi="宋体"/>
          <w:kern w:val="0"/>
          <w:szCs w:val="21"/>
        </w:rPr>
        <w:t>系</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的法定代表人，现授权委托</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w:t>
      </w:r>
      <w:r>
        <w:rPr>
          <w:rFonts w:hint="eastAsia" w:ascii="宋体" w:hAnsi="宋体"/>
          <w:kern w:val="0"/>
          <w:szCs w:val="21"/>
          <w:u w:val="single"/>
        </w:rPr>
        <w:t xml:space="preserve"> （授权委托代理人姓名）        </w:t>
      </w:r>
      <w:r>
        <w:rPr>
          <w:rFonts w:hint="eastAsia" w:ascii="宋体" w:hAnsi="宋体"/>
          <w:kern w:val="0"/>
          <w:szCs w:val="21"/>
        </w:rPr>
        <w:t>为我公司参加贵方组织的</w:t>
      </w:r>
      <w:r>
        <w:rPr>
          <w:rFonts w:hint="eastAsia" w:cs="宋体"/>
          <w:kern w:val="0"/>
          <w:szCs w:val="21"/>
          <w:u w:val="single"/>
        </w:rPr>
        <w:t xml:space="preserve"> XX项目 </w:t>
      </w:r>
      <w:r>
        <w:rPr>
          <w:rFonts w:hint="eastAsia" w:ascii="宋体" w:hAnsi="宋体"/>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17CAB2EF">
      <w:pPr>
        <w:spacing w:line="360" w:lineRule="auto"/>
        <w:ind w:firstLine="420" w:firstLineChars="200"/>
        <w:rPr>
          <w:rFonts w:ascii="宋体"/>
          <w:kern w:val="0"/>
          <w:szCs w:val="21"/>
        </w:rPr>
      </w:pPr>
      <w:r>
        <w:rPr>
          <w:rFonts w:hint="eastAsia" w:ascii="宋体" w:hAnsi="宋体"/>
          <w:kern w:val="0"/>
          <w:szCs w:val="21"/>
        </w:rPr>
        <w:t>委托期限：</w:t>
      </w:r>
      <w:r>
        <w:rPr>
          <w:rFonts w:ascii="宋体" w:hAnsi="宋体"/>
          <w:kern w:val="0"/>
          <w:szCs w:val="21"/>
          <w:u w:val="single"/>
        </w:rPr>
        <w:t>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日至</w:t>
      </w:r>
      <w:r>
        <w:rPr>
          <w:rFonts w:ascii="宋体" w:hAnsi="宋体"/>
          <w:kern w:val="0"/>
          <w:szCs w:val="21"/>
          <w:u w:val="single"/>
        </w:rPr>
        <w:t xml:space="preserve"> 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w:t>
      </w:r>
    </w:p>
    <w:p w14:paraId="61AD86E3">
      <w:pPr>
        <w:spacing w:line="360" w:lineRule="auto"/>
        <w:ind w:firstLine="420" w:firstLineChars="200"/>
        <w:rPr>
          <w:rFonts w:ascii="宋体"/>
          <w:kern w:val="0"/>
          <w:szCs w:val="21"/>
        </w:rPr>
      </w:pPr>
      <w:r>
        <w:rPr>
          <w:rFonts w:hint="eastAsia" w:ascii="宋体" w:hAnsi="宋体"/>
          <w:kern w:val="0"/>
          <w:szCs w:val="21"/>
        </w:rPr>
        <w:t>代理人无转委托权，特此委托。</w:t>
      </w:r>
    </w:p>
    <w:p w14:paraId="2DCA2C52">
      <w:pPr>
        <w:spacing w:line="360" w:lineRule="auto"/>
        <w:ind w:firstLine="420" w:firstLineChars="200"/>
        <w:rPr>
          <w:rFonts w:ascii="宋体"/>
          <w:kern w:val="0"/>
          <w:szCs w:val="21"/>
        </w:rPr>
      </w:pPr>
      <w:r>
        <w:rPr>
          <w:rFonts w:hint="eastAsia" w:ascii="宋体" w:hAnsi="宋体"/>
          <w:kern w:val="0"/>
          <w:szCs w:val="21"/>
        </w:rPr>
        <w:t>代理人姓名：</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性别：</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年龄：</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p>
    <w:p w14:paraId="2DEFB48A">
      <w:pPr>
        <w:spacing w:line="360" w:lineRule="auto"/>
        <w:ind w:firstLine="420" w:firstLineChars="200"/>
        <w:rPr>
          <w:rFonts w:ascii="宋体"/>
          <w:kern w:val="0"/>
          <w:szCs w:val="21"/>
        </w:rPr>
      </w:pPr>
      <w:r>
        <w:rPr>
          <w:rFonts w:hint="eastAsia" w:ascii="宋体" w:hAnsi="宋体"/>
          <w:kern w:val="0"/>
          <w:szCs w:val="21"/>
        </w:rPr>
        <w:t>身份证号码：</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职务：</w:t>
      </w:r>
      <w:r>
        <w:rPr>
          <w:rFonts w:ascii="宋体" w:hAnsi="宋体"/>
          <w:kern w:val="0"/>
          <w:szCs w:val="21"/>
        </w:rPr>
        <w:t xml:space="preserve"> </w:t>
      </w:r>
      <w:r>
        <w:rPr>
          <w:rFonts w:hint="eastAsia" w:ascii="宋体" w:hAnsi="宋体"/>
          <w:kern w:val="0"/>
          <w:szCs w:val="21"/>
          <w:u w:val="single"/>
        </w:rPr>
        <w:t xml:space="preserve">       </w:t>
      </w:r>
      <w:r>
        <w:rPr>
          <w:rFonts w:ascii="宋体" w:hAnsi="宋体"/>
          <w:kern w:val="0"/>
          <w:szCs w:val="21"/>
        </w:rPr>
        <w:t xml:space="preserve">    </w:t>
      </w:r>
    </w:p>
    <w:p w14:paraId="20C34811">
      <w:pPr>
        <w:spacing w:line="360" w:lineRule="auto"/>
        <w:ind w:firstLine="420" w:firstLineChars="200"/>
        <w:rPr>
          <w:rFonts w:ascii="宋体"/>
          <w:kern w:val="0"/>
          <w:szCs w:val="21"/>
        </w:rPr>
      </w:pPr>
      <w:r>
        <w:rPr>
          <w:rFonts w:hint="eastAsia" w:ascii="宋体" w:hAnsi="宋体"/>
          <w:kern w:val="0"/>
          <w:szCs w:val="21"/>
        </w:rPr>
        <w:t>投标人名称：（盖单位公章）</w:t>
      </w:r>
    </w:p>
    <w:p w14:paraId="085D71AC">
      <w:pPr>
        <w:spacing w:line="360" w:lineRule="auto"/>
        <w:ind w:firstLine="420" w:firstLineChars="200"/>
        <w:rPr>
          <w:rFonts w:hint="eastAsia" w:ascii="宋体" w:hAnsi="宋体"/>
          <w:kern w:val="0"/>
          <w:szCs w:val="21"/>
        </w:rPr>
      </w:pPr>
      <w:r>
        <w:rPr>
          <w:rFonts w:hint="eastAsia" w:ascii="宋体" w:hAnsi="宋体"/>
          <w:kern w:val="0"/>
          <w:szCs w:val="21"/>
        </w:rPr>
        <w:t>法定代表人：（签字）</w:t>
      </w:r>
    </w:p>
    <w:p w14:paraId="61AEBA27">
      <w:pPr>
        <w:rPr>
          <w:rFonts w:hint="eastAsia" w:eastAsia="黑体"/>
          <w:b/>
          <w:bCs/>
          <w:sz w:val="28"/>
        </w:rPr>
      </w:pPr>
    </w:p>
    <w:p w14:paraId="3B704227">
      <w:pPr>
        <w:rPr>
          <w:rFonts w:hint="eastAsia" w:eastAsia="黑体"/>
          <w:b/>
          <w:bCs/>
          <w:sz w:val="28"/>
        </w:rPr>
      </w:pPr>
    </w:p>
    <w:p w14:paraId="36080F8D">
      <w:pPr>
        <w:rPr>
          <w:rFonts w:hint="eastAsia" w:eastAsia="黑体"/>
          <w:b/>
          <w:bCs/>
          <w:sz w:val="28"/>
        </w:rPr>
      </w:pPr>
    </w:p>
    <w:bookmarkEnd w:id="1"/>
    <w:bookmarkEnd w:id="2"/>
    <w:p w14:paraId="38EF994B">
      <w:pPr>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br w:type="page"/>
      </w:r>
    </w:p>
    <w:p w14:paraId="0DEC3FBD">
      <w:pPr>
        <w:pStyle w:val="7"/>
        <w:outlineLvl w:val="2"/>
        <w:rPr>
          <w:rFonts w:hint="eastAsia" w:hAnsi="宋体" w:eastAsia="宋体" w:cs="宋体"/>
          <w:b/>
          <w:bCs/>
          <w:color w:val="000000"/>
          <w:sz w:val="24"/>
          <w:szCs w:val="24"/>
        </w:rPr>
      </w:pPr>
      <w:r>
        <w:rPr>
          <w:rFonts w:hint="eastAsia" w:hAnsi="宋体" w:eastAsia="宋体" w:cs="宋体"/>
          <w:b/>
          <w:bCs/>
          <w:color w:val="000000"/>
          <w:sz w:val="24"/>
          <w:szCs w:val="24"/>
        </w:rPr>
        <w:t xml:space="preserve"> </w:t>
      </w:r>
      <w:r>
        <w:rPr>
          <w:rFonts w:hint="eastAsia" w:hAnsi="宋体" w:eastAsia="宋体" w:cs="宋体"/>
          <w:b/>
          <w:bCs/>
          <w:color w:val="000000"/>
          <w:sz w:val="24"/>
          <w:szCs w:val="24"/>
          <w:lang w:val="en-US" w:eastAsia="zh-CN"/>
        </w:rPr>
        <w:t>附件4：</w:t>
      </w:r>
      <w:r>
        <w:rPr>
          <w:rFonts w:hint="eastAsia" w:hAnsi="宋体" w:eastAsia="宋体" w:cs="宋体"/>
          <w:b/>
          <w:bCs/>
          <w:color w:val="000000"/>
          <w:sz w:val="24"/>
          <w:szCs w:val="24"/>
        </w:rPr>
        <w:t>SRM非生产供应商注册操作手册</w:t>
      </w:r>
    </w:p>
    <w:p w14:paraId="3B55DB0D">
      <w:pPr>
        <w:pStyle w:val="7"/>
        <w:rPr>
          <w:rFonts w:eastAsia="宋体"/>
        </w:rPr>
      </w:pPr>
    </w:p>
    <w:p w14:paraId="67C14DB3">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7DCEACE8">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7CCC3B29">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42068FE7">
      <w:pPr>
        <w:snapToGrid w:val="0"/>
        <w:spacing w:line="312" w:lineRule="auto"/>
        <w:rPr>
          <w:rFonts w:hint="eastAsia"/>
        </w:rPr>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7"/>
                    <a:stretch>
                      <a:fillRect/>
                    </a:stretch>
                  </pic:blipFill>
                  <pic:spPr>
                    <a:xfrm>
                      <a:off x="0" y="0"/>
                      <a:ext cx="5760085" cy="2933377"/>
                    </a:xfrm>
                    <a:prstGeom prst="rect">
                      <a:avLst/>
                    </a:prstGeom>
                  </pic:spPr>
                </pic:pic>
              </a:graphicData>
            </a:graphic>
          </wp:inline>
        </w:drawing>
      </w:r>
    </w:p>
    <w:p w14:paraId="10CB5C13">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6497FF7F">
      <w:pPr>
        <w:snapToGrid w:val="0"/>
        <w:spacing w:line="312" w:lineRule="auto"/>
        <w:rPr>
          <w:rFonts w:hint="eastAsia"/>
        </w:rPr>
      </w:pPr>
      <w:r>
        <w:drawing>
          <wp:inline distT="0" distB="0" distL="0" distR="0">
            <wp:extent cx="5760085" cy="2766695"/>
            <wp:effectExtent l="0" t="0" r="12065" b="146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8"/>
                    <a:stretch>
                      <a:fillRect/>
                    </a:stretch>
                  </pic:blipFill>
                  <pic:spPr>
                    <a:xfrm>
                      <a:off x="0" y="0"/>
                      <a:ext cx="5760085" cy="2766707"/>
                    </a:xfrm>
                    <a:prstGeom prst="rect">
                      <a:avLst/>
                    </a:prstGeom>
                  </pic:spPr>
                </pic:pic>
              </a:graphicData>
            </a:graphic>
          </wp:inline>
        </w:drawing>
      </w:r>
    </w:p>
    <w:p w14:paraId="363186A0">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250679A6">
      <w:pPr>
        <w:snapToGrid w:val="0"/>
        <w:spacing w:line="312" w:lineRule="auto"/>
        <w:rPr>
          <w:rFonts w:hint="eastAsia"/>
        </w:rPr>
      </w:pPr>
      <w:r>
        <w:drawing>
          <wp:inline distT="0" distB="0" distL="0" distR="0">
            <wp:extent cx="5760085" cy="2869565"/>
            <wp:effectExtent l="0" t="0" r="12065" b="698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9"/>
                    <a:stretch>
                      <a:fillRect/>
                    </a:stretch>
                  </pic:blipFill>
                  <pic:spPr>
                    <a:xfrm>
                      <a:off x="0" y="0"/>
                      <a:ext cx="5760085" cy="2870054"/>
                    </a:xfrm>
                    <a:prstGeom prst="rect">
                      <a:avLst/>
                    </a:prstGeom>
                  </pic:spPr>
                </pic:pic>
              </a:graphicData>
            </a:graphic>
          </wp:inline>
        </w:drawing>
      </w:r>
    </w:p>
    <w:p w14:paraId="0475A0C3">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2FA508F2">
      <w:pPr>
        <w:snapToGrid w:val="0"/>
        <w:spacing w:line="312" w:lineRule="auto"/>
        <w:rPr>
          <w:rFonts w:hint="eastAsia"/>
        </w:rPr>
      </w:pPr>
      <w:r>
        <w:drawing>
          <wp:inline distT="0" distB="0" distL="0" distR="0">
            <wp:extent cx="5760085" cy="2853055"/>
            <wp:effectExtent l="0" t="0" r="1206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10"/>
                    <a:stretch>
                      <a:fillRect/>
                    </a:stretch>
                  </pic:blipFill>
                  <pic:spPr>
                    <a:xfrm>
                      <a:off x="0" y="0"/>
                      <a:ext cx="5760085" cy="2853375"/>
                    </a:xfrm>
                    <a:prstGeom prst="rect">
                      <a:avLst/>
                    </a:prstGeom>
                  </pic:spPr>
                </pic:pic>
              </a:graphicData>
            </a:graphic>
          </wp:inline>
        </w:drawing>
      </w:r>
    </w:p>
    <w:p w14:paraId="6954F6EA">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7B916863">
      <w:pPr>
        <w:pStyle w:val="7"/>
      </w:pPr>
    </w:p>
    <w:p w14:paraId="145EA810">
      <w:pPr>
        <w:rPr>
          <w:rFonts w:hint="eastAsia"/>
        </w:rPr>
      </w:pPr>
      <w:r>
        <w:drawing>
          <wp:inline distT="0" distB="0" distL="0" distR="0">
            <wp:extent cx="5760085" cy="2809875"/>
            <wp:effectExtent l="0" t="0" r="1206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11"/>
                    <a:stretch>
                      <a:fillRect/>
                    </a:stretch>
                  </pic:blipFill>
                  <pic:spPr>
                    <a:xfrm>
                      <a:off x="0" y="0"/>
                      <a:ext cx="5760085" cy="2810122"/>
                    </a:xfrm>
                    <a:prstGeom prst="rect">
                      <a:avLst/>
                    </a:prstGeom>
                  </pic:spPr>
                </pic:pic>
              </a:graphicData>
            </a:graphic>
          </wp:inline>
        </w:drawing>
      </w:r>
    </w:p>
    <w:p w14:paraId="0E62184D">
      <w:pPr>
        <w:pStyle w:val="7"/>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2"/>
                    <a:stretch>
                      <a:fillRect/>
                    </a:stretch>
                  </pic:blipFill>
                  <pic:spPr>
                    <a:xfrm>
                      <a:off x="0" y="0"/>
                      <a:ext cx="5760085" cy="2820042"/>
                    </a:xfrm>
                    <a:prstGeom prst="rect">
                      <a:avLst/>
                    </a:prstGeom>
                  </pic:spPr>
                </pic:pic>
              </a:graphicData>
            </a:graphic>
          </wp:inline>
        </w:drawing>
      </w:r>
    </w:p>
    <w:p w14:paraId="644AF512">
      <w:pPr>
        <w:pStyle w:val="7"/>
      </w:pPr>
    </w:p>
    <w:p w14:paraId="2AA8AF19">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注：</w:t>
      </w:r>
    </w:p>
    <w:p w14:paraId="245219B7">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1.“项目名称”和“采购形式编号”见投标须知前附表1.1；</w:t>
      </w:r>
    </w:p>
    <w:p w14:paraId="3903C1BE">
      <w:pPr>
        <w:pStyle w:val="7"/>
        <w:rPr>
          <w:rFonts w:hint="eastAsia" w:hAnsi="宋体" w:eastAsia="宋体" w:cs="宋体"/>
          <w:b/>
          <w:bCs/>
          <w:color w:val="000000"/>
          <w:sz w:val="24"/>
          <w:szCs w:val="28"/>
          <w:highlight w:val="yellow"/>
        </w:rPr>
      </w:pPr>
      <w:r>
        <w:rPr>
          <w:rFonts w:hint="eastAsia" w:hAnsi="宋体" w:eastAsia="宋体" w:cs="宋体"/>
          <w:b/>
          <w:bCs/>
          <w:color w:val="000000"/>
          <w:sz w:val="24"/>
          <w:szCs w:val="28"/>
          <w:highlight w:val="yellow"/>
        </w:rPr>
        <w:t>2.配套能力“供货类别”填“直管单位非生产招标 / 货物 / 车辆证书”，业务主管部门选择“质量部”。</w:t>
      </w:r>
    </w:p>
    <w:p w14:paraId="146FB58E">
      <w:pPr>
        <w:adjustRightInd w:val="0"/>
        <w:snapToGrid w:val="0"/>
        <w:spacing w:before="312" w:beforeLines="100" w:after="156" w:afterLines="50" w:line="440" w:lineRule="exact"/>
        <w:jc w:val="left"/>
        <w:outlineLvl w:val="2"/>
        <w:rPr>
          <w:sz w:val="24"/>
          <w:szCs w:val="24"/>
        </w:rPr>
      </w:pPr>
      <w:r>
        <w:rPr>
          <w:rFonts w:hint="eastAsia"/>
          <w:b/>
          <w:bCs/>
          <w:sz w:val="24"/>
          <w:szCs w:val="24"/>
        </w:rPr>
        <w:t>二、维护近三年财务指标</w:t>
      </w:r>
    </w:p>
    <w:p w14:paraId="1C94B8B1">
      <w:pPr>
        <w:spacing w:line="360" w:lineRule="auto"/>
        <w:rPr>
          <w:rFonts w:ascii="宋体" w:hAnsi="宋体" w:cs="宋体"/>
          <w:color w:val="000000"/>
          <w:sz w:val="24"/>
          <w:szCs w:val="28"/>
        </w:rPr>
      </w:pPr>
      <w:r>
        <w:rPr>
          <w:rFonts w:hint="eastAsia" w:ascii="Times New Roman" w:hAnsi="Times New Roman" w:cs="宋体"/>
          <w:color w:val="000000"/>
          <w:sz w:val="24"/>
          <w:szCs w:val="28"/>
        </w:rPr>
        <w:t>1</w:t>
      </w:r>
      <w:r>
        <w:rPr>
          <w:rFonts w:hint="eastAsia" w:ascii="宋体" w:hAnsi="宋体" w:cs="宋体"/>
          <w:color w:val="000000"/>
          <w:sz w:val="24"/>
          <w:szCs w:val="28"/>
        </w:rPr>
        <w:t>.供应商使用业务账号登录系统后，通过菜单路径：供应商中心→供应商变更→供应商财务数据变更管理，点击【发起变更】按钮，进入供应商财务数据变更填写界面。</w:t>
      </w:r>
    </w:p>
    <w:p w14:paraId="107E294F">
      <w:pPr>
        <w:rPr>
          <w:rFonts w:ascii="宋体" w:hAnsi="宋体" w:cs="宋体"/>
          <w:b/>
          <w:bCs/>
          <w:color w:val="000000"/>
          <w:sz w:val="24"/>
          <w:szCs w:val="24"/>
        </w:rPr>
      </w:pPr>
      <w:r>
        <w:br w:type="textWrapping"/>
      </w:r>
      <w:r>
        <w:drawing>
          <wp:inline distT="0" distB="0" distL="114300" distR="114300">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3"/>
                    <a:stretch>
                      <a:fillRect/>
                    </a:stretch>
                  </pic:blipFill>
                  <pic:spPr>
                    <a:xfrm>
                      <a:off x="0" y="0"/>
                      <a:ext cx="5486400" cy="2661285"/>
                    </a:xfrm>
                    <a:prstGeom prst="rect">
                      <a:avLst/>
                    </a:prstGeom>
                    <a:noFill/>
                    <a:ln>
                      <a:noFill/>
                    </a:ln>
                  </pic:spPr>
                </pic:pic>
              </a:graphicData>
            </a:graphic>
          </wp:inline>
        </w:drawing>
      </w:r>
    </w:p>
    <w:p w14:paraId="2E7AFDFA">
      <w:pPr>
        <w:pStyle w:val="7"/>
        <w:rPr>
          <w:rFonts w:hint="default" w:hAnsi="宋体" w:eastAsia="宋体" w:cs="宋体"/>
          <w:b/>
          <w:bCs/>
          <w:color w:val="000000"/>
          <w:sz w:val="24"/>
          <w:szCs w:val="28"/>
          <w:highlight w:val="yellow"/>
          <w:lang w:val="en-US" w:eastAsia="zh-CN"/>
        </w:rPr>
        <w:sectPr>
          <w:footerReference r:id="rId5" w:type="first"/>
          <w:headerReference r:id="rId3" w:type="default"/>
          <w:footerReference r:id="rId4" w:type="default"/>
          <w:pgSz w:w="11906" w:h="16838"/>
          <w:pgMar w:top="1588" w:right="1418" w:bottom="1134" w:left="1418" w:header="851" w:footer="992" w:gutter="0"/>
          <w:cols w:space="720" w:num="1"/>
          <w:titlePg/>
          <w:docGrid w:type="lines" w:linePitch="312" w:charSpace="0"/>
        </w:sectPr>
      </w:pPr>
    </w:p>
    <w:p w14:paraId="602C5616">
      <w:pPr>
        <w:pStyle w:val="7"/>
        <w:outlineLvl w:val="2"/>
        <w:rPr>
          <w:rFonts w:hint="eastAsia" w:hAnsi="宋体" w:eastAsia="宋体" w:cs="Times New Roman"/>
          <w:b/>
          <w:color w:val="000000"/>
          <w:sz w:val="24"/>
          <w:szCs w:val="24"/>
        </w:rPr>
      </w:pPr>
      <w:r>
        <w:rPr>
          <w:rFonts w:hint="eastAsia" w:hAnsi="宋体" w:eastAsia="宋体" w:cs="宋体"/>
          <w:b/>
          <w:bCs/>
          <w:color w:val="000000"/>
          <w:sz w:val="24"/>
          <w:szCs w:val="24"/>
        </w:rPr>
        <w:t>附件</w:t>
      </w:r>
      <w:r>
        <w:rPr>
          <w:rFonts w:hint="eastAsia" w:hAnsi="宋体" w:eastAsia="宋体" w:cs="宋体"/>
          <w:b/>
          <w:bCs/>
          <w:color w:val="000000"/>
          <w:sz w:val="24"/>
          <w:szCs w:val="24"/>
          <w:lang w:val="en-US" w:eastAsia="zh-CN"/>
        </w:rPr>
        <w:t>5</w:t>
      </w:r>
      <w:r>
        <w:rPr>
          <w:rFonts w:hint="eastAsia" w:hAnsi="宋体" w:eastAsia="宋体" w:cs="宋体"/>
          <w:b/>
          <w:bCs/>
          <w:color w:val="000000"/>
          <w:sz w:val="24"/>
          <w:szCs w:val="24"/>
        </w:rPr>
        <w:t xml:space="preserve"> </w:t>
      </w:r>
      <w:r>
        <w:rPr>
          <w:rFonts w:hint="eastAsia" w:hAnsi="宋体" w:eastAsia="宋体" w:cs="Times New Roman"/>
          <w:b/>
          <w:color w:val="000000"/>
          <w:sz w:val="24"/>
          <w:szCs w:val="24"/>
        </w:rPr>
        <w:t>SRM系统供应商用户手册</w:t>
      </w:r>
    </w:p>
    <w:p w14:paraId="1FEF6F73">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19"/>
          <w:rFonts w:hint="eastAsia" w:ascii="宋体" w:hAnsi="宋体" w:eastAsia="宋体" w:cs="宋体"/>
          <w:sz w:val="24"/>
          <w:szCs w:val="24"/>
        </w:rPr>
        <w:t>https://ecaitong.sinotruk.com:8012/</w:t>
      </w:r>
      <w:r>
        <w:rPr>
          <w:rStyle w:val="19"/>
          <w:rFonts w:hint="eastAsia" w:ascii="宋体" w:hAnsi="宋体" w:eastAsia="宋体" w:cs="宋体"/>
          <w:sz w:val="24"/>
          <w:szCs w:val="24"/>
        </w:rPr>
        <w:fldChar w:fldCharType="end"/>
      </w:r>
    </w:p>
    <w:p w14:paraId="3F934001">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0F0B4D2B">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w:t>
      </w:r>
    </w:p>
    <w:p w14:paraId="3F9C2630">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6471E8C9">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00FC4FB3">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6A8A2FFC">
      <w:pPr>
        <w:rPr>
          <w:rFonts w:hint="eastAsia"/>
        </w:rPr>
      </w:pPr>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4"/>
                    <a:stretch>
                      <a:fillRect/>
                    </a:stretch>
                  </pic:blipFill>
                  <pic:spPr>
                    <a:xfrm>
                      <a:off x="0" y="0"/>
                      <a:ext cx="5760085" cy="2269864"/>
                    </a:xfrm>
                    <a:prstGeom prst="rect">
                      <a:avLst/>
                    </a:prstGeom>
                  </pic:spPr>
                </pic:pic>
              </a:graphicData>
            </a:graphic>
          </wp:inline>
        </w:drawing>
      </w:r>
    </w:p>
    <w:p w14:paraId="525FCBF6">
      <w:pPr>
        <w:rPr>
          <w:rFonts w:hint="eastAsia"/>
        </w:rPr>
      </w:pPr>
    </w:p>
    <w:p w14:paraId="4020738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37FC2595">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5F3A996C">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5"/>
                    <a:stretch>
                      <a:fillRect/>
                    </a:stretch>
                  </pic:blipFill>
                  <pic:spPr>
                    <a:xfrm>
                      <a:off x="0" y="0"/>
                      <a:ext cx="5760085" cy="2125673"/>
                    </a:xfrm>
                    <a:prstGeom prst="rect">
                      <a:avLst/>
                    </a:prstGeom>
                  </pic:spPr>
                </pic:pic>
              </a:graphicData>
            </a:graphic>
          </wp:inline>
        </w:drawing>
      </w:r>
    </w:p>
    <w:p w14:paraId="661CAB55">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74E5D9AE">
      <w:pPr>
        <w:pStyle w:val="7"/>
      </w:pPr>
      <w:r>
        <w:rPr>
          <w:rFonts w:hint="eastAsia" w:hAnsi="宋体" w:eastAsia="宋体" w:cs="宋体"/>
          <w:color w:val="000000"/>
          <w:sz w:val="24"/>
          <w:szCs w:val="28"/>
          <w:highlight w:val="yellow"/>
        </w:rPr>
        <w:t>注意：系统内的投标报价单位为“万元”，如开标现场发现填错报价，即直接淘汰。</w:t>
      </w:r>
    </w:p>
    <w:p w14:paraId="30DCE771">
      <w:pPr>
        <w:pStyle w:val="4"/>
        <w:ind w:left="425" w:hanging="425"/>
        <w:rPr>
          <w:rFonts w:eastAsia="Arial" w:cs="Arial"/>
          <w:color w:val="000000"/>
        </w:rPr>
      </w:pPr>
      <w:r>
        <w:rPr>
          <w:rFonts w:eastAsia="Arial" w:cs="Arial"/>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6"/>
                    <a:stretch>
                      <a:fillRect/>
                    </a:stretch>
                  </pic:blipFill>
                  <pic:spPr>
                    <a:xfrm>
                      <a:off x="0" y="0"/>
                      <a:ext cx="5490210" cy="2669498"/>
                    </a:xfrm>
                    <a:prstGeom prst="rect">
                      <a:avLst/>
                    </a:prstGeom>
                  </pic:spPr>
                </pic:pic>
              </a:graphicData>
            </a:graphic>
          </wp:inline>
        </w:drawing>
      </w:r>
    </w:p>
    <w:p w14:paraId="25A79E0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2A65A944">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191B56D2">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点击编辑按钮进入系统，上传技术标澄清函。</w:t>
      </w:r>
    </w:p>
    <w:p w14:paraId="48DE63D8">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7"/>
                    <a:stretch>
                      <a:fillRect/>
                    </a:stretch>
                  </pic:blipFill>
                  <pic:spPr>
                    <a:xfrm>
                      <a:off x="0" y="0"/>
                      <a:ext cx="5490210" cy="1992743"/>
                    </a:xfrm>
                    <a:prstGeom prst="rect">
                      <a:avLst/>
                    </a:prstGeom>
                  </pic:spPr>
                </pic:pic>
              </a:graphicData>
            </a:graphic>
          </wp:inline>
        </w:drawing>
      </w:r>
    </w:p>
    <w:p w14:paraId="16A94018">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760C9E66">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5D25AC69">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09540DA4">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89C09B7">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152DBA14">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164849D7">
      <w:pPr>
        <w:pStyle w:val="4"/>
        <w:ind w:left="425" w:hanging="425"/>
        <w:rPr>
          <w:rFonts w:eastAsia="Arial" w:cs="Arial"/>
          <w:color w:val="000000"/>
        </w:rPr>
      </w:pPr>
      <w:r>
        <w:rPr>
          <w:rFonts w:eastAsia="Arial" w:cs="Arial"/>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8"/>
                    <a:stretch>
                      <a:fillRect/>
                    </a:stretch>
                  </pic:blipFill>
                  <pic:spPr>
                    <a:xfrm>
                      <a:off x="0" y="0"/>
                      <a:ext cx="5490210" cy="2544669"/>
                    </a:xfrm>
                    <a:prstGeom prst="rect">
                      <a:avLst/>
                    </a:prstGeom>
                  </pic:spPr>
                </pic:pic>
              </a:graphicData>
            </a:graphic>
          </wp:inline>
        </w:drawing>
      </w:r>
    </w:p>
    <w:p w14:paraId="6E4575E6">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79C8EC9E">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2C2A512D">
      <w:pPr>
        <w:spacing w:line="360" w:lineRule="auto"/>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6E78F4DA">
      <w:pPr>
        <w:rPr>
          <w:rFonts w:hint="eastAsia"/>
        </w:rPr>
      </w:pPr>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19"/>
                    <a:stretch>
                      <a:fillRect/>
                    </a:stretch>
                  </pic:blipFill>
                  <pic:spPr>
                    <a:xfrm>
                      <a:off x="0" y="0"/>
                      <a:ext cx="5760085" cy="1956600"/>
                    </a:xfrm>
                    <a:prstGeom prst="rect">
                      <a:avLst/>
                    </a:prstGeom>
                  </pic:spPr>
                </pic:pic>
              </a:graphicData>
            </a:graphic>
          </wp:inline>
        </w:drawing>
      </w:r>
    </w:p>
    <w:p w14:paraId="3156304E">
      <w:pPr>
        <w:pStyle w:val="7"/>
        <w:rPr>
          <w:rFonts w:hint="eastAsia" w:hAnsi="宋体" w:eastAsia="宋体" w:cs="Times New Roman"/>
          <w:b/>
          <w:color w:val="000000"/>
          <w:sz w:val="24"/>
          <w:szCs w:val="24"/>
        </w:rPr>
      </w:pPr>
    </w:p>
    <w:p w14:paraId="15DACC85">
      <w:pPr>
        <w:pStyle w:val="7"/>
        <w:rPr>
          <w:rFonts w:hint="eastAsia" w:hAnsi="宋体" w:eastAsia="宋体" w:cs="Times New Roman"/>
          <w:b/>
          <w:color w:val="000000"/>
          <w:sz w:val="24"/>
          <w:szCs w:val="24"/>
        </w:rPr>
      </w:pPr>
    </w:p>
    <w:p w14:paraId="33F89EEB">
      <w:pPr>
        <w:pStyle w:val="7"/>
        <w:rPr>
          <w:rFonts w:hint="eastAsia" w:hAnsi="宋体" w:eastAsia="宋体" w:cs="Times New Roman"/>
          <w:b/>
          <w:color w:val="000000"/>
          <w:sz w:val="24"/>
          <w:szCs w:val="24"/>
        </w:rPr>
      </w:pPr>
    </w:p>
    <w:p w14:paraId="2E2A1019">
      <w:pPr>
        <w:jc w:val="both"/>
      </w:pPr>
    </w:p>
    <w:p w14:paraId="1857F2F0">
      <w:pPr>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p>
    <w:p w14:paraId="5B5F13DD">
      <w:pPr>
        <w:rPr>
          <w:rFonts w:hint="eastAsia" w:asciiTheme="majorEastAsia" w:hAnsiTheme="majorEastAsia" w:eastAsiaTheme="majorEastAsia" w:cstheme="maj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monospace">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6F4BA">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3E1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2E23E1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2812A">
    <w:pPr>
      <w:pStyle w:val="8"/>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70F5B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F70F5B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B7DE5">
    <w:pPr>
      <w:pStyle w:val="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864EA1"/>
    <w:multiLevelType w:val="singleLevel"/>
    <w:tmpl w:val="E1864EA1"/>
    <w:lvl w:ilvl="0" w:tentative="0">
      <w:start w:val="1"/>
      <w:numFmt w:val="bullet"/>
      <w:lvlText w:val=""/>
      <w:lvlJc w:val="left"/>
      <w:pPr>
        <w:ind w:left="420" w:hanging="420"/>
      </w:pPr>
      <w:rPr>
        <w:rFonts w:hint="default" w:ascii="Wingdings" w:hAnsi="Wingdings"/>
      </w:rPr>
    </w:lvl>
  </w:abstractNum>
  <w:abstractNum w:abstractNumId="1">
    <w:nsid w:val="11906048"/>
    <w:multiLevelType w:val="multilevel"/>
    <w:tmpl w:val="11906048"/>
    <w:lvl w:ilvl="0" w:tentative="0">
      <w:start w:val="1"/>
      <w:numFmt w:val="decimal"/>
      <w:suff w:val="nothing"/>
      <w:lvlText w:val="%1."/>
      <w:lvlJc w:val="left"/>
      <w:pPr>
        <w:ind w:left="0" w:firstLine="0"/>
      </w:pPr>
      <w:rPr>
        <w:rFonts w:hint="default"/>
      </w:rPr>
    </w:lvl>
    <w:lvl w:ilvl="1" w:tentative="0">
      <w:start w:val="1"/>
      <w:numFmt w:val="decimal"/>
      <w:suff w:val="space"/>
      <w:lvlText w:val="(%2)"/>
      <w:lvlJc w:val="left"/>
      <w:pPr>
        <w:ind w:left="0" w:firstLine="420"/>
      </w:pPr>
      <w:rPr>
        <w:rFonts w:hint="default"/>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2">
    <w:nsid w:val="656A6EAE"/>
    <w:multiLevelType w:val="multilevel"/>
    <w:tmpl w:val="656A6EAE"/>
    <w:lvl w:ilvl="0" w:tentative="0">
      <w:start w:val="1"/>
      <w:numFmt w:val="chineseCountingThousand"/>
      <w:pStyle w:val="28"/>
      <w:suff w:val="nothing"/>
      <w:lvlText w:val="%1、"/>
      <w:lvlJc w:val="left"/>
      <w:pPr>
        <w:ind w:left="420"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53211B"/>
    <w:rsid w:val="148E66E6"/>
    <w:rsid w:val="2C956C6A"/>
    <w:rsid w:val="39CF1678"/>
    <w:rsid w:val="3BC80989"/>
    <w:rsid w:val="3EB05F08"/>
    <w:rsid w:val="425F65D5"/>
    <w:rsid w:val="44907102"/>
    <w:rsid w:val="44A01616"/>
    <w:rsid w:val="4776275D"/>
    <w:rsid w:val="48EF075C"/>
    <w:rsid w:val="52F81C78"/>
    <w:rsid w:val="58EA04A4"/>
    <w:rsid w:val="593A2D55"/>
    <w:rsid w:val="5D9A5C6F"/>
    <w:rsid w:val="5E4D6929"/>
    <w:rsid w:val="646D1D84"/>
    <w:rsid w:val="7DA44D30"/>
    <w:rsid w:val="7EBC6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spacing w:before="240" w:after="60"/>
      <w:outlineLvl w:val="1"/>
    </w:pPr>
    <w:rPr>
      <w:rFonts w:ascii="Cambria" w:hAnsi="Cambria"/>
      <w:b/>
      <w:bCs/>
      <w:i/>
      <w:iCs/>
      <w:sz w:val="28"/>
      <w:szCs w:val="28"/>
    </w:rPr>
  </w:style>
  <w:style w:type="paragraph" w:styleId="3">
    <w:name w:val="heading 3"/>
    <w:basedOn w:val="1"/>
    <w:next w:val="1"/>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4">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w:basedOn w:val="1"/>
    <w:next w:val="6"/>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customStyle="1" w:styleId="6">
    <w:name w:val="Default"/>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paragraph" w:styleId="7">
    <w:name w:val="Plain Text"/>
    <w:basedOn w:val="1"/>
    <w:qFormat/>
    <w:uiPriority w:val="0"/>
    <w:rPr>
      <w:rFonts w:ascii="宋体"/>
      <w:szCs w:val="20"/>
    </w:rPr>
  </w:style>
  <w:style w:type="paragraph" w:styleId="8">
    <w:name w:val="footer"/>
    <w:basedOn w:val="1"/>
    <w:next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 w:type="character" w:styleId="14">
    <w:name w:val="FollowedHyperlink"/>
    <w:basedOn w:val="12"/>
    <w:qFormat/>
    <w:uiPriority w:val="0"/>
    <w:rPr>
      <w:color w:val="800080"/>
      <w:u w:val="none"/>
    </w:rPr>
  </w:style>
  <w:style w:type="character" w:styleId="15">
    <w:name w:val="HTML Definition"/>
    <w:basedOn w:val="12"/>
    <w:qFormat/>
    <w:uiPriority w:val="0"/>
  </w:style>
  <w:style w:type="character" w:styleId="16">
    <w:name w:val="HTML Typewriter"/>
    <w:basedOn w:val="12"/>
    <w:qFormat/>
    <w:uiPriority w:val="0"/>
    <w:rPr>
      <w:rFonts w:hint="default" w:ascii="monospace" w:hAnsi="monospace" w:eastAsia="monospace" w:cs="monospace"/>
      <w:sz w:val="20"/>
    </w:rPr>
  </w:style>
  <w:style w:type="character" w:styleId="17">
    <w:name w:val="HTML Acronym"/>
    <w:basedOn w:val="12"/>
    <w:qFormat/>
    <w:uiPriority w:val="0"/>
  </w:style>
  <w:style w:type="character" w:styleId="18">
    <w:name w:val="HTML Variable"/>
    <w:basedOn w:val="12"/>
    <w:qFormat/>
    <w:uiPriority w:val="0"/>
  </w:style>
  <w:style w:type="character" w:styleId="19">
    <w:name w:val="Hyperlink"/>
    <w:basedOn w:val="12"/>
    <w:qFormat/>
    <w:uiPriority w:val="0"/>
    <w:rPr>
      <w:color w:val="0000FF"/>
      <w:u w:val="none"/>
    </w:rPr>
  </w:style>
  <w:style w:type="character" w:styleId="20">
    <w:name w:val="HTML Code"/>
    <w:basedOn w:val="12"/>
    <w:qFormat/>
    <w:uiPriority w:val="0"/>
    <w:rPr>
      <w:rFonts w:hint="default" w:ascii="monospace" w:hAnsi="monospace" w:eastAsia="monospace" w:cs="monospace"/>
      <w:sz w:val="20"/>
    </w:rPr>
  </w:style>
  <w:style w:type="character" w:styleId="21">
    <w:name w:val="HTML Cite"/>
    <w:basedOn w:val="12"/>
    <w:qFormat/>
    <w:uiPriority w:val="0"/>
  </w:style>
  <w:style w:type="character" w:styleId="22">
    <w:name w:val="HTML Keyboard"/>
    <w:basedOn w:val="12"/>
    <w:qFormat/>
    <w:uiPriority w:val="0"/>
    <w:rPr>
      <w:rFonts w:ascii="monospace" w:hAnsi="monospace" w:eastAsia="monospace" w:cs="monospace"/>
      <w:sz w:val="20"/>
    </w:rPr>
  </w:style>
  <w:style w:type="character" w:styleId="23">
    <w:name w:val="HTML Sample"/>
    <w:basedOn w:val="12"/>
    <w:qFormat/>
    <w:uiPriority w:val="0"/>
    <w:rPr>
      <w:rFonts w:hint="default" w:ascii="monospace" w:hAnsi="monospace" w:eastAsia="monospace" w:cs="monospace"/>
    </w:rPr>
  </w:style>
  <w:style w:type="paragraph" w:customStyle="1" w:styleId="24">
    <w:name w:val="标书正文格式"/>
    <w:basedOn w:val="7"/>
    <w:qFormat/>
    <w:uiPriority w:val="0"/>
    <w:pPr>
      <w:spacing w:line="360" w:lineRule="auto"/>
      <w:ind w:firstLine="200" w:firstLineChars="200"/>
    </w:pPr>
    <w:rPr>
      <w:rFonts w:hAnsi="宋体"/>
      <w:color w:val="000000"/>
      <w:sz w:val="24"/>
      <w:szCs w:val="24"/>
    </w:rPr>
  </w:style>
  <w:style w:type="paragraph" w:customStyle="1" w:styleId="25">
    <w:name w:val="Table Paragraph"/>
    <w:basedOn w:val="1"/>
    <w:qFormat/>
    <w:uiPriority w:val="1"/>
    <w:rPr>
      <w:rFonts w:ascii="宋体" w:hAnsi="宋体" w:eastAsia="宋体" w:cs="宋体"/>
    </w:rPr>
  </w:style>
  <w:style w:type="table" w:customStyle="1" w:styleId="26">
    <w:name w:val="Table Normal"/>
    <w:semiHidden/>
    <w:unhideWhenUsed/>
    <w:qFormat/>
    <w:uiPriority w:val="0"/>
    <w:tblPr>
      <w:tblCellMar>
        <w:top w:w="0" w:type="dxa"/>
        <w:left w:w="0" w:type="dxa"/>
        <w:bottom w:w="0" w:type="dxa"/>
        <w:right w:w="0" w:type="dxa"/>
      </w:tblCellMar>
    </w:tblPr>
  </w:style>
  <w:style w:type="paragraph" w:customStyle="1" w:styleId="27">
    <w:name w:val="标书正文"/>
    <w:basedOn w:val="7"/>
    <w:qFormat/>
    <w:uiPriority w:val="9"/>
    <w:pPr>
      <w:spacing w:line="360" w:lineRule="auto"/>
      <w:jc w:val="left"/>
    </w:pPr>
  </w:style>
  <w:style w:type="paragraph" w:customStyle="1" w:styleId="28">
    <w:name w:val="一级标题"/>
    <w:basedOn w:val="7"/>
    <w:qFormat/>
    <w:uiPriority w:val="0"/>
    <w:pPr>
      <w:numPr>
        <w:ilvl w:val="0"/>
        <w:numId w:val="1"/>
      </w:numPr>
      <w:spacing w:line="360" w:lineRule="auto"/>
      <w:ind w:left="2972"/>
      <w:outlineLvl w:val="1"/>
    </w:pPr>
    <w:rPr>
      <w:rFonts w:ascii="黑体" w:eastAsia="黑体"/>
      <w:b/>
      <w:bCs/>
      <w:sz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3753</Words>
  <Characters>4052</Characters>
  <Lines>0</Lines>
  <Paragraphs>0</Paragraphs>
  <TotalTime>1</TotalTime>
  <ScaleCrop>false</ScaleCrop>
  <LinksUpToDate>false</LinksUpToDate>
  <CharactersWithSpaces>4324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王芳</cp:lastModifiedBy>
  <dcterms:modified xsi:type="dcterms:W3CDTF">2026-10-08T03:14:28Z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eyJoZGlkIjoiZTM0NjYyODYyNjA0Njk4OTg3ZDdhMGVkZTEzNDcwMGIiLCJ1c2VySWQiOiIxODU0ODE0Mjc2In0=</vt:lpwstr>
  </property>
  <property fmtid="{D5CDD505-2E9C-101B-9397-08002B2CF9AE}" pid="4" name="ICV">
    <vt:lpwstr>36BA767B9B1647D78DB7367FAC05A487_13</vt:lpwstr>
  </property>
</Properties>
</file>