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52328">
      <w:pPr>
        <w:spacing w:before="4"/>
        <w:rPr>
          <w:rFonts w:ascii="Times New Roman"/>
          <w:sz w:val="20"/>
        </w:rPr>
      </w:pPr>
      <w:r>
        <w:rPr>
          <w:rFonts w:ascii="Times New Roman"/>
          <w:sz w:val="20"/>
        </w:rPr>
        <w:fldChar w:fldCharType="begin"/>
      </w:r>
      <w:r>
        <w:rPr>
          <w:rFonts w:ascii="Times New Roman"/>
          <w:sz w:val="20"/>
        </w:rPr>
        <w:instrText xml:space="preserve">ADDIN CNKISM.UserStyle</w:instrText>
      </w:r>
      <w:r>
        <w:rPr>
          <w:rFonts w:ascii="Times New Roman"/>
          <w:sz w:val="20"/>
        </w:rPr>
        <w:fldChar w:fldCharType="end"/>
      </w:r>
    </w:p>
    <w:p w14:paraId="6AEBDB36">
      <w:pPr>
        <w:tabs>
          <w:tab w:val="left" w:pos="1812"/>
        </w:tabs>
        <w:spacing w:before="38"/>
        <w:ind w:left="45"/>
        <w:jc w:val="center"/>
        <w:rPr>
          <w:b/>
          <w:sz w:val="44"/>
        </w:rPr>
      </w:pPr>
      <w:bookmarkStart w:id="0" w:name="_bookmark0"/>
      <w:bookmarkEnd w:id="0"/>
      <w:bookmarkStart w:id="1" w:name="中国重汽集团济南地球村电子商务有限公司"/>
      <w:bookmarkEnd w:id="1"/>
      <w:r>
        <w:rPr>
          <w:b/>
          <w:sz w:val="44"/>
        </w:rPr>
        <w:t>第一章</w:t>
      </w:r>
      <w:r>
        <w:rPr>
          <w:b/>
          <w:sz w:val="44"/>
        </w:rPr>
        <w:tab/>
      </w:r>
      <w:r>
        <w:rPr>
          <w:b/>
          <w:sz w:val="44"/>
        </w:rPr>
        <w:t>招标公告</w:t>
      </w:r>
    </w:p>
    <w:p w14:paraId="2E8B04E4">
      <w:pPr>
        <w:spacing w:before="1" w:line="360" w:lineRule="auto"/>
        <w:ind w:left="638"/>
        <w:rPr>
          <w:rFonts w:ascii="黑体" w:eastAsia="黑体"/>
          <w:b/>
          <w:sz w:val="32"/>
        </w:rPr>
      </w:pPr>
      <w:r>
        <w:rPr>
          <w:rFonts w:hint="eastAsia" w:ascii="黑体" w:eastAsia="黑体"/>
          <w:b/>
          <w:sz w:val="32"/>
        </w:rPr>
        <w:t>一、项目名称</w:t>
      </w:r>
    </w:p>
    <w:p w14:paraId="446D1812">
      <w:pPr>
        <w:spacing w:before="112" w:line="360" w:lineRule="auto"/>
        <w:ind w:left="1058"/>
        <w:rPr>
          <w:rFonts w:hint="eastAsia"/>
          <w:color w:val="auto"/>
        </w:rPr>
      </w:pPr>
      <w:r>
        <w:rPr>
          <w:color w:val="auto"/>
        </w:rPr>
        <w:t>项目名称：</w:t>
      </w:r>
      <w:bookmarkStart w:id="2" w:name="_Hlk88034559"/>
      <w:r>
        <w:rPr>
          <w:rFonts w:hint="eastAsia"/>
          <w:color w:val="auto"/>
          <w:lang w:val="en-US" w:eastAsia="zh-CN"/>
        </w:rPr>
        <w:t>2026年单兵设备</w:t>
      </w:r>
      <w:r>
        <w:rPr>
          <w:rFonts w:hint="eastAsia"/>
          <w:color w:val="auto"/>
        </w:rPr>
        <w:t>采购项目</w:t>
      </w:r>
      <w:bookmarkEnd w:id="2"/>
    </w:p>
    <w:p w14:paraId="518927B9">
      <w:pPr>
        <w:spacing w:before="112" w:line="360" w:lineRule="auto"/>
        <w:ind w:left="1058"/>
        <w:rPr>
          <w:rFonts w:hint="eastAsia" w:eastAsia="宋体"/>
          <w:color w:val="auto"/>
          <w:lang w:val="en-US" w:eastAsia="zh-CN"/>
        </w:rPr>
      </w:pPr>
      <w:r>
        <w:rPr>
          <w:rFonts w:hint="eastAsia"/>
          <w:color w:val="auto"/>
          <w:lang w:val="en-US" w:eastAsia="zh-CN"/>
        </w:rPr>
        <w:t>编号：</w:t>
      </w:r>
      <w:r>
        <w:rPr>
          <w:rFonts w:hint="eastAsia" w:ascii="宋体" w:hAnsi="宋体" w:eastAsia="宋体" w:cs="宋体"/>
          <w:color w:val="auto"/>
          <w:u w:val="single"/>
          <w:lang w:val="en-US" w:eastAsia="zh-CN"/>
        </w:rPr>
        <w:t>ZBGL2026090274</w:t>
      </w:r>
    </w:p>
    <w:p w14:paraId="0C67E1DC">
      <w:pPr>
        <w:spacing w:line="360" w:lineRule="auto"/>
        <w:ind w:left="638"/>
        <w:rPr>
          <w:rFonts w:ascii="黑体" w:eastAsia="黑体"/>
          <w:b/>
          <w:color w:val="auto"/>
          <w:sz w:val="32"/>
        </w:rPr>
      </w:pPr>
      <w:r>
        <w:rPr>
          <w:rFonts w:hint="eastAsia" w:ascii="黑体" w:eastAsia="黑体"/>
          <w:b/>
          <w:color w:val="auto"/>
          <w:sz w:val="32"/>
        </w:rPr>
        <w:t>二、招标内容</w:t>
      </w:r>
    </w:p>
    <w:p w14:paraId="49CFDA45">
      <w:pPr>
        <w:spacing w:before="111" w:line="360" w:lineRule="auto"/>
        <w:ind w:left="1058"/>
        <w:rPr>
          <w:rFonts w:hint="default"/>
          <w:color w:val="auto"/>
          <w:lang w:val="en-US" w:eastAsia="zh-CN"/>
        </w:rPr>
      </w:pPr>
      <w:r>
        <w:rPr>
          <w:color w:val="auto"/>
        </w:rPr>
        <w:t>招标内容：</w:t>
      </w:r>
      <w:r>
        <w:rPr>
          <w:rFonts w:hint="eastAsia"/>
          <w:color w:val="auto"/>
          <w:lang w:val="en-US" w:eastAsia="zh-CN"/>
        </w:rPr>
        <w:t xml:space="preserve">为规范重汽车辆售后服务索赔管理，切实解决售后维修索赔核验难题，全球客户服务中心开发了单兵设备用于全流程留存维修作业影像资料、保障售后服务及索赔业务真实合规。拟采用公开招标的形式确定供方，满足售后服务需求。 </w:t>
      </w:r>
    </w:p>
    <w:p w14:paraId="4C71B6B3">
      <w:pPr>
        <w:pStyle w:val="3"/>
        <w:spacing w:line="360" w:lineRule="auto"/>
        <w:rPr>
          <w:color w:val="auto"/>
        </w:rPr>
      </w:pPr>
      <w:bookmarkStart w:id="3" w:name="三、招标形式"/>
      <w:bookmarkEnd w:id="3"/>
      <w:r>
        <w:rPr>
          <w:color w:val="auto"/>
        </w:rPr>
        <w:t>三、招标形式</w:t>
      </w:r>
    </w:p>
    <w:p w14:paraId="1687ED8D">
      <w:pPr>
        <w:spacing w:before="99" w:line="360" w:lineRule="auto"/>
        <w:ind w:left="1058"/>
        <w:rPr>
          <w:rFonts w:hint="default" w:eastAsia="宋体"/>
          <w:color w:val="auto"/>
          <w:lang w:val="en-US" w:eastAsia="zh-CN"/>
        </w:rPr>
      </w:pPr>
      <w:r>
        <w:rPr>
          <w:color w:val="auto"/>
        </w:rPr>
        <w:t>招标形式</w:t>
      </w:r>
      <w:r>
        <w:rPr>
          <w:rFonts w:hint="eastAsia"/>
          <w:color w:val="auto"/>
        </w:rPr>
        <w:t>：</w:t>
      </w:r>
      <w:r>
        <w:rPr>
          <w:rFonts w:hint="eastAsia"/>
          <w:color w:val="auto"/>
          <w:lang w:val="en-US" w:eastAsia="zh-CN"/>
        </w:rPr>
        <w:t>公开招标</w:t>
      </w:r>
    </w:p>
    <w:p w14:paraId="2D0DE537">
      <w:pPr>
        <w:pStyle w:val="3"/>
        <w:spacing w:line="360" w:lineRule="auto"/>
        <w:rPr>
          <w:color w:val="auto"/>
        </w:rPr>
      </w:pPr>
      <w:bookmarkStart w:id="4" w:name="四、议程安排"/>
      <w:bookmarkEnd w:id="4"/>
      <w:r>
        <w:rPr>
          <w:color w:val="auto"/>
        </w:rPr>
        <w:t>四、议程安排</w:t>
      </w:r>
    </w:p>
    <w:p w14:paraId="167BE613">
      <w:pPr>
        <w:spacing w:before="111" w:line="360" w:lineRule="auto"/>
        <w:ind w:left="1058"/>
        <w:rPr>
          <w:color w:val="auto"/>
        </w:rPr>
      </w:pPr>
      <w:r>
        <w:rPr>
          <w:rFonts w:hint="eastAsia"/>
          <w:color w:val="auto"/>
        </w:rPr>
        <w:t>1</w:t>
      </w:r>
      <w:r>
        <w:rPr>
          <w:color w:val="auto"/>
        </w:rPr>
        <w:t>.公告时间： 202</w:t>
      </w:r>
      <w:r>
        <w:rPr>
          <w:rFonts w:hint="eastAsia"/>
          <w:color w:val="auto"/>
          <w:lang w:val="en-US" w:eastAsia="zh-CN"/>
        </w:rPr>
        <w:t>6</w:t>
      </w:r>
      <w:r>
        <w:rPr>
          <w:color w:val="auto"/>
        </w:rPr>
        <w:t>年</w:t>
      </w:r>
      <w:r>
        <w:rPr>
          <w:rFonts w:hint="eastAsia"/>
          <w:color w:val="auto"/>
          <w:lang w:val="en-US" w:eastAsia="zh-CN"/>
        </w:rPr>
        <w:t>10</w:t>
      </w:r>
      <w:r>
        <w:rPr>
          <w:color w:val="auto"/>
        </w:rPr>
        <w:t>月</w:t>
      </w:r>
      <w:r>
        <w:rPr>
          <w:rFonts w:hint="eastAsia"/>
          <w:color w:val="auto"/>
          <w:lang w:val="en-US" w:eastAsia="zh-CN"/>
        </w:rPr>
        <w:t>8</w:t>
      </w:r>
      <w:r>
        <w:rPr>
          <w:color w:val="auto"/>
        </w:rPr>
        <w:t>日</w:t>
      </w:r>
    </w:p>
    <w:p w14:paraId="7F3F1F65">
      <w:pPr>
        <w:spacing w:before="111" w:line="360" w:lineRule="auto"/>
        <w:ind w:left="1058"/>
        <w:rPr>
          <w:color w:val="auto"/>
        </w:rPr>
      </w:pPr>
      <w:r>
        <w:rPr>
          <w:rFonts w:hint="eastAsia"/>
          <w:color w:val="auto"/>
        </w:rPr>
        <w:t>2</w:t>
      </w:r>
      <w:r>
        <w:rPr>
          <w:color w:val="auto"/>
        </w:rPr>
        <w:t>.答疑时间：截止至</w:t>
      </w:r>
      <w:r>
        <w:rPr>
          <w:rFonts w:hint="eastAsia"/>
          <w:color w:val="auto"/>
          <w:lang w:val="en-US"/>
        </w:rPr>
        <w:t xml:space="preserve"> 202</w:t>
      </w:r>
      <w:r>
        <w:rPr>
          <w:rFonts w:hint="eastAsia"/>
          <w:color w:val="auto"/>
          <w:lang w:val="en-US" w:eastAsia="zh-CN"/>
        </w:rPr>
        <w:t>6</w:t>
      </w:r>
      <w:r>
        <w:rPr>
          <w:color w:val="auto"/>
        </w:rPr>
        <w:t>年</w:t>
      </w:r>
      <w:r>
        <w:rPr>
          <w:rFonts w:hint="eastAsia"/>
          <w:color w:val="auto"/>
          <w:lang w:val="en-US" w:eastAsia="zh-CN"/>
        </w:rPr>
        <w:t>10</w:t>
      </w:r>
      <w:r>
        <w:rPr>
          <w:color w:val="auto"/>
        </w:rPr>
        <w:t>月</w:t>
      </w:r>
      <w:r>
        <w:rPr>
          <w:rFonts w:hint="eastAsia"/>
          <w:color w:val="auto"/>
          <w:lang w:val="en-US" w:eastAsia="zh-CN"/>
        </w:rPr>
        <w:t>15</w:t>
      </w:r>
      <w:r>
        <w:rPr>
          <w:color w:val="auto"/>
        </w:rPr>
        <w:t>日下午</w:t>
      </w:r>
      <w:r>
        <w:rPr>
          <w:rFonts w:hint="eastAsia"/>
          <w:color w:val="auto"/>
        </w:rPr>
        <w:t>5</w:t>
      </w:r>
      <w:r>
        <w:rPr>
          <w:color w:val="auto"/>
        </w:rPr>
        <w:t>点前。</w:t>
      </w:r>
    </w:p>
    <w:p w14:paraId="55C1A00A">
      <w:pPr>
        <w:spacing w:before="111" w:line="360" w:lineRule="auto"/>
        <w:ind w:left="1058"/>
        <w:rPr>
          <w:rFonts w:hint="eastAsia"/>
          <w:color w:val="auto"/>
          <w:lang w:val="en-US" w:eastAsia="zh-CN"/>
        </w:rPr>
      </w:pPr>
      <w:r>
        <w:rPr>
          <w:rFonts w:hint="eastAsia"/>
          <w:color w:val="auto"/>
          <w:lang w:val="en-US" w:eastAsia="zh-CN"/>
        </w:rPr>
        <w:t>技术</w:t>
      </w:r>
      <w:r>
        <w:rPr>
          <w:color w:val="auto"/>
        </w:rPr>
        <w:t>答疑联系人：</w:t>
      </w:r>
      <w:r>
        <w:rPr>
          <w:rFonts w:hint="eastAsia"/>
          <w:color w:val="auto"/>
          <w:lang w:val="en-US" w:eastAsia="zh-CN"/>
        </w:rPr>
        <w:t>刘兆群</w:t>
      </w:r>
      <w:r>
        <w:rPr>
          <w:rFonts w:hint="eastAsia"/>
          <w:color w:val="auto"/>
        </w:rPr>
        <w:t xml:space="preserve"> </w:t>
      </w:r>
      <w:r>
        <w:rPr>
          <w:rFonts w:hint="eastAsia"/>
          <w:color w:val="auto"/>
          <w:lang w:val="en-US" w:eastAsia="zh-CN"/>
        </w:rPr>
        <w:t>13658611943</w:t>
      </w:r>
    </w:p>
    <w:p w14:paraId="5F2D9EE4">
      <w:pPr>
        <w:spacing w:before="111" w:line="360" w:lineRule="auto"/>
        <w:ind w:left="1058"/>
        <w:rPr>
          <w:rFonts w:hint="default" w:eastAsia="宋体"/>
          <w:color w:val="auto"/>
          <w:lang w:val="en-US" w:eastAsia="zh-CN"/>
        </w:rPr>
      </w:pPr>
      <w:r>
        <w:rPr>
          <w:color w:val="auto"/>
        </w:rPr>
        <w:t>商务</w:t>
      </w:r>
      <w:r>
        <w:rPr>
          <w:rFonts w:hint="eastAsia"/>
          <w:color w:val="auto"/>
          <w:lang w:val="en-US" w:eastAsia="zh-CN"/>
        </w:rPr>
        <w:t>答疑</w:t>
      </w:r>
      <w:r>
        <w:rPr>
          <w:color w:val="auto"/>
        </w:rPr>
        <w:t>联系人</w:t>
      </w:r>
      <w:r>
        <w:rPr>
          <w:rFonts w:hint="eastAsia"/>
          <w:color w:val="auto"/>
        </w:rPr>
        <w:t>：</w:t>
      </w:r>
      <w:r>
        <w:rPr>
          <w:rFonts w:hint="eastAsia"/>
          <w:color w:val="auto"/>
          <w:lang w:val="en-US"/>
        </w:rPr>
        <w:t>吕强 13695315677、仵允涛</w:t>
      </w:r>
      <w:r>
        <w:rPr>
          <w:rFonts w:hint="eastAsia"/>
          <w:color w:val="auto"/>
        </w:rPr>
        <w:t xml:space="preserve"> 15</w:t>
      </w:r>
      <w:r>
        <w:rPr>
          <w:rFonts w:hint="eastAsia"/>
          <w:color w:val="auto"/>
          <w:lang w:val="en-US"/>
        </w:rPr>
        <w:t>153153951</w:t>
      </w:r>
      <w:r>
        <w:rPr>
          <w:rFonts w:hint="eastAsia"/>
          <w:color w:val="auto"/>
          <w:lang w:val="en-US" w:eastAsia="zh-CN"/>
        </w:rPr>
        <w:t>、张晓庆 17860607738</w:t>
      </w:r>
    </w:p>
    <w:p w14:paraId="7DB70C4D">
      <w:pPr>
        <w:spacing w:before="111" w:line="360" w:lineRule="auto"/>
        <w:ind w:left="1058"/>
        <w:rPr>
          <w:rFonts w:hint="eastAsia"/>
          <w:color w:val="auto"/>
        </w:rPr>
      </w:pPr>
      <w:r>
        <w:rPr>
          <w:rFonts w:hint="eastAsia"/>
          <w:color w:val="auto"/>
        </w:rPr>
        <w:t>3</w:t>
      </w:r>
      <w:r>
        <w:rPr>
          <w:color w:val="auto"/>
        </w:rPr>
        <w:t>.</w:t>
      </w:r>
      <w:r>
        <w:rPr>
          <w:rFonts w:hint="eastAsia"/>
          <w:color w:val="auto"/>
          <w:lang w:val="en-US" w:eastAsia="zh-CN"/>
        </w:rPr>
        <w:t>应标</w:t>
      </w:r>
      <w:r>
        <w:rPr>
          <w:color w:val="auto"/>
        </w:rPr>
        <w:t>截止时间：202</w:t>
      </w:r>
      <w:r>
        <w:rPr>
          <w:rFonts w:hint="eastAsia"/>
          <w:color w:val="auto"/>
          <w:lang w:val="en-US" w:eastAsia="zh-CN"/>
        </w:rPr>
        <w:t>6</w:t>
      </w:r>
      <w:r>
        <w:rPr>
          <w:color w:val="auto"/>
        </w:rPr>
        <w:t>年</w:t>
      </w:r>
      <w:r>
        <w:rPr>
          <w:rFonts w:hint="eastAsia"/>
          <w:color w:val="auto"/>
          <w:lang w:val="en-US" w:eastAsia="zh-CN"/>
        </w:rPr>
        <w:t>10</w:t>
      </w:r>
      <w:r>
        <w:rPr>
          <w:color w:val="auto"/>
        </w:rPr>
        <w:t>月</w:t>
      </w:r>
      <w:r>
        <w:rPr>
          <w:rFonts w:hint="eastAsia"/>
          <w:color w:val="auto"/>
          <w:lang w:val="en-US" w:eastAsia="zh-CN"/>
        </w:rPr>
        <w:t>13</w:t>
      </w:r>
      <w:r>
        <w:rPr>
          <w:color w:val="auto"/>
        </w:rPr>
        <w:t>日下午</w:t>
      </w:r>
      <w:r>
        <w:rPr>
          <w:rFonts w:hint="eastAsia"/>
          <w:color w:val="auto"/>
          <w:lang w:val="en-US" w:eastAsia="zh-CN"/>
        </w:rPr>
        <w:t>5</w:t>
      </w:r>
      <w:r>
        <w:rPr>
          <w:color w:val="auto"/>
        </w:rPr>
        <w:t>点前</w:t>
      </w:r>
      <w:r>
        <w:rPr>
          <w:rFonts w:hint="eastAsia"/>
          <w:color w:val="auto"/>
          <w:lang w:eastAsia="zh-CN"/>
        </w:rPr>
        <w:t>。</w:t>
      </w:r>
      <w:r>
        <w:rPr>
          <w:rFonts w:hint="eastAsia"/>
          <w:color w:val="auto"/>
        </w:rPr>
        <w:t>报名方式：投标方需按照附件《非生产供应商注册操作手册》完成重汽e采通平台注册（网址：https://ecaitong.sinotruk.com:8012/#/login）,在报名截止时间前在重汽e采通上完成应标。</w:t>
      </w:r>
    </w:p>
    <w:p w14:paraId="12D62CC8">
      <w:pPr>
        <w:spacing w:before="111" w:line="360" w:lineRule="auto"/>
        <w:ind w:left="1058"/>
        <w:rPr>
          <w:color w:val="auto"/>
        </w:rPr>
      </w:pPr>
      <w:r>
        <w:rPr>
          <w:rFonts w:hint="eastAsia"/>
          <w:color w:val="auto"/>
        </w:rPr>
        <w:t>注：请务必在应标截止时间前完成注册、E采通系统近三年财务数据信息更新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14:paraId="33500C72">
      <w:pPr>
        <w:spacing w:before="111" w:line="360" w:lineRule="auto"/>
        <w:ind w:left="1058"/>
        <w:rPr>
          <w:rFonts w:hint="eastAsia" w:ascii="宋体" w:hAnsi="宋体" w:eastAsia="宋体" w:cs="宋体"/>
          <w:color w:val="auto"/>
          <w:highlight w:val="none"/>
          <w:lang w:val="en-US" w:eastAsia="zh-CN"/>
        </w:rPr>
      </w:pPr>
      <w:r>
        <w:rPr>
          <w:rFonts w:hint="eastAsia"/>
          <w:color w:val="auto"/>
        </w:rPr>
        <w:t>4</w:t>
      </w:r>
      <w:r>
        <w:rPr>
          <w:color w:val="auto"/>
        </w:rPr>
        <w:t>.</w:t>
      </w:r>
      <w:r>
        <w:rPr>
          <w:rFonts w:hint="eastAsia" w:ascii="宋体" w:hAnsi="宋体" w:eastAsia="宋体" w:cs="宋体"/>
          <w:color w:val="auto"/>
          <w:highlight w:val="none"/>
          <w:lang w:val="en-US" w:eastAsia="zh-CN"/>
        </w:rPr>
        <w:t>投标保证金收取截止时间：2026年10月18日上午9时</w:t>
      </w:r>
    </w:p>
    <w:p w14:paraId="4EFE5BB8">
      <w:pPr>
        <w:spacing w:before="111" w:line="360" w:lineRule="auto"/>
        <w:ind w:left="1058"/>
        <w:rPr>
          <w:rFonts w:hint="default" w:eastAsia="宋体"/>
          <w:color w:val="auto"/>
          <w:lang w:val="en-US" w:eastAsia="zh-CN"/>
        </w:rPr>
      </w:pPr>
      <w:r>
        <w:rPr>
          <w:rFonts w:hint="eastAsia"/>
          <w:color w:val="auto"/>
        </w:rPr>
        <w:t>5</w:t>
      </w:r>
      <w:r>
        <w:rPr>
          <w:color w:val="auto"/>
        </w:rPr>
        <w:t>.投标文件递交：</w:t>
      </w:r>
      <w:r>
        <w:rPr>
          <w:rFonts w:hint="eastAsia"/>
          <w:color w:val="auto"/>
        </w:rPr>
        <w:t>应标通过的投标人，在投标截止时间前在e采通上传标书要求的资质文件、技术标文件、商务标文件。</w:t>
      </w:r>
      <w:r>
        <w:rPr>
          <w:rFonts w:hint="eastAsia"/>
          <w:color w:val="auto"/>
          <w:lang w:val="en-US" w:eastAsia="zh-CN"/>
        </w:rPr>
        <w:t>投标截止时间：2026年10月19日上午9点</w:t>
      </w:r>
    </w:p>
    <w:p w14:paraId="23075E9E">
      <w:pPr>
        <w:spacing w:before="111" w:line="360" w:lineRule="auto"/>
        <w:ind w:left="1058"/>
        <w:rPr>
          <w:color w:val="auto"/>
        </w:rPr>
      </w:pPr>
      <w:r>
        <w:rPr>
          <w:rFonts w:hint="eastAsia"/>
          <w:color w:val="auto"/>
          <w:lang w:val="en-US" w:eastAsia="zh-CN"/>
        </w:rPr>
        <w:t>6</w:t>
      </w:r>
      <w:r>
        <w:rPr>
          <w:color w:val="auto"/>
        </w:rPr>
        <w:t>.</w:t>
      </w:r>
      <w:r>
        <w:rPr>
          <w:rFonts w:hint="eastAsia"/>
          <w:color w:val="auto"/>
          <w:lang w:val="en-US" w:eastAsia="zh-CN"/>
        </w:rPr>
        <w:t>开</w:t>
      </w:r>
      <w:r>
        <w:rPr>
          <w:color w:val="auto"/>
        </w:rPr>
        <w:t>标地点：</w:t>
      </w:r>
      <w:r>
        <w:rPr>
          <w:rFonts w:hint="eastAsia"/>
          <w:color w:val="auto"/>
        </w:rPr>
        <w:t>济南市</w:t>
      </w:r>
      <w:r>
        <w:rPr>
          <w:rFonts w:hint="eastAsia"/>
          <w:color w:val="auto"/>
          <w:lang w:val="en-US" w:eastAsia="zh-CN"/>
        </w:rPr>
        <w:t>高新区重汽科技大厦712会议室</w:t>
      </w:r>
      <w:r>
        <w:rPr>
          <w:rFonts w:hint="eastAsia"/>
          <w:color w:val="auto"/>
        </w:rPr>
        <w:t>（若有变动另行通知）</w:t>
      </w:r>
    </w:p>
    <w:p w14:paraId="151C5325">
      <w:pPr>
        <w:spacing w:before="111" w:line="360" w:lineRule="auto"/>
        <w:ind w:left="1058"/>
        <w:rPr>
          <w:rFonts w:hint="eastAsia"/>
          <w:color w:val="auto"/>
        </w:rPr>
      </w:pPr>
      <w:r>
        <w:rPr>
          <w:rFonts w:hint="eastAsia"/>
          <w:color w:val="auto"/>
          <w:lang w:val="en-US" w:eastAsia="zh-CN"/>
        </w:rPr>
        <w:t>7</w:t>
      </w:r>
      <w:r>
        <w:rPr>
          <w:color w:val="auto"/>
        </w:rPr>
        <w:t>.开标时间：202</w:t>
      </w:r>
      <w:r>
        <w:rPr>
          <w:rFonts w:hint="eastAsia"/>
          <w:color w:val="auto"/>
          <w:lang w:val="en-US" w:eastAsia="zh-CN"/>
        </w:rPr>
        <w:t>6</w:t>
      </w:r>
      <w:r>
        <w:rPr>
          <w:color w:val="auto"/>
        </w:rPr>
        <w:t>年</w:t>
      </w:r>
      <w:r>
        <w:rPr>
          <w:rFonts w:hint="eastAsia"/>
          <w:color w:val="auto"/>
          <w:lang w:val="en-US" w:eastAsia="zh-CN"/>
        </w:rPr>
        <w:t>10</w:t>
      </w:r>
      <w:r>
        <w:rPr>
          <w:color w:val="auto"/>
        </w:rPr>
        <w:t>月</w:t>
      </w:r>
      <w:r>
        <w:rPr>
          <w:rFonts w:hint="eastAsia"/>
          <w:color w:val="auto"/>
          <w:lang w:val="en-US" w:eastAsia="zh-CN"/>
        </w:rPr>
        <w:t>19</w:t>
      </w:r>
      <w:r>
        <w:rPr>
          <w:color w:val="auto"/>
        </w:rPr>
        <w:t>日</w:t>
      </w:r>
      <w:r>
        <w:rPr>
          <w:rFonts w:hint="eastAsia"/>
          <w:color w:val="auto"/>
          <w:lang w:val="en-US" w:eastAsia="zh-CN"/>
        </w:rPr>
        <w:t>上</w:t>
      </w:r>
      <w:r>
        <w:rPr>
          <w:color w:val="auto"/>
        </w:rPr>
        <w:t>午</w:t>
      </w:r>
      <w:r>
        <w:rPr>
          <w:rFonts w:hint="eastAsia"/>
          <w:color w:val="auto"/>
          <w:lang w:val="en-US" w:eastAsia="zh-CN"/>
        </w:rPr>
        <w:t>9</w:t>
      </w:r>
      <w:r>
        <w:rPr>
          <w:color w:val="auto"/>
        </w:rPr>
        <w:t>时（若有变动另行通知）。</w:t>
      </w:r>
    </w:p>
    <w:p w14:paraId="332470E2">
      <w:pPr>
        <w:pStyle w:val="3"/>
        <w:spacing w:line="360" w:lineRule="auto"/>
        <w:rPr>
          <w:color w:val="auto"/>
        </w:rPr>
      </w:pPr>
      <w:bookmarkStart w:id="5" w:name="五、获取招标文件"/>
      <w:bookmarkEnd w:id="5"/>
      <w:r>
        <w:rPr>
          <w:color w:val="auto"/>
        </w:rPr>
        <w:t>五、获取招标文件</w:t>
      </w:r>
    </w:p>
    <w:p w14:paraId="283B273D">
      <w:pPr>
        <w:spacing w:before="110" w:line="360" w:lineRule="auto"/>
        <w:ind w:left="1044"/>
        <w:jc w:val="both"/>
        <w:rPr>
          <w:color w:val="auto"/>
        </w:rPr>
      </w:pPr>
      <w:r>
        <w:rPr>
          <w:color w:val="auto"/>
        </w:rPr>
        <w:t>1.时间：202</w:t>
      </w:r>
      <w:r>
        <w:rPr>
          <w:rFonts w:hint="eastAsia"/>
          <w:color w:val="auto"/>
          <w:lang w:val="en-US" w:eastAsia="zh-CN"/>
        </w:rPr>
        <w:t>6</w:t>
      </w:r>
      <w:r>
        <w:rPr>
          <w:color w:val="auto"/>
        </w:rPr>
        <w:t>年</w:t>
      </w:r>
      <w:r>
        <w:rPr>
          <w:rFonts w:hint="eastAsia"/>
          <w:color w:val="auto"/>
          <w:sz w:val="21"/>
          <w:szCs w:val="21"/>
          <w:lang w:val="en-US" w:eastAsia="zh-CN"/>
        </w:rPr>
        <w:t>10</w:t>
      </w:r>
      <w:r>
        <w:rPr>
          <w:color w:val="auto"/>
        </w:rPr>
        <w:t>月</w:t>
      </w:r>
      <w:r>
        <w:rPr>
          <w:rFonts w:hint="eastAsia"/>
          <w:color w:val="auto"/>
          <w:sz w:val="21"/>
          <w:szCs w:val="21"/>
          <w:lang w:val="en-US" w:eastAsia="zh-CN"/>
        </w:rPr>
        <w:t>8</w:t>
      </w:r>
      <w:r>
        <w:rPr>
          <w:color w:val="auto"/>
        </w:rPr>
        <w:t>日至202</w:t>
      </w:r>
      <w:r>
        <w:rPr>
          <w:rFonts w:hint="eastAsia"/>
          <w:color w:val="auto"/>
          <w:lang w:val="en-US" w:eastAsia="zh-CN"/>
        </w:rPr>
        <w:t>6</w:t>
      </w:r>
      <w:r>
        <w:rPr>
          <w:color w:val="auto"/>
        </w:rPr>
        <w:t>年</w:t>
      </w:r>
      <w:r>
        <w:rPr>
          <w:rFonts w:hint="eastAsia"/>
          <w:color w:val="auto"/>
          <w:sz w:val="21"/>
          <w:szCs w:val="21"/>
          <w:lang w:val="en-US" w:eastAsia="zh-CN"/>
        </w:rPr>
        <w:t>10</w:t>
      </w:r>
      <w:r>
        <w:rPr>
          <w:color w:val="auto"/>
        </w:rPr>
        <w:t>月</w:t>
      </w:r>
      <w:r>
        <w:rPr>
          <w:rFonts w:hint="eastAsia"/>
          <w:color w:val="auto"/>
          <w:sz w:val="21"/>
          <w:szCs w:val="21"/>
          <w:lang w:val="en-US" w:eastAsia="zh-CN"/>
        </w:rPr>
        <w:t>13</w:t>
      </w:r>
      <w:r>
        <w:rPr>
          <w:color w:val="auto"/>
        </w:rPr>
        <w:t>日下午</w:t>
      </w:r>
      <w:r>
        <w:rPr>
          <w:rFonts w:hint="eastAsia"/>
          <w:color w:val="auto"/>
        </w:rPr>
        <w:t>5</w:t>
      </w:r>
      <w:r>
        <w:rPr>
          <w:color w:val="auto"/>
        </w:rPr>
        <w:t>点前。</w:t>
      </w:r>
    </w:p>
    <w:p w14:paraId="53896E6E">
      <w:pPr>
        <w:spacing w:before="110" w:line="360" w:lineRule="auto"/>
        <w:ind w:left="1044"/>
        <w:jc w:val="left"/>
        <w:rPr>
          <w:rFonts w:hint="eastAsia" w:eastAsia="宋体"/>
          <w:color w:val="auto"/>
          <w:lang w:val="en-US" w:eastAsia="zh-CN"/>
        </w:rPr>
      </w:pPr>
      <w:r>
        <w:rPr>
          <w:rFonts w:hint="eastAsia" w:ascii="宋体" w:hAnsi="宋体" w:eastAsia="宋体" w:cs="宋体"/>
          <w:color w:val="auto"/>
          <w:sz w:val="21"/>
          <w:szCs w:val="21"/>
          <w:lang w:val="en-US" w:eastAsia="zh-CN"/>
        </w:rPr>
        <w:t>2.获取方式：投标方在中国重汽e采通自行下载招标公告或重汽官网。</w:t>
      </w:r>
    </w:p>
    <w:p w14:paraId="6A1814D5">
      <w:pPr>
        <w:pStyle w:val="3"/>
        <w:spacing w:before="54" w:line="360" w:lineRule="auto"/>
        <w:rPr>
          <w:color w:val="auto"/>
        </w:rPr>
      </w:pPr>
      <w:r>
        <w:rPr>
          <w:color w:val="auto"/>
        </w:rPr>
        <w:t>六、投标须知</w:t>
      </w:r>
    </w:p>
    <w:p w14:paraId="1B3BC08C">
      <w:pPr>
        <w:pStyle w:val="7"/>
        <w:numPr>
          <w:ilvl w:val="0"/>
          <w:numId w:val="1"/>
        </w:numPr>
        <w:tabs>
          <w:tab w:val="left" w:pos="1260"/>
        </w:tabs>
        <w:spacing w:before="11" w:line="360" w:lineRule="auto"/>
        <w:jc w:val="left"/>
        <w:rPr>
          <w:color w:val="auto"/>
          <w:sz w:val="15"/>
        </w:rPr>
      </w:pPr>
      <w:bookmarkStart w:id="6" w:name="1.合格投标人："/>
      <w:bookmarkEnd w:id="6"/>
      <w:r>
        <w:rPr>
          <w:color w:val="auto"/>
          <w:spacing w:val="2"/>
        </w:rPr>
        <w:t>合格投标人：</w:t>
      </w:r>
    </w:p>
    <w:p w14:paraId="314C8C89">
      <w:pPr>
        <w:pStyle w:val="52"/>
        <w:numPr>
          <w:ilvl w:val="0"/>
          <w:numId w:val="2"/>
        </w:numPr>
        <w:spacing w:line="360" w:lineRule="auto"/>
        <w:ind w:right="641"/>
        <w:jc w:val="left"/>
        <w:rPr>
          <w:color w:val="auto"/>
        </w:rPr>
      </w:pPr>
      <w:r>
        <w:rPr>
          <w:color w:val="auto"/>
        </w:rPr>
        <w:t>投标人须遵守《中华人民共和国招标投标法》、《</w:t>
      </w:r>
      <w:r>
        <w:rPr>
          <w:rFonts w:hint="eastAsia"/>
          <w:color w:val="auto"/>
        </w:rPr>
        <w:t>民法典</w:t>
      </w:r>
      <w:r>
        <w:rPr>
          <w:color w:val="auto"/>
        </w:rPr>
        <w:t>》及其它有关的法律和法规；为中华人民共和国境内注册的独立法人机构，具有独立承担民事责任的能力</w:t>
      </w:r>
      <w:r>
        <w:rPr>
          <w:rFonts w:hint="eastAsia"/>
          <w:color w:val="auto"/>
          <w:lang w:eastAsia="zh-CN"/>
        </w:rPr>
        <w:t>；</w:t>
      </w:r>
      <w:r>
        <w:rPr>
          <w:color w:val="auto"/>
        </w:rPr>
        <w:t>公司成立</w:t>
      </w:r>
      <w:r>
        <w:rPr>
          <w:rFonts w:hint="eastAsia"/>
          <w:color w:val="auto"/>
          <w:lang w:val="en-US" w:eastAsia="zh-CN"/>
        </w:rPr>
        <w:t>三</w:t>
      </w:r>
      <w:r>
        <w:rPr>
          <w:color w:val="auto"/>
        </w:rPr>
        <w:t>年以上（以营业执照成立日期到开标当日满</w:t>
      </w:r>
      <w:r>
        <w:rPr>
          <w:rFonts w:hint="eastAsia"/>
          <w:color w:val="auto"/>
          <w:lang w:val="en-US" w:eastAsia="zh-CN"/>
        </w:rPr>
        <w:t>三</w:t>
      </w:r>
      <w:r>
        <w:rPr>
          <w:color w:val="auto"/>
        </w:rPr>
        <w:t>年为准）；注册资金</w:t>
      </w:r>
      <w:r>
        <w:rPr>
          <w:rFonts w:hint="eastAsia"/>
          <w:color w:val="auto"/>
          <w:lang w:val="en-US" w:eastAsia="zh-CN"/>
        </w:rPr>
        <w:t>500</w:t>
      </w:r>
      <w:r>
        <w:rPr>
          <w:color w:val="auto"/>
        </w:rPr>
        <w:t>万元人民币以上；</w:t>
      </w:r>
      <w:r>
        <w:rPr>
          <w:rFonts w:hint="eastAsia"/>
          <w:color w:val="FF0000"/>
          <w:lang w:val="en-US" w:eastAsia="zh-CN"/>
        </w:rPr>
        <w:t>本项目生产性企业符合录取标准，不允许代理商参加投标</w:t>
      </w:r>
      <w:r>
        <w:rPr>
          <w:rFonts w:hint="eastAsia"/>
          <w:color w:val="auto"/>
          <w:lang w:val="en-US" w:eastAsia="zh-CN"/>
        </w:rPr>
        <w:t>，</w:t>
      </w:r>
      <w:r>
        <w:rPr>
          <w:color w:val="auto"/>
        </w:rPr>
        <w:t>经营范围满足招标项目需求；</w:t>
      </w:r>
    </w:p>
    <w:p w14:paraId="3049EDC9">
      <w:pPr>
        <w:spacing w:line="360" w:lineRule="auto"/>
        <w:ind w:left="1058"/>
        <w:jc w:val="left"/>
        <w:rPr>
          <w:color w:val="auto"/>
        </w:rPr>
      </w:pPr>
      <w:r>
        <w:rPr>
          <w:rFonts w:hint="eastAsia"/>
          <w:color w:val="auto"/>
        </w:rPr>
        <w:t>⑵</w:t>
      </w:r>
      <w:r>
        <w:rPr>
          <w:color w:val="auto"/>
        </w:rPr>
        <w:t>投标人须于投标时提供具有统一社会信用代码的三证合一的营业执照副本</w:t>
      </w:r>
      <w:r>
        <w:rPr>
          <w:b/>
          <w:bCs/>
          <w:color w:val="auto"/>
        </w:rPr>
        <w:t>原件</w:t>
      </w:r>
      <w:r>
        <w:rPr>
          <w:color w:val="auto"/>
        </w:rPr>
        <w:t>及复印件（加</w:t>
      </w:r>
    </w:p>
    <w:p w14:paraId="551F5149">
      <w:pPr>
        <w:spacing w:line="360" w:lineRule="auto"/>
        <w:ind w:left="638"/>
        <w:jc w:val="left"/>
        <w:rPr>
          <w:color w:val="auto"/>
          <w:lang w:val="en-US"/>
        </w:rPr>
      </w:pPr>
      <w:r>
        <w:rPr>
          <w:color w:val="auto"/>
        </w:rPr>
        <w:t>盖公章）；</w:t>
      </w:r>
      <w:r>
        <w:rPr>
          <w:rFonts w:hint="eastAsia"/>
          <w:color w:val="auto"/>
          <w:lang w:val="en-US"/>
        </w:rPr>
        <w:t>企业最近半年完税证明、信用证明材料（中国人民银行信用代码证+征信报告）；年度纳税信用评价信息（可从电子税务局查询截图并加盖公章）；企业对外担保说明（写明投标人对外有无担保、质押业务并加盖公章）</w:t>
      </w:r>
    </w:p>
    <w:p w14:paraId="0EA7AB0F">
      <w:pPr>
        <w:spacing w:line="360" w:lineRule="auto"/>
        <w:ind w:left="638" w:right="643" w:firstLine="420"/>
        <w:jc w:val="left"/>
        <w:rPr>
          <w:color w:val="auto"/>
        </w:rPr>
      </w:pPr>
      <w:r>
        <w:rPr>
          <w:rFonts w:hint="eastAsia"/>
          <w:color w:val="auto"/>
        </w:rPr>
        <w:t>⑶</w:t>
      </w:r>
      <w:r>
        <w:rPr>
          <w:color w:val="auto"/>
        </w:rPr>
        <w:t>具有良好的商业信誉，在国家企业信用信息公示系统中</w:t>
      </w:r>
      <w:r>
        <w:rPr>
          <w:rFonts w:hint="eastAsia"/>
          <w:color w:val="auto"/>
        </w:rPr>
        <w:t>无与招标项目有关的重大行政处罚、</w:t>
      </w:r>
      <w:r>
        <w:rPr>
          <w:color w:val="auto"/>
        </w:rPr>
        <w:t>列入经营异常名录和列入严重违法失信企业名单（黑名单）信息或上述信息已被移除的声明；</w:t>
      </w:r>
    </w:p>
    <w:p w14:paraId="6A41116C">
      <w:pPr>
        <w:spacing w:before="3" w:line="360" w:lineRule="auto"/>
        <w:ind w:left="1058"/>
        <w:jc w:val="left"/>
        <w:rPr>
          <w:color w:val="auto"/>
        </w:rPr>
      </w:pPr>
      <w:r>
        <w:rPr>
          <w:rFonts w:hint="eastAsia"/>
          <w:color w:val="auto"/>
        </w:rPr>
        <w:t>⑷</w:t>
      </w:r>
      <w:r>
        <w:rPr>
          <w:color w:val="auto"/>
        </w:rPr>
        <w:t>投标人在近三年内在经营活动中无重大违法、违规的不良记录；</w:t>
      </w:r>
    </w:p>
    <w:p w14:paraId="4D7FA6DB">
      <w:pPr>
        <w:spacing w:before="1" w:line="360" w:lineRule="auto"/>
        <w:ind w:left="638" w:right="643" w:firstLine="420"/>
        <w:jc w:val="left"/>
        <w:rPr>
          <w:color w:val="auto"/>
        </w:rPr>
      </w:pPr>
      <w:r>
        <w:rPr>
          <w:rFonts w:hint="eastAsia"/>
          <w:color w:val="auto"/>
        </w:rPr>
        <w:t>⑸</w:t>
      </w:r>
      <w:r>
        <w:rPr>
          <w:color w:val="auto"/>
        </w:rPr>
        <w:t>投标人应能提供其正在或曾经从事过类似相关行业产品</w:t>
      </w:r>
      <w:r>
        <w:rPr>
          <w:rFonts w:hint="eastAsia"/>
          <w:color w:val="auto"/>
        </w:rPr>
        <w:t>或</w:t>
      </w:r>
      <w:r>
        <w:rPr>
          <w:color w:val="auto"/>
        </w:rPr>
        <w:t>服务经历的从业证明（可使用正在或曾经从事过的包装服务的合同文本原件或复印件加盖公章加以证明）；</w:t>
      </w:r>
    </w:p>
    <w:p w14:paraId="10CB2118">
      <w:pPr>
        <w:spacing w:before="1" w:line="360" w:lineRule="auto"/>
        <w:ind w:left="638" w:right="643" w:firstLine="420"/>
        <w:rPr>
          <w:color w:val="auto"/>
        </w:rPr>
      </w:pPr>
      <w:r>
        <w:rPr>
          <w:rFonts w:hint="eastAsia"/>
          <w:color w:val="auto"/>
        </w:rPr>
        <w:t>⑹</w:t>
      </w:r>
      <w:r>
        <w:rPr>
          <w:color w:val="auto"/>
        </w:rPr>
        <w:t>具有健全的财务会计制度，财务状况和市场行为良好。没有处于被有权机关吊销营业执照、吊销资质、停业整顿、取消投标资格以及财产被接管、冻结或进入破产程序等；</w:t>
      </w:r>
    </w:p>
    <w:p w14:paraId="23EC1843">
      <w:pPr>
        <w:spacing w:line="360" w:lineRule="auto"/>
        <w:ind w:left="638" w:right="643" w:firstLine="420"/>
        <w:rPr>
          <w:color w:val="auto"/>
        </w:rPr>
      </w:pPr>
      <w:r>
        <w:rPr>
          <w:rFonts w:hint="eastAsia"/>
          <w:color w:val="auto"/>
        </w:rPr>
        <w:t>⑺</w:t>
      </w:r>
      <w:r>
        <w:rPr>
          <w:color w:val="auto"/>
        </w:rPr>
        <w:t>投标人没有被列入招标人处《黑名单》（《黑名单》指投标人与招标人在以往或正在进行的合作中，存在招标人认为的违反合同约定或违反法律法规等的失信行为）的；</w:t>
      </w:r>
    </w:p>
    <w:p w14:paraId="19100009">
      <w:pPr>
        <w:spacing w:before="1" w:line="360" w:lineRule="auto"/>
        <w:ind w:left="1058"/>
        <w:rPr>
          <w:color w:val="auto"/>
        </w:rPr>
      </w:pPr>
      <w:r>
        <w:rPr>
          <w:rFonts w:hint="eastAsia"/>
          <w:color w:val="auto"/>
        </w:rPr>
        <w:t>⑻</w:t>
      </w:r>
      <w:r>
        <w:rPr>
          <w:color w:val="auto"/>
        </w:rPr>
        <w:t>投标人须提供近三年的公司财务报表</w:t>
      </w:r>
      <w:r>
        <w:rPr>
          <w:rFonts w:hint="eastAsia"/>
          <w:color w:val="auto"/>
        </w:rPr>
        <w:t>。</w:t>
      </w:r>
      <w:r>
        <w:rPr>
          <w:rFonts w:hint="eastAsia"/>
          <w:color w:val="auto"/>
          <w:lang w:val="en-US"/>
        </w:rPr>
        <w:t>要求为审计报告原件并加盖公章；如投标人没有经审计的财务报告，可提供加盖公章的</w:t>
      </w:r>
      <w:r>
        <w:rPr>
          <w:color w:val="auto"/>
        </w:rPr>
        <w:t>资产负债表、损益表、现金流量表等；</w:t>
      </w:r>
    </w:p>
    <w:p w14:paraId="4B0B1255">
      <w:pPr>
        <w:spacing w:before="1" w:line="360" w:lineRule="auto"/>
        <w:ind w:left="638" w:right="640" w:firstLine="420"/>
        <w:rPr>
          <w:color w:val="auto"/>
        </w:rPr>
      </w:pPr>
      <w:r>
        <w:rPr>
          <w:rFonts w:hint="eastAsia"/>
          <w:color w:val="auto"/>
        </w:rPr>
        <w:t>⑼</w:t>
      </w:r>
      <w:r>
        <w:rPr>
          <w:color w:val="auto"/>
        </w:rPr>
        <w:t>投标人须提供法人授权委托书</w:t>
      </w:r>
      <w:r>
        <w:rPr>
          <w:b/>
          <w:bCs/>
          <w:color w:val="auto"/>
        </w:rPr>
        <w:t>原件</w:t>
      </w:r>
      <w:r>
        <w:rPr>
          <w:color w:val="auto"/>
        </w:rPr>
        <w:t>（在投标文件副本中可用复印件并加盖公章）及投标单位的法定代表人或授权代表的身份证</w:t>
      </w:r>
      <w:r>
        <w:rPr>
          <w:b/>
          <w:bCs/>
          <w:color w:val="auto"/>
        </w:rPr>
        <w:t>原件</w:t>
      </w:r>
      <w:r>
        <w:rPr>
          <w:color w:val="auto"/>
        </w:rPr>
        <w:t>；</w:t>
      </w:r>
    </w:p>
    <w:p w14:paraId="2B6A5727">
      <w:pPr>
        <w:spacing w:before="3" w:line="360" w:lineRule="auto"/>
        <w:ind w:left="1058"/>
        <w:rPr>
          <w:color w:val="auto"/>
        </w:rPr>
      </w:pPr>
      <w:r>
        <w:rPr>
          <w:rFonts w:hint="eastAsia"/>
          <w:color w:val="auto"/>
        </w:rPr>
        <w:t>⑽</w:t>
      </w:r>
      <w:r>
        <w:rPr>
          <w:color w:val="auto"/>
        </w:rPr>
        <w:t>投标人须具有履行合同所必须的设备、财务、技术、服务等方面的资质和能力；</w:t>
      </w:r>
    </w:p>
    <w:p w14:paraId="77C2A668">
      <w:pPr>
        <w:spacing w:line="360" w:lineRule="auto"/>
        <w:ind w:left="1058"/>
        <w:rPr>
          <w:color w:val="auto"/>
        </w:rPr>
      </w:pPr>
      <w:r>
        <w:rPr>
          <w:rFonts w:hint="eastAsia"/>
          <w:color w:val="auto"/>
        </w:rPr>
        <w:t>⑾</w:t>
      </w:r>
      <w:r>
        <w:rPr>
          <w:color w:val="auto"/>
        </w:rPr>
        <w:t>投标人须具有完全履行招标文件的所有要求的能力；</w:t>
      </w:r>
    </w:p>
    <w:p w14:paraId="5874A280">
      <w:pPr>
        <w:spacing w:line="360" w:lineRule="auto"/>
        <w:ind w:left="1058"/>
        <w:rPr>
          <w:color w:val="auto"/>
        </w:rPr>
      </w:pPr>
      <w:r>
        <w:rPr>
          <w:rFonts w:hint="eastAsia"/>
          <w:color w:val="auto"/>
        </w:rPr>
        <w:t>⑿</w:t>
      </w:r>
      <w:r>
        <w:rPr>
          <w:color w:val="auto"/>
        </w:rPr>
        <w:t>投标人须负责提供合理的便于运输的包装物，并承担相关费用；</w:t>
      </w:r>
    </w:p>
    <w:p w14:paraId="3989BD21">
      <w:pPr>
        <w:spacing w:line="360" w:lineRule="auto"/>
        <w:ind w:left="1058"/>
        <w:rPr>
          <w:color w:val="auto"/>
        </w:rPr>
      </w:pPr>
      <w:r>
        <w:rPr>
          <w:rFonts w:hint="eastAsia"/>
          <w:color w:val="auto"/>
        </w:rPr>
        <w:t>⒀</w:t>
      </w:r>
      <w:r>
        <w:rPr>
          <w:color w:val="auto"/>
        </w:rPr>
        <w:t>投标人须认可招标人的工作指令，包括节假日能正常开展工作的要求；</w:t>
      </w:r>
    </w:p>
    <w:p w14:paraId="3101C692">
      <w:pPr>
        <w:spacing w:before="1" w:line="360" w:lineRule="auto"/>
        <w:ind w:left="1058"/>
        <w:rPr>
          <w:color w:val="auto"/>
        </w:rPr>
      </w:pPr>
      <w:r>
        <w:rPr>
          <w:rFonts w:hint="eastAsia"/>
          <w:color w:val="auto"/>
        </w:rPr>
        <w:t>⒁</w:t>
      </w:r>
      <w:r>
        <w:rPr>
          <w:color w:val="auto"/>
        </w:rPr>
        <w:t>投标人须认可招标人终止合同后3个月</w:t>
      </w:r>
      <w:r>
        <w:rPr>
          <w:rFonts w:hint="eastAsia"/>
          <w:color w:val="auto"/>
        </w:rPr>
        <w:t>无息</w:t>
      </w:r>
      <w:r>
        <w:rPr>
          <w:color w:val="auto"/>
        </w:rPr>
        <w:t>退还履约保证金的招标要求；</w:t>
      </w:r>
    </w:p>
    <w:p w14:paraId="51DCEDD4">
      <w:pPr>
        <w:spacing w:before="1" w:line="360" w:lineRule="auto"/>
        <w:ind w:left="638" w:right="643" w:firstLine="420"/>
        <w:rPr>
          <w:color w:val="auto"/>
        </w:rPr>
      </w:pPr>
      <w:r>
        <w:rPr>
          <w:rFonts w:hint="eastAsia"/>
          <w:color w:val="auto"/>
        </w:rPr>
        <w:t>⒂</w:t>
      </w:r>
      <w:r>
        <w:rPr>
          <w:color w:val="auto"/>
        </w:rPr>
        <w:t>投标人必须是最终投标、签订合同的单位，不得以任何理由将已中标项目以任何形式转包给其他单位；</w:t>
      </w:r>
    </w:p>
    <w:p w14:paraId="0769B02C">
      <w:pPr>
        <w:spacing w:before="3" w:line="360" w:lineRule="auto"/>
        <w:ind w:left="1058"/>
        <w:rPr>
          <w:color w:val="auto"/>
        </w:rPr>
      </w:pPr>
      <w:r>
        <w:rPr>
          <w:rFonts w:hint="eastAsia"/>
          <w:color w:val="auto"/>
        </w:rPr>
        <w:t>⒃</w:t>
      </w:r>
      <w:r>
        <w:rPr>
          <w:color w:val="auto"/>
        </w:rPr>
        <w:t>本次招标项目不接受联合体投标；</w:t>
      </w:r>
    </w:p>
    <w:p w14:paraId="588F3F12">
      <w:pPr>
        <w:spacing w:line="360" w:lineRule="auto"/>
        <w:ind w:left="1058"/>
        <w:rPr>
          <w:color w:val="auto"/>
        </w:rPr>
      </w:pPr>
      <w:r>
        <w:rPr>
          <w:rFonts w:hint="eastAsia"/>
          <w:color w:val="auto"/>
        </w:rPr>
        <w:t>⒄</w:t>
      </w:r>
      <w:r>
        <w:rPr>
          <w:color w:val="auto"/>
        </w:rPr>
        <w:t>投标人在向招标人出示《投标保证金缴纳凭证》后方可</w:t>
      </w:r>
      <w:r>
        <w:rPr>
          <w:rFonts w:hint="eastAsia"/>
          <w:color w:val="auto"/>
          <w:lang w:val="en-US" w:eastAsia="zh-CN"/>
        </w:rPr>
        <w:t>参加开标</w:t>
      </w:r>
      <w:r>
        <w:rPr>
          <w:color w:val="auto"/>
        </w:rPr>
        <w:t>；</w:t>
      </w:r>
    </w:p>
    <w:p w14:paraId="4FB43D5E">
      <w:pPr>
        <w:spacing w:before="70" w:line="360" w:lineRule="auto"/>
        <w:ind w:left="1058"/>
        <w:rPr>
          <w:color w:val="auto"/>
        </w:rPr>
      </w:pPr>
      <w:r>
        <w:rPr>
          <w:rFonts w:hint="eastAsia"/>
          <w:color w:val="auto"/>
        </w:rPr>
        <w:t>⒅</w:t>
      </w:r>
      <w:r>
        <w:rPr>
          <w:rFonts w:hint="eastAsia"/>
          <w:color w:val="auto"/>
          <w:lang w:val="en-US" w:eastAsia="zh-CN"/>
        </w:rPr>
        <w:t>如现场参加投标，</w:t>
      </w:r>
      <w:r>
        <w:rPr>
          <w:color w:val="auto"/>
        </w:rPr>
        <w:t>投标文件1</w:t>
      </w:r>
      <w:r>
        <w:rPr>
          <w:rFonts w:hint="eastAsia"/>
          <w:color w:val="auto"/>
        </w:rPr>
        <w:t>份</w:t>
      </w:r>
      <w:r>
        <w:rPr>
          <w:color w:val="auto"/>
        </w:rPr>
        <w:t>正</w:t>
      </w:r>
      <w:r>
        <w:rPr>
          <w:rFonts w:hint="eastAsia"/>
          <w:color w:val="auto"/>
        </w:rPr>
        <w:t>本</w:t>
      </w:r>
      <w:r>
        <w:rPr>
          <w:rFonts w:hint="eastAsia"/>
          <w:color w:val="auto"/>
          <w:lang w:val="en-US" w:eastAsia="zh-CN"/>
        </w:rPr>
        <w:t>3</w:t>
      </w:r>
      <w:r>
        <w:rPr>
          <w:rFonts w:hint="eastAsia"/>
          <w:color w:val="auto"/>
        </w:rPr>
        <w:t>份</w:t>
      </w:r>
      <w:r>
        <w:rPr>
          <w:color w:val="auto"/>
        </w:rPr>
        <w:t>副</w:t>
      </w:r>
      <w:r>
        <w:rPr>
          <w:rFonts w:hint="eastAsia"/>
          <w:color w:val="auto"/>
        </w:rPr>
        <w:t>本，</w:t>
      </w:r>
      <w:r>
        <w:rPr>
          <w:color w:val="auto"/>
        </w:rPr>
        <w:t>共计</w:t>
      </w:r>
      <w:r>
        <w:rPr>
          <w:rFonts w:hint="eastAsia"/>
          <w:color w:val="auto"/>
          <w:lang w:val="en-US" w:eastAsia="zh-CN"/>
        </w:rPr>
        <w:t>4</w:t>
      </w:r>
      <w:r>
        <w:rPr>
          <w:color w:val="auto"/>
        </w:rPr>
        <w:t>份（详见本招标文件“第二章投标文件编制”）；</w:t>
      </w:r>
    </w:p>
    <w:p w14:paraId="3AFCE0BB">
      <w:pPr>
        <w:spacing w:line="360" w:lineRule="auto"/>
        <w:ind w:left="1058" w:right="383" w:rightChars="174"/>
        <w:rPr>
          <w:color w:val="auto"/>
        </w:rPr>
      </w:pPr>
      <w:r>
        <w:rPr>
          <w:rFonts w:hint="eastAsia"/>
          <w:color w:val="auto"/>
        </w:rPr>
        <w:t>⒆其他须</w:t>
      </w:r>
      <w:r>
        <w:rPr>
          <w:color w:val="auto"/>
        </w:rPr>
        <w:t>具备的资格要求：投标单位应提供近三年相同或类似项目规模销售业绩</w:t>
      </w:r>
      <w:r>
        <w:rPr>
          <w:rFonts w:hint="eastAsia"/>
          <w:color w:val="auto"/>
        </w:rPr>
        <w:t>。</w:t>
      </w:r>
    </w:p>
    <w:p w14:paraId="035FA381">
      <w:pPr>
        <w:spacing w:line="360" w:lineRule="auto"/>
        <w:ind w:left="1058"/>
        <w:rPr>
          <w:color w:val="auto"/>
        </w:rPr>
      </w:pPr>
      <w:r>
        <w:rPr>
          <w:rFonts w:hint="eastAsia"/>
          <w:strike w:val="0"/>
          <w:dstrike w:val="0"/>
          <w:color w:val="auto"/>
        </w:rPr>
        <w:t>上述</w:t>
      </w:r>
      <w:r>
        <w:rPr>
          <w:strike w:val="0"/>
          <w:dstrike w:val="0"/>
          <w:color w:val="auto"/>
        </w:rPr>
        <w:t>1</w:t>
      </w:r>
      <w:r>
        <w:rPr>
          <w:rFonts w:hint="eastAsia"/>
          <w:strike w:val="0"/>
          <w:dstrike w:val="0"/>
          <w:color w:val="auto"/>
          <w:lang w:val="en-US"/>
        </w:rPr>
        <w:t>,</w:t>
      </w:r>
      <w:r>
        <w:rPr>
          <w:strike w:val="0"/>
          <w:dstrike w:val="0"/>
          <w:color w:val="auto"/>
        </w:rPr>
        <w:t>2</w:t>
      </w:r>
      <w:r>
        <w:rPr>
          <w:rFonts w:hint="eastAsia"/>
          <w:strike w:val="0"/>
          <w:dstrike w:val="0"/>
          <w:color w:val="auto"/>
          <w:lang w:val="en-US"/>
        </w:rPr>
        <w:t>,</w:t>
      </w:r>
      <w:r>
        <w:rPr>
          <w:strike w:val="0"/>
          <w:dstrike w:val="0"/>
          <w:color w:val="auto"/>
        </w:rPr>
        <w:t>3</w:t>
      </w:r>
      <w:r>
        <w:rPr>
          <w:rFonts w:hint="eastAsia"/>
          <w:strike w:val="0"/>
          <w:dstrike w:val="0"/>
          <w:color w:val="auto"/>
          <w:lang w:val="en-US"/>
        </w:rPr>
        <w:t>,</w:t>
      </w:r>
      <w:r>
        <w:rPr>
          <w:strike w:val="0"/>
          <w:dstrike w:val="0"/>
          <w:color w:val="auto"/>
        </w:rPr>
        <w:t>5</w:t>
      </w:r>
      <w:r>
        <w:rPr>
          <w:rFonts w:hint="eastAsia"/>
          <w:strike w:val="0"/>
          <w:dstrike w:val="0"/>
          <w:color w:val="auto"/>
          <w:lang w:val="en-US"/>
        </w:rPr>
        <w:t>,</w:t>
      </w:r>
      <w:r>
        <w:rPr>
          <w:strike w:val="0"/>
          <w:dstrike w:val="0"/>
          <w:color w:val="auto"/>
        </w:rPr>
        <w:t>8</w:t>
      </w:r>
      <w:r>
        <w:rPr>
          <w:rFonts w:hint="eastAsia"/>
          <w:strike w:val="0"/>
          <w:dstrike w:val="0"/>
          <w:color w:val="auto"/>
          <w:lang w:val="en-US"/>
        </w:rPr>
        <w:t>,</w:t>
      </w:r>
      <w:r>
        <w:rPr>
          <w:strike w:val="0"/>
          <w:dstrike w:val="0"/>
          <w:color w:val="auto"/>
        </w:rPr>
        <w:t>9</w:t>
      </w:r>
      <w:r>
        <w:rPr>
          <w:rFonts w:hint="eastAsia"/>
          <w:strike w:val="0"/>
          <w:dstrike w:val="0"/>
          <w:color w:val="auto"/>
          <w:lang w:val="en-US"/>
        </w:rPr>
        <w:t>,</w:t>
      </w:r>
      <w:r>
        <w:rPr>
          <w:strike w:val="0"/>
          <w:dstrike w:val="0"/>
          <w:color w:val="auto"/>
        </w:rPr>
        <w:t>17项为必备的资格文件</w:t>
      </w:r>
      <w:r>
        <w:rPr>
          <w:rFonts w:hint="eastAsia"/>
          <w:strike w:val="0"/>
          <w:dstrike w:val="0"/>
          <w:color w:val="auto"/>
          <w:lang w:eastAsia="zh-CN"/>
        </w:rPr>
        <w:t>。</w:t>
      </w:r>
      <w:r>
        <w:rPr>
          <w:color w:val="auto"/>
        </w:rPr>
        <w:t>投标方必须携带以下证件的</w:t>
      </w:r>
      <w:r>
        <w:rPr>
          <w:b/>
          <w:bCs/>
          <w:color w:val="auto"/>
        </w:rPr>
        <w:t>原件</w:t>
      </w:r>
      <w:r>
        <w:rPr>
          <w:color w:val="auto"/>
        </w:rPr>
        <w:t>或公证件参加开标会并交验，否则视为自动放弃投标资格：</w:t>
      </w:r>
    </w:p>
    <w:p w14:paraId="02CA7C48">
      <w:pPr>
        <w:spacing w:before="1" w:line="360" w:lineRule="auto"/>
        <w:ind w:left="1058" w:right="383" w:rightChars="174"/>
        <w:rPr>
          <w:color w:val="auto"/>
        </w:rPr>
      </w:pPr>
      <w:r>
        <w:rPr>
          <w:rFonts w:hint="eastAsia"/>
          <w:color w:val="auto"/>
        </w:rPr>
        <w:t>⑴</w:t>
      </w:r>
      <w:r>
        <w:rPr>
          <w:color w:val="auto"/>
        </w:rPr>
        <w:t>法人授权委托书及被授权人的身份证；法人到场的，提供法定代表人资格证明文件和身份证；</w:t>
      </w:r>
    </w:p>
    <w:p w14:paraId="29990C8A">
      <w:pPr>
        <w:spacing w:before="1" w:line="360" w:lineRule="auto"/>
        <w:ind w:left="1058" w:right="383" w:rightChars="174"/>
        <w:rPr>
          <w:b/>
          <w:bCs/>
          <w:color w:val="auto"/>
        </w:rPr>
      </w:pPr>
      <w:r>
        <w:rPr>
          <w:rFonts w:hint="eastAsia"/>
          <w:b/>
          <w:bCs/>
          <w:color w:val="auto"/>
        </w:rPr>
        <w:t>⑵</w:t>
      </w:r>
      <w:r>
        <w:rPr>
          <w:b/>
          <w:bCs/>
          <w:color w:val="auto"/>
        </w:rPr>
        <w:t>逾期的投标文件招标人不予受理。</w:t>
      </w:r>
    </w:p>
    <w:p w14:paraId="702E820F">
      <w:pPr>
        <w:pStyle w:val="7"/>
        <w:numPr>
          <w:ilvl w:val="0"/>
          <w:numId w:val="1"/>
        </w:numPr>
        <w:tabs>
          <w:tab w:val="left" w:pos="1270"/>
        </w:tabs>
        <w:spacing w:before="11" w:line="360" w:lineRule="auto"/>
        <w:ind w:left="1269" w:hanging="212"/>
        <w:rPr>
          <w:color w:val="auto"/>
        </w:rPr>
      </w:pPr>
      <w:bookmarkStart w:id="7" w:name="_Hlk88038842"/>
      <w:r>
        <w:rPr>
          <w:color w:val="auto"/>
        </w:rPr>
        <w:t>投标文件格式</w:t>
      </w:r>
    </w:p>
    <w:p w14:paraId="28EF4112">
      <w:pPr>
        <w:spacing w:line="360" w:lineRule="auto"/>
        <w:ind w:right="241" w:firstLine="1320" w:firstLineChars="600"/>
        <w:rPr>
          <w:color w:val="auto"/>
          <w:lang w:val="en-US"/>
        </w:rPr>
      </w:pPr>
      <w:r>
        <w:rPr>
          <w:color w:val="auto"/>
        </w:rPr>
        <w:t>详见本招标文件“第二章投标文件编制”，请投标人按格式要求进行填写。</w:t>
      </w:r>
      <w:bookmarkEnd w:id="7"/>
      <w:bookmarkStart w:id="8" w:name="_Hlk88038871"/>
    </w:p>
    <w:bookmarkEnd w:id="8"/>
    <w:p w14:paraId="09089220">
      <w:pPr>
        <w:numPr>
          <w:ilvl w:val="0"/>
          <w:numId w:val="1"/>
        </w:numPr>
        <w:spacing w:line="360" w:lineRule="auto"/>
        <w:ind w:right="2273"/>
        <w:rPr>
          <w:b/>
          <w:bCs/>
          <w:color w:val="auto"/>
        </w:rPr>
      </w:pPr>
      <w:r>
        <w:rPr>
          <w:b/>
          <w:bCs/>
          <w:color w:val="auto"/>
        </w:rPr>
        <w:t>报价：</w:t>
      </w:r>
    </w:p>
    <w:p w14:paraId="3AECC628">
      <w:pPr>
        <w:spacing w:before="1" w:line="360" w:lineRule="auto"/>
        <w:ind w:left="1058"/>
        <w:rPr>
          <w:color w:val="auto"/>
        </w:rPr>
      </w:pPr>
      <w:r>
        <w:rPr>
          <w:rFonts w:hint="eastAsia"/>
          <w:color w:val="auto"/>
        </w:rPr>
        <w:t>⑴</w:t>
      </w:r>
      <w:r>
        <w:rPr>
          <w:color w:val="auto"/>
        </w:rPr>
        <w:t>本次招标为公开招标，报价应为：</w:t>
      </w:r>
    </w:p>
    <w:p w14:paraId="13CC0DE9">
      <w:pPr>
        <w:spacing w:line="360" w:lineRule="auto"/>
        <w:ind w:left="638" w:right="640" w:firstLine="420"/>
        <w:rPr>
          <w:color w:val="auto"/>
        </w:rPr>
      </w:pPr>
      <w:bookmarkStart w:id="9" w:name="_Hlk90105065"/>
      <w:r>
        <w:rPr>
          <w:rFonts w:hint="eastAsia"/>
          <w:color w:val="auto"/>
        </w:rPr>
        <w:t>在</w:t>
      </w:r>
      <w:r>
        <w:rPr>
          <w:color w:val="auto"/>
        </w:rPr>
        <w:t>与招标人或其指派的答疑人员充分沟通确认基础上，投标人在满足招标人提出的所有关</w:t>
      </w:r>
      <w:bookmarkEnd w:id="9"/>
      <w:r>
        <w:rPr>
          <w:color w:val="auto"/>
        </w:rPr>
        <w:t>于配件</w:t>
      </w:r>
      <w:r>
        <w:rPr>
          <w:rFonts w:hint="eastAsia"/>
          <w:color w:val="auto"/>
        </w:rPr>
        <w:t>物流项目</w:t>
      </w:r>
      <w:r>
        <w:rPr>
          <w:color w:val="auto"/>
        </w:rPr>
        <w:t>全流程要求的前提下，与中标人签订合同的单位</w:t>
      </w:r>
      <w:r>
        <w:rPr>
          <w:rFonts w:hint="eastAsia"/>
          <w:color w:val="auto"/>
        </w:rPr>
        <w:t>需</w:t>
      </w:r>
      <w:r>
        <w:rPr>
          <w:color w:val="auto"/>
        </w:rPr>
        <w:t>支付给中标人的所有费用。</w:t>
      </w:r>
    </w:p>
    <w:p w14:paraId="6DECE352">
      <w:pPr>
        <w:spacing w:before="1" w:line="360" w:lineRule="auto"/>
        <w:ind w:left="1058"/>
        <w:rPr>
          <w:color w:val="auto"/>
        </w:rPr>
      </w:pPr>
      <w:r>
        <w:rPr>
          <w:color w:val="auto"/>
        </w:rPr>
        <w:t>详见本招标书之“第二章投标文件编制”之“三、投标文件格式要求”之“格式3”。</w:t>
      </w:r>
    </w:p>
    <w:p w14:paraId="22F13E8F">
      <w:pPr>
        <w:pStyle w:val="52"/>
        <w:numPr>
          <w:ilvl w:val="0"/>
          <w:numId w:val="2"/>
        </w:numPr>
        <w:spacing w:line="360" w:lineRule="auto"/>
        <w:rPr>
          <w:color w:val="auto"/>
        </w:rPr>
      </w:pPr>
      <w:r>
        <w:rPr>
          <w:color w:val="auto"/>
        </w:rPr>
        <w:t>所有报价货币单位为：元（人民币），</w:t>
      </w:r>
      <w:r>
        <w:rPr>
          <w:rFonts w:ascii="宋体" w:hAnsi="宋体" w:eastAsia="宋体" w:cs="宋体"/>
          <w:color w:val="auto"/>
          <w:sz w:val="24"/>
          <w:szCs w:val="24"/>
        </w:rPr>
        <w:t>报含税价和不含税价并写明税率</w:t>
      </w:r>
      <w:r>
        <w:rPr>
          <w:color w:val="auto"/>
        </w:rPr>
        <w:t>。</w:t>
      </w:r>
    </w:p>
    <w:p w14:paraId="23928C96">
      <w:pPr>
        <w:pStyle w:val="52"/>
        <w:numPr>
          <w:ilvl w:val="0"/>
          <w:numId w:val="2"/>
        </w:numPr>
        <w:spacing w:line="360" w:lineRule="auto"/>
        <w:ind w:right="383" w:rightChars="174"/>
        <w:rPr>
          <w:color w:val="auto"/>
        </w:rPr>
      </w:pPr>
      <w:r>
        <w:rPr>
          <w:color w:val="auto"/>
        </w:rPr>
        <w:t>付款结算方式：</w:t>
      </w:r>
      <w:r>
        <w:rPr>
          <w:rFonts w:hint="eastAsia"/>
          <w:b/>
          <w:bCs/>
          <w:color w:val="auto"/>
          <w:lang w:val="en-US"/>
        </w:rPr>
        <w:t>半年期商业汇票（包括银行承兑汇票和商业承兑汇票）</w:t>
      </w:r>
      <w:r>
        <w:rPr>
          <w:rFonts w:hint="eastAsia"/>
          <w:color w:val="auto"/>
        </w:rPr>
        <w:t>；</w:t>
      </w:r>
      <w:r>
        <w:rPr>
          <w:rFonts w:hint="eastAsia"/>
          <w:b/>
          <w:bCs/>
          <w:color w:val="auto"/>
          <w:lang w:val="en-US"/>
        </w:rPr>
        <w:t>90天账期（</w:t>
      </w:r>
      <w:r>
        <w:rPr>
          <w:rFonts w:hint="eastAsia"/>
          <w:color w:val="auto"/>
        </w:rPr>
        <w:t>收到按招标人要求开具的增值税专用发票后挂账满</w:t>
      </w:r>
      <w:r>
        <w:rPr>
          <w:rFonts w:hint="eastAsia"/>
          <w:color w:val="auto"/>
          <w:lang w:val="en-US"/>
        </w:rPr>
        <w:t>90天</w:t>
      </w:r>
      <w:r>
        <w:rPr>
          <w:rFonts w:hint="eastAsia"/>
          <w:color w:val="auto"/>
        </w:rPr>
        <w:t>起付）。</w:t>
      </w:r>
    </w:p>
    <w:p w14:paraId="3CC9A50F">
      <w:pPr>
        <w:pStyle w:val="52"/>
        <w:numPr>
          <w:ilvl w:val="0"/>
          <w:numId w:val="2"/>
        </w:numPr>
        <w:spacing w:line="360" w:lineRule="auto"/>
        <w:ind w:right="383" w:rightChars="174"/>
        <w:rPr>
          <w:rFonts w:hint="eastAsia"/>
          <w:color w:val="auto"/>
          <w:highlight w:val="none"/>
          <w:lang w:val="en-US" w:eastAsia="zh-CN"/>
        </w:rPr>
      </w:pPr>
      <w:r>
        <w:rPr>
          <w:rFonts w:hint="eastAsia"/>
          <w:color w:val="auto"/>
          <w:highlight w:val="none"/>
          <w:lang w:val="en-US" w:eastAsia="zh-CN"/>
        </w:rPr>
        <w:t>付款节点：100%付款；乙方完成甲方的需求，乙方开具合同价款100%的收据并增值税专用发票，经甲方核对无误后支付。</w:t>
      </w:r>
    </w:p>
    <w:p w14:paraId="282F81FD">
      <w:pPr>
        <w:spacing w:line="360" w:lineRule="auto"/>
        <w:ind w:left="638" w:right="640" w:firstLine="420"/>
        <w:rPr>
          <w:color w:val="auto"/>
        </w:rPr>
      </w:pPr>
      <w:r>
        <w:rPr>
          <w:color w:val="auto"/>
        </w:rPr>
        <w:t>本次招标项目结算价只支持承兑支付，如投标人不认可、不接受使用承兑汇票用于费用结算，则投标人在本招标书中注明“不接受”字，招标人将视之为主动弃标。</w:t>
      </w:r>
    </w:p>
    <w:p w14:paraId="55CF17C6">
      <w:pPr>
        <w:spacing w:before="1" w:line="360" w:lineRule="auto"/>
        <w:ind w:left="1058" w:right="4922"/>
        <w:rPr>
          <w:b/>
          <w:bCs/>
          <w:color w:val="auto"/>
          <w:sz w:val="21"/>
          <w:szCs w:val="21"/>
        </w:rPr>
      </w:pPr>
      <w:r>
        <w:rPr>
          <w:color w:val="auto"/>
          <w:sz w:val="21"/>
          <w:szCs w:val="21"/>
        </w:rPr>
        <w:t>4.</w:t>
      </w:r>
      <w:r>
        <w:rPr>
          <w:b/>
          <w:bCs/>
          <w:color w:val="auto"/>
          <w:sz w:val="21"/>
          <w:szCs w:val="21"/>
        </w:rPr>
        <w:t>技术规范及服务</w:t>
      </w:r>
    </w:p>
    <w:p w14:paraId="12D10F53">
      <w:pPr>
        <w:spacing w:before="70" w:line="360" w:lineRule="auto"/>
        <w:ind w:left="1058"/>
        <w:rPr>
          <w:color w:val="auto"/>
        </w:rPr>
      </w:pPr>
      <w:r>
        <w:rPr>
          <w:rFonts w:hint="eastAsia"/>
          <w:color w:val="auto"/>
        </w:rPr>
        <w:t>⑴</w:t>
      </w:r>
      <w:r>
        <w:rPr>
          <w:color w:val="auto"/>
        </w:rPr>
        <w:t>投标人应与</w:t>
      </w:r>
      <w:bookmarkStart w:id="10" w:name="_Hlk56064956"/>
      <w:r>
        <w:rPr>
          <w:color w:val="auto"/>
        </w:rPr>
        <w:t>招标人</w:t>
      </w:r>
      <w:bookmarkEnd w:id="10"/>
      <w:r>
        <w:rPr>
          <w:color w:val="auto"/>
        </w:rPr>
        <w:t>指派的答疑人员充分沟通，理解认可并接受相关技术规范及服务要求。</w:t>
      </w:r>
    </w:p>
    <w:p w14:paraId="00BA6E72">
      <w:pPr>
        <w:spacing w:line="360" w:lineRule="auto"/>
        <w:ind w:left="638" w:right="595" w:firstLine="420"/>
        <w:rPr>
          <w:color w:val="auto"/>
        </w:rPr>
      </w:pPr>
      <w:r>
        <w:rPr>
          <w:rFonts w:hint="eastAsia"/>
          <w:color w:val="auto"/>
        </w:rPr>
        <w:t>⑵</w:t>
      </w:r>
      <w:r>
        <w:rPr>
          <w:color w:val="auto"/>
        </w:rPr>
        <w:t>投标人可免费提供的、包含但不限于招标人所要求的其他相关服务内容，按本招标书“第二章投标文件编制”要求，在其“开标一览表”中一并说明。</w:t>
      </w:r>
    </w:p>
    <w:p w14:paraId="0A8A5807">
      <w:pPr>
        <w:spacing w:line="360" w:lineRule="auto"/>
        <w:ind w:left="638" w:right="595" w:firstLine="420"/>
        <w:rPr>
          <w:color w:val="auto"/>
        </w:rPr>
      </w:pPr>
      <w:r>
        <w:rPr>
          <w:rFonts w:hint="eastAsia"/>
          <w:color w:val="auto"/>
        </w:rPr>
        <w:t>⑶</w:t>
      </w:r>
      <w:bookmarkStart w:id="11" w:name="_Hlk56064937"/>
      <w:r>
        <w:rPr>
          <w:rFonts w:hint="eastAsia"/>
          <w:color w:val="auto"/>
        </w:rPr>
        <w:t>投标人</w:t>
      </w:r>
      <w:bookmarkEnd w:id="11"/>
      <w:r>
        <w:rPr>
          <w:rFonts w:hint="eastAsia"/>
          <w:color w:val="auto"/>
        </w:rPr>
        <w:t>收到标书后，必须实地考察各业务单位运作流程，熟悉相关业务后，在招标时提交业务运营方案及相应业务交接、开始运行业务时间等预案。</w:t>
      </w:r>
    </w:p>
    <w:p w14:paraId="1D682117">
      <w:pPr>
        <w:spacing w:line="360" w:lineRule="auto"/>
        <w:ind w:left="638" w:right="595" w:firstLine="420"/>
        <w:rPr>
          <w:color w:val="auto"/>
        </w:rPr>
      </w:pPr>
      <w:r>
        <w:rPr>
          <w:rFonts w:hint="eastAsia"/>
          <w:color w:val="auto"/>
        </w:rPr>
        <w:t>⑷</w:t>
      </w:r>
      <w:bookmarkStart w:id="12" w:name="_Hlk56065099"/>
      <w:r>
        <w:rPr>
          <w:rFonts w:hint="eastAsia"/>
          <w:color w:val="auto"/>
        </w:rPr>
        <w:t>投标人</w:t>
      </w:r>
      <w:bookmarkEnd w:id="12"/>
      <w:r>
        <w:rPr>
          <w:rFonts w:hint="eastAsia"/>
          <w:color w:val="auto"/>
        </w:rPr>
        <w:t>应严格执行</w:t>
      </w:r>
      <w:r>
        <w:rPr>
          <w:color w:val="auto"/>
        </w:rPr>
        <w:t>招标人</w:t>
      </w:r>
      <w:r>
        <w:rPr>
          <w:rFonts w:hint="eastAsia"/>
          <w:color w:val="auto"/>
        </w:rPr>
        <w:t>的技术质量标准，如果投标人未按技术质量标准要求执行，投标人应无条件进行整改，所发生的所有费用均由投标人方承担。如投标人所供产品和服务质量存在严重缺陷，导致招标人产品市场形象受到损害，招标人有权中止或解除本合同，并由投标人承担违约责任。</w:t>
      </w:r>
    </w:p>
    <w:p w14:paraId="08EADA9E">
      <w:pPr>
        <w:pStyle w:val="7"/>
        <w:tabs>
          <w:tab w:val="left" w:pos="1270"/>
        </w:tabs>
        <w:spacing w:before="1" w:line="360" w:lineRule="auto"/>
        <w:ind w:left="638" w:right="523" w:firstLine="422" w:firstLineChars="200"/>
        <w:jc w:val="both"/>
        <w:rPr>
          <w:color w:val="auto"/>
        </w:rPr>
      </w:pPr>
      <w:bookmarkStart w:id="13" w:name="6.投标人应具有安全生产资质、条件，对所从事业务区域内的安全生产负全责，中标后与"/>
      <w:bookmarkEnd w:id="13"/>
      <w:r>
        <w:rPr>
          <w:color w:val="auto"/>
        </w:rPr>
        <w:t>5.投标人应具有安全生产资质、条件，对所从事业务区域内的安全生产负全责，中标后与招标人签订安全责任书。因投标人原因造成的安全生产事故，由投标人承担责任并赔偿因此给招标人造成的损失。</w:t>
      </w:r>
    </w:p>
    <w:p w14:paraId="3D9459ED">
      <w:pPr>
        <w:pStyle w:val="7"/>
        <w:tabs>
          <w:tab w:val="left" w:pos="1270"/>
        </w:tabs>
        <w:spacing w:before="1" w:line="360" w:lineRule="auto"/>
        <w:ind w:left="638" w:right="523" w:firstLine="422" w:firstLineChars="200"/>
        <w:jc w:val="both"/>
        <w:rPr>
          <w:color w:val="auto"/>
        </w:rPr>
      </w:pPr>
      <w:r>
        <w:rPr>
          <w:color w:val="auto"/>
        </w:rPr>
        <w:t>6.凡对本次招标提出的询问，均以招标方的书面答复为准。</w:t>
      </w:r>
    </w:p>
    <w:p w14:paraId="756CBC64">
      <w:pPr>
        <w:pStyle w:val="7"/>
        <w:tabs>
          <w:tab w:val="left" w:pos="1270"/>
        </w:tabs>
        <w:spacing w:before="1" w:line="360" w:lineRule="auto"/>
        <w:ind w:left="638" w:right="523" w:firstLine="422" w:firstLineChars="200"/>
        <w:jc w:val="both"/>
        <w:rPr>
          <w:color w:val="auto"/>
        </w:rPr>
      </w:pPr>
      <w:r>
        <w:rPr>
          <w:color w:val="auto"/>
        </w:rPr>
        <w:t>7.其他</w:t>
      </w:r>
    </w:p>
    <w:p w14:paraId="104C45E9">
      <w:pPr>
        <w:spacing w:line="360" w:lineRule="auto"/>
        <w:ind w:left="638" w:right="594" w:firstLine="420"/>
        <w:jc w:val="both"/>
        <w:rPr>
          <w:color w:val="auto"/>
        </w:rPr>
      </w:pPr>
      <w:r>
        <w:rPr>
          <w:color w:val="auto"/>
        </w:rP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6B4C0762">
      <w:pPr>
        <w:spacing w:before="2" w:line="360" w:lineRule="auto"/>
        <w:ind w:left="1058"/>
        <w:rPr>
          <w:rFonts w:ascii="黑体" w:eastAsia="黑体"/>
          <w:b/>
          <w:color w:val="auto"/>
          <w:sz w:val="32"/>
        </w:rPr>
      </w:pPr>
      <w:r>
        <w:rPr>
          <w:b/>
          <w:bCs/>
          <w:color w:val="auto"/>
        </w:rPr>
        <w:t>8.要求招标人或相关合同签订单位提供的配合，在标书文件中说明。</w:t>
      </w:r>
      <w:bookmarkStart w:id="14" w:name="_Hlk56063645"/>
    </w:p>
    <w:p w14:paraId="316D5AA9">
      <w:pPr>
        <w:spacing w:line="360" w:lineRule="auto"/>
        <w:ind w:left="641" w:firstLine="321" w:firstLineChars="100"/>
        <w:rPr>
          <w:rFonts w:ascii="黑体" w:eastAsia="黑体"/>
          <w:b/>
          <w:color w:val="auto"/>
          <w:sz w:val="32"/>
        </w:rPr>
      </w:pPr>
      <w:r>
        <w:rPr>
          <w:rFonts w:hint="eastAsia" w:ascii="黑体" w:eastAsia="黑体"/>
          <w:b/>
          <w:color w:val="auto"/>
          <w:sz w:val="32"/>
        </w:rPr>
        <w:t>七、投标、开标、评标</w:t>
      </w:r>
    </w:p>
    <w:bookmarkEnd w:id="14"/>
    <w:p w14:paraId="378B4E7F">
      <w:pPr>
        <w:spacing w:before="110" w:line="360" w:lineRule="auto"/>
        <w:ind w:left="1058"/>
        <w:rPr>
          <w:b/>
          <w:color w:val="auto"/>
          <w:sz w:val="21"/>
        </w:rPr>
      </w:pPr>
      <w:r>
        <w:rPr>
          <w:b/>
          <w:color w:val="auto"/>
          <w:sz w:val="21"/>
        </w:rPr>
        <w:t>1</w:t>
      </w:r>
      <w:r>
        <w:rPr>
          <w:b/>
          <w:color w:val="auto"/>
          <w:sz w:val="21"/>
          <w:szCs w:val="21"/>
        </w:rPr>
        <w:t>.投标保证金</w:t>
      </w:r>
    </w:p>
    <w:p w14:paraId="63E1FB3F">
      <w:pPr>
        <w:spacing w:before="1" w:line="360" w:lineRule="auto"/>
        <w:ind w:left="638" w:right="580" w:firstLine="420"/>
        <w:jc w:val="both"/>
        <w:rPr>
          <w:rFonts w:hint="default" w:eastAsia="宋体"/>
          <w:color w:val="auto"/>
          <w:lang w:val="en-US" w:eastAsia="zh-CN"/>
        </w:rPr>
      </w:pPr>
      <w:r>
        <w:rPr>
          <w:rFonts w:hint="eastAsia"/>
          <w:color w:val="auto"/>
        </w:rPr>
        <w:t>⑴</w:t>
      </w:r>
      <w:r>
        <w:rPr>
          <w:rFonts w:hint="eastAsia"/>
          <w:color w:val="auto"/>
          <w:lang w:val="en-US" w:eastAsia="zh-CN"/>
        </w:rPr>
        <w:t>新</w:t>
      </w:r>
      <w:r>
        <w:rPr>
          <w:color w:val="auto"/>
        </w:rPr>
        <w:t>投标人</w:t>
      </w:r>
      <w:r>
        <w:rPr>
          <w:rFonts w:hint="eastAsia"/>
          <w:color w:val="auto"/>
          <w:lang w:val="en-US" w:eastAsia="zh-CN"/>
        </w:rPr>
        <w:t>需</w:t>
      </w:r>
      <w:r>
        <w:rPr>
          <w:color w:val="auto"/>
        </w:rPr>
        <w:t>向招标人财务部门缴纳</w:t>
      </w:r>
      <w:r>
        <w:rPr>
          <w:rFonts w:hint="eastAsia"/>
          <w:color w:val="auto"/>
          <w:lang w:val="en-US" w:eastAsia="zh-CN"/>
        </w:rPr>
        <w:t>2</w:t>
      </w:r>
      <w:r>
        <w:rPr>
          <w:color w:val="auto"/>
        </w:rPr>
        <w:t>万元（人民币），作为投标人本次投标的保证金；</w:t>
      </w:r>
      <w:r>
        <w:rPr>
          <w:rFonts w:hint="eastAsia"/>
          <w:color w:val="auto"/>
          <w:lang w:val="en-US" w:eastAsia="zh-CN"/>
        </w:rPr>
        <w:t>原供方在招标人有应付款或质量保证金的无需缴纳本次投标的保证金。</w:t>
      </w:r>
      <w:r>
        <w:rPr>
          <w:rFonts w:ascii="宋体" w:hAnsi="宋体" w:eastAsia="宋体" w:cs="宋体"/>
          <w:color w:val="auto"/>
          <w:sz w:val="24"/>
          <w:szCs w:val="24"/>
        </w:rPr>
        <w:t>投标保证金应在投标截止时间</w:t>
      </w:r>
      <w:r>
        <w:rPr>
          <w:rFonts w:hint="eastAsia" w:cs="宋体"/>
          <w:color w:val="auto"/>
          <w:sz w:val="24"/>
          <w:szCs w:val="24"/>
          <w:lang w:val="en-US" w:eastAsia="zh-CN"/>
        </w:rPr>
        <w:t>1</w:t>
      </w:r>
      <w:bookmarkStart w:id="19" w:name="_GoBack"/>
      <w:bookmarkEnd w:id="19"/>
      <w:r>
        <w:rPr>
          <w:rFonts w:ascii="宋体" w:hAnsi="宋体" w:eastAsia="宋体" w:cs="宋体"/>
          <w:color w:val="auto"/>
          <w:sz w:val="24"/>
          <w:szCs w:val="24"/>
        </w:rPr>
        <w:t>日前将投标保证金从投标人单位基本帐户转出并到账或银行保函电子版确认（保函原件于开标之日交于招标人），否则按否决投标处理；未按规定提交保证金的投标人，其投标文件按否决投标处理；</w:t>
      </w:r>
    </w:p>
    <w:p w14:paraId="0E669E7F">
      <w:pPr>
        <w:spacing w:before="1" w:line="360" w:lineRule="auto"/>
        <w:ind w:left="638" w:right="580" w:firstLine="420"/>
        <w:jc w:val="both"/>
        <w:rPr>
          <w:color w:val="auto"/>
        </w:rPr>
      </w:pPr>
      <w:r>
        <w:rPr>
          <w:rFonts w:hint="eastAsia"/>
          <w:color w:val="auto"/>
        </w:rPr>
        <w:t>⑵</w:t>
      </w:r>
      <w:r>
        <w:rPr>
          <w:color w:val="auto"/>
        </w:rPr>
        <w:t>缴纳方式：基本账户转账；</w:t>
      </w:r>
    </w:p>
    <w:p w14:paraId="22A7D45F">
      <w:pPr>
        <w:spacing w:before="1" w:line="360" w:lineRule="auto"/>
        <w:ind w:left="638" w:right="580" w:firstLine="420"/>
        <w:jc w:val="both"/>
        <w:rPr>
          <w:color w:val="auto"/>
        </w:rPr>
      </w:pPr>
      <w:r>
        <w:rPr>
          <w:rFonts w:hint="eastAsia"/>
          <w:color w:val="auto"/>
        </w:rPr>
        <w:t>⑶</w:t>
      </w:r>
      <w:r>
        <w:rPr>
          <w:color w:val="auto"/>
        </w:rPr>
        <w:t>接收单位：</w:t>
      </w:r>
      <w:r>
        <w:rPr>
          <w:rFonts w:hint="eastAsia"/>
          <w:color w:val="auto"/>
          <w:lang w:eastAsia="zh-CN"/>
        </w:rPr>
        <w:t>重汽（济南）汽车配件销售服务有限公司</w:t>
      </w:r>
      <w:r>
        <w:rPr>
          <w:color w:val="auto"/>
        </w:rPr>
        <w:t>；</w:t>
      </w:r>
    </w:p>
    <w:p w14:paraId="79BA04B3">
      <w:pPr>
        <w:spacing w:before="1" w:line="360" w:lineRule="auto"/>
        <w:ind w:left="638" w:right="580" w:firstLine="420"/>
        <w:jc w:val="both"/>
        <w:rPr>
          <w:color w:val="auto"/>
        </w:rPr>
      </w:pPr>
      <w:r>
        <w:rPr>
          <w:rFonts w:hint="eastAsia"/>
          <w:color w:val="auto"/>
        </w:rPr>
        <w:t>⑷</w:t>
      </w:r>
      <w:r>
        <w:rPr>
          <w:color w:val="auto"/>
        </w:rPr>
        <w:t>转账信息：</w:t>
      </w:r>
    </w:p>
    <w:tbl>
      <w:tblPr>
        <w:tblStyle w:val="25"/>
        <w:tblW w:w="0" w:type="auto"/>
        <w:tblInd w:w="10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19"/>
      </w:tblGrid>
      <w:tr w14:paraId="03CF7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9019" w:type="dxa"/>
            <w:noWrap w:val="0"/>
            <w:vAlign w:val="center"/>
          </w:tcPr>
          <w:p w14:paraId="4B3716CF">
            <w:pPr>
              <w:spacing w:before="1" w:line="360" w:lineRule="auto"/>
              <w:ind w:left="638" w:right="580" w:firstLine="420"/>
              <w:jc w:val="both"/>
              <w:rPr>
                <w:color w:val="auto"/>
              </w:rPr>
            </w:pPr>
            <w:r>
              <w:rPr>
                <w:color w:val="auto"/>
              </w:rPr>
              <w:t>开户银行：中国建设银行股份有限公司济南天桥支行</w:t>
            </w:r>
          </w:p>
        </w:tc>
      </w:tr>
      <w:tr w14:paraId="1D6FC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9019" w:type="dxa"/>
            <w:noWrap w:val="0"/>
            <w:vAlign w:val="center"/>
          </w:tcPr>
          <w:p w14:paraId="1EE9B095">
            <w:pPr>
              <w:spacing w:before="1" w:line="360" w:lineRule="auto"/>
              <w:ind w:left="638" w:right="580" w:firstLine="420"/>
              <w:jc w:val="both"/>
              <w:rPr>
                <w:rFonts w:hint="eastAsia" w:eastAsia="宋体"/>
                <w:color w:val="auto"/>
                <w:lang w:eastAsia="zh-CN"/>
              </w:rPr>
            </w:pPr>
            <w:r>
              <w:rPr>
                <w:color w:val="auto"/>
              </w:rPr>
              <w:t>户名：</w:t>
            </w:r>
            <w:r>
              <w:rPr>
                <w:rFonts w:hint="eastAsia"/>
                <w:color w:val="auto"/>
                <w:lang w:eastAsia="zh-CN"/>
              </w:rPr>
              <w:t>重汽（济南）汽车配件销售服务有限公司</w:t>
            </w:r>
          </w:p>
        </w:tc>
      </w:tr>
      <w:tr w14:paraId="4352A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9019" w:type="dxa"/>
            <w:noWrap w:val="0"/>
            <w:vAlign w:val="center"/>
          </w:tcPr>
          <w:p w14:paraId="7480ACAE">
            <w:pPr>
              <w:spacing w:before="1" w:line="360" w:lineRule="auto"/>
              <w:ind w:left="638" w:right="580" w:firstLine="420"/>
              <w:jc w:val="both"/>
              <w:rPr>
                <w:color w:val="auto"/>
                <w:lang w:val="en-US"/>
              </w:rPr>
            </w:pPr>
            <w:r>
              <w:rPr>
                <w:color w:val="auto"/>
              </w:rPr>
              <w:t>账号：37050161650800000201</w:t>
            </w:r>
            <w:r>
              <w:rPr>
                <w:rFonts w:hint="eastAsia"/>
                <w:color w:val="auto"/>
                <w:lang w:val="en-US"/>
              </w:rPr>
              <w:t xml:space="preserve">      </w:t>
            </w:r>
            <w:r>
              <w:rPr>
                <w:rFonts w:hint="eastAsia"/>
                <w:color w:val="auto"/>
              </w:rPr>
              <w:t xml:space="preserve"> 联行号：105451000362</w:t>
            </w:r>
          </w:p>
        </w:tc>
      </w:tr>
    </w:tbl>
    <w:p w14:paraId="35EFE78B">
      <w:pPr>
        <w:spacing w:before="1" w:line="360" w:lineRule="auto"/>
        <w:ind w:left="638" w:right="580" w:firstLine="420"/>
        <w:jc w:val="both"/>
        <w:rPr>
          <w:color w:val="auto"/>
        </w:rPr>
      </w:pPr>
      <w:r>
        <w:rPr>
          <w:rFonts w:hint="eastAsia"/>
          <w:color w:val="auto"/>
        </w:rPr>
        <w:t>⑸</w:t>
      </w:r>
      <w:r>
        <w:rPr>
          <w:color w:val="auto"/>
        </w:rPr>
        <w:t>说明：</w:t>
      </w:r>
    </w:p>
    <w:p w14:paraId="34E1A16E">
      <w:pPr>
        <w:spacing w:before="1" w:line="360" w:lineRule="auto"/>
        <w:ind w:left="638" w:right="580" w:firstLine="420"/>
        <w:jc w:val="both"/>
        <w:rPr>
          <w:color w:val="auto"/>
        </w:rPr>
      </w:pPr>
      <w:r>
        <w:rPr>
          <w:color w:val="auto"/>
        </w:rPr>
        <w:t>无正当理由随意放弃投标、撤销投标文件、中标后无正当理由拒签合同、在签订合同时向招标人或合同签订单位提出无理附加条件的，投标保证金不予返还，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color w:val="auto"/>
          <w:lang w:val="en-US"/>
        </w:rPr>
        <w:t>90</w:t>
      </w:r>
      <w:r>
        <w:rPr>
          <w:color w:val="auto"/>
        </w:rPr>
        <w:t>个工作日内按投标人所提供的投标保证金退付表（详见本招标书“第二章投标文件编制”之“三、投标文件格式要求”之格式8相关要求）退还投标保证金（不计息）。</w:t>
      </w:r>
    </w:p>
    <w:p w14:paraId="0F25EE8F">
      <w:pPr>
        <w:spacing w:before="1" w:line="360" w:lineRule="auto"/>
        <w:ind w:left="638" w:right="580" w:firstLine="420"/>
        <w:jc w:val="both"/>
        <w:rPr>
          <w:color w:val="auto"/>
        </w:rPr>
      </w:pPr>
      <w:r>
        <w:rPr>
          <w:color w:val="auto"/>
        </w:rPr>
        <w:t>投标人在向招标人出示《投标保证金缴纳凭证》后方可进行投。</w:t>
      </w:r>
    </w:p>
    <w:p w14:paraId="4DCBD72C">
      <w:pPr>
        <w:pStyle w:val="52"/>
        <w:tabs>
          <w:tab w:val="left" w:pos="1376"/>
        </w:tabs>
        <w:spacing w:before="5" w:line="360" w:lineRule="auto"/>
        <w:ind w:left="0" w:leftChars="0" w:right="482" w:firstLine="1054" w:firstLineChars="500"/>
        <w:rPr>
          <w:b/>
          <w:bCs/>
          <w:color w:val="auto"/>
          <w:sz w:val="21"/>
          <w:szCs w:val="21"/>
        </w:rPr>
      </w:pPr>
      <w:r>
        <w:rPr>
          <w:rFonts w:hint="eastAsia"/>
          <w:b/>
          <w:bCs/>
          <w:color w:val="auto"/>
          <w:sz w:val="21"/>
          <w:szCs w:val="21"/>
          <w:lang w:val="en-US"/>
        </w:rPr>
        <w:t>2</w:t>
      </w:r>
      <w:r>
        <w:rPr>
          <w:rFonts w:hint="eastAsia"/>
          <w:b/>
          <w:bCs/>
          <w:color w:val="auto"/>
          <w:sz w:val="21"/>
          <w:szCs w:val="21"/>
        </w:rPr>
        <w:t>.开标</w:t>
      </w:r>
    </w:p>
    <w:p w14:paraId="573D2299">
      <w:pPr>
        <w:pStyle w:val="52"/>
        <w:tabs>
          <w:tab w:val="left" w:pos="1376"/>
        </w:tabs>
        <w:spacing w:before="5" w:line="360" w:lineRule="auto"/>
        <w:ind w:left="1058" w:right="482"/>
        <w:rPr>
          <w:color w:val="auto"/>
        </w:rPr>
      </w:pPr>
      <w:r>
        <w:rPr>
          <w:rFonts w:hint="eastAsia"/>
          <w:color w:val="auto"/>
        </w:rPr>
        <w:t>所有报价货币单位均为：</w:t>
      </w:r>
      <w:r>
        <w:rPr>
          <w:rFonts w:hint="eastAsia"/>
          <w:color w:val="auto"/>
          <w:lang w:val="en-US"/>
        </w:rPr>
        <w:t>元（人民币），</w:t>
      </w:r>
      <w:r>
        <w:rPr>
          <w:rFonts w:hint="eastAsia"/>
          <w:b/>
          <w:bCs/>
          <w:color w:val="auto"/>
          <w:lang w:val="en-US"/>
        </w:rPr>
        <w:t>明确不含税金额、含税金额、税率</w:t>
      </w:r>
      <w:r>
        <w:rPr>
          <w:rFonts w:hint="eastAsia"/>
          <w:color w:val="auto"/>
        </w:rPr>
        <w:t>。投标前请各投标方按照招标文件要求对项目方案进行充分准备，投标单位已默认认可上述开标、评标过程，无异议。招标人无义务对未入围投标方及未中标方做任何解释</w:t>
      </w:r>
    </w:p>
    <w:p w14:paraId="185E7B41">
      <w:pPr>
        <w:numPr>
          <w:ilvl w:val="0"/>
          <w:numId w:val="0"/>
        </w:numPr>
        <w:spacing w:line="360" w:lineRule="auto"/>
        <w:ind w:left="1057" w:leftChars="0" w:right="4671" w:rightChars="0"/>
        <w:rPr>
          <w:b/>
          <w:bCs/>
          <w:color w:val="auto"/>
        </w:rPr>
      </w:pPr>
      <w:r>
        <w:rPr>
          <w:rFonts w:hint="eastAsia"/>
          <w:b/>
          <w:bCs/>
          <w:color w:val="auto"/>
          <w:lang w:val="en-US" w:eastAsia="zh-CN"/>
        </w:rPr>
        <w:t>3.</w:t>
      </w:r>
      <w:r>
        <w:rPr>
          <w:rFonts w:hint="eastAsia"/>
          <w:b/>
          <w:bCs/>
          <w:color w:val="auto"/>
        </w:rPr>
        <w:t>评标</w:t>
      </w:r>
    </w:p>
    <w:p w14:paraId="4338ED22">
      <w:pPr>
        <w:pStyle w:val="10"/>
        <w:spacing w:line="360" w:lineRule="auto"/>
        <w:ind w:left="1265" w:leftChars="575" w:right="578" w:firstLine="399" w:firstLineChars="190"/>
        <w:jc w:val="both"/>
        <w:rPr>
          <w:color w:val="auto"/>
        </w:rPr>
      </w:pPr>
      <w:r>
        <w:rPr>
          <w:rFonts w:hint="eastAsia"/>
          <w:color w:val="auto"/>
        </w:rPr>
        <w:t>评标工作由招标人为该项目依法组织的、由</w:t>
      </w:r>
      <w:r>
        <w:rPr>
          <w:rFonts w:hint="eastAsia"/>
          <w:color w:val="auto"/>
          <w:lang w:val="en-US"/>
        </w:rPr>
        <w:t>五</w:t>
      </w:r>
      <w:r>
        <w:rPr>
          <w:rFonts w:hint="eastAsia"/>
          <w:color w:val="auto"/>
        </w:rPr>
        <w:t>人及以上单数成员组成的评标工作小组负责，参照以下评分标准，采用</w:t>
      </w:r>
      <w:r>
        <w:rPr>
          <w:rFonts w:hint="eastAsia"/>
          <w:color w:val="auto"/>
          <w:lang w:eastAsia="zh-CN"/>
        </w:rPr>
        <w:t>综合评标法</w:t>
      </w:r>
      <w:r>
        <w:rPr>
          <w:rFonts w:hint="eastAsia"/>
          <w:color w:val="auto"/>
        </w:rPr>
        <w:t>，即由评标工作小组按照国家招投标有关规定，本着公平、公正、公开、有序的原则，在最大限度地满足招标文件实质性要求的前提下，按照招标文件中规定的各项因素进行综合评审，并根据报价情况同时结合项目需求，依据本招标书列示的相关报价规则，按需确定中标候选人及中标项目，有权对未中标人不做任何解释。</w:t>
      </w:r>
    </w:p>
    <w:p w14:paraId="322851B8">
      <w:pPr>
        <w:pStyle w:val="10"/>
        <w:spacing w:line="360" w:lineRule="auto"/>
        <w:ind w:left="1265" w:leftChars="575" w:right="578" w:firstLine="399" w:firstLineChars="190"/>
        <w:jc w:val="both"/>
        <w:rPr>
          <w:rFonts w:hint="eastAsia"/>
          <w:color w:val="auto"/>
        </w:rPr>
      </w:pPr>
      <w:r>
        <w:rPr>
          <w:rFonts w:hint="eastAsia"/>
          <w:color w:val="auto"/>
        </w:rPr>
        <w:t>自评标开始，直至签订合同为止，凡属于对投标文件的审查、澄清、评价和比较有关的资料，与评标有关的其他任何情况均需保密。</w:t>
      </w:r>
    </w:p>
    <w:p w14:paraId="6E25FF6F">
      <w:pPr>
        <w:pStyle w:val="10"/>
        <w:spacing w:line="360" w:lineRule="auto"/>
        <w:ind w:left="1265" w:leftChars="575" w:right="578" w:firstLine="399" w:firstLineChars="190"/>
        <w:jc w:val="both"/>
        <w:rPr>
          <w:rFonts w:hint="eastAsia"/>
          <w:color w:val="auto"/>
        </w:rPr>
      </w:pPr>
      <w:r>
        <w:rPr>
          <w:rFonts w:hint="eastAsia"/>
          <w:color w:val="auto"/>
        </w:rPr>
        <w:t>⑴本次招标</w:t>
      </w:r>
      <w:r>
        <w:rPr>
          <w:rFonts w:hint="eastAsia"/>
          <w:color w:val="auto"/>
          <w:lang w:val="en-US"/>
        </w:rPr>
        <w:t>技术标</w:t>
      </w:r>
      <w:r>
        <w:rPr>
          <w:rFonts w:hint="eastAsia"/>
          <w:color w:val="auto"/>
        </w:rPr>
        <w:t>分，赋分为100分；</w:t>
      </w:r>
    </w:p>
    <w:p w14:paraId="13655693">
      <w:pPr>
        <w:pStyle w:val="10"/>
        <w:spacing w:line="360" w:lineRule="auto"/>
        <w:ind w:left="1265" w:leftChars="575" w:right="578" w:firstLine="399" w:firstLineChars="190"/>
        <w:jc w:val="both"/>
        <w:rPr>
          <w:rFonts w:hint="eastAsia"/>
          <w:color w:val="auto"/>
        </w:rPr>
      </w:pPr>
      <w:r>
        <w:rPr>
          <w:rFonts w:hint="eastAsia"/>
          <w:color w:val="auto"/>
        </w:rPr>
        <w:t>⑵</w:t>
      </w:r>
      <w:r>
        <w:rPr>
          <w:rFonts w:hint="eastAsia"/>
          <w:color w:val="auto"/>
          <w:lang w:val="en-US"/>
        </w:rPr>
        <w:t>商务标得分=当前轮次最低价/供方报价*商务标总分；商务标</w:t>
      </w:r>
      <w:r>
        <w:rPr>
          <w:rFonts w:hint="eastAsia"/>
          <w:color w:val="auto"/>
        </w:rPr>
        <w:t>赋分为100分。</w:t>
      </w:r>
    </w:p>
    <w:p w14:paraId="7B3B9B5D">
      <w:pPr>
        <w:pStyle w:val="10"/>
        <w:spacing w:line="360" w:lineRule="auto"/>
        <w:ind w:left="1265" w:leftChars="575" w:right="578" w:firstLine="399" w:firstLineChars="190"/>
        <w:jc w:val="both"/>
        <w:rPr>
          <w:rFonts w:hint="eastAsia"/>
          <w:color w:val="auto"/>
          <w:lang w:val="en-US"/>
        </w:rPr>
      </w:pPr>
      <w:r>
        <w:rPr>
          <w:rFonts w:hint="eastAsia"/>
          <w:color w:val="auto"/>
        </w:rPr>
        <w:t>⑶</w:t>
      </w:r>
      <w:r>
        <w:rPr>
          <w:rFonts w:hint="eastAsia"/>
          <w:color w:val="auto"/>
          <w:lang w:val="en-US"/>
        </w:rPr>
        <w:t>采取综合评标法进行评标，技术分占40%，商务分占60%。</w:t>
      </w:r>
    </w:p>
    <w:p w14:paraId="436CF96F">
      <w:pPr>
        <w:pStyle w:val="10"/>
        <w:spacing w:line="360" w:lineRule="auto"/>
        <w:ind w:left="1265" w:leftChars="575" w:right="578" w:firstLine="399" w:firstLineChars="190"/>
        <w:jc w:val="both"/>
        <w:rPr>
          <w:rFonts w:hint="eastAsia"/>
          <w:color w:val="auto"/>
          <w:lang w:val="zh-CN" w:eastAsia="zh-CN"/>
        </w:rPr>
      </w:pPr>
      <w:r>
        <w:rPr>
          <w:rFonts w:hint="eastAsia"/>
          <w:color w:val="auto"/>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w:t>
      </w:r>
    </w:p>
    <w:p w14:paraId="235E1B13">
      <w:pPr>
        <w:pStyle w:val="10"/>
        <w:spacing w:line="360" w:lineRule="auto"/>
        <w:ind w:left="638" w:right="578" w:firstLine="420"/>
        <w:jc w:val="both"/>
        <w:rPr>
          <w:rFonts w:hint="eastAsia"/>
          <w:color w:val="auto"/>
          <w:lang w:val="en-US"/>
        </w:rPr>
      </w:pPr>
    </w:p>
    <w:p w14:paraId="6CA2776B">
      <w:pPr>
        <w:ind w:firstLine="1054" w:firstLineChars="500"/>
        <w:rPr>
          <w:b/>
          <w:color w:val="auto"/>
          <w:sz w:val="21"/>
          <w:lang w:val="en-US"/>
        </w:rPr>
      </w:pPr>
      <w:r>
        <w:rPr>
          <w:rFonts w:hint="eastAsia"/>
          <w:b/>
          <w:color w:val="auto"/>
          <w:sz w:val="21"/>
          <w:lang w:val="en-US"/>
        </w:rPr>
        <w:t>4.评标步骤:</w:t>
      </w:r>
    </w:p>
    <w:p w14:paraId="77EEA88D">
      <w:pPr>
        <w:pStyle w:val="10"/>
        <w:spacing w:line="360" w:lineRule="auto"/>
        <w:ind w:left="638" w:right="640" w:firstLine="420"/>
        <w:rPr>
          <w:color w:val="auto"/>
          <w:lang w:val="en-US"/>
        </w:rPr>
      </w:pPr>
      <w:r>
        <w:rPr>
          <w:rFonts w:hint="eastAsia"/>
          <w:color w:val="auto"/>
          <w:lang w:val="en-US"/>
        </w:rPr>
        <w:t>为保证项目顺利实施，由招标人组织、按国家法律法规及公司相关规章制度要求，设立评标工作小组，同时依据以下评分标准，采用</w:t>
      </w:r>
      <w:r>
        <w:rPr>
          <w:rFonts w:hint="eastAsia"/>
          <w:color w:val="auto"/>
          <w:lang w:val="en-US" w:eastAsia="zh-CN"/>
        </w:rPr>
        <w:t>综合评标法</w:t>
      </w:r>
      <w:r>
        <w:rPr>
          <w:rFonts w:hint="eastAsia"/>
          <w:color w:val="auto"/>
          <w:lang w:val="en-US"/>
        </w:rPr>
        <w:t>，开标程序：</w:t>
      </w:r>
    </w:p>
    <w:p w14:paraId="546A72A8">
      <w:pPr>
        <w:pStyle w:val="10"/>
        <w:spacing w:line="360" w:lineRule="auto"/>
        <w:ind w:left="638" w:right="640" w:firstLine="420"/>
        <w:rPr>
          <w:color w:val="auto"/>
          <w:lang w:val="en-US"/>
        </w:rPr>
      </w:pPr>
      <w:r>
        <w:rPr>
          <w:rFonts w:hint="eastAsia"/>
          <w:color w:val="auto"/>
          <w:lang w:val="en-US"/>
        </w:rPr>
        <w:t>（1）宣布开标会议开始。</w:t>
      </w:r>
    </w:p>
    <w:p w14:paraId="2CC787F3">
      <w:pPr>
        <w:pStyle w:val="10"/>
        <w:spacing w:line="360" w:lineRule="auto"/>
        <w:ind w:left="638" w:right="640" w:firstLine="420"/>
        <w:rPr>
          <w:color w:val="auto"/>
          <w:lang w:val="en-US"/>
        </w:rPr>
      </w:pPr>
      <w:r>
        <w:rPr>
          <w:rFonts w:hint="eastAsia"/>
          <w:color w:val="auto"/>
          <w:lang w:val="en-US"/>
        </w:rPr>
        <w:t>（2）投标人或投标人推选的代表对投标文件密封情况进行检查（投标人参加现场开标会议的，视同认可投标文件密封完好）。</w:t>
      </w:r>
    </w:p>
    <w:p w14:paraId="2467A85A">
      <w:pPr>
        <w:ind w:firstLine="1100" w:firstLineChars="500"/>
        <w:rPr>
          <w:color w:val="auto"/>
          <w:lang w:val="en-US"/>
        </w:rPr>
      </w:pPr>
      <w:r>
        <w:rPr>
          <w:rFonts w:hint="eastAsia"/>
          <w:color w:val="auto"/>
          <w:lang w:val="en-US"/>
        </w:rPr>
        <w:t>（3）宣读评标纪律（线上招标则自动弹出阅读）</w:t>
      </w:r>
    </w:p>
    <w:p w14:paraId="4A06C602">
      <w:pPr>
        <w:pStyle w:val="10"/>
        <w:spacing w:line="360" w:lineRule="auto"/>
        <w:ind w:left="638" w:right="640" w:firstLine="420"/>
        <w:rPr>
          <w:color w:val="auto"/>
          <w:lang w:val="en-US"/>
        </w:rPr>
      </w:pPr>
      <w:r>
        <w:rPr>
          <w:rFonts w:hint="eastAsia"/>
          <w:color w:val="auto"/>
          <w:lang w:val="en-US"/>
        </w:rPr>
        <w:t>（4）经确认无误后，由工作人员当众拆封，拆启标书，进行唱标。</w:t>
      </w:r>
    </w:p>
    <w:p w14:paraId="1FB0DDC7">
      <w:pPr>
        <w:ind w:left="1100" w:leftChars="500"/>
        <w:rPr>
          <w:b/>
          <w:bCs/>
          <w:color w:val="auto"/>
          <w:lang w:val="en-US"/>
        </w:rPr>
      </w:pPr>
      <w:r>
        <w:rPr>
          <w:rFonts w:hint="eastAsia"/>
          <w:color w:val="auto"/>
          <w:lang w:val="en-US"/>
        </w:rPr>
        <w:t>（5）投标前请各投标方按照招标文件要求对项目方案进行充分准备，投标单位已默认认可上述开标、评标过程，无异议。招标人无义务对未入围投标方及未中标方做任何解释。</w:t>
      </w:r>
    </w:p>
    <w:p w14:paraId="4127532A">
      <w:pPr>
        <w:pStyle w:val="10"/>
        <w:spacing w:before="100"/>
        <w:ind w:firstLine="1054" w:firstLineChars="500"/>
        <w:rPr>
          <w:rFonts w:hint="eastAsia"/>
          <w:b/>
          <w:bCs/>
          <w:color w:val="auto"/>
          <w:lang w:val="en-US"/>
        </w:rPr>
      </w:pPr>
    </w:p>
    <w:p w14:paraId="63654C5E">
      <w:pPr>
        <w:pStyle w:val="10"/>
        <w:spacing w:before="100"/>
        <w:ind w:firstLine="1054" w:firstLineChars="500"/>
        <w:rPr>
          <w:rFonts w:hint="eastAsia"/>
          <w:b/>
          <w:bCs/>
          <w:color w:val="auto"/>
          <w:lang w:val="en-US"/>
        </w:rPr>
      </w:pPr>
    </w:p>
    <w:p w14:paraId="76A94CC0">
      <w:pPr>
        <w:pStyle w:val="10"/>
        <w:spacing w:before="100"/>
        <w:ind w:firstLine="1054" w:firstLineChars="500"/>
        <w:rPr>
          <w:rFonts w:hint="eastAsia"/>
          <w:b/>
          <w:bCs/>
          <w:color w:val="auto"/>
          <w:lang w:val="en-US"/>
        </w:rPr>
      </w:pPr>
    </w:p>
    <w:p w14:paraId="1565F5BC">
      <w:pPr>
        <w:pStyle w:val="10"/>
        <w:spacing w:before="100"/>
        <w:ind w:firstLine="1054" w:firstLineChars="500"/>
        <w:rPr>
          <w:b/>
          <w:bCs/>
          <w:color w:val="auto"/>
          <w:lang w:val="en-US"/>
        </w:rPr>
      </w:pPr>
      <w:r>
        <w:rPr>
          <w:rFonts w:hint="eastAsia"/>
          <w:b/>
          <w:bCs/>
          <w:color w:val="auto"/>
          <w:lang w:val="en-US"/>
        </w:rPr>
        <w:t xml:space="preserve">5.技术评分标准：总分100分  </w:t>
      </w:r>
    </w:p>
    <w:tbl>
      <w:tblPr>
        <w:tblStyle w:val="25"/>
        <w:tblW w:w="10240" w:type="dxa"/>
        <w:jc w:val="center"/>
        <w:tblLayout w:type="autofit"/>
        <w:tblCellMar>
          <w:top w:w="0" w:type="dxa"/>
          <w:left w:w="0" w:type="dxa"/>
          <w:bottom w:w="0" w:type="dxa"/>
          <w:right w:w="0" w:type="dxa"/>
        </w:tblCellMar>
      </w:tblPr>
      <w:tblGrid>
        <w:gridCol w:w="1025"/>
        <w:gridCol w:w="2015"/>
        <w:gridCol w:w="5600"/>
        <w:gridCol w:w="1600"/>
      </w:tblGrid>
      <w:tr w14:paraId="0AF34CAE">
        <w:tblPrEx>
          <w:tblCellMar>
            <w:top w:w="0" w:type="dxa"/>
            <w:left w:w="0" w:type="dxa"/>
            <w:bottom w:w="0" w:type="dxa"/>
            <w:right w:w="0" w:type="dxa"/>
          </w:tblCellMar>
        </w:tblPrEx>
        <w:trPr>
          <w:trHeight w:val="322" w:hRule="atLeast"/>
          <w:jc w:val="center"/>
        </w:trPr>
        <w:tc>
          <w:tcPr>
            <w:tcW w:w="304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50123A">
            <w:pPr>
              <w:widowControl/>
              <w:jc w:val="center"/>
              <w:textAlignment w:val="center"/>
              <w:rPr>
                <w:rFonts w:ascii="宋体" w:hAnsi="宋体" w:eastAsia="宋体" w:cs="宋体"/>
                <w:b/>
                <w:bCs/>
                <w:color w:val="auto"/>
              </w:rPr>
            </w:pPr>
            <w:r>
              <w:rPr>
                <w:rFonts w:hint="eastAsia" w:ascii="宋体" w:hAnsi="宋体" w:eastAsia="宋体" w:cs="宋体"/>
                <w:b/>
                <w:bCs/>
                <w:color w:val="auto"/>
                <w:lang w:val="en-US" w:bidi="ar"/>
              </w:rPr>
              <w:t>评审项目</w:t>
            </w: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588B6">
            <w:pPr>
              <w:widowControl/>
              <w:jc w:val="center"/>
              <w:textAlignment w:val="center"/>
              <w:rPr>
                <w:rFonts w:ascii="宋体" w:hAnsi="宋体" w:eastAsia="宋体" w:cs="宋体"/>
                <w:b/>
                <w:bCs/>
                <w:color w:val="auto"/>
              </w:rPr>
            </w:pPr>
            <w:r>
              <w:rPr>
                <w:rFonts w:hint="eastAsia" w:ascii="宋体" w:hAnsi="宋体" w:eastAsia="宋体" w:cs="宋体"/>
                <w:b/>
                <w:bCs/>
                <w:color w:val="auto"/>
                <w:lang w:val="en-US" w:bidi="ar"/>
              </w:rPr>
              <w:t>评标内容</w:t>
            </w:r>
          </w:p>
        </w:tc>
        <w:tc>
          <w:tcPr>
            <w:tcW w:w="16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35C6D">
            <w:pPr>
              <w:widowControl/>
              <w:textAlignment w:val="center"/>
              <w:rPr>
                <w:rFonts w:ascii="宋体" w:hAnsi="宋体" w:eastAsia="宋体" w:cs="宋体"/>
                <w:b/>
                <w:bCs/>
                <w:color w:val="auto"/>
              </w:rPr>
            </w:pPr>
            <w:r>
              <w:rPr>
                <w:rFonts w:hint="eastAsia" w:ascii="宋体" w:hAnsi="宋体" w:eastAsia="宋体" w:cs="宋体"/>
                <w:b/>
                <w:bCs/>
                <w:color w:val="auto"/>
                <w:lang w:val="en-US" w:bidi="ar"/>
              </w:rPr>
              <w:t>最大分值（分）</w:t>
            </w:r>
          </w:p>
        </w:tc>
      </w:tr>
      <w:tr w14:paraId="68DDF33C">
        <w:tblPrEx>
          <w:tblCellMar>
            <w:top w:w="0" w:type="dxa"/>
            <w:left w:w="0" w:type="dxa"/>
            <w:bottom w:w="0" w:type="dxa"/>
            <w:right w:w="0" w:type="dxa"/>
          </w:tblCellMar>
        </w:tblPrEx>
        <w:trPr>
          <w:trHeight w:val="91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6150B7">
            <w:pPr>
              <w:widowControl/>
              <w:jc w:val="center"/>
              <w:textAlignment w:val="center"/>
              <w:rPr>
                <w:rFonts w:ascii="宋体" w:hAnsi="宋体" w:eastAsia="宋体" w:cs="宋体"/>
                <w:color w:val="auto"/>
              </w:rPr>
            </w:pPr>
            <w:r>
              <w:rPr>
                <w:rFonts w:hint="eastAsia" w:ascii="宋体" w:hAnsi="宋体" w:eastAsia="宋体" w:cs="宋体"/>
                <w:color w:val="auto"/>
                <w:lang w:val="en-US" w:bidi="ar"/>
              </w:rPr>
              <w:t>技术部分</w:t>
            </w:r>
          </w:p>
        </w:tc>
        <w:tc>
          <w:tcPr>
            <w:tcW w:w="0" w:type="auto"/>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7963C">
            <w:pPr>
              <w:widowControl/>
              <w:jc w:val="center"/>
              <w:textAlignment w:val="center"/>
              <w:rPr>
                <w:rFonts w:ascii="宋体" w:hAnsi="宋体" w:eastAsia="宋体" w:cs="宋体"/>
                <w:color w:val="auto"/>
              </w:rPr>
            </w:pPr>
            <w:r>
              <w:rPr>
                <w:rFonts w:hint="eastAsia" w:ascii="宋体" w:hAnsi="宋体" w:eastAsia="宋体" w:cs="宋体"/>
                <w:color w:val="auto"/>
                <w:lang w:val="en-US" w:bidi="ar"/>
              </w:rPr>
              <w:t>产品技术</w:t>
            </w: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58F73">
            <w:pPr>
              <w:widowControl/>
              <w:textAlignment w:val="center"/>
              <w:rPr>
                <w:rFonts w:ascii="宋体" w:hAnsi="宋体" w:eastAsia="宋体" w:cs="宋体"/>
                <w:color w:val="auto"/>
              </w:rPr>
            </w:pPr>
            <w:r>
              <w:rPr>
                <w:rFonts w:hint="eastAsia" w:ascii="宋体" w:hAnsi="宋体" w:eastAsia="宋体" w:cs="宋体"/>
                <w:color w:val="auto"/>
                <w:lang w:val="en-US" w:bidi="ar"/>
              </w:rPr>
              <w:t>投标文件是否包括招标文件要求的全部内容，是否符合招标文件的要求，详细考察其设备产品、项目方案与项目需求的吻合性；技术参数优于招标文件要求</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3A7BAF">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20</w:t>
            </w:r>
          </w:p>
        </w:tc>
      </w:tr>
      <w:tr w14:paraId="59AD45E9">
        <w:tblPrEx>
          <w:tblCellMar>
            <w:top w:w="0" w:type="dxa"/>
            <w:left w:w="0" w:type="dxa"/>
            <w:bottom w:w="0" w:type="dxa"/>
            <w:right w:w="0" w:type="dxa"/>
          </w:tblCellMar>
        </w:tblPrEx>
        <w:trPr>
          <w:trHeight w:val="6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1D0397">
            <w:pPr>
              <w:jc w:val="center"/>
              <w:rPr>
                <w:rFonts w:ascii="宋体" w:hAnsi="宋体" w:eastAsia="宋体" w:cs="宋体"/>
                <w:color w:val="auto"/>
              </w:rPr>
            </w:pPr>
          </w:p>
        </w:tc>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12BB23">
            <w:pPr>
              <w:jc w:val="center"/>
              <w:rPr>
                <w:rFonts w:ascii="宋体" w:hAnsi="宋体" w:eastAsia="宋体" w:cs="宋体"/>
                <w:color w:val="auto"/>
              </w:rPr>
            </w:pP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9B1CC">
            <w:pPr>
              <w:widowControl/>
              <w:textAlignment w:val="center"/>
              <w:rPr>
                <w:rFonts w:ascii="宋体" w:hAnsi="宋体" w:eastAsia="宋体" w:cs="宋体"/>
                <w:color w:val="auto"/>
              </w:rPr>
            </w:pPr>
            <w:r>
              <w:rPr>
                <w:rFonts w:hint="eastAsia" w:ascii="宋体" w:hAnsi="宋体" w:eastAsia="宋体" w:cs="宋体"/>
                <w:color w:val="auto"/>
                <w:lang w:val="en-US" w:bidi="ar"/>
              </w:rPr>
              <w:t>产品设备功能级作用、先进性及使用便利性，赋0-</w:t>
            </w:r>
            <w:r>
              <w:rPr>
                <w:rFonts w:hint="eastAsia" w:cs="宋体"/>
                <w:color w:val="auto"/>
                <w:lang w:val="en-US" w:eastAsia="zh-CN" w:bidi="ar"/>
              </w:rPr>
              <w:t>10</w:t>
            </w:r>
            <w:r>
              <w:rPr>
                <w:rFonts w:hint="eastAsia" w:ascii="宋体" w:hAnsi="宋体" w:eastAsia="宋体" w:cs="宋体"/>
                <w:color w:val="auto"/>
                <w:lang w:val="en-US" w:bidi="ar"/>
              </w:rPr>
              <w:t>分</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5CC6C">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10</w:t>
            </w:r>
          </w:p>
        </w:tc>
      </w:tr>
      <w:tr w14:paraId="70D4D411">
        <w:tblPrEx>
          <w:tblCellMar>
            <w:top w:w="0" w:type="dxa"/>
            <w:left w:w="0" w:type="dxa"/>
            <w:bottom w:w="0" w:type="dxa"/>
            <w:right w:w="0" w:type="dxa"/>
          </w:tblCellMar>
        </w:tblPrEx>
        <w:trPr>
          <w:trHeight w:val="68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D17C5D">
            <w:pPr>
              <w:jc w:val="center"/>
              <w:rPr>
                <w:rFonts w:ascii="宋体" w:hAnsi="宋体" w:eastAsia="宋体" w:cs="宋体"/>
                <w:color w:val="auto"/>
              </w:rPr>
            </w:pPr>
          </w:p>
        </w:tc>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73F4CB">
            <w:pPr>
              <w:jc w:val="center"/>
              <w:rPr>
                <w:rFonts w:ascii="宋体" w:hAnsi="宋体" w:eastAsia="宋体" w:cs="宋体"/>
                <w:color w:val="auto"/>
              </w:rPr>
            </w:pP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B558F">
            <w:pPr>
              <w:widowControl/>
              <w:textAlignment w:val="center"/>
              <w:rPr>
                <w:rFonts w:ascii="宋体" w:hAnsi="宋体" w:eastAsia="宋体" w:cs="宋体"/>
                <w:color w:val="auto"/>
              </w:rPr>
            </w:pPr>
            <w:r>
              <w:rPr>
                <w:rFonts w:hint="eastAsia" w:ascii="宋体" w:hAnsi="宋体" w:eastAsia="宋体" w:cs="宋体"/>
                <w:color w:val="auto"/>
                <w:lang w:val="en-US" w:bidi="ar"/>
              </w:rPr>
              <w:t>提供详细的项目实施计划，提供合理的项目团队，按实际情况赋0-</w:t>
            </w:r>
            <w:r>
              <w:rPr>
                <w:rFonts w:hint="eastAsia" w:cs="宋体"/>
                <w:color w:val="auto"/>
                <w:lang w:val="en-US" w:eastAsia="zh-CN" w:bidi="ar"/>
              </w:rPr>
              <w:t>10</w:t>
            </w:r>
            <w:r>
              <w:rPr>
                <w:rFonts w:hint="eastAsia" w:ascii="宋体" w:hAnsi="宋体" w:eastAsia="宋体" w:cs="宋体"/>
                <w:color w:val="auto"/>
                <w:lang w:val="en-US" w:bidi="ar"/>
              </w:rPr>
              <w:t>分</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CF6886">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10</w:t>
            </w:r>
          </w:p>
        </w:tc>
      </w:tr>
      <w:tr w14:paraId="1FBCC16C">
        <w:tblPrEx>
          <w:tblCellMar>
            <w:top w:w="0" w:type="dxa"/>
            <w:left w:w="0" w:type="dxa"/>
            <w:bottom w:w="0" w:type="dxa"/>
            <w:right w:w="0" w:type="dxa"/>
          </w:tblCellMar>
        </w:tblPrEx>
        <w:trPr>
          <w:trHeight w:val="140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8293AC">
            <w:pPr>
              <w:jc w:val="center"/>
              <w:rPr>
                <w:rFonts w:ascii="宋体" w:hAnsi="宋体" w:eastAsia="宋体" w:cs="宋体"/>
                <w:color w:val="auto"/>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F5834">
            <w:pPr>
              <w:widowControl/>
              <w:jc w:val="center"/>
              <w:textAlignment w:val="center"/>
              <w:rPr>
                <w:rFonts w:ascii="宋体" w:hAnsi="宋体" w:eastAsia="宋体" w:cs="宋体"/>
                <w:color w:val="auto"/>
              </w:rPr>
            </w:pPr>
            <w:r>
              <w:rPr>
                <w:rFonts w:hint="eastAsia" w:ascii="宋体" w:hAnsi="宋体" w:eastAsia="宋体" w:cs="宋体"/>
                <w:color w:val="auto"/>
                <w:lang w:val="en-US" w:bidi="ar"/>
              </w:rPr>
              <w:t>供货周期</w:t>
            </w: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3A70F">
            <w:pPr>
              <w:widowControl/>
              <w:jc w:val="both"/>
              <w:textAlignment w:val="center"/>
              <w:rPr>
                <w:rFonts w:ascii="宋体" w:hAnsi="宋体" w:eastAsia="宋体" w:cs="宋体"/>
                <w:color w:val="auto"/>
              </w:rPr>
            </w:pPr>
            <w:r>
              <w:rPr>
                <w:rFonts w:hint="eastAsia" w:ascii="宋体" w:hAnsi="宋体" w:eastAsia="宋体" w:cs="宋体"/>
                <w:color w:val="auto"/>
                <w:lang w:val="en-US" w:bidi="ar"/>
              </w:rPr>
              <w:t>有详细可行的行动计划能保证项目进度，成立专项小组且职责明确，全流程项目人员经验丰富，有风险管理措施；加工、制作方案合理、完善、切实可行，安全、工期合理可行能确保安全，按实际情况赋0-</w:t>
            </w:r>
            <w:r>
              <w:rPr>
                <w:rFonts w:hint="eastAsia" w:cs="宋体"/>
                <w:color w:val="auto"/>
                <w:lang w:val="en-US" w:eastAsia="zh-CN" w:bidi="ar"/>
              </w:rPr>
              <w:t>20</w:t>
            </w:r>
            <w:r>
              <w:rPr>
                <w:rFonts w:hint="eastAsia" w:ascii="宋体" w:hAnsi="宋体" w:eastAsia="宋体" w:cs="宋体"/>
                <w:color w:val="auto"/>
                <w:lang w:val="en-US" w:bidi="ar"/>
              </w:rPr>
              <w:t>分</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C7CA4">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20</w:t>
            </w:r>
          </w:p>
        </w:tc>
      </w:tr>
      <w:tr w14:paraId="37227744">
        <w:tblPrEx>
          <w:tblCellMar>
            <w:top w:w="0" w:type="dxa"/>
            <w:left w:w="0" w:type="dxa"/>
            <w:bottom w:w="0" w:type="dxa"/>
            <w:right w:w="0" w:type="dxa"/>
          </w:tblCellMar>
        </w:tblPrEx>
        <w:trPr>
          <w:trHeight w:val="134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6FE58">
            <w:pPr>
              <w:jc w:val="center"/>
              <w:rPr>
                <w:rFonts w:ascii="宋体" w:hAnsi="宋体" w:eastAsia="宋体" w:cs="宋体"/>
                <w:color w:val="auto"/>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EBC029">
            <w:pPr>
              <w:widowControl/>
              <w:jc w:val="center"/>
              <w:textAlignment w:val="center"/>
              <w:rPr>
                <w:rFonts w:ascii="宋体" w:hAnsi="宋体" w:eastAsia="宋体" w:cs="宋体"/>
                <w:color w:val="auto"/>
              </w:rPr>
            </w:pPr>
            <w:r>
              <w:rPr>
                <w:rFonts w:hint="eastAsia" w:ascii="宋体" w:hAnsi="宋体" w:eastAsia="宋体" w:cs="宋体"/>
                <w:color w:val="auto"/>
                <w:lang w:val="en-US" w:bidi="ar"/>
              </w:rPr>
              <w:t>质保期及售后服务</w:t>
            </w: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1ED14">
            <w:pPr>
              <w:widowControl/>
              <w:jc w:val="both"/>
              <w:textAlignment w:val="center"/>
              <w:rPr>
                <w:rFonts w:ascii="宋体" w:hAnsi="宋体" w:eastAsia="宋体" w:cs="宋体"/>
                <w:color w:val="auto"/>
              </w:rPr>
            </w:pPr>
            <w:r>
              <w:rPr>
                <w:rFonts w:hint="eastAsia" w:ascii="宋体" w:hAnsi="宋体" w:eastAsia="宋体" w:cs="宋体"/>
                <w:color w:val="auto"/>
                <w:lang w:val="en-US" w:bidi="ar"/>
              </w:rPr>
              <w:t>具有良好的质量管理体系和完备的检测体系，保证设备制造质量、售后服务方案符合要求（提供相应证明材料）。根据提供的资料从优到劣进行综合评审排序，按实际情况赋0-</w:t>
            </w:r>
            <w:r>
              <w:rPr>
                <w:rFonts w:hint="eastAsia" w:cs="宋体"/>
                <w:color w:val="auto"/>
                <w:lang w:val="en-US" w:eastAsia="zh-CN" w:bidi="ar"/>
              </w:rPr>
              <w:t>20</w:t>
            </w:r>
            <w:r>
              <w:rPr>
                <w:rFonts w:hint="eastAsia" w:ascii="宋体" w:hAnsi="宋体" w:eastAsia="宋体" w:cs="宋体"/>
                <w:color w:val="auto"/>
                <w:lang w:val="en-US" w:bidi="ar"/>
              </w:rPr>
              <w:t>分</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880174">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20</w:t>
            </w:r>
          </w:p>
        </w:tc>
      </w:tr>
      <w:tr w14:paraId="3DAD0678">
        <w:tblPrEx>
          <w:tblCellMar>
            <w:top w:w="0" w:type="dxa"/>
            <w:left w:w="0" w:type="dxa"/>
            <w:bottom w:w="0" w:type="dxa"/>
            <w:right w:w="0" w:type="dxa"/>
          </w:tblCellMar>
        </w:tblPrEx>
        <w:trPr>
          <w:trHeight w:val="114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BA1CF">
            <w:pPr>
              <w:jc w:val="center"/>
              <w:rPr>
                <w:rFonts w:ascii="宋体" w:hAnsi="宋体" w:eastAsia="宋体" w:cs="宋体"/>
                <w:color w:val="auto"/>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2AB54">
            <w:pPr>
              <w:widowControl/>
              <w:jc w:val="center"/>
              <w:textAlignment w:val="center"/>
              <w:rPr>
                <w:rFonts w:ascii="宋体" w:hAnsi="宋体" w:eastAsia="宋体" w:cs="宋体"/>
                <w:color w:val="auto"/>
              </w:rPr>
            </w:pPr>
            <w:r>
              <w:rPr>
                <w:rFonts w:hint="eastAsia" w:ascii="宋体" w:hAnsi="宋体" w:eastAsia="宋体" w:cs="宋体"/>
                <w:color w:val="auto"/>
                <w:lang w:val="en-US" w:bidi="ar"/>
              </w:rPr>
              <w:t>现场答疑</w:t>
            </w:r>
          </w:p>
        </w:tc>
        <w:tc>
          <w:tcPr>
            <w:tcW w:w="5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4FE37D">
            <w:pPr>
              <w:widowControl/>
              <w:textAlignment w:val="center"/>
              <w:rPr>
                <w:rFonts w:ascii="宋体" w:hAnsi="宋体" w:eastAsia="宋体" w:cs="宋体"/>
                <w:color w:val="auto"/>
              </w:rPr>
            </w:pPr>
            <w:r>
              <w:rPr>
                <w:rFonts w:hint="eastAsia" w:ascii="宋体" w:hAnsi="宋体" w:eastAsia="宋体" w:cs="宋体"/>
                <w:color w:val="auto"/>
                <w:lang w:val="en-US" w:bidi="ar"/>
              </w:rPr>
              <w:t>投标人代表对方案及技术优势了解清楚，如实、流畅回答评标专家现场提问，依据现场情况赋0-</w:t>
            </w:r>
            <w:r>
              <w:rPr>
                <w:rFonts w:hint="eastAsia" w:cs="宋体"/>
                <w:color w:val="auto"/>
                <w:lang w:val="en-US" w:eastAsia="zh-CN" w:bidi="ar"/>
              </w:rPr>
              <w:t>20</w:t>
            </w:r>
            <w:r>
              <w:rPr>
                <w:rFonts w:hint="eastAsia" w:ascii="宋体" w:hAnsi="宋体" w:eastAsia="宋体" w:cs="宋体"/>
                <w:color w:val="auto"/>
                <w:lang w:val="en-US" w:bidi="ar"/>
              </w:rPr>
              <w:t>分</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04CE7">
            <w:pPr>
              <w:widowControl/>
              <w:jc w:val="center"/>
              <w:textAlignment w:val="center"/>
              <w:rPr>
                <w:rFonts w:hint="default" w:ascii="Times New Roman" w:hAnsi="Times New Roman" w:eastAsia="等线" w:cs="Times New Roman"/>
                <w:color w:val="auto"/>
                <w:lang w:val="en-US" w:eastAsia="zh-CN"/>
              </w:rPr>
            </w:pPr>
            <w:r>
              <w:rPr>
                <w:rFonts w:hint="eastAsia" w:ascii="Times New Roman" w:hAnsi="Times New Roman" w:eastAsia="等线" w:cs="Times New Roman"/>
                <w:color w:val="auto"/>
                <w:lang w:val="en-US" w:eastAsia="zh-CN" w:bidi="ar"/>
              </w:rPr>
              <w:t>20</w:t>
            </w:r>
          </w:p>
        </w:tc>
      </w:tr>
    </w:tbl>
    <w:p w14:paraId="7A3524C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1、投标人技术标的最终得分为所有评委打分汇总后的算术平均值。</w:t>
      </w:r>
    </w:p>
    <w:p w14:paraId="146425B4">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2、技术标根据评分办法进行打分，技术标评标小组推荐至少3家技术得分</w:t>
      </w:r>
      <w:r>
        <w:rPr>
          <w:rFonts w:hint="eastAsia" w:cs="宋体"/>
          <w:color w:val="auto"/>
          <w:kern w:val="0"/>
          <w:sz w:val="24"/>
          <w:szCs w:val="24"/>
          <w:highlight w:val="none"/>
          <w:lang w:val="en-US" w:eastAsia="zh-CN" w:bidi="ar"/>
        </w:rPr>
        <w:t>6</w:t>
      </w:r>
      <w:r>
        <w:rPr>
          <w:rFonts w:ascii="宋体" w:hAnsi="宋体" w:eastAsia="宋体" w:cs="宋体"/>
          <w:color w:val="auto"/>
          <w:kern w:val="0"/>
          <w:sz w:val="24"/>
          <w:szCs w:val="24"/>
          <w:highlight w:val="none"/>
          <w:lang w:val="en-US" w:eastAsia="zh-CN" w:bidi="ar"/>
        </w:rPr>
        <w:t>0分（含）以上的投标人入围。</w:t>
      </w:r>
    </w:p>
    <w:p w14:paraId="236262FF">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3、技术入围投标人不足三家时，本次按废标处理，招标人有权根据招标采购管理流程重新组织招标。</w:t>
      </w:r>
    </w:p>
    <w:p w14:paraId="13C9F97B">
      <w:pPr>
        <w:pStyle w:val="10"/>
        <w:spacing w:before="100"/>
        <w:ind w:firstLine="1054" w:firstLineChars="500"/>
        <w:rPr>
          <w:b/>
          <w:bCs/>
          <w:color w:val="auto"/>
          <w:lang w:val="en-US"/>
        </w:rPr>
      </w:pPr>
    </w:p>
    <w:p w14:paraId="6201A85D">
      <w:pPr>
        <w:spacing w:before="1" w:line="360" w:lineRule="auto"/>
        <w:ind w:left="638" w:right="580" w:firstLine="420"/>
        <w:jc w:val="both"/>
        <w:rPr>
          <w:color w:val="auto"/>
        </w:rPr>
      </w:pPr>
    </w:p>
    <w:p w14:paraId="3E1EC061">
      <w:pPr>
        <w:ind w:firstLine="1054" w:firstLineChars="500"/>
        <w:rPr>
          <w:color w:val="auto"/>
          <w:lang w:val="en-US"/>
        </w:rPr>
      </w:pPr>
      <w:r>
        <w:rPr>
          <w:rFonts w:hint="eastAsia"/>
          <w:b/>
          <w:bCs/>
          <w:color w:val="auto"/>
          <w:sz w:val="21"/>
          <w:szCs w:val="21"/>
          <w:lang w:val="en-US"/>
        </w:rPr>
        <w:t>6.商务标标准：总分100分</w:t>
      </w:r>
    </w:p>
    <w:tbl>
      <w:tblPr>
        <w:tblStyle w:val="25"/>
        <w:tblW w:w="9390" w:type="dxa"/>
        <w:tblInd w:w="818" w:type="dxa"/>
        <w:tblLayout w:type="autofit"/>
        <w:tblCellMar>
          <w:top w:w="0" w:type="dxa"/>
          <w:left w:w="108" w:type="dxa"/>
          <w:bottom w:w="0" w:type="dxa"/>
          <w:right w:w="108" w:type="dxa"/>
        </w:tblCellMar>
      </w:tblPr>
      <w:tblGrid>
        <w:gridCol w:w="1162"/>
        <w:gridCol w:w="1170"/>
        <w:gridCol w:w="1253"/>
        <w:gridCol w:w="5805"/>
      </w:tblGrid>
      <w:tr w14:paraId="637D6043">
        <w:tblPrEx>
          <w:tblCellMar>
            <w:top w:w="0" w:type="dxa"/>
            <w:left w:w="108" w:type="dxa"/>
            <w:bottom w:w="0" w:type="dxa"/>
            <w:right w:w="108" w:type="dxa"/>
          </w:tblCellMar>
        </w:tblPrEx>
        <w:trPr>
          <w:trHeight w:val="490" w:hRule="atLeast"/>
        </w:trPr>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B39146C">
            <w:pPr>
              <w:widowControl/>
              <w:jc w:val="center"/>
              <w:textAlignment w:val="center"/>
              <w:rPr>
                <w:color w:val="auto"/>
              </w:rPr>
            </w:pPr>
            <w:r>
              <w:rPr>
                <w:rFonts w:hint="eastAsia"/>
                <w:color w:val="auto"/>
                <w:lang w:val="en-US" w:bidi="ar"/>
              </w:rPr>
              <w:t>评标因素</w:t>
            </w:r>
          </w:p>
        </w:tc>
        <w:tc>
          <w:tcPr>
            <w:tcW w:w="1170" w:type="dxa"/>
            <w:tcBorders>
              <w:top w:val="single" w:color="000000" w:sz="4" w:space="0"/>
              <w:left w:val="single" w:color="000000" w:sz="4" w:space="0"/>
              <w:bottom w:val="nil"/>
              <w:right w:val="single" w:color="000000" w:sz="4" w:space="0"/>
            </w:tcBorders>
            <w:noWrap w:val="0"/>
            <w:vAlign w:val="center"/>
          </w:tcPr>
          <w:p w14:paraId="50F5737D">
            <w:pPr>
              <w:widowControl/>
              <w:jc w:val="center"/>
              <w:textAlignment w:val="center"/>
              <w:rPr>
                <w:color w:val="auto"/>
              </w:rPr>
            </w:pPr>
            <w:r>
              <w:rPr>
                <w:rFonts w:hint="eastAsia"/>
                <w:color w:val="auto"/>
                <w:lang w:val="en-US" w:bidi="ar"/>
              </w:rPr>
              <w:t>总分</w:t>
            </w:r>
          </w:p>
        </w:tc>
        <w:tc>
          <w:tcPr>
            <w:tcW w:w="1253" w:type="dxa"/>
            <w:tcBorders>
              <w:top w:val="single" w:color="000000" w:sz="4" w:space="0"/>
              <w:left w:val="single" w:color="000000" w:sz="4" w:space="0"/>
              <w:bottom w:val="single" w:color="000000" w:sz="4" w:space="0"/>
              <w:right w:val="single" w:color="000000" w:sz="4" w:space="0"/>
            </w:tcBorders>
            <w:noWrap w:val="0"/>
            <w:vAlign w:val="center"/>
          </w:tcPr>
          <w:p w14:paraId="2D2E25C3">
            <w:pPr>
              <w:widowControl/>
              <w:jc w:val="center"/>
              <w:textAlignment w:val="center"/>
              <w:rPr>
                <w:color w:val="auto"/>
              </w:rPr>
            </w:pPr>
            <w:r>
              <w:rPr>
                <w:rFonts w:hint="eastAsia"/>
                <w:color w:val="auto"/>
                <w:lang w:val="en-US" w:bidi="ar"/>
              </w:rPr>
              <w:t>评审内容</w:t>
            </w:r>
          </w:p>
        </w:tc>
        <w:tc>
          <w:tcPr>
            <w:tcW w:w="5805" w:type="dxa"/>
            <w:tcBorders>
              <w:top w:val="single" w:color="000000" w:sz="4" w:space="0"/>
              <w:left w:val="single" w:color="000000" w:sz="4" w:space="0"/>
              <w:bottom w:val="single" w:color="000000" w:sz="4" w:space="0"/>
              <w:right w:val="single" w:color="000000" w:sz="4" w:space="0"/>
            </w:tcBorders>
            <w:noWrap w:val="0"/>
            <w:vAlign w:val="center"/>
          </w:tcPr>
          <w:p w14:paraId="2D005D44">
            <w:pPr>
              <w:widowControl/>
              <w:jc w:val="center"/>
              <w:textAlignment w:val="center"/>
              <w:rPr>
                <w:color w:val="auto"/>
              </w:rPr>
            </w:pPr>
            <w:r>
              <w:rPr>
                <w:rFonts w:hint="eastAsia"/>
                <w:color w:val="auto"/>
                <w:lang w:val="en-US" w:bidi="ar"/>
              </w:rPr>
              <w:t>评分标准</w:t>
            </w:r>
          </w:p>
        </w:tc>
      </w:tr>
      <w:tr w14:paraId="2A2E908B">
        <w:tblPrEx>
          <w:tblCellMar>
            <w:top w:w="0" w:type="dxa"/>
            <w:left w:w="108" w:type="dxa"/>
            <w:bottom w:w="0" w:type="dxa"/>
            <w:right w:w="108" w:type="dxa"/>
          </w:tblCellMar>
        </w:tblPrEx>
        <w:trPr>
          <w:trHeight w:val="531" w:hRule="atLeast"/>
        </w:trPr>
        <w:tc>
          <w:tcPr>
            <w:tcW w:w="116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628A0">
            <w:pPr>
              <w:widowControl/>
              <w:jc w:val="center"/>
              <w:textAlignment w:val="center"/>
              <w:rPr>
                <w:color w:val="auto"/>
              </w:rPr>
            </w:pPr>
            <w:r>
              <w:rPr>
                <w:rFonts w:hint="eastAsia"/>
                <w:color w:val="auto"/>
                <w:lang w:val="en-US" w:bidi="ar"/>
              </w:rPr>
              <w:t>价格因素</w:t>
            </w:r>
          </w:p>
        </w:tc>
        <w:tc>
          <w:tcPr>
            <w:tcW w:w="1170" w:type="dxa"/>
            <w:vMerge w:val="restart"/>
            <w:tcBorders>
              <w:top w:val="single" w:color="000000" w:sz="4" w:space="0"/>
              <w:left w:val="single" w:color="000000" w:sz="4" w:space="0"/>
              <w:bottom w:val="single" w:color="000000" w:sz="4" w:space="0"/>
              <w:right w:val="single" w:color="000000" w:sz="4" w:space="0"/>
            </w:tcBorders>
            <w:noWrap w:val="0"/>
            <w:vAlign w:val="center"/>
          </w:tcPr>
          <w:p w14:paraId="7786E084">
            <w:pPr>
              <w:widowControl/>
              <w:jc w:val="center"/>
              <w:textAlignment w:val="center"/>
              <w:rPr>
                <w:color w:val="auto"/>
              </w:rPr>
            </w:pPr>
            <w:r>
              <w:rPr>
                <w:rFonts w:hint="eastAsia"/>
                <w:color w:val="auto"/>
                <w:lang w:val="en-US" w:bidi="ar"/>
              </w:rPr>
              <w:t>100</w:t>
            </w:r>
          </w:p>
        </w:tc>
        <w:tc>
          <w:tcPr>
            <w:tcW w:w="12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EE990">
            <w:pPr>
              <w:widowControl/>
              <w:jc w:val="center"/>
              <w:textAlignment w:val="center"/>
              <w:rPr>
                <w:color w:val="auto"/>
              </w:rPr>
            </w:pPr>
            <w:r>
              <w:rPr>
                <w:rFonts w:hint="eastAsia"/>
                <w:color w:val="auto"/>
                <w:lang w:val="en-US" w:bidi="ar"/>
              </w:rPr>
              <w:t>投标报价</w:t>
            </w:r>
          </w:p>
        </w:tc>
        <w:tc>
          <w:tcPr>
            <w:tcW w:w="5805" w:type="dxa"/>
            <w:tcBorders>
              <w:top w:val="single" w:color="000000" w:sz="4" w:space="0"/>
              <w:left w:val="single" w:color="000000" w:sz="4" w:space="0"/>
              <w:bottom w:val="single" w:color="000000" w:sz="4" w:space="0"/>
              <w:right w:val="single" w:color="000000" w:sz="4" w:space="0"/>
            </w:tcBorders>
            <w:noWrap w:val="0"/>
            <w:vAlign w:val="center"/>
          </w:tcPr>
          <w:p w14:paraId="40733DFC">
            <w:pPr>
              <w:widowControl/>
              <w:textAlignment w:val="center"/>
              <w:rPr>
                <w:color w:val="auto"/>
                <w:lang w:bidi="ar"/>
              </w:rPr>
            </w:pPr>
            <w:r>
              <w:rPr>
                <w:rFonts w:hint="eastAsia"/>
                <w:color w:val="auto"/>
                <w:lang w:val="en-US" w:bidi="ar"/>
              </w:rPr>
              <w:t>1、</w:t>
            </w:r>
            <w:r>
              <w:rPr>
                <w:rFonts w:hint="eastAsia"/>
                <w:b/>
                <w:bCs/>
                <w:color w:val="auto"/>
                <w:lang w:val="en-US"/>
              </w:rPr>
              <w:t>商务标得分=当前轮次最低价/供方报价*商务标总分。</w:t>
            </w:r>
          </w:p>
        </w:tc>
      </w:tr>
      <w:tr w14:paraId="325D93B3">
        <w:tblPrEx>
          <w:tblCellMar>
            <w:top w:w="0" w:type="dxa"/>
            <w:left w:w="108" w:type="dxa"/>
            <w:bottom w:w="0" w:type="dxa"/>
            <w:right w:w="108" w:type="dxa"/>
          </w:tblCellMar>
        </w:tblPrEx>
        <w:trPr>
          <w:trHeight w:val="530" w:hRule="atLeast"/>
        </w:trPr>
        <w:tc>
          <w:tcPr>
            <w:tcW w:w="11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ACAE4">
            <w:pPr>
              <w:jc w:val="center"/>
              <w:rPr>
                <w:color w:val="auto"/>
              </w:rPr>
            </w:pPr>
          </w:p>
        </w:tc>
        <w:tc>
          <w:tcPr>
            <w:tcW w:w="11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2526F">
            <w:pPr>
              <w:jc w:val="center"/>
              <w:rPr>
                <w:color w:val="auto"/>
              </w:rPr>
            </w:pPr>
          </w:p>
        </w:tc>
        <w:tc>
          <w:tcPr>
            <w:tcW w:w="12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74CA6">
            <w:pPr>
              <w:jc w:val="center"/>
              <w:rPr>
                <w:color w:val="auto"/>
              </w:rPr>
            </w:pPr>
          </w:p>
        </w:tc>
        <w:tc>
          <w:tcPr>
            <w:tcW w:w="5805" w:type="dxa"/>
            <w:tcBorders>
              <w:top w:val="single" w:color="000000" w:sz="4" w:space="0"/>
              <w:left w:val="single" w:color="000000" w:sz="4" w:space="0"/>
              <w:bottom w:val="single" w:color="000000" w:sz="4" w:space="0"/>
              <w:right w:val="single" w:color="000000" w:sz="4" w:space="0"/>
            </w:tcBorders>
            <w:noWrap w:val="0"/>
            <w:vAlign w:val="center"/>
          </w:tcPr>
          <w:p w14:paraId="1274F73F">
            <w:pPr>
              <w:widowControl/>
              <w:textAlignment w:val="center"/>
              <w:rPr>
                <w:color w:val="auto"/>
                <w:lang w:bidi="ar"/>
              </w:rPr>
            </w:pPr>
            <w:r>
              <w:rPr>
                <w:rFonts w:hint="eastAsia"/>
                <w:color w:val="auto"/>
                <w:lang w:val="en-US" w:bidi="ar"/>
              </w:rPr>
              <w:t>2.得分值小数点后保留2位，四舍五入。</w:t>
            </w:r>
          </w:p>
        </w:tc>
      </w:tr>
    </w:tbl>
    <w:p w14:paraId="7757EC12">
      <w:pPr>
        <w:ind w:firstLine="632" w:firstLineChars="300"/>
        <w:rPr>
          <w:rFonts w:hint="eastAsia"/>
          <w:b/>
          <w:color w:val="auto"/>
          <w:sz w:val="21"/>
          <w:lang w:val="en-US"/>
        </w:rPr>
      </w:pPr>
      <w:r>
        <w:rPr>
          <w:rFonts w:hint="eastAsia"/>
          <w:b/>
          <w:bCs/>
          <w:color w:val="auto"/>
          <w:sz w:val="21"/>
          <w:szCs w:val="21"/>
          <w:lang w:val="en-US"/>
        </w:rPr>
        <w:t>7.</w:t>
      </w:r>
      <w:r>
        <w:rPr>
          <w:rFonts w:hint="eastAsia"/>
          <w:b/>
          <w:color w:val="auto"/>
          <w:sz w:val="21"/>
          <w:lang w:val="en-US"/>
        </w:rPr>
        <w:t>最终得分=技术标得分*40%+商务标得分*60%</w:t>
      </w:r>
    </w:p>
    <w:p w14:paraId="72F58637">
      <w:pPr>
        <w:ind w:firstLine="632" w:firstLineChars="300"/>
        <w:rPr>
          <w:rFonts w:hint="eastAsia"/>
          <w:b/>
          <w:color w:val="auto"/>
          <w:sz w:val="21"/>
          <w:lang w:val="en-US"/>
        </w:rPr>
      </w:pPr>
    </w:p>
    <w:p w14:paraId="687B0E7A">
      <w:pPr>
        <w:ind w:firstLine="440" w:firstLineChars="200"/>
        <w:rPr>
          <w:bCs/>
          <w:color w:val="auto"/>
          <w:sz w:val="21"/>
          <w:lang w:val="en-US"/>
        </w:rPr>
      </w:pPr>
      <w:r>
        <w:rPr>
          <w:rFonts w:hint="eastAsia"/>
          <w:color w:val="auto"/>
          <w:lang w:val="en-US"/>
        </w:rPr>
        <w:t>（1）</w:t>
      </w:r>
      <w:r>
        <w:rPr>
          <w:rFonts w:hint="eastAsia"/>
          <w:bCs/>
          <w:color w:val="auto"/>
          <w:sz w:val="21"/>
          <w:lang w:val="en-US"/>
        </w:rPr>
        <w:t>若总得分出现并列时，优先选择商务标得分高的中标；</w:t>
      </w:r>
    </w:p>
    <w:p w14:paraId="4E49D2B4">
      <w:pPr>
        <w:ind w:firstLine="440" w:firstLineChars="200"/>
        <w:rPr>
          <w:bCs/>
          <w:color w:val="auto"/>
          <w:sz w:val="21"/>
          <w:lang w:val="en-US"/>
        </w:rPr>
      </w:pPr>
      <w:r>
        <w:rPr>
          <w:rFonts w:hint="eastAsia"/>
          <w:color w:val="auto"/>
          <w:lang w:val="en-US"/>
        </w:rPr>
        <w:t>（2）</w:t>
      </w:r>
      <w:r>
        <w:rPr>
          <w:rFonts w:hint="eastAsia"/>
          <w:bCs/>
          <w:color w:val="auto"/>
          <w:sz w:val="21"/>
          <w:lang w:val="en-US"/>
        </w:rPr>
        <w:t>若总得分出现并列且商务标得分并列时，优先选择技术标得分高的中标；</w:t>
      </w:r>
    </w:p>
    <w:p w14:paraId="21A84927">
      <w:pPr>
        <w:ind w:firstLine="440" w:firstLineChars="200"/>
        <w:rPr>
          <w:rFonts w:hint="eastAsia"/>
          <w:bCs/>
          <w:color w:val="auto"/>
          <w:lang w:val="en-US"/>
        </w:rPr>
      </w:pPr>
      <w:r>
        <w:rPr>
          <w:rFonts w:hint="eastAsia"/>
          <w:color w:val="auto"/>
          <w:lang w:val="en-US"/>
        </w:rPr>
        <w:t>（3）</w:t>
      </w:r>
      <w:r>
        <w:rPr>
          <w:rFonts w:hint="eastAsia"/>
          <w:bCs/>
          <w:color w:val="auto"/>
          <w:sz w:val="21"/>
          <w:lang w:val="en-US"/>
        </w:rPr>
        <w:t>若总得分并列且技术标、商务标得分并列时，</w:t>
      </w:r>
      <w:r>
        <w:rPr>
          <w:rFonts w:hint="eastAsia"/>
          <w:bCs/>
          <w:color w:val="auto"/>
          <w:lang w:val="en-US"/>
        </w:rPr>
        <w:t>则由全体评委成员无记名投票，得票高者中标。</w:t>
      </w:r>
    </w:p>
    <w:p w14:paraId="2C08E66B">
      <w:pPr>
        <w:pStyle w:val="10"/>
        <w:spacing w:line="360" w:lineRule="auto"/>
        <w:ind w:left="1265" w:leftChars="575" w:right="578" w:firstLine="399" w:firstLineChars="190"/>
        <w:jc w:val="both"/>
        <w:rPr>
          <w:rFonts w:hint="eastAsia"/>
          <w:bCs/>
          <w:color w:val="auto"/>
          <w:lang w:val="en-US" w:eastAsia="zh-CN"/>
        </w:rPr>
      </w:pPr>
      <w:r>
        <w:rPr>
          <w:rFonts w:hint="eastAsia"/>
          <w:bCs/>
          <w:color w:val="auto"/>
          <w:lang w:val="en-US" w:eastAsia="zh-CN"/>
        </w:rPr>
        <w:t xml:space="preserve">  </w:t>
      </w:r>
    </w:p>
    <w:p w14:paraId="65C3D746">
      <w:pPr>
        <w:pStyle w:val="10"/>
        <w:numPr>
          <w:ilvl w:val="0"/>
          <w:numId w:val="3"/>
        </w:numPr>
        <w:spacing w:line="360" w:lineRule="auto"/>
        <w:ind w:left="735" w:leftChars="0" w:right="578" w:firstLine="0" w:firstLineChars="0"/>
        <w:jc w:val="both"/>
        <w:rPr>
          <w:rFonts w:hint="eastAsia"/>
          <w:b/>
          <w:bCs/>
          <w:color w:val="auto"/>
          <w:lang w:val="zh-CN" w:eastAsia="zh-CN"/>
        </w:rPr>
      </w:pPr>
      <w:r>
        <w:rPr>
          <w:rFonts w:hint="eastAsia"/>
          <w:b/>
          <w:bCs/>
          <w:color w:val="auto"/>
          <w:lang w:val="en-US" w:eastAsia="zh-CN"/>
        </w:rPr>
        <w:t>中标：本项目只产生一个中标人</w:t>
      </w:r>
    </w:p>
    <w:p w14:paraId="51D9987C">
      <w:pPr>
        <w:ind w:firstLine="440" w:firstLineChars="200"/>
        <w:rPr>
          <w:rFonts w:hint="default" w:eastAsia="宋体"/>
          <w:bCs/>
          <w:color w:val="auto"/>
          <w:lang w:val="en-US" w:eastAsia="zh-CN"/>
        </w:rPr>
      </w:pPr>
    </w:p>
    <w:p w14:paraId="66589391">
      <w:pPr>
        <w:ind w:firstLine="440" w:firstLineChars="200"/>
        <w:rPr>
          <w:rFonts w:hint="eastAsia"/>
          <w:bCs/>
          <w:color w:val="auto"/>
          <w:lang w:val="en-US"/>
        </w:rPr>
      </w:pPr>
    </w:p>
    <w:p w14:paraId="249E5705">
      <w:pPr>
        <w:spacing w:before="54" w:line="360" w:lineRule="auto"/>
        <w:ind w:firstLine="964" w:firstLineChars="300"/>
        <w:rPr>
          <w:rFonts w:ascii="黑体" w:eastAsia="黑体"/>
          <w:b/>
          <w:color w:val="auto"/>
          <w:sz w:val="32"/>
        </w:rPr>
      </w:pPr>
      <w:bookmarkStart w:id="15" w:name="4.评分标准"/>
      <w:bookmarkEnd w:id="15"/>
      <w:r>
        <w:rPr>
          <w:rFonts w:hint="eastAsia" w:ascii="黑体" w:eastAsia="黑体"/>
          <w:b/>
          <w:color w:val="auto"/>
          <w:sz w:val="32"/>
        </w:rPr>
        <w:t>八、合同签订</w:t>
      </w:r>
    </w:p>
    <w:p w14:paraId="7E856FDD">
      <w:pPr>
        <w:pStyle w:val="52"/>
        <w:numPr>
          <w:ilvl w:val="0"/>
          <w:numId w:val="4"/>
        </w:numPr>
        <w:tabs>
          <w:tab w:val="left" w:pos="1270"/>
        </w:tabs>
        <w:spacing w:before="111" w:line="360" w:lineRule="auto"/>
        <w:ind w:left="680" w:leftChars="0" w:right="595" w:firstLine="420" w:firstLineChars="0"/>
        <w:jc w:val="both"/>
        <w:rPr>
          <w:color w:val="auto"/>
        </w:rPr>
      </w:pPr>
      <w:r>
        <w:rPr>
          <w:color w:val="auto"/>
        </w:rP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4F250FD6">
      <w:pPr>
        <w:pStyle w:val="52"/>
        <w:numPr>
          <w:ilvl w:val="0"/>
          <w:numId w:val="4"/>
        </w:numPr>
        <w:tabs>
          <w:tab w:val="left" w:pos="1270"/>
        </w:tabs>
        <w:spacing w:line="360" w:lineRule="auto"/>
        <w:ind w:left="680" w:leftChars="0" w:right="565" w:firstLine="420" w:firstLineChars="0"/>
        <w:jc w:val="both"/>
        <w:rPr>
          <w:color w:val="auto"/>
        </w:rPr>
      </w:pPr>
      <w:r>
        <w:rPr>
          <w:color w:val="auto"/>
        </w:rP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w:t>
      </w:r>
      <w:r>
        <w:rPr>
          <w:rFonts w:hint="eastAsia"/>
          <w:color w:val="auto"/>
        </w:rPr>
        <w:t>，</w:t>
      </w:r>
      <w:r>
        <w:rPr>
          <w:color w:val="auto"/>
        </w:rPr>
        <w:t>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4A464B74">
      <w:pPr>
        <w:pStyle w:val="52"/>
        <w:numPr>
          <w:ilvl w:val="0"/>
          <w:numId w:val="4"/>
        </w:numPr>
        <w:tabs>
          <w:tab w:val="left" w:pos="1270"/>
        </w:tabs>
        <w:spacing w:line="360" w:lineRule="auto"/>
        <w:ind w:left="680" w:leftChars="0" w:right="580" w:firstLine="420" w:firstLineChars="0"/>
        <w:jc w:val="both"/>
        <w:rPr>
          <w:color w:val="auto"/>
        </w:rPr>
      </w:pPr>
      <w:r>
        <w:rPr>
          <w:color w:val="auto"/>
        </w:rPr>
        <w:t>中标人应当按照合同约定的履约责任，</w:t>
      </w:r>
      <w:r>
        <w:rPr>
          <w:rFonts w:hint="eastAsia"/>
          <w:color w:val="auto"/>
        </w:rPr>
        <w:t>向招标人缴纳履约保证金</w:t>
      </w:r>
      <w:r>
        <w:rPr>
          <w:color w:val="auto"/>
        </w:rPr>
        <w:t>，如中标人未按合同及其附件约定履行应承担的责任，招标人有权单方直接扣除其履约保证金。</w:t>
      </w:r>
    </w:p>
    <w:p w14:paraId="759DB581">
      <w:pPr>
        <w:pStyle w:val="52"/>
        <w:numPr>
          <w:ilvl w:val="0"/>
          <w:numId w:val="4"/>
        </w:numPr>
        <w:tabs>
          <w:tab w:val="left" w:pos="1270"/>
        </w:tabs>
        <w:spacing w:line="360" w:lineRule="auto"/>
        <w:ind w:left="680" w:leftChars="0" w:right="640" w:firstLine="420" w:firstLineChars="0"/>
        <w:rPr>
          <w:color w:val="auto"/>
        </w:rPr>
      </w:pPr>
      <w:r>
        <w:rPr>
          <w:color w:val="auto"/>
        </w:rPr>
        <w:t>中标人应在保证质量的前提下完成中标项目，不得将中标项目转包或分包给他人，否则视为违约，招标人或相关单位有权解除合同。</w:t>
      </w:r>
    </w:p>
    <w:p w14:paraId="42B5D352">
      <w:pPr>
        <w:pStyle w:val="52"/>
        <w:numPr>
          <w:ilvl w:val="0"/>
          <w:numId w:val="4"/>
        </w:numPr>
        <w:tabs>
          <w:tab w:val="left" w:pos="1270"/>
        </w:tabs>
        <w:spacing w:line="360" w:lineRule="auto"/>
        <w:ind w:left="680" w:leftChars="0" w:right="595" w:firstLine="420" w:firstLineChars="0"/>
        <w:jc w:val="both"/>
        <w:rPr>
          <w:color w:val="auto"/>
        </w:rPr>
      </w:pPr>
      <w:r>
        <w:rPr>
          <w:color w:val="auto"/>
        </w:rP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7F6E52C8">
      <w:pPr>
        <w:pStyle w:val="52"/>
        <w:numPr>
          <w:ilvl w:val="0"/>
          <w:numId w:val="4"/>
        </w:numPr>
        <w:tabs>
          <w:tab w:val="left" w:pos="1270"/>
        </w:tabs>
        <w:spacing w:line="360" w:lineRule="auto"/>
        <w:ind w:left="680" w:leftChars="0" w:right="640" w:firstLine="420" w:firstLineChars="0"/>
        <w:rPr>
          <w:color w:val="auto"/>
        </w:rPr>
      </w:pPr>
      <w:r>
        <w:rPr>
          <w:color w:val="auto"/>
        </w:rPr>
        <w:t>招标人有权指定招标人的关联单位作为合同签订人，与中标人签署相关合同，且具体权利义务以双方最终签署的合同为准。</w:t>
      </w:r>
    </w:p>
    <w:p w14:paraId="70C48D59">
      <w:pPr>
        <w:pStyle w:val="52"/>
        <w:numPr>
          <w:ilvl w:val="0"/>
          <w:numId w:val="4"/>
        </w:numPr>
        <w:tabs>
          <w:tab w:val="left" w:pos="1270"/>
        </w:tabs>
        <w:spacing w:line="360" w:lineRule="auto"/>
        <w:ind w:left="680" w:leftChars="0" w:right="640" w:firstLine="420" w:firstLineChars="0"/>
        <w:rPr>
          <w:color w:val="auto"/>
        </w:rPr>
      </w:pPr>
      <w:r>
        <w:rPr>
          <w:color w:val="auto"/>
        </w:rPr>
        <w:t>中标人须认可招标人由于招标人上级集团公司政策变化引起的随时终止合同的要求。</w:t>
      </w:r>
    </w:p>
    <w:p w14:paraId="78E2CE28">
      <w:pPr>
        <w:pStyle w:val="52"/>
        <w:numPr>
          <w:ilvl w:val="0"/>
          <w:numId w:val="4"/>
        </w:numPr>
        <w:tabs>
          <w:tab w:val="left" w:pos="1270"/>
        </w:tabs>
        <w:spacing w:line="360" w:lineRule="auto"/>
        <w:ind w:left="680" w:leftChars="0" w:right="640" w:firstLine="420" w:firstLineChars="0"/>
        <w:rPr>
          <w:color w:val="auto"/>
          <w:sz w:val="21"/>
        </w:rPr>
      </w:pPr>
      <w:r>
        <w:rPr>
          <w:color w:val="auto"/>
        </w:rPr>
        <w:t>中标人为委托业务购置财产保全保险，保费由中标人承担，指定招标人授权的合同签署单位为唯一受益人，并由各主营单位在合同中约定。</w:t>
      </w:r>
    </w:p>
    <w:p w14:paraId="437EBC75">
      <w:pPr>
        <w:pStyle w:val="52"/>
        <w:numPr>
          <w:ilvl w:val="0"/>
          <w:numId w:val="4"/>
        </w:numPr>
        <w:tabs>
          <w:tab w:val="left" w:pos="1270"/>
        </w:tabs>
        <w:spacing w:line="360" w:lineRule="auto"/>
        <w:ind w:left="680" w:leftChars="0" w:right="640" w:firstLine="420" w:firstLineChars="0"/>
        <w:rPr>
          <w:color w:val="auto"/>
          <w:sz w:val="21"/>
          <w:highlight w:val="none"/>
        </w:rPr>
      </w:pPr>
      <w:r>
        <w:rPr>
          <w:rFonts w:ascii="宋体" w:hAnsi="宋体" w:eastAsia="宋体" w:cs="宋体"/>
          <w:color w:val="auto"/>
          <w:sz w:val="24"/>
          <w:szCs w:val="24"/>
          <w:highlight w:val="none"/>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31A474CC">
      <w:pPr>
        <w:pStyle w:val="3"/>
        <w:spacing w:before="178" w:line="360" w:lineRule="auto"/>
        <w:rPr>
          <w:color w:val="auto"/>
        </w:rPr>
      </w:pPr>
      <w:r>
        <w:rPr>
          <w:color w:val="auto"/>
        </w:rPr>
        <w:t>九、废标及终止招标</w:t>
      </w:r>
    </w:p>
    <w:p w14:paraId="1802FE73">
      <w:pPr>
        <w:pStyle w:val="52"/>
        <w:numPr>
          <w:ilvl w:val="0"/>
          <w:numId w:val="5"/>
        </w:numPr>
        <w:tabs>
          <w:tab w:val="left" w:pos="1270"/>
        </w:tabs>
        <w:spacing w:before="216" w:line="360" w:lineRule="auto"/>
        <w:ind w:right="597" w:firstLine="420"/>
        <w:jc w:val="both"/>
        <w:rPr>
          <w:color w:val="auto"/>
        </w:rPr>
      </w:pPr>
      <w:r>
        <w:rPr>
          <w:color w:val="auto"/>
        </w:rPr>
        <w:t>投标人有下列情形之一，其投标将被视为废标，招标人将严格按照《中华人民共和国招标投标法》及相关法律、法规及规章制度的规定行使权利。投标人给招标人造成损失的，包括但不限于因违约造成的直接经济损失、可得利益损失、诉讼费、律师费等实现债权的费用，招标人有索赔的权利，投标人应予以赔偿。</w:t>
      </w:r>
    </w:p>
    <w:p w14:paraId="3ADFEC85">
      <w:pPr>
        <w:pStyle w:val="10"/>
        <w:spacing w:before="7" w:line="360" w:lineRule="auto"/>
        <w:ind w:left="1058"/>
        <w:rPr>
          <w:color w:val="auto"/>
          <w:sz w:val="22"/>
          <w:szCs w:val="22"/>
        </w:rPr>
      </w:pPr>
      <w:r>
        <w:rPr>
          <w:rFonts w:hint="eastAsia"/>
          <w:color w:val="auto"/>
          <w:sz w:val="22"/>
          <w:szCs w:val="22"/>
        </w:rPr>
        <w:t>⑴</w:t>
      </w:r>
      <w:r>
        <w:rPr>
          <w:color w:val="auto"/>
          <w:sz w:val="22"/>
          <w:szCs w:val="22"/>
        </w:rPr>
        <w:t>投标人提供的有关资格、资质证明文件不合格、不真实或提供虚假投标材料；</w:t>
      </w:r>
    </w:p>
    <w:p w14:paraId="2039AACA">
      <w:pPr>
        <w:pStyle w:val="10"/>
        <w:spacing w:line="360" w:lineRule="auto"/>
        <w:ind w:left="1058"/>
        <w:rPr>
          <w:color w:val="auto"/>
          <w:sz w:val="22"/>
          <w:szCs w:val="22"/>
        </w:rPr>
      </w:pPr>
      <w:r>
        <w:rPr>
          <w:rFonts w:hint="eastAsia"/>
          <w:color w:val="auto"/>
          <w:sz w:val="22"/>
          <w:szCs w:val="22"/>
        </w:rPr>
        <w:t>⑵</w:t>
      </w:r>
      <w:r>
        <w:rPr>
          <w:rFonts w:hint="eastAsia"/>
          <w:color w:val="auto"/>
          <w:sz w:val="22"/>
          <w:szCs w:val="22"/>
          <w:lang w:val="en-US" w:eastAsia="zh-CN"/>
        </w:rPr>
        <w:t>有效投标人不足三家，</w:t>
      </w:r>
      <w:r>
        <w:rPr>
          <w:color w:val="auto"/>
          <w:sz w:val="22"/>
          <w:szCs w:val="22"/>
        </w:rPr>
        <w:t>投标人在报价有效期内撤回投标；</w:t>
      </w:r>
    </w:p>
    <w:p w14:paraId="5D7FC31D">
      <w:pPr>
        <w:pStyle w:val="10"/>
        <w:spacing w:line="360" w:lineRule="auto"/>
        <w:ind w:left="1058"/>
        <w:rPr>
          <w:color w:val="auto"/>
          <w:sz w:val="22"/>
          <w:szCs w:val="22"/>
        </w:rPr>
      </w:pPr>
      <w:r>
        <w:rPr>
          <w:rFonts w:hint="eastAsia"/>
          <w:color w:val="auto"/>
          <w:sz w:val="22"/>
          <w:szCs w:val="22"/>
        </w:rPr>
        <w:t>⑶</w:t>
      </w:r>
      <w:r>
        <w:rPr>
          <w:color w:val="auto"/>
          <w:sz w:val="22"/>
          <w:szCs w:val="22"/>
        </w:rPr>
        <w:t>在整个评标过程中，投标人有企图影响评标结果公正性的任何活动；</w:t>
      </w:r>
    </w:p>
    <w:p w14:paraId="0AB34EBA">
      <w:pPr>
        <w:pStyle w:val="10"/>
        <w:spacing w:before="70" w:line="360" w:lineRule="auto"/>
        <w:ind w:left="1058"/>
        <w:rPr>
          <w:color w:val="auto"/>
          <w:sz w:val="22"/>
          <w:szCs w:val="22"/>
        </w:rPr>
      </w:pPr>
      <w:bookmarkStart w:id="16" w:name="_Hlk151711047"/>
      <w:r>
        <w:rPr>
          <w:rFonts w:hint="eastAsia"/>
          <w:color w:val="auto"/>
          <w:sz w:val="22"/>
          <w:szCs w:val="22"/>
        </w:rPr>
        <w:t>⑷</w:t>
      </w:r>
      <w:bookmarkEnd w:id="16"/>
      <w:r>
        <w:rPr>
          <w:color w:val="auto"/>
          <w:sz w:val="22"/>
          <w:szCs w:val="22"/>
        </w:rPr>
        <w:t>投标人以任何方式诋毁其他投标人；</w:t>
      </w:r>
    </w:p>
    <w:p w14:paraId="1BCED45C">
      <w:pPr>
        <w:pStyle w:val="10"/>
        <w:spacing w:before="1" w:line="360" w:lineRule="auto"/>
        <w:ind w:left="1058"/>
        <w:rPr>
          <w:color w:val="auto"/>
          <w:sz w:val="22"/>
          <w:szCs w:val="22"/>
        </w:rPr>
      </w:pPr>
      <w:r>
        <w:rPr>
          <w:rFonts w:hint="eastAsia"/>
          <w:color w:val="auto"/>
          <w:sz w:val="22"/>
          <w:szCs w:val="22"/>
        </w:rPr>
        <w:t>⑸</w:t>
      </w:r>
      <w:r>
        <w:rPr>
          <w:color w:val="auto"/>
          <w:sz w:val="22"/>
          <w:szCs w:val="22"/>
        </w:rPr>
        <w:t>投标人串通投标；</w:t>
      </w:r>
    </w:p>
    <w:p w14:paraId="150B3E78">
      <w:pPr>
        <w:pStyle w:val="10"/>
        <w:spacing w:line="360" w:lineRule="auto"/>
        <w:ind w:left="1058"/>
        <w:rPr>
          <w:color w:val="auto"/>
          <w:sz w:val="22"/>
          <w:szCs w:val="22"/>
        </w:rPr>
      </w:pPr>
      <w:r>
        <w:rPr>
          <w:rFonts w:hint="eastAsia"/>
          <w:color w:val="auto"/>
          <w:sz w:val="22"/>
          <w:szCs w:val="22"/>
        </w:rPr>
        <w:t>⑹</w:t>
      </w:r>
      <w:r>
        <w:rPr>
          <w:color w:val="auto"/>
          <w:sz w:val="22"/>
          <w:szCs w:val="22"/>
        </w:rPr>
        <w:t>以他人名义投标或者以其他方式弄虚作假，骗取中标的；</w:t>
      </w:r>
    </w:p>
    <w:p w14:paraId="2704CC71">
      <w:pPr>
        <w:pStyle w:val="10"/>
        <w:spacing w:before="1" w:line="360" w:lineRule="auto"/>
        <w:ind w:left="1058"/>
        <w:rPr>
          <w:color w:val="auto"/>
          <w:sz w:val="22"/>
          <w:szCs w:val="22"/>
        </w:rPr>
      </w:pPr>
      <w:r>
        <w:rPr>
          <w:rFonts w:hint="eastAsia"/>
          <w:color w:val="auto"/>
          <w:sz w:val="22"/>
          <w:szCs w:val="22"/>
        </w:rPr>
        <w:t>⑺</w:t>
      </w:r>
      <w:r>
        <w:rPr>
          <w:color w:val="auto"/>
          <w:sz w:val="22"/>
          <w:szCs w:val="22"/>
        </w:rPr>
        <w:t>中标人不按规定签订合同；</w:t>
      </w:r>
    </w:p>
    <w:p w14:paraId="77860CD2">
      <w:pPr>
        <w:pStyle w:val="10"/>
        <w:spacing w:line="360" w:lineRule="auto"/>
        <w:ind w:left="1058"/>
        <w:rPr>
          <w:color w:val="auto"/>
          <w:sz w:val="22"/>
          <w:szCs w:val="22"/>
        </w:rPr>
      </w:pPr>
      <w:r>
        <w:rPr>
          <w:rFonts w:hint="eastAsia"/>
          <w:color w:val="auto"/>
          <w:sz w:val="22"/>
          <w:szCs w:val="22"/>
        </w:rPr>
        <w:t>⑻投标单位负责人为同一人或存在管理关系的。</w:t>
      </w:r>
    </w:p>
    <w:p w14:paraId="656AA4AA">
      <w:pPr>
        <w:pStyle w:val="10"/>
        <w:spacing w:line="360" w:lineRule="auto"/>
        <w:ind w:left="1058"/>
        <w:rPr>
          <w:color w:val="auto"/>
          <w:sz w:val="22"/>
          <w:szCs w:val="22"/>
        </w:rPr>
      </w:pPr>
      <w:r>
        <w:rPr>
          <w:rFonts w:hint="eastAsia"/>
          <w:color w:val="auto"/>
          <w:sz w:val="22"/>
          <w:szCs w:val="22"/>
        </w:rPr>
        <w:t>⑼投标人被举报、检举，并经招标方查实无误的。</w:t>
      </w:r>
    </w:p>
    <w:p w14:paraId="530A62D4">
      <w:pPr>
        <w:pStyle w:val="10"/>
        <w:spacing w:line="360" w:lineRule="auto"/>
        <w:ind w:left="1058"/>
        <w:rPr>
          <w:color w:val="auto"/>
          <w:sz w:val="22"/>
          <w:szCs w:val="22"/>
        </w:rPr>
      </w:pPr>
      <w:r>
        <w:rPr>
          <w:rFonts w:hint="eastAsia"/>
          <w:color w:val="auto"/>
          <w:sz w:val="22"/>
          <w:szCs w:val="22"/>
        </w:rPr>
        <w:t>⑽</w:t>
      </w:r>
      <w:r>
        <w:rPr>
          <w:color w:val="auto"/>
          <w:sz w:val="22"/>
          <w:szCs w:val="22"/>
        </w:rPr>
        <w:t>法律、法规规定的其他情况。</w:t>
      </w:r>
    </w:p>
    <w:p w14:paraId="581231B5">
      <w:pPr>
        <w:pStyle w:val="10"/>
        <w:numPr>
          <w:ilvl w:val="0"/>
          <w:numId w:val="5"/>
        </w:numPr>
        <w:spacing w:line="360" w:lineRule="auto"/>
        <w:ind w:left="638" w:leftChars="0" w:firstLine="420" w:firstLineChars="0"/>
        <w:rPr>
          <w:color w:val="auto"/>
          <w:sz w:val="22"/>
          <w:szCs w:val="22"/>
        </w:rPr>
      </w:pPr>
      <w:r>
        <w:rPr>
          <w:color w:val="auto"/>
          <w:sz w:val="22"/>
          <w:szCs w:val="22"/>
        </w:rPr>
        <w:t>出现下列情形之一，招标人有权否决所有投标人的投标，并终止招标。</w:t>
      </w:r>
    </w:p>
    <w:p w14:paraId="4110BD69">
      <w:pPr>
        <w:pStyle w:val="10"/>
        <w:spacing w:line="360" w:lineRule="auto"/>
        <w:ind w:left="1058"/>
        <w:rPr>
          <w:color w:val="auto"/>
          <w:sz w:val="22"/>
          <w:szCs w:val="22"/>
        </w:rPr>
      </w:pPr>
      <w:r>
        <w:rPr>
          <w:rFonts w:hint="eastAsia"/>
          <w:color w:val="auto"/>
          <w:sz w:val="22"/>
          <w:szCs w:val="22"/>
          <w:highlight w:val="none"/>
        </w:rPr>
        <w:t>⑴</w:t>
      </w:r>
      <w:r>
        <w:rPr>
          <w:color w:val="auto"/>
          <w:sz w:val="22"/>
          <w:szCs w:val="22"/>
          <w:highlight w:val="none"/>
        </w:rPr>
        <w:t>符合条件的投标人或者对招标文件做实质响应的投标人不足三家的；</w:t>
      </w:r>
      <w:r>
        <w:rPr>
          <w:color w:val="auto"/>
          <w:sz w:val="22"/>
          <w:szCs w:val="22"/>
        </w:rPr>
        <w:t>出现影响采购公正的违法、违规行为的；</w:t>
      </w:r>
    </w:p>
    <w:p w14:paraId="3E293A2E">
      <w:pPr>
        <w:pStyle w:val="10"/>
        <w:spacing w:line="360" w:lineRule="auto"/>
        <w:ind w:firstLine="1100" w:firstLineChars="500"/>
        <w:rPr>
          <w:color w:val="auto"/>
          <w:sz w:val="22"/>
          <w:szCs w:val="22"/>
        </w:rPr>
      </w:pPr>
      <w:r>
        <w:rPr>
          <w:rFonts w:hint="eastAsia"/>
          <w:color w:val="auto"/>
          <w:sz w:val="22"/>
          <w:szCs w:val="22"/>
        </w:rPr>
        <w:t>⑵</w:t>
      </w:r>
      <w:r>
        <w:rPr>
          <w:color w:val="auto"/>
          <w:sz w:val="22"/>
          <w:szCs w:val="22"/>
        </w:rPr>
        <w:t>因重大变故，采购任务取消的；</w:t>
      </w:r>
    </w:p>
    <w:p w14:paraId="6B717B9E">
      <w:pPr>
        <w:pStyle w:val="10"/>
        <w:spacing w:line="360" w:lineRule="auto"/>
        <w:ind w:firstLine="1100"/>
        <w:rPr>
          <w:color w:val="auto"/>
          <w:sz w:val="22"/>
          <w:szCs w:val="22"/>
        </w:rPr>
      </w:pPr>
      <w:r>
        <w:rPr>
          <w:rFonts w:hint="eastAsia"/>
          <w:color w:val="auto"/>
          <w:sz w:val="22"/>
          <w:szCs w:val="22"/>
        </w:rPr>
        <w:t>⑶</w:t>
      </w:r>
      <w:r>
        <w:rPr>
          <w:color w:val="auto"/>
          <w:sz w:val="22"/>
          <w:szCs w:val="22"/>
        </w:rPr>
        <w:t>招标人认为其他应终止招标的情形。</w:t>
      </w:r>
    </w:p>
    <w:p w14:paraId="5FC5A647">
      <w:pPr>
        <w:pStyle w:val="10"/>
        <w:spacing w:line="360" w:lineRule="auto"/>
        <w:ind w:firstLine="1100"/>
        <w:rPr>
          <w:color w:val="auto"/>
          <w:szCs w:val="22"/>
          <w:highlight w:val="none"/>
          <w:lang w:val="en-US"/>
        </w:rPr>
      </w:pPr>
      <w:r>
        <w:rPr>
          <w:rFonts w:hint="eastAsia"/>
          <w:color w:val="auto"/>
          <w:sz w:val="22"/>
          <w:szCs w:val="22"/>
        </w:rPr>
        <w:t>⑷</w:t>
      </w:r>
      <w:r>
        <w:rPr>
          <w:rFonts w:hint="eastAsia"/>
          <w:color w:val="auto"/>
          <w:sz w:val="22"/>
          <w:szCs w:val="22"/>
          <w:highlight w:val="none"/>
          <w:lang w:val="en-US"/>
        </w:rPr>
        <w:t>评标委员会经评审，认为所有投标都不符合招标文件要求的。</w:t>
      </w:r>
    </w:p>
    <w:p w14:paraId="3C9BD47A">
      <w:pPr>
        <w:pStyle w:val="3"/>
        <w:spacing w:before="130" w:line="360" w:lineRule="auto"/>
        <w:rPr>
          <w:color w:val="auto"/>
        </w:rPr>
      </w:pPr>
      <w:r>
        <w:rPr>
          <w:color w:val="auto"/>
        </w:rPr>
        <w:t>十、中标人瑕疵滞后发现的处理原则</w:t>
      </w:r>
    </w:p>
    <w:p w14:paraId="7AD722FF">
      <w:pPr>
        <w:pStyle w:val="10"/>
        <w:spacing w:before="15" w:line="360" w:lineRule="auto"/>
        <w:ind w:left="638" w:right="640" w:firstLine="420"/>
        <w:jc w:val="both"/>
        <w:rPr>
          <w:color w:val="auto"/>
          <w:sz w:val="22"/>
          <w:szCs w:val="22"/>
        </w:rPr>
      </w:pPr>
      <w:r>
        <w:rPr>
          <w:color w:val="auto"/>
          <w:sz w:val="22"/>
          <w:szCs w:val="22"/>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因招标产生的相关费用以及一切损失均由中标人承担。</w:t>
      </w:r>
    </w:p>
    <w:p w14:paraId="593C942A">
      <w:pPr>
        <w:pStyle w:val="3"/>
        <w:spacing w:before="86" w:line="360" w:lineRule="auto"/>
        <w:rPr>
          <w:color w:val="auto"/>
        </w:rPr>
      </w:pPr>
      <w:r>
        <w:rPr>
          <w:color w:val="auto"/>
        </w:rPr>
        <w:t>十一、技术要求</w:t>
      </w:r>
    </w:p>
    <w:p w14:paraId="179A4F93">
      <w:pPr>
        <w:pStyle w:val="10"/>
        <w:spacing w:before="111" w:line="360" w:lineRule="auto"/>
        <w:ind w:left="1058"/>
        <w:rPr>
          <w:color w:val="auto"/>
        </w:rPr>
      </w:pPr>
      <w:r>
        <w:rPr>
          <w:color w:val="auto"/>
          <w:sz w:val="22"/>
          <w:szCs w:val="22"/>
        </w:rPr>
        <w:t>见本招标文件“第三章技术协议书”，附后。</w:t>
      </w:r>
    </w:p>
    <w:p w14:paraId="7129A061">
      <w:pPr>
        <w:pStyle w:val="3"/>
        <w:spacing w:before="86" w:line="360" w:lineRule="auto"/>
        <w:rPr>
          <w:color w:val="auto"/>
          <w:highlight w:val="none"/>
        </w:rPr>
      </w:pPr>
      <w:r>
        <w:rPr>
          <w:color w:val="auto"/>
          <w:highlight w:val="none"/>
        </w:rPr>
        <w:t>十</w:t>
      </w:r>
      <w:r>
        <w:rPr>
          <w:rFonts w:hint="eastAsia"/>
          <w:color w:val="auto"/>
          <w:highlight w:val="none"/>
        </w:rPr>
        <w:t>二</w:t>
      </w:r>
      <w:r>
        <w:rPr>
          <w:color w:val="auto"/>
          <w:highlight w:val="none"/>
        </w:rPr>
        <w:t>、</w:t>
      </w:r>
      <w:r>
        <w:rPr>
          <w:rFonts w:hint="eastAsia"/>
          <w:color w:val="auto"/>
          <w:highlight w:val="none"/>
        </w:rPr>
        <w:t>解释权</w:t>
      </w:r>
    </w:p>
    <w:p w14:paraId="5E8CAA77">
      <w:pPr>
        <w:pStyle w:val="10"/>
        <w:spacing w:before="15" w:line="360" w:lineRule="auto"/>
        <w:ind w:left="638" w:right="640" w:firstLine="420"/>
        <w:jc w:val="both"/>
        <w:rPr>
          <w:color w:val="auto"/>
          <w:highlight w:val="none"/>
        </w:rPr>
        <w:sectPr>
          <w:headerReference r:id="rId3" w:type="default"/>
          <w:footerReference r:id="rId4" w:type="default"/>
          <w:pgSz w:w="11910" w:h="16840"/>
          <w:pgMar w:top="1240" w:right="820" w:bottom="1180" w:left="780" w:header="506" w:footer="978" w:gutter="0"/>
          <w:cols w:space="720" w:num="1"/>
        </w:sectPr>
      </w:pPr>
      <w:r>
        <w:rPr>
          <w:rFonts w:hint="eastAsia"/>
          <w:color w:val="auto"/>
          <w:sz w:val="22"/>
          <w:szCs w:val="22"/>
          <w:highlight w:val="none"/>
        </w:rPr>
        <w:t>本招标文件的最终解释权归招标人，当对一个问题有多种解释时以招标人的书面解释为准。招标文件未做明示，而又有相关法律、法规规定的，招标人对此所做解释以相关的法律、法规规定为依据。</w:t>
      </w:r>
    </w:p>
    <w:p w14:paraId="20760732">
      <w:pPr>
        <w:rPr>
          <w:color w:val="auto"/>
          <w:sz w:val="20"/>
        </w:rPr>
      </w:pPr>
    </w:p>
    <w:p w14:paraId="762BE2CF">
      <w:pPr>
        <w:pStyle w:val="22"/>
        <w:snapToGrid w:val="0"/>
        <w:rPr>
          <w:rFonts w:ascii="黑体" w:hAnsi="黑体" w:eastAsia="黑体"/>
        </w:rPr>
      </w:pPr>
      <w:bookmarkStart w:id="17" w:name="第二章投标文件编制"/>
      <w:bookmarkEnd w:id="17"/>
      <w:r>
        <w:rPr>
          <w:rFonts w:hint="eastAsia"/>
          <w:lang w:val="en-US"/>
        </w:rPr>
        <w:t>附件：</w:t>
      </w:r>
      <w:r>
        <w:rPr>
          <w:rFonts w:hint="eastAsia" w:ascii="黑体" w:hAnsi="黑体" w:eastAsia="黑体"/>
        </w:rPr>
        <w:t>E采通</w:t>
      </w:r>
      <w:r>
        <w:rPr>
          <w:rFonts w:ascii="黑体" w:hAnsi="黑体" w:eastAsia="黑体"/>
        </w:rPr>
        <w:t>操作手册</w:t>
      </w:r>
    </w:p>
    <w:p w14:paraId="13BD93C0">
      <w:pPr>
        <w:pStyle w:val="5"/>
        <w:spacing w:line="360" w:lineRule="auto"/>
        <w:ind w:left="440" w:leftChars="200"/>
      </w:pPr>
      <w:r>
        <w:t>注册</w:t>
      </w:r>
      <w:r>
        <w:rPr>
          <w:rFonts w:hint="eastAsia"/>
        </w:rPr>
        <w:t>账号</w:t>
      </w:r>
    </w:p>
    <w:p w14:paraId="0505CEC3">
      <w:pPr>
        <w:spacing w:line="360" w:lineRule="auto"/>
        <w:ind w:firstLine="442" w:firstLineChars="200"/>
        <w:rPr>
          <w:b/>
        </w:rPr>
      </w:pPr>
      <w:r>
        <w:rPr>
          <w:rFonts w:hint="eastAsia"/>
          <w:b/>
        </w:rPr>
        <w:t>1、浏览器中输入地址：</w:t>
      </w:r>
      <w:r>
        <w:fldChar w:fldCharType="begin"/>
      </w:r>
      <w:r>
        <w:instrText xml:space="preserve"> HYPERLINK "http://ecaitong.sinotruk.com:8012/" \l "/login normalLink /tdkey d38o9f /tdfe -10 /tdfu http:/ecaitong.sinotruk.com:8012/" </w:instrText>
      </w:r>
      <w:r>
        <w:fldChar w:fldCharType="separate"/>
      </w:r>
      <w:r>
        <w:rPr>
          <w:b/>
        </w:rPr>
        <w:t>http</w:t>
      </w:r>
      <w:r>
        <w:rPr>
          <w:rFonts w:hint="eastAsia"/>
          <w:b/>
        </w:rPr>
        <w:t>s</w:t>
      </w:r>
      <w:r>
        <w:rPr>
          <w:b/>
        </w:rPr>
        <w:t>://ecaitong.sinotruk.com:8012/#/login</w:t>
      </w:r>
      <w:r>
        <w:rPr>
          <w:b/>
        </w:rPr>
        <w:fldChar w:fldCharType="end"/>
      </w:r>
      <w:r>
        <w:rPr>
          <w:rFonts w:hint="eastAsia"/>
          <w:b/>
        </w:rPr>
        <w:t>，点击立即注册。</w:t>
      </w:r>
    </w:p>
    <w:p w14:paraId="092A2F79">
      <w:pPr>
        <w:snapToGrid w:val="0"/>
        <w:spacing w:line="360" w:lineRule="auto"/>
        <w:jc w:val="center"/>
      </w:pPr>
      <w:r>
        <w:drawing>
          <wp:inline distT="0" distB="0" distL="114300" distR="114300">
            <wp:extent cx="5840730" cy="2700020"/>
            <wp:effectExtent l="0" t="0" r="7620" b="5080"/>
            <wp:docPr id="4" name="图片 12"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descr="descript"/>
                    <pic:cNvPicPr>
                      <a:picLocks noChangeAspect="1"/>
                    </pic:cNvPicPr>
                  </pic:nvPicPr>
                  <pic:blipFill>
                    <a:blip r:embed="rId8"/>
                    <a:stretch>
                      <a:fillRect/>
                    </a:stretch>
                  </pic:blipFill>
                  <pic:spPr>
                    <a:xfrm>
                      <a:off x="0" y="0"/>
                      <a:ext cx="5840730" cy="2700020"/>
                    </a:xfrm>
                    <a:prstGeom prst="rect">
                      <a:avLst/>
                    </a:prstGeom>
                    <a:noFill/>
                    <a:ln>
                      <a:noFill/>
                    </a:ln>
                  </pic:spPr>
                </pic:pic>
              </a:graphicData>
            </a:graphic>
          </wp:inline>
        </w:drawing>
      </w:r>
    </w:p>
    <w:p w14:paraId="2BEA59BF">
      <w:pPr>
        <w:spacing w:line="360" w:lineRule="auto"/>
        <w:ind w:firstLine="442" w:firstLineChars="200"/>
        <w:rPr>
          <w:b/>
        </w:rPr>
      </w:pPr>
      <w:r>
        <w:rPr>
          <w:b/>
        </w:rPr>
        <w:t>2.    </w:t>
      </w:r>
      <w:r>
        <w:rPr>
          <w:rFonts w:hint="eastAsia"/>
          <w:b/>
        </w:rPr>
        <w:t>填写手机号码（没有注册过的）</w:t>
      </w:r>
    </w:p>
    <w:p w14:paraId="52BABE3F">
      <w:pPr>
        <w:snapToGrid w:val="0"/>
        <w:spacing w:line="360" w:lineRule="auto"/>
        <w:jc w:val="center"/>
      </w:pPr>
      <w:r>
        <w:drawing>
          <wp:inline distT="0" distB="0" distL="114300" distR="114300">
            <wp:extent cx="5753735" cy="2769235"/>
            <wp:effectExtent l="0" t="0" r="8890" b="2540"/>
            <wp:docPr id="5" name="图片 11"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descr="descript"/>
                    <pic:cNvPicPr>
                      <a:picLocks noChangeAspect="1"/>
                    </pic:cNvPicPr>
                  </pic:nvPicPr>
                  <pic:blipFill>
                    <a:blip r:embed="rId9"/>
                    <a:stretch>
                      <a:fillRect/>
                    </a:stretch>
                  </pic:blipFill>
                  <pic:spPr>
                    <a:xfrm>
                      <a:off x="0" y="0"/>
                      <a:ext cx="5753735" cy="2769235"/>
                    </a:xfrm>
                    <a:prstGeom prst="rect">
                      <a:avLst/>
                    </a:prstGeom>
                    <a:noFill/>
                    <a:ln>
                      <a:noFill/>
                    </a:ln>
                  </pic:spPr>
                </pic:pic>
              </a:graphicData>
            </a:graphic>
          </wp:inline>
        </w:drawing>
      </w:r>
    </w:p>
    <w:p w14:paraId="0F963AA6">
      <w:pPr>
        <w:spacing w:line="360" w:lineRule="auto"/>
        <w:ind w:firstLine="442" w:firstLineChars="200"/>
        <w:rPr>
          <w:b/>
        </w:rPr>
      </w:pPr>
      <w:r>
        <w:rPr>
          <w:b/>
        </w:rPr>
        <w:t>3.    </w:t>
      </w:r>
      <w:r>
        <w:rPr>
          <w:rFonts w:hint="eastAsia"/>
          <w:b/>
        </w:rPr>
        <w:t>注册成功登录这个手机号码的账号进入系统，点击供应商注册</w:t>
      </w:r>
    </w:p>
    <w:p w14:paraId="016E9347">
      <w:pPr>
        <w:snapToGrid w:val="0"/>
        <w:spacing w:line="360" w:lineRule="auto"/>
      </w:pPr>
      <w:r>
        <w:drawing>
          <wp:inline distT="0" distB="0" distL="114300" distR="114300">
            <wp:extent cx="5762625" cy="2863850"/>
            <wp:effectExtent l="0" t="0" r="0" b="3175"/>
            <wp:docPr id="6" name="图片 10"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descript"/>
                    <pic:cNvPicPr>
                      <a:picLocks noChangeAspect="1"/>
                    </pic:cNvPicPr>
                  </pic:nvPicPr>
                  <pic:blipFill>
                    <a:blip r:embed="rId10"/>
                    <a:stretch>
                      <a:fillRect/>
                    </a:stretch>
                  </pic:blipFill>
                  <pic:spPr>
                    <a:xfrm>
                      <a:off x="0" y="0"/>
                      <a:ext cx="5762625" cy="2863850"/>
                    </a:xfrm>
                    <a:prstGeom prst="rect">
                      <a:avLst/>
                    </a:prstGeom>
                    <a:noFill/>
                    <a:ln>
                      <a:noFill/>
                    </a:ln>
                  </pic:spPr>
                </pic:pic>
              </a:graphicData>
            </a:graphic>
          </wp:inline>
        </w:drawing>
      </w:r>
    </w:p>
    <w:p w14:paraId="77BE3865">
      <w:pPr>
        <w:spacing w:line="360" w:lineRule="auto"/>
        <w:ind w:firstLine="442" w:firstLineChars="200"/>
        <w:rPr>
          <w:b/>
        </w:rPr>
      </w:pPr>
      <w:r>
        <w:rPr>
          <w:b/>
        </w:rPr>
        <w:t>4.    </w:t>
      </w:r>
      <w:r>
        <w:rPr>
          <w:rFonts w:hint="eastAsia"/>
          <w:b/>
        </w:rPr>
        <w:t>点击新增</w:t>
      </w:r>
    </w:p>
    <w:p w14:paraId="68F577BE">
      <w:pPr>
        <w:snapToGrid w:val="0"/>
        <w:spacing w:line="360" w:lineRule="auto"/>
      </w:pPr>
      <w:r>
        <w:drawing>
          <wp:inline distT="0" distB="0" distL="114300" distR="114300">
            <wp:extent cx="5753735" cy="2855595"/>
            <wp:effectExtent l="0" t="0" r="8890" b="1905"/>
            <wp:docPr id="7" name="图片 9"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descript"/>
                    <pic:cNvPicPr>
                      <a:picLocks noChangeAspect="1"/>
                    </pic:cNvPicPr>
                  </pic:nvPicPr>
                  <pic:blipFill>
                    <a:blip r:embed="rId11"/>
                    <a:stretch>
                      <a:fillRect/>
                    </a:stretch>
                  </pic:blipFill>
                  <pic:spPr>
                    <a:xfrm>
                      <a:off x="0" y="0"/>
                      <a:ext cx="5753735" cy="2855595"/>
                    </a:xfrm>
                    <a:prstGeom prst="rect">
                      <a:avLst/>
                    </a:prstGeom>
                    <a:noFill/>
                    <a:ln>
                      <a:noFill/>
                    </a:ln>
                  </pic:spPr>
                </pic:pic>
              </a:graphicData>
            </a:graphic>
          </wp:inline>
        </w:drawing>
      </w:r>
    </w:p>
    <w:p w14:paraId="156EB24B">
      <w:pPr>
        <w:spacing w:line="360" w:lineRule="auto"/>
        <w:ind w:firstLine="442" w:firstLineChars="200"/>
        <w:rPr>
          <w:b/>
          <w:color w:val="auto"/>
        </w:rPr>
      </w:pPr>
      <w:r>
        <w:rPr>
          <w:b/>
        </w:rPr>
        <w:t>5</w:t>
      </w:r>
      <w:r>
        <w:rPr>
          <w:rFonts w:hint="eastAsia"/>
          <w:b/>
        </w:rPr>
        <w:t>按要求填写所有信息，</w:t>
      </w:r>
      <w:r>
        <w:rPr>
          <w:rFonts w:hint="eastAsia"/>
          <w:b/>
          <w:lang w:val="en-US"/>
        </w:rPr>
        <w:t>其中选择类别为：</w:t>
      </w:r>
      <w:r>
        <w:rPr>
          <w:rFonts w:ascii="宋体" w:hAnsi="宋体" w:eastAsia="宋体" w:cs="宋体"/>
          <w:color w:val="auto"/>
          <w:sz w:val="24"/>
          <w:szCs w:val="24"/>
        </w:rPr>
        <w:t>注册时供应商属性请选择非生产供方，管理单位选择直管单位，意向配套单位选择直管单位。供货类别选择：直管单位非生产招标 / 货物 / 售后维保</w:t>
      </w:r>
    </w:p>
    <w:p w14:paraId="4ED31C0A">
      <w:pPr>
        <w:tabs>
          <w:tab w:val="left" w:pos="312"/>
        </w:tabs>
        <w:spacing w:line="360" w:lineRule="auto"/>
        <w:ind w:firstLine="440" w:firstLineChars="200"/>
      </w:pPr>
      <w:r>
        <w:rPr>
          <w:rFonts w:hint="eastAsia"/>
        </w:rPr>
        <w:t>统一社会信用代码字段，是供应商的唯一标识字段，没有校验规则，如果系统报统一社会信用代码重复则说明此供应商已经在</w:t>
      </w:r>
      <w:r>
        <w:t>e</w:t>
      </w:r>
      <w:r>
        <w:rPr>
          <w:rFonts w:hint="eastAsia"/>
        </w:rPr>
        <w:t>采通内存在，请咨询对应的采购工程师账号密码。</w:t>
      </w:r>
    </w:p>
    <w:p w14:paraId="3E0CAB65">
      <w:pPr>
        <w:tabs>
          <w:tab w:val="left" w:pos="312"/>
        </w:tabs>
        <w:spacing w:line="360" w:lineRule="auto"/>
        <w:ind w:firstLine="440" w:firstLineChars="200"/>
      </w:pPr>
      <w:r>
        <w:rPr>
          <w:rFonts w:hint="eastAsia"/>
        </w:rPr>
        <w:t>采购形式编号</w:t>
      </w:r>
      <w:r>
        <w:t>(</w:t>
      </w:r>
      <w:r>
        <w:rPr>
          <w:rFonts w:hint="eastAsia"/>
        </w:rPr>
        <w:t>非生产类必填</w:t>
      </w:r>
      <w:r>
        <w:t>)</w:t>
      </w:r>
      <w:r>
        <w:rPr>
          <w:rFonts w:hint="eastAsia"/>
        </w:rPr>
        <w:t>和投标项目名称</w:t>
      </w:r>
      <w:r>
        <w:t>(</w:t>
      </w:r>
      <w:r>
        <w:rPr>
          <w:rFonts w:hint="eastAsia"/>
        </w:rPr>
        <w:t>非生产类必填</w:t>
      </w:r>
      <w:r>
        <w:t>)</w:t>
      </w:r>
      <w:r>
        <w:rPr>
          <w:rFonts w:hint="eastAsia"/>
        </w:rPr>
        <w:t>、近三年财务指标情况，对于非生产类供应商都是必填项，对于生产类供应商不是必填项。</w:t>
      </w:r>
    </w:p>
    <w:p w14:paraId="556A0542">
      <w:pPr>
        <w:tabs>
          <w:tab w:val="left" w:pos="312"/>
        </w:tabs>
        <w:spacing w:line="360" w:lineRule="auto"/>
        <w:ind w:firstLine="440" w:firstLineChars="200"/>
      </w:pPr>
      <w:r>
        <w:rPr>
          <w:rFonts w:hint="eastAsia"/>
          <w:bCs/>
        </w:rPr>
        <w:t>配套能力：此字段需要仔细选择供应商的供货类别数据，如果不确定请先联系重汽内部的采购工程师咨询之后再选择填写，此字段直接影响提交之后的审批流由谁审批，另外后面的业务主管部门对于非生产类供应商是必填项，同样的如果不确定请先联系重汽内部的采购工程师咨询之后再选择填写，此字段直接影响提交之后的审批流由谁审批。</w:t>
      </w:r>
    </w:p>
    <w:p w14:paraId="67CDFF39">
      <w:pPr>
        <w:tabs>
          <w:tab w:val="left" w:pos="312"/>
        </w:tabs>
        <w:spacing w:line="360" w:lineRule="auto"/>
        <w:ind w:firstLine="440" w:firstLineChars="200"/>
      </w:pPr>
      <w:r>
        <w:rPr>
          <w:rFonts w:hint="eastAsia"/>
          <w:bCs/>
        </w:rPr>
        <w:t>提交成功之后进入审批流，每个节点都会由</w:t>
      </w:r>
      <w:r>
        <w:rPr>
          <w:bCs/>
        </w:rPr>
        <w:t>1</w:t>
      </w:r>
      <w:r>
        <w:rPr>
          <w:rFonts w:hint="eastAsia"/>
          <w:bCs/>
        </w:rPr>
        <w:t>个或多个负责人审批，如果有多个负责，由任何一人审批通过即可，每个节点均有驳回、退回、不同意（少数节点没有）、通过，驳回是指根据审批流程上的驳回线驳回到对于节点，退回是指退回到上一节点，通过则是指同意流转到下一节点，不同意则是指不同意此次流程对于供应商来说就是不允许供应商注册（不同意按钮慎点，不然系统内不再允许此供应商注册，如再想注册只能删数据库，请务必注意）。</w:t>
      </w:r>
    </w:p>
    <w:p w14:paraId="49F42BFC">
      <w:pPr>
        <w:tabs>
          <w:tab w:val="left" w:pos="312"/>
        </w:tabs>
        <w:spacing w:line="360" w:lineRule="auto"/>
        <w:ind w:firstLine="440" w:firstLineChars="200"/>
      </w:pPr>
      <w:r>
        <w:rPr>
          <w:rFonts w:hint="eastAsia"/>
        </w:rPr>
        <w:t>营业执照有效结束日期目前限制在当前日期及之前，应该限制在当前日期之后，最大允许“</w:t>
      </w:r>
      <w:r>
        <w:t>9999-12-31</w:t>
      </w:r>
      <w:r>
        <w:rPr>
          <w:rFonts w:hint="eastAsia"/>
        </w:rPr>
        <w:t>”，即代表永久有效。</w:t>
      </w:r>
    </w:p>
    <w:p w14:paraId="7F38E64A">
      <w:pPr>
        <w:tabs>
          <w:tab w:val="left" w:pos="312"/>
        </w:tabs>
        <w:spacing w:line="360" w:lineRule="auto"/>
        <w:ind w:firstLine="440" w:firstLineChars="200"/>
      </w:pPr>
      <w:r>
        <w:rPr>
          <w:rFonts w:hint="eastAsia"/>
        </w:rPr>
        <w:t>审批流程全部走完结束之后，且有短信通知供应商才算正式进入</w:t>
      </w:r>
      <w:r>
        <w:t>e</w:t>
      </w:r>
      <w:r>
        <w:rPr>
          <w:rFonts w:hint="eastAsia"/>
        </w:rPr>
        <w:t>采通。</w:t>
      </w:r>
    </w:p>
    <w:p w14:paraId="1BD11077">
      <w:pPr>
        <w:pStyle w:val="8"/>
        <w:tabs>
          <w:tab w:val="left" w:pos="312"/>
        </w:tabs>
        <w:spacing w:line="360" w:lineRule="auto"/>
      </w:pPr>
      <w:r>
        <w:rPr>
          <w:rFonts w:hint="eastAsia"/>
        </w:rPr>
        <w:t>点击“查看”按钮可以进行查看注册信息，供应商提交注册之后想查看审批进度，可以点击此按钮。</w:t>
      </w:r>
    </w:p>
    <w:p w14:paraId="50FF0129">
      <w:pPr>
        <w:spacing w:line="360" w:lineRule="auto"/>
      </w:pPr>
      <w:r>
        <w:drawing>
          <wp:inline distT="0" distB="0" distL="114300" distR="114300">
            <wp:extent cx="5762625" cy="2803525"/>
            <wp:effectExtent l="0" t="0" r="0" b="6350"/>
            <wp:docPr id="8" name="图片 8"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escript"/>
                    <pic:cNvPicPr>
                      <a:picLocks noChangeAspect="1"/>
                    </pic:cNvPicPr>
                  </pic:nvPicPr>
                  <pic:blipFill>
                    <a:blip r:embed="rId12"/>
                    <a:stretch>
                      <a:fillRect/>
                    </a:stretch>
                  </pic:blipFill>
                  <pic:spPr>
                    <a:xfrm>
                      <a:off x="0" y="0"/>
                      <a:ext cx="5762625" cy="2803525"/>
                    </a:xfrm>
                    <a:prstGeom prst="rect">
                      <a:avLst/>
                    </a:prstGeom>
                    <a:noFill/>
                    <a:ln>
                      <a:noFill/>
                    </a:ln>
                  </pic:spPr>
                </pic:pic>
              </a:graphicData>
            </a:graphic>
          </wp:inline>
        </w:drawing>
      </w:r>
    </w:p>
    <w:p w14:paraId="1B572983">
      <w:pPr>
        <w:snapToGrid w:val="0"/>
        <w:spacing w:line="360" w:lineRule="auto"/>
      </w:pPr>
      <w:r>
        <w:drawing>
          <wp:inline distT="0" distB="0" distL="114300" distR="114300">
            <wp:extent cx="5753735" cy="2820670"/>
            <wp:effectExtent l="0" t="0" r="8890" b="8255"/>
            <wp:docPr id="9" name="图片 7" descr="de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descript"/>
                    <pic:cNvPicPr>
                      <a:picLocks noChangeAspect="1"/>
                    </pic:cNvPicPr>
                  </pic:nvPicPr>
                  <pic:blipFill>
                    <a:blip r:embed="rId13"/>
                    <a:stretch>
                      <a:fillRect/>
                    </a:stretch>
                  </pic:blipFill>
                  <pic:spPr>
                    <a:xfrm>
                      <a:off x="0" y="0"/>
                      <a:ext cx="5753735" cy="2820670"/>
                    </a:xfrm>
                    <a:prstGeom prst="rect">
                      <a:avLst/>
                    </a:prstGeom>
                    <a:noFill/>
                    <a:ln>
                      <a:noFill/>
                    </a:ln>
                  </pic:spPr>
                </pic:pic>
              </a:graphicData>
            </a:graphic>
          </wp:inline>
        </w:drawing>
      </w:r>
    </w:p>
    <w:p w14:paraId="7A7B07DC">
      <w:pPr>
        <w:spacing w:line="360" w:lineRule="auto"/>
        <w:ind w:firstLine="442" w:firstLineChars="200"/>
        <w:rPr>
          <w:b/>
        </w:rPr>
      </w:pPr>
      <w:r>
        <w:rPr>
          <w:rFonts w:hint="eastAsia"/>
          <w:b/>
        </w:rPr>
        <w:t>6</w:t>
      </w:r>
      <w:r>
        <w:rPr>
          <w:b/>
        </w:rPr>
        <w:t>.</w:t>
      </w:r>
      <w:r>
        <w:rPr>
          <w:rFonts w:hint="eastAsia"/>
          <w:b/>
        </w:rPr>
        <w:t>重置密码</w:t>
      </w:r>
    </w:p>
    <w:p w14:paraId="35F0D891">
      <w:pPr>
        <w:spacing w:line="360" w:lineRule="auto"/>
        <w:ind w:firstLine="440" w:firstLineChars="200"/>
      </w:pPr>
      <w:r>
        <w:rPr>
          <w:rFonts w:hint="eastAsia"/>
        </w:rPr>
        <w:t>对于新注册的供应商，审批流程结束之后</w:t>
      </w:r>
      <w:r>
        <w:t>e</w:t>
      </w:r>
      <w:r>
        <w:rPr>
          <w:rFonts w:hint="eastAsia"/>
        </w:rPr>
        <w:t>采通系统会发送短信到注册的收据号上，会告知登录账号和密码，账号为</w:t>
      </w:r>
      <w:r>
        <w:rPr>
          <w:highlight w:val="yellow"/>
        </w:rPr>
        <w:t>gys+6</w:t>
      </w:r>
      <w:r>
        <w:rPr>
          <w:rFonts w:hint="eastAsia"/>
          <w:highlight w:val="yellow"/>
        </w:rPr>
        <w:t>位供应商代码</w:t>
      </w:r>
      <w:r>
        <w:rPr>
          <w:rFonts w:hint="eastAsia"/>
        </w:rPr>
        <w:t>，密码为初始密码</w:t>
      </w:r>
      <w:r>
        <w:rPr>
          <w:rFonts w:hint="eastAsia" w:ascii="仿宋" w:hAnsi="仿宋" w:eastAsia="仿宋" w:cs="仿宋"/>
          <w:szCs w:val="28"/>
          <w:highlight w:val="yellow"/>
          <w:lang w:bidi="ar"/>
        </w:rPr>
        <w:t>scm</w:t>
      </w:r>
      <w:r>
        <w:rPr>
          <w:rFonts w:ascii="仿宋" w:hAnsi="仿宋" w:eastAsia="仿宋" w:cs="仿宋"/>
          <w:szCs w:val="28"/>
          <w:highlight w:val="yellow"/>
          <w:lang w:bidi="ar"/>
        </w:rPr>
        <w:t>@2023</w:t>
      </w:r>
      <w:r>
        <w:rPr>
          <w:rFonts w:hint="eastAsia"/>
        </w:rPr>
        <w:t>。登录系统之后，立即绑定手机号，后续所有的密码重置都可以在登录界面点击忘记密码按钮，验证手机号码进行重置。</w:t>
      </w:r>
    </w:p>
    <w:p w14:paraId="2DF45E5A">
      <w:pPr>
        <w:spacing w:line="360" w:lineRule="auto"/>
        <w:ind w:firstLine="440" w:firstLineChars="200"/>
      </w:pPr>
      <w:r>
        <w:rPr>
          <w:rFonts w:hint="eastAsia"/>
        </w:rPr>
        <w:t>如果是供应商初次登录且还没绑定手机号码的，请咨询采购工程师，让他们协助重置密码。</w:t>
      </w:r>
    </w:p>
    <w:p w14:paraId="296F729A">
      <w:pPr>
        <w:pStyle w:val="5"/>
        <w:spacing w:line="360" w:lineRule="auto"/>
        <w:ind w:left="440" w:leftChars="200"/>
      </w:pPr>
      <w:r>
        <w:rPr>
          <w:rFonts w:hint="eastAsia"/>
        </w:rPr>
        <w:t>供应商应标</w:t>
      </w:r>
    </w:p>
    <w:p w14:paraId="37B52198">
      <w:pPr>
        <w:spacing w:line="360" w:lineRule="auto"/>
        <w:ind w:firstLine="440" w:firstLineChars="200"/>
      </w:pPr>
      <w:r>
        <w:rPr>
          <w:rFonts w:hint="eastAsia"/>
        </w:rPr>
        <w:t>路径：招投标中心-非生产类招投标-供应商应标</w:t>
      </w:r>
    </w:p>
    <w:p w14:paraId="34F404C7">
      <w:pPr>
        <w:spacing w:line="360" w:lineRule="auto"/>
        <w:ind w:firstLine="440" w:firstLineChars="200"/>
      </w:pPr>
      <w:r>
        <w:rPr>
          <w:rFonts w:hint="eastAsia"/>
        </w:rPr>
        <w:t>点击应标，上传文件之后点击提交。</w:t>
      </w:r>
    </w:p>
    <w:p w14:paraId="61EB5D38">
      <w:pPr>
        <w:spacing w:line="360" w:lineRule="auto"/>
        <w:ind w:firstLine="442" w:firstLineChars="200"/>
        <w:rPr>
          <w:b/>
        </w:rPr>
      </w:pPr>
      <w:r>
        <w:rPr>
          <w:rFonts w:hint="eastAsia"/>
          <w:b/>
          <w:highlight w:val="yellow"/>
        </w:rPr>
        <w:t>一定要在标书中规定的应标截止时间之前提交，否则将无法提交，即报名失败。</w:t>
      </w:r>
    </w:p>
    <w:p w14:paraId="7BDAE7B4">
      <w:pPr>
        <w:spacing w:line="360" w:lineRule="auto"/>
        <w:ind w:firstLine="440" w:firstLineChars="200"/>
      </w:pPr>
      <w:r>
        <w:drawing>
          <wp:inline distT="0" distB="0" distL="114300" distR="114300">
            <wp:extent cx="5753735" cy="2268855"/>
            <wp:effectExtent l="0" t="0" r="8890" b="762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4"/>
                    <a:stretch>
                      <a:fillRect/>
                    </a:stretch>
                  </pic:blipFill>
                  <pic:spPr>
                    <a:xfrm>
                      <a:off x="0" y="0"/>
                      <a:ext cx="5753735" cy="2268855"/>
                    </a:xfrm>
                    <a:prstGeom prst="rect">
                      <a:avLst/>
                    </a:prstGeom>
                    <a:noFill/>
                    <a:ln>
                      <a:noFill/>
                    </a:ln>
                  </pic:spPr>
                </pic:pic>
              </a:graphicData>
            </a:graphic>
          </wp:inline>
        </w:drawing>
      </w:r>
    </w:p>
    <w:p w14:paraId="54F2F365">
      <w:pPr>
        <w:spacing w:line="360" w:lineRule="auto"/>
        <w:ind w:firstLine="440" w:firstLineChars="200"/>
      </w:pPr>
    </w:p>
    <w:p w14:paraId="1D0B8C93">
      <w:pPr>
        <w:pStyle w:val="5"/>
        <w:spacing w:line="360" w:lineRule="auto"/>
        <w:ind w:firstLine="560" w:firstLineChars="200"/>
      </w:pPr>
      <w:r>
        <w:rPr>
          <w:rFonts w:hint="eastAsia"/>
        </w:rPr>
        <w:t>供应商投标</w:t>
      </w:r>
    </w:p>
    <w:p w14:paraId="39262602">
      <w:pPr>
        <w:spacing w:line="360" w:lineRule="auto"/>
        <w:ind w:firstLine="440" w:firstLineChars="200"/>
      </w:pPr>
      <w:r>
        <w:t>路径：招投标中心-非生产类招投标-</w:t>
      </w:r>
      <w:r>
        <w:rPr>
          <w:rFonts w:hint="eastAsia"/>
        </w:rPr>
        <w:t>供应商投标</w:t>
      </w:r>
    </w:p>
    <w:p w14:paraId="7588C75C">
      <w:pPr>
        <w:spacing w:line="360" w:lineRule="auto"/>
        <w:ind w:firstLine="440" w:firstLineChars="200"/>
      </w:pPr>
      <w:r>
        <w:drawing>
          <wp:inline distT="0" distB="0" distL="114300" distR="114300">
            <wp:extent cx="5753735" cy="2122170"/>
            <wp:effectExtent l="0" t="0" r="8890" b="190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5"/>
                    <a:stretch>
                      <a:fillRect/>
                    </a:stretch>
                  </pic:blipFill>
                  <pic:spPr>
                    <a:xfrm>
                      <a:off x="0" y="0"/>
                      <a:ext cx="5753735" cy="2122170"/>
                    </a:xfrm>
                    <a:prstGeom prst="rect">
                      <a:avLst/>
                    </a:prstGeom>
                    <a:noFill/>
                    <a:ln>
                      <a:noFill/>
                    </a:ln>
                  </pic:spPr>
                </pic:pic>
              </a:graphicData>
            </a:graphic>
          </wp:inline>
        </w:drawing>
      </w:r>
    </w:p>
    <w:p w14:paraId="1A7D4099">
      <w:pPr>
        <w:spacing w:line="360" w:lineRule="auto"/>
        <w:ind w:firstLine="440" w:firstLineChars="200"/>
      </w:pPr>
      <w:r>
        <w:rPr>
          <w:rFonts w:hint="eastAsia"/>
        </w:rPr>
        <w:t>点击投标按钮，进入详情页，输入投标报价并上传相应的附件。</w:t>
      </w:r>
    </w:p>
    <w:p w14:paraId="6BBCF3A4">
      <w:pPr>
        <w:spacing w:line="360" w:lineRule="auto"/>
        <w:ind w:firstLine="442" w:firstLineChars="200"/>
        <w:rPr>
          <w:b/>
          <w:bCs/>
        </w:rPr>
      </w:pPr>
      <w:r>
        <w:rPr>
          <w:rFonts w:hint="eastAsia"/>
          <w:b/>
          <w:bCs/>
          <w:highlight w:val="yellow"/>
        </w:rPr>
        <w:t>请注意，投标报价单位为：万元！万元！万元！</w:t>
      </w:r>
    </w:p>
    <w:p w14:paraId="4E3C67B6">
      <w:pPr>
        <w:spacing w:line="360" w:lineRule="auto"/>
        <w:ind w:firstLine="440" w:firstLineChars="200"/>
      </w:pPr>
      <w:r>
        <w:drawing>
          <wp:inline distT="0" distB="0" distL="114300" distR="114300">
            <wp:extent cx="5753735" cy="2795270"/>
            <wp:effectExtent l="0" t="0" r="8890" b="50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6"/>
                    <a:stretch>
                      <a:fillRect/>
                    </a:stretch>
                  </pic:blipFill>
                  <pic:spPr>
                    <a:xfrm>
                      <a:off x="0" y="0"/>
                      <a:ext cx="5753735" cy="2795270"/>
                    </a:xfrm>
                    <a:prstGeom prst="rect">
                      <a:avLst/>
                    </a:prstGeom>
                    <a:noFill/>
                    <a:ln>
                      <a:noFill/>
                    </a:ln>
                  </pic:spPr>
                </pic:pic>
              </a:graphicData>
            </a:graphic>
          </wp:inline>
        </w:drawing>
      </w:r>
    </w:p>
    <w:p w14:paraId="7A57F12D">
      <w:pPr>
        <w:pStyle w:val="5"/>
        <w:spacing w:line="360" w:lineRule="auto"/>
        <w:ind w:firstLine="560" w:firstLineChars="200"/>
      </w:pPr>
      <w:bookmarkStart w:id="18" w:name="_Hlk128316797"/>
      <w:r>
        <w:rPr>
          <w:rFonts w:hint="eastAsia"/>
        </w:rPr>
        <w:t>供应商技术标澄清函</w:t>
      </w:r>
    </w:p>
    <w:p w14:paraId="33E50DE6">
      <w:pPr>
        <w:spacing w:line="360" w:lineRule="auto"/>
        <w:ind w:firstLine="440" w:firstLineChars="200"/>
      </w:pPr>
      <w:r>
        <w:t>路径：招投标中心-非生产类招投标-</w:t>
      </w:r>
      <w:r>
        <w:rPr>
          <w:rFonts w:hint="eastAsia"/>
        </w:rPr>
        <w:t>供应商技术标澄清函</w:t>
      </w:r>
    </w:p>
    <w:p w14:paraId="4C87FD1D">
      <w:pPr>
        <w:spacing w:line="360" w:lineRule="auto"/>
        <w:ind w:firstLine="440" w:firstLineChars="200"/>
      </w:pPr>
      <w:r>
        <w:rPr>
          <w:rFonts w:hint="eastAsia"/>
        </w:rPr>
        <w:t>点击编辑按钮进入系统，上传技术标澄清函。</w:t>
      </w:r>
    </w:p>
    <w:p w14:paraId="3AA6BDE5">
      <w:pPr>
        <w:spacing w:line="360" w:lineRule="auto"/>
        <w:ind w:firstLine="440" w:firstLineChars="200"/>
      </w:pPr>
      <w:r>
        <w:rPr>
          <w:rFonts w:hint="eastAsia"/>
        </w:rPr>
        <w:t>开标之后所有投标的供应商都可编辑提交，技术标入围之后都不可编辑。</w:t>
      </w:r>
    </w:p>
    <w:p w14:paraId="4442138E">
      <w:pPr>
        <w:spacing w:line="360" w:lineRule="auto"/>
        <w:ind w:firstLine="440" w:firstLineChars="200"/>
      </w:pPr>
    </w:p>
    <w:p w14:paraId="092FFE89">
      <w:pPr>
        <w:spacing w:line="360" w:lineRule="auto"/>
        <w:ind w:firstLine="440" w:firstLineChars="200"/>
      </w:pPr>
      <w:r>
        <w:drawing>
          <wp:inline distT="0" distB="0" distL="114300" distR="114300">
            <wp:extent cx="5753735" cy="2087880"/>
            <wp:effectExtent l="0" t="0" r="8890" b="762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7"/>
                    <a:stretch>
                      <a:fillRect/>
                    </a:stretch>
                  </pic:blipFill>
                  <pic:spPr>
                    <a:xfrm>
                      <a:off x="0" y="0"/>
                      <a:ext cx="5753735" cy="2087880"/>
                    </a:xfrm>
                    <a:prstGeom prst="rect">
                      <a:avLst/>
                    </a:prstGeom>
                    <a:noFill/>
                    <a:ln>
                      <a:noFill/>
                    </a:ln>
                  </pic:spPr>
                </pic:pic>
              </a:graphicData>
            </a:graphic>
          </wp:inline>
        </w:drawing>
      </w:r>
    </w:p>
    <w:bookmarkEnd w:id="18"/>
    <w:p w14:paraId="7E144BB8">
      <w:pPr>
        <w:pStyle w:val="5"/>
        <w:spacing w:line="360" w:lineRule="auto"/>
        <w:ind w:firstLine="560" w:firstLineChars="200"/>
      </w:pPr>
      <w:r>
        <w:rPr>
          <w:rFonts w:hint="eastAsia"/>
        </w:rPr>
        <w:t>供应商报价</w:t>
      </w:r>
    </w:p>
    <w:p w14:paraId="2FAD10D1">
      <w:pPr>
        <w:spacing w:line="360" w:lineRule="auto"/>
        <w:ind w:firstLine="440" w:firstLineChars="200"/>
      </w:pPr>
      <w:r>
        <w:t>路径：招投标中心-非生产类招投标-</w:t>
      </w:r>
      <w:r>
        <w:rPr>
          <w:rFonts w:hint="eastAsia"/>
        </w:rPr>
        <w:t>供应商报价</w:t>
      </w:r>
    </w:p>
    <w:p w14:paraId="0CA9809B">
      <w:pPr>
        <w:spacing w:line="360" w:lineRule="auto"/>
        <w:ind w:firstLine="440" w:firstLineChars="200"/>
      </w:pPr>
      <w:r>
        <w:rPr>
          <w:rFonts w:hint="eastAsia"/>
        </w:rPr>
        <w:t>点击报价按钮进入报价详情界面，</w:t>
      </w:r>
      <w:r>
        <w:rPr>
          <w:rFonts w:hint="eastAsia"/>
          <w:b/>
          <w:highlight w:val="yellow"/>
        </w:rPr>
        <w:t>请在此轮报价起止时间内报价，否则无法报价</w:t>
      </w:r>
      <w:r>
        <w:rPr>
          <w:rFonts w:hint="eastAsia"/>
        </w:rPr>
        <w:t>。</w:t>
      </w:r>
    </w:p>
    <w:p w14:paraId="623D904B">
      <w:pPr>
        <w:spacing w:line="360" w:lineRule="auto"/>
        <w:ind w:firstLine="442" w:firstLineChars="200"/>
        <w:rPr>
          <w:b/>
          <w:bCs/>
        </w:rPr>
      </w:pPr>
      <w:r>
        <w:rPr>
          <w:rFonts w:hint="eastAsia"/>
          <w:b/>
          <w:bCs/>
          <w:highlight w:val="yellow"/>
        </w:rPr>
        <w:t>请注意，报价单位为：万元！万元！万元！</w:t>
      </w:r>
    </w:p>
    <w:p w14:paraId="11813365">
      <w:pPr>
        <w:pStyle w:val="5"/>
        <w:spacing w:line="360" w:lineRule="auto"/>
        <w:ind w:firstLine="560" w:firstLineChars="200"/>
      </w:pPr>
      <w:r>
        <w:rPr>
          <w:rFonts w:hint="eastAsia"/>
        </w:rPr>
        <w:t>供应商澄清报价</w:t>
      </w:r>
    </w:p>
    <w:p w14:paraId="79CFDBB8">
      <w:pPr>
        <w:spacing w:line="360" w:lineRule="auto"/>
        <w:ind w:firstLine="440" w:firstLineChars="200"/>
      </w:pPr>
      <w:r>
        <w:t>路径：招投标中心-非生产类招投标-</w:t>
      </w:r>
      <w:r>
        <w:rPr>
          <w:rFonts w:hint="eastAsia"/>
        </w:rPr>
        <w:t>供应商澄清报价</w:t>
      </w:r>
    </w:p>
    <w:p w14:paraId="7A730C9E">
      <w:pPr>
        <w:spacing w:line="360" w:lineRule="auto"/>
        <w:ind w:firstLine="440" w:firstLineChars="200"/>
      </w:pPr>
      <w:r>
        <w:rPr>
          <w:rFonts w:hint="eastAsia"/>
        </w:rPr>
        <w:t>招标发起人接收建议价的同时会给供应商发送澄清报价，供应商在此界面进行澄清报价，点击编辑按钮进入澄清报价详细界面，输入价格并上传澄清函，之后点击提交。</w:t>
      </w:r>
    </w:p>
    <w:p w14:paraId="5508605D">
      <w:pPr>
        <w:spacing w:line="360" w:lineRule="auto"/>
        <w:ind w:firstLine="440" w:firstLineChars="200"/>
      </w:pPr>
      <w:r>
        <w:drawing>
          <wp:inline distT="0" distB="0" distL="114300" distR="114300">
            <wp:extent cx="5753735" cy="2673985"/>
            <wp:effectExtent l="0" t="0" r="8890" b="2540"/>
            <wp:docPr id="14" name="图片 2"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图形用户界面, 文本, 应用程序, 电子邮件&#10;&#10;描述已自动生成"/>
                    <pic:cNvPicPr>
                      <a:picLocks noChangeAspect="1"/>
                    </pic:cNvPicPr>
                  </pic:nvPicPr>
                  <pic:blipFill>
                    <a:blip r:embed="rId18"/>
                    <a:stretch>
                      <a:fillRect/>
                    </a:stretch>
                  </pic:blipFill>
                  <pic:spPr>
                    <a:xfrm>
                      <a:off x="0" y="0"/>
                      <a:ext cx="5753735" cy="2673985"/>
                    </a:xfrm>
                    <a:prstGeom prst="rect">
                      <a:avLst/>
                    </a:prstGeom>
                    <a:noFill/>
                    <a:ln>
                      <a:noFill/>
                    </a:ln>
                  </pic:spPr>
                </pic:pic>
              </a:graphicData>
            </a:graphic>
          </wp:inline>
        </w:drawing>
      </w:r>
    </w:p>
    <w:p w14:paraId="389627F9">
      <w:pPr>
        <w:pStyle w:val="5"/>
        <w:spacing w:line="360" w:lineRule="auto"/>
        <w:ind w:firstLine="560" w:firstLineChars="200"/>
        <w:rPr>
          <w:b/>
          <w:bCs/>
          <w:color w:val="auto"/>
        </w:rPr>
      </w:pPr>
      <w:r>
        <w:rPr>
          <w:rFonts w:hint="eastAsia"/>
          <w:b/>
          <w:bCs/>
          <w:color w:val="auto"/>
        </w:rPr>
        <w:t>供应商查看中标通知</w:t>
      </w:r>
    </w:p>
    <w:p w14:paraId="67C52739">
      <w:pPr>
        <w:spacing w:line="360" w:lineRule="auto"/>
        <w:ind w:firstLine="440" w:firstLineChars="200"/>
      </w:pPr>
      <w:r>
        <w:t>路径：招投标中心-非生产类招投标-</w:t>
      </w:r>
      <w:r>
        <w:rPr>
          <w:rFonts w:hint="eastAsia"/>
        </w:rPr>
        <w:t>中标项目；</w:t>
      </w:r>
    </w:p>
    <w:p w14:paraId="53DB51AC">
      <w:pPr>
        <w:spacing w:line="360" w:lineRule="auto"/>
        <w:ind w:firstLine="440" w:firstLineChars="200"/>
      </w:pPr>
      <w:r>
        <w:rPr>
          <w:rFonts w:hint="eastAsia"/>
        </w:rPr>
        <w:t>点击查看进入查看中标项目详情。</w:t>
      </w:r>
    </w:p>
    <w:p w14:paraId="7D42DE6D">
      <w:r>
        <w:drawing>
          <wp:inline distT="0" distB="0" distL="114300" distR="114300">
            <wp:extent cx="5770880" cy="1958340"/>
            <wp:effectExtent l="0" t="0" r="1270" b="3810"/>
            <wp:docPr id="15"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形用户界面, 应用程序&#10;&#10;描述已自动生成"/>
                    <pic:cNvPicPr>
                      <a:picLocks noChangeAspect="1"/>
                    </pic:cNvPicPr>
                  </pic:nvPicPr>
                  <pic:blipFill>
                    <a:blip r:embed="rId19"/>
                    <a:stretch>
                      <a:fillRect/>
                    </a:stretch>
                  </pic:blipFill>
                  <pic:spPr>
                    <a:xfrm>
                      <a:off x="0" y="0"/>
                      <a:ext cx="5770880" cy="1958340"/>
                    </a:xfrm>
                    <a:prstGeom prst="rect">
                      <a:avLst/>
                    </a:prstGeom>
                    <a:noFill/>
                    <a:ln>
                      <a:noFill/>
                    </a:ln>
                  </pic:spPr>
                </pic:pic>
              </a:graphicData>
            </a:graphic>
          </wp:inline>
        </w:drawing>
      </w:r>
    </w:p>
    <w:p w14:paraId="10D27D5E"/>
    <w:p w14:paraId="5E75A0E4">
      <w:pPr>
        <w:rPr>
          <w:color w:val="000000"/>
          <w:sz w:val="24"/>
          <w:szCs w:val="24"/>
          <w:lang w:val="en-US"/>
        </w:rPr>
      </w:pPr>
    </w:p>
    <w:p w14:paraId="6ABF70E1">
      <w:pPr>
        <w:rPr>
          <w:color w:val="000000"/>
          <w:sz w:val="24"/>
          <w:szCs w:val="24"/>
          <w:lang w:val="en-US"/>
        </w:rPr>
      </w:pPr>
    </w:p>
    <w:p w14:paraId="1D35C309">
      <w:pPr>
        <w:pStyle w:val="18"/>
        <w:rPr>
          <w:color w:val="000000"/>
          <w:sz w:val="24"/>
          <w:szCs w:val="24"/>
        </w:rPr>
      </w:pPr>
    </w:p>
    <w:p w14:paraId="107CE016">
      <w:pPr>
        <w:rPr>
          <w:color w:val="000000"/>
          <w:sz w:val="24"/>
          <w:szCs w:val="24"/>
          <w:lang w:val="en-US"/>
        </w:rPr>
      </w:pPr>
    </w:p>
    <w:p w14:paraId="6301CEBA">
      <w:pPr>
        <w:pStyle w:val="18"/>
        <w:rPr>
          <w:color w:val="000000"/>
          <w:sz w:val="24"/>
          <w:szCs w:val="24"/>
        </w:rPr>
      </w:pPr>
    </w:p>
    <w:p w14:paraId="7BE23C38">
      <w:pPr>
        <w:rPr>
          <w:color w:val="000000"/>
          <w:sz w:val="24"/>
          <w:szCs w:val="24"/>
          <w:lang w:val="en-US"/>
        </w:rPr>
      </w:pPr>
    </w:p>
    <w:p w14:paraId="0E79F4DC">
      <w:pPr>
        <w:rPr>
          <w:color w:val="000000"/>
          <w:sz w:val="24"/>
          <w:szCs w:val="24"/>
          <w:lang w:val="en-US"/>
        </w:rPr>
      </w:pPr>
    </w:p>
    <w:p w14:paraId="6BE17097">
      <w:pPr>
        <w:rPr>
          <w:color w:val="000000"/>
          <w:sz w:val="24"/>
          <w:szCs w:val="24"/>
          <w:lang w:val="en-US"/>
        </w:rPr>
      </w:pPr>
    </w:p>
    <w:p w14:paraId="1D8E0972">
      <w:pPr>
        <w:rPr>
          <w:color w:val="000000"/>
          <w:sz w:val="24"/>
          <w:szCs w:val="24"/>
          <w:lang w:val="en-US"/>
        </w:rPr>
      </w:pPr>
    </w:p>
    <w:p w14:paraId="1571AA39">
      <w:pPr>
        <w:rPr>
          <w:color w:val="000000"/>
          <w:sz w:val="24"/>
          <w:szCs w:val="24"/>
          <w:lang w:val="en-US"/>
        </w:rPr>
      </w:pPr>
    </w:p>
    <w:p w14:paraId="1977D2FA">
      <w:pPr>
        <w:pStyle w:val="10"/>
        <w:spacing w:before="251" w:line="219" w:lineRule="auto"/>
        <w:jc w:val="both"/>
        <w:rPr>
          <w:sz w:val="24"/>
          <w:szCs w:val="24"/>
        </w:rPr>
      </w:pPr>
    </w:p>
    <w:p w14:paraId="6BEFAAC2">
      <w:pPr>
        <w:pStyle w:val="10"/>
        <w:spacing w:before="251" w:line="219" w:lineRule="auto"/>
        <w:jc w:val="both"/>
        <w:rPr>
          <w:sz w:val="24"/>
          <w:szCs w:val="24"/>
        </w:rPr>
      </w:pPr>
    </w:p>
    <w:sectPr>
      <w:headerReference r:id="rId5" w:type="default"/>
      <w:footerReference r:id="rId6" w:type="default"/>
      <w:pgSz w:w="11910" w:h="16840"/>
      <w:pgMar w:top="1240" w:right="820" w:bottom="1180" w:left="780"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07F6C1-0103-416E-9DA7-ED5B09E65E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1D1D021-FBCE-45CC-B58D-53EF0AC40EB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528A40E1-BE88-410E-9E3B-5C083F7EB5F3}"/>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embedRegular r:id="rId4" w:fontKey="{30B6B629-8BD5-4CAB-8374-A922FE4413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BE614">
    <w:pPr>
      <w:spacing w:line="14" w:lineRule="auto"/>
      <w:rPr>
        <w:sz w:val="19"/>
      </w:rPr>
    </w:pPr>
    <w:r>
      <w:rPr>
        <w:lang w:val="en-US" w:bidi="ar-SA"/>
      </w:rPr>
      <mc:AlternateContent>
        <mc:Choice Requires="wps">
          <w:drawing>
            <wp:anchor distT="0" distB="0" distL="114300" distR="114300" simplePos="0" relativeHeight="251663360" behindDoc="1" locked="0" layoutInCell="1" allowOverlap="1">
              <wp:simplePos x="0" y="0"/>
              <wp:positionH relativeFrom="page">
                <wp:posOffset>3677920</wp:posOffset>
              </wp:positionH>
              <wp:positionV relativeFrom="page">
                <wp:posOffset>9925050</wp:posOffset>
              </wp:positionV>
              <wp:extent cx="203835" cy="152400"/>
              <wp:effectExtent l="0" t="0" r="0" b="0"/>
              <wp:wrapNone/>
              <wp:docPr id="20" name="文本框 2"/>
              <wp:cNvGraphicFramePr/>
              <a:graphic xmlns:a="http://schemas.openxmlformats.org/drawingml/2006/main">
                <a:graphicData uri="http://schemas.microsoft.com/office/word/2010/wordprocessingShape">
                  <wps:wsp>
                    <wps:cNvSpPr txBox="1"/>
                    <wps:spPr>
                      <a:xfrm>
                        <a:off x="0" y="0"/>
                        <a:ext cx="203835" cy="152400"/>
                      </a:xfrm>
                      <a:prstGeom prst="rect">
                        <a:avLst/>
                      </a:prstGeom>
                      <a:noFill/>
                      <a:ln>
                        <a:noFill/>
                      </a:ln>
                      <a:effectLst/>
                    </wps:spPr>
                    <wps:txbx>
                      <w:txbxContent>
                        <w:p w14:paraId="0D1A090B">
                          <w:pPr>
                            <w:spacing w:line="225" w:lineRule="exact"/>
                            <w:ind w:left="20"/>
                            <w:rPr>
                              <w:rFonts w:ascii="Calibri"/>
                              <w:sz w:val="18"/>
                            </w:rPr>
                          </w:pPr>
                          <w:r>
                            <w:rPr>
                              <w:rFonts w:ascii="Calibri"/>
                              <w:sz w:val="18"/>
                            </w:rPr>
                            <w:t xml:space="preserve">- </w:t>
                          </w:r>
                          <w:r>
                            <w:fldChar w:fldCharType="begin"/>
                          </w:r>
                          <w:r>
                            <w:rPr>
                              <w:sz w:val="18"/>
                            </w:rPr>
                            <w:instrText xml:space="preserve"> PAGE </w:instrText>
                          </w:r>
                          <w:r>
                            <w:fldChar w:fldCharType="separate"/>
                          </w:r>
                          <w:r>
                            <w:rPr>
                              <w:sz w:val="18"/>
                            </w:rPr>
                            <w:t>7</w:t>
                          </w:r>
                          <w:r>
                            <w:fldChar w:fldCharType="end"/>
                          </w:r>
                          <w:r>
                            <w:rPr>
                              <w:rFonts w:ascii="Calibri"/>
                              <w:sz w:val="18"/>
                            </w:rPr>
                            <w:t>-</w:t>
                          </w:r>
                        </w:p>
                      </w:txbxContent>
                    </wps:txbx>
                    <wps:bodyPr wrap="square" lIns="0" tIns="0" rIns="0" bIns="0" upright="1"/>
                  </wps:wsp>
                </a:graphicData>
              </a:graphic>
            </wp:anchor>
          </w:drawing>
        </mc:Choice>
        <mc:Fallback>
          <w:pict>
            <v:shape id="文本框 2" o:spid="_x0000_s1026" o:spt="202" type="#_x0000_t202" style="position:absolute;left:0pt;margin-left:289.6pt;margin-top:781.5pt;height:12pt;width:16.05pt;mso-position-horizontal-relative:page;mso-position-vertical-relative:page;z-index:-251653120;mso-width-relative:page;mso-height-relative:page;" filled="f" stroked="f" coordsize="21600,21600" o:gfxdata="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&#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OazR3bAAAADQEAAA8AAAAAAAAAAQAgAAAAIgAAAGRy&#10;cy9kb3ducmV2LnhtbFBLAQIUABQAAAAIAIdO4kCCJu9zyQEAAI4DAAAOAAAAAAAAAAEAIAAAACoB&#10;AABkcnMvZTJvRG9jLnhtbFBLBQYAAAAABgAGAFkBAABlBQAAAAA=&#10;">
              <v:fill on="f" focussize="0,0"/>
              <v:stroke on="f"/>
              <v:imagedata o:title=""/>
              <o:lock v:ext="edit" aspectratio="f"/>
              <v:textbox inset="0mm,0mm,0mm,0mm">
                <w:txbxContent>
                  <w:p w14:paraId="0D1A090B">
                    <w:pPr>
                      <w:spacing w:line="225" w:lineRule="exact"/>
                      <w:ind w:left="20"/>
                      <w:rPr>
                        <w:rFonts w:ascii="Calibri"/>
                        <w:sz w:val="18"/>
                      </w:rPr>
                    </w:pPr>
                    <w:r>
                      <w:rPr>
                        <w:rFonts w:ascii="Calibri"/>
                        <w:sz w:val="18"/>
                      </w:rPr>
                      <w:t xml:space="preserve">- </w:t>
                    </w:r>
                    <w:r>
                      <w:fldChar w:fldCharType="begin"/>
                    </w:r>
                    <w:r>
                      <w:rPr>
                        <w:sz w:val="18"/>
                      </w:rPr>
                      <w:instrText xml:space="preserve"> PAGE </w:instrText>
                    </w:r>
                    <w:r>
                      <w:fldChar w:fldCharType="separate"/>
                    </w:r>
                    <w:r>
                      <w:rPr>
                        <w:sz w:val="18"/>
                      </w:rPr>
                      <w:t>7</w:t>
                    </w:r>
                    <w:r>
                      <w:fldChar w:fldCharType="end"/>
                    </w:r>
                    <w:r>
                      <w:rPr>
                        <w:rFonts w:ascii="Calibri"/>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F4A97">
    <w:pPr>
      <w:spacing w:line="14" w:lineRule="auto"/>
      <w:rPr>
        <w:sz w:val="12"/>
      </w:rPr>
    </w:pPr>
    <w:r>
      <mc:AlternateContent>
        <mc:Choice Requires="wps">
          <w:drawing>
            <wp:anchor distT="0" distB="0" distL="114300" distR="114300" simplePos="0" relativeHeight="251664384" behindDoc="1" locked="0" layoutInCell="1" allowOverlap="1">
              <wp:simplePos x="0" y="0"/>
              <wp:positionH relativeFrom="page">
                <wp:posOffset>3647440</wp:posOffset>
              </wp:positionH>
              <wp:positionV relativeFrom="page">
                <wp:posOffset>9925050</wp:posOffset>
              </wp:positionV>
              <wp:extent cx="260350" cy="1524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260350" cy="152400"/>
                      </a:xfrm>
                      <a:prstGeom prst="rect">
                        <a:avLst/>
                      </a:prstGeom>
                      <a:noFill/>
                      <a:ln>
                        <a:noFill/>
                      </a:ln>
                      <a:effectLst/>
                    </wps:spPr>
                    <wps:txbx>
                      <w:txbxContent>
                        <w:p w14:paraId="5C218768">
                          <w:pPr>
                            <w:spacing w:line="225" w:lineRule="exact"/>
                            <w:ind w:left="20"/>
                            <w:rPr>
                              <w:rFonts w:ascii="Calibri"/>
                              <w:sz w:val="18"/>
                            </w:rPr>
                          </w:pPr>
                          <w:r>
                            <w:rPr>
                              <w:rFonts w:ascii="Calibri"/>
                              <w:sz w:val="18"/>
                            </w:rPr>
                            <w:t xml:space="preserve">- </w:t>
                          </w:r>
                          <w:r>
                            <w:fldChar w:fldCharType="begin"/>
                          </w:r>
                          <w:r>
                            <w:rPr>
                              <w:sz w:val="18"/>
                            </w:rPr>
                            <w:instrText xml:space="preserve"> PAGE </w:instrText>
                          </w:r>
                          <w:r>
                            <w:fldChar w:fldCharType="separate"/>
                          </w:r>
                          <w:r>
                            <w:rPr>
                              <w:sz w:val="18"/>
                            </w:rPr>
                            <w:t>25</w:t>
                          </w:r>
                          <w:r>
                            <w:fldChar w:fldCharType="end"/>
                          </w:r>
                          <w:r>
                            <w:rPr>
                              <w:rFonts w:ascii="Calibri"/>
                              <w:sz w:val="18"/>
                            </w:rPr>
                            <w:t>-</w:t>
                          </w:r>
                        </w:p>
                      </w:txbxContent>
                    </wps:txbx>
                    <wps:bodyPr wrap="square" lIns="0" tIns="0" rIns="0" bIns="0" upright="1"/>
                  </wps:wsp>
                </a:graphicData>
              </a:graphic>
            </wp:anchor>
          </w:drawing>
        </mc:Choice>
        <mc:Fallback>
          <w:pict>
            <v:shape id="文本框 1" o:spid="_x0000_s1026" o:spt="202" type="#_x0000_t202" style="position:absolute;left:0pt;margin-left:287.2pt;margin-top:781.5pt;height:12pt;width:20.5pt;mso-position-horizontal-relative:page;mso-position-vertical-relative:page;z-index:-251652096;mso-width-relative:page;mso-height-relative:page;" filled="f" stroked="f" coordsize="21600,21600" o:gfxdata="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UgcDt2gAAAA0BAAAPAAAAAAAAAAEAIAAAACIAAABkcnMv&#10;ZG93bnJldi54bWxQSwECFAAUAAAACACHTuJA3lgUXcgBAACOAwAADgAAAAAAAAABACAAAAApAQAA&#10;ZHJzL2Uyb0RvYy54bWxQSwUGAAAAAAYABgBZAQAAYwUAAAAA&#10;">
              <v:fill on="f" focussize="0,0"/>
              <v:stroke on="f"/>
              <v:imagedata o:title=""/>
              <o:lock v:ext="edit" aspectratio="f"/>
              <v:textbox inset="0mm,0mm,0mm,0mm">
                <w:txbxContent>
                  <w:p w14:paraId="5C218768">
                    <w:pPr>
                      <w:spacing w:line="225" w:lineRule="exact"/>
                      <w:ind w:left="20"/>
                      <w:rPr>
                        <w:rFonts w:ascii="Calibri"/>
                        <w:sz w:val="18"/>
                      </w:rPr>
                    </w:pPr>
                    <w:r>
                      <w:rPr>
                        <w:rFonts w:ascii="Calibri"/>
                        <w:sz w:val="18"/>
                      </w:rPr>
                      <w:t xml:space="preserve">- </w:t>
                    </w:r>
                    <w:r>
                      <w:fldChar w:fldCharType="begin"/>
                    </w:r>
                    <w:r>
                      <w:rPr>
                        <w:sz w:val="18"/>
                      </w:rPr>
                      <w:instrText xml:space="preserve"> PAGE </w:instrText>
                    </w:r>
                    <w:r>
                      <w:fldChar w:fldCharType="separate"/>
                    </w:r>
                    <w:r>
                      <w:rPr>
                        <w:sz w:val="18"/>
                      </w:rPr>
                      <w:t>25</w:t>
                    </w:r>
                    <w:r>
                      <w:fldChar w:fldCharType="end"/>
                    </w:r>
                    <w:r>
                      <w:rPr>
                        <w:rFonts w:ascii="Calibri"/>
                        <w:sz w:val="1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3BAE">
    <w:pPr>
      <w:spacing w:line="14" w:lineRule="auto"/>
      <w:rPr>
        <w:sz w:val="20"/>
      </w:rPr>
    </w:pPr>
    <w:r>
      <w:rPr>
        <w:lang w:val="en-US" w:bidi="ar-SA"/>
      </w:rPr>
      <w:drawing>
        <wp:anchor distT="0" distB="0" distL="0" distR="0" simplePos="0" relativeHeight="251660288" behindDoc="1" locked="0" layoutInCell="1" allowOverlap="1">
          <wp:simplePos x="0" y="0"/>
          <wp:positionH relativeFrom="page">
            <wp:posOffset>694690</wp:posOffset>
          </wp:positionH>
          <wp:positionV relativeFrom="page">
            <wp:posOffset>321310</wp:posOffset>
          </wp:positionV>
          <wp:extent cx="1257300" cy="397510"/>
          <wp:effectExtent l="0" t="0" r="0" b="254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eg"/>
                  <pic:cNvPicPr>
                    <a:picLocks noChangeAspect="1"/>
                  </pic:cNvPicPr>
                </pic:nvPicPr>
                <pic:blipFill>
                  <a:blip r:embed="rId1"/>
                  <a:stretch>
                    <a:fillRect/>
                  </a:stretch>
                </pic:blipFill>
                <pic:spPr>
                  <a:xfrm>
                    <a:off x="0" y="0"/>
                    <a:ext cx="1257300" cy="397510"/>
                  </a:xfrm>
                  <a:prstGeom prst="rect">
                    <a:avLst/>
                  </a:prstGeom>
                  <a:noFill/>
                  <a:ln>
                    <a:noFill/>
                  </a:ln>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4445" r="3175" b="5080"/>
              <wp:wrapNone/>
              <wp:docPr id="19"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Qu78TWAAAA&#10;DAEAAA8AAAAAAAAAAQAgAAAAIgAAAGRycy9kb3ducmV2LnhtbFBLAQIUABQAAAAIAIdO4kAHDHTn&#10;5gEAAN4DAAAOAAAAAAAAAAEAIAAAACUBAABkcnMvZTJvRG9jLnhtbFBLBQYAAAAABgAGAFkBAAB9&#10;BQ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2FE93">
    <w:pPr>
      <w:spacing w:line="14" w:lineRule="auto"/>
      <w:rPr>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2540"/>
          <wp:wrapNone/>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a:picLocks noChangeAspect="1"/>
                  </pic:cNvPicPr>
                </pic:nvPicPr>
                <pic:blipFill>
                  <a:blip r:embed="rId1"/>
                  <a:stretch>
                    <a:fillRect/>
                  </a:stretch>
                </pic:blipFill>
                <pic:spPr>
                  <a:xfrm>
                    <a:off x="0" y="0"/>
                    <a:ext cx="1257300" cy="397510"/>
                  </a:xfrm>
                  <a:prstGeom prst="rect">
                    <a:avLst/>
                  </a:prstGeom>
                  <a:noFill/>
                  <a:ln>
                    <a:noFill/>
                  </a:ln>
                </pic:spPr>
              </pic:pic>
            </a:graphicData>
          </a:graphic>
        </wp:anchor>
      </w:drawing>
    </w:r>
    <w:r>
      <w:rPr>
        <w:lang w:val="en-US" w:bidi="ar-SA"/>
      </w:rPr>
      <mc:AlternateContent>
        <mc:Choice Requires="wps">
          <w:drawing>
            <wp:anchor distT="0" distB="0" distL="114300" distR="114300" simplePos="0" relativeHeight="251661312" behindDoc="1" locked="0" layoutInCell="1" allowOverlap="1">
              <wp:simplePos x="0" y="0"/>
              <wp:positionH relativeFrom="page">
                <wp:posOffset>900430</wp:posOffset>
              </wp:positionH>
              <wp:positionV relativeFrom="page">
                <wp:posOffset>787400</wp:posOffset>
              </wp:positionV>
              <wp:extent cx="5759450" cy="0"/>
              <wp:effectExtent l="0" t="4445" r="3175" b="508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a:effectLst/>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5168;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kLu/E1gAA&#10;AAwBAAAPAAAAAAAAAAEAIAAAACIAAABkcnMvZG93bnJldi54bWxQSwECFAAUAAAACACHTuJA1dSK&#10;d+cBAADfAwAADgAAAAAAAAABACAAAAAlAQAAZHJzL2Uyb0RvYy54bWxQSwUGAAAAAAYABgBZAQAA&#10;fgUAAA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680"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1">
    <w:nsid w:val="CF092B84"/>
    <w:multiLevelType w:val="multilevel"/>
    <w:tmpl w:val="CF092B84"/>
    <w:lvl w:ilvl="0" w:tentative="0">
      <w:start w:val="1"/>
      <w:numFmt w:val="decimal"/>
      <w:lvlText w:val="%1."/>
      <w:lvlJc w:val="left"/>
      <w:pPr>
        <w:ind w:left="1260" w:hanging="202"/>
      </w:pPr>
      <w:rPr>
        <w:rFonts w:hint="default" w:ascii="宋体" w:hAnsi="宋体" w:eastAsia="宋体" w:cs="宋体"/>
        <w:b/>
        <w:bCs/>
        <w:spacing w:val="2"/>
        <w:w w:val="92"/>
        <w:sz w:val="19"/>
        <w:szCs w:val="19"/>
        <w:lang w:val="zh-CN" w:eastAsia="zh-CN" w:bidi="zh-CN"/>
      </w:rPr>
    </w:lvl>
    <w:lvl w:ilvl="1" w:tentative="0">
      <w:start w:val="0"/>
      <w:numFmt w:val="bullet"/>
      <w:lvlText w:val="•"/>
      <w:lvlJc w:val="left"/>
      <w:pPr>
        <w:ind w:left="2165" w:hanging="202"/>
      </w:pPr>
      <w:rPr>
        <w:rFonts w:hint="default"/>
        <w:lang w:val="zh-CN" w:eastAsia="zh-CN" w:bidi="zh-CN"/>
      </w:rPr>
    </w:lvl>
    <w:lvl w:ilvl="2" w:tentative="0">
      <w:start w:val="0"/>
      <w:numFmt w:val="bullet"/>
      <w:lvlText w:val="•"/>
      <w:lvlJc w:val="left"/>
      <w:pPr>
        <w:ind w:left="3070" w:hanging="202"/>
      </w:pPr>
      <w:rPr>
        <w:rFonts w:hint="default"/>
        <w:lang w:val="zh-CN" w:eastAsia="zh-CN" w:bidi="zh-CN"/>
      </w:rPr>
    </w:lvl>
    <w:lvl w:ilvl="3" w:tentative="0">
      <w:start w:val="0"/>
      <w:numFmt w:val="bullet"/>
      <w:lvlText w:val="•"/>
      <w:lvlJc w:val="left"/>
      <w:pPr>
        <w:ind w:left="3975" w:hanging="202"/>
      </w:pPr>
      <w:rPr>
        <w:rFonts w:hint="default"/>
        <w:lang w:val="zh-CN" w:eastAsia="zh-CN" w:bidi="zh-CN"/>
      </w:rPr>
    </w:lvl>
    <w:lvl w:ilvl="4" w:tentative="0">
      <w:start w:val="0"/>
      <w:numFmt w:val="bullet"/>
      <w:lvlText w:val="•"/>
      <w:lvlJc w:val="left"/>
      <w:pPr>
        <w:ind w:left="4880" w:hanging="202"/>
      </w:pPr>
      <w:rPr>
        <w:rFonts w:hint="default"/>
        <w:lang w:val="zh-CN" w:eastAsia="zh-CN" w:bidi="zh-CN"/>
      </w:rPr>
    </w:lvl>
    <w:lvl w:ilvl="5" w:tentative="0">
      <w:start w:val="0"/>
      <w:numFmt w:val="bullet"/>
      <w:lvlText w:val="•"/>
      <w:lvlJc w:val="left"/>
      <w:pPr>
        <w:ind w:left="5785" w:hanging="202"/>
      </w:pPr>
      <w:rPr>
        <w:rFonts w:hint="default"/>
        <w:lang w:val="zh-CN" w:eastAsia="zh-CN" w:bidi="zh-CN"/>
      </w:rPr>
    </w:lvl>
    <w:lvl w:ilvl="6" w:tentative="0">
      <w:start w:val="0"/>
      <w:numFmt w:val="bullet"/>
      <w:lvlText w:val="•"/>
      <w:lvlJc w:val="left"/>
      <w:pPr>
        <w:ind w:left="6690" w:hanging="202"/>
      </w:pPr>
      <w:rPr>
        <w:rFonts w:hint="default"/>
        <w:lang w:val="zh-CN" w:eastAsia="zh-CN" w:bidi="zh-CN"/>
      </w:rPr>
    </w:lvl>
    <w:lvl w:ilvl="7" w:tentative="0">
      <w:start w:val="0"/>
      <w:numFmt w:val="bullet"/>
      <w:lvlText w:val="•"/>
      <w:lvlJc w:val="left"/>
      <w:pPr>
        <w:ind w:left="7595" w:hanging="202"/>
      </w:pPr>
      <w:rPr>
        <w:rFonts w:hint="default"/>
        <w:lang w:val="zh-CN" w:eastAsia="zh-CN" w:bidi="zh-CN"/>
      </w:rPr>
    </w:lvl>
    <w:lvl w:ilvl="8" w:tentative="0">
      <w:start w:val="0"/>
      <w:numFmt w:val="bullet"/>
      <w:lvlText w:val="•"/>
      <w:lvlJc w:val="left"/>
      <w:pPr>
        <w:ind w:left="8500" w:hanging="202"/>
      </w:pPr>
      <w:rPr>
        <w:rFonts w:hint="default"/>
        <w:lang w:val="zh-CN" w:eastAsia="zh-CN" w:bidi="zh-CN"/>
      </w:rPr>
    </w:lvl>
  </w:abstractNum>
  <w:abstractNum w:abstractNumId="2">
    <w:nsid w:val="03D62ECE"/>
    <w:multiLevelType w:val="multilevel"/>
    <w:tmpl w:val="03D62ECE"/>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abstractNum w:abstractNumId="3">
    <w:nsid w:val="1D0326DF"/>
    <w:multiLevelType w:val="multilevel"/>
    <w:tmpl w:val="1D0326DF"/>
    <w:lvl w:ilvl="0" w:tentative="0">
      <w:start w:val="1"/>
      <w:numFmt w:val="decimalEnclosedParen"/>
      <w:lvlText w:val="%1"/>
      <w:lvlJc w:val="left"/>
      <w:pPr>
        <w:ind w:left="1418" w:hanging="360"/>
      </w:pPr>
      <w:rPr>
        <w:rFonts w:hint="default"/>
      </w:rPr>
    </w:lvl>
    <w:lvl w:ilvl="1" w:tentative="0">
      <w:start w:val="1"/>
      <w:numFmt w:val="lowerLetter"/>
      <w:lvlText w:val="%2)"/>
      <w:lvlJc w:val="left"/>
      <w:pPr>
        <w:ind w:left="1938" w:hanging="440"/>
      </w:pPr>
    </w:lvl>
    <w:lvl w:ilvl="2" w:tentative="0">
      <w:start w:val="1"/>
      <w:numFmt w:val="lowerRoman"/>
      <w:lvlText w:val="%3."/>
      <w:lvlJc w:val="right"/>
      <w:pPr>
        <w:ind w:left="2378" w:hanging="440"/>
      </w:pPr>
    </w:lvl>
    <w:lvl w:ilvl="3" w:tentative="0">
      <w:start w:val="1"/>
      <w:numFmt w:val="decimal"/>
      <w:lvlText w:val="%4."/>
      <w:lvlJc w:val="left"/>
      <w:pPr>
        <w:ind w:left="2818" w:hanging="440"/>
      </w:pPr>
    </w:lvl>
    <w:lvl w:ilvl="4" w:tentative="0">
      <w:start w:val="1"/>
      <w:numFmt w:val="lowerLetter"/>
      <w:lvlText w:val="%5)"/>
      <w:lvlJc w:val="left"/>
      <w:pPr>
        <w:ind w:left="3258" w:hanging="440"/>
      </w:pPr>
    </w:lvl>
    <w:lvl w:ilvl="5" w:tentative="0">
      <w:start w:val="1"/>
      <w:numFmt w:val="lowerRoman"/>
      <w:lvlText w:val="%6."/>
      <w:lvlJc w:val="right"/>
      <w:pPr>
        <w:ind w:left="3698" w:hanging="440"/>
      </w:pPr>
    </w:lvl>
    <w:lvl w:ilvl="6" w:tentative="0">
      <w:start w:val="1"/>
      <w:numFmt w:val="decimal"/>
      <w:lvlText w:val="%7."/>
      <w:lvlJc w:val="left"/>
      <w:pPr>
        <w:ind w:left="4138" w:hanging="440"/>
      </w:pPr>
    </w:lvl>
    <w:lvl w:ilvl="7" w:tentative="0">
      <w:start w:val="1"/>
      <w:numFmt w:val="lowerLetter"/>
      <w:lvlText w:val="%8)"/>
      <w:lvlJc w:val="left"/>
      <w:pPr>
        <w:ind w:left="4578" w:hanging="440"/>
      </w:pPr>
    </w:lvl>
    <w:lvl w:ilvl="8" w:tentative="0">
      <w:start w:val="1"/>
      <w:numFmt w:val="lowerRoman"/>
      <w:lvlText w:val="%9."/>
      <w:lvlJc w:val="right"/>
      <w:pPr>
        <w:ind w:left="5018" w:hanging="440"/>
      </w:pPr>
    </w:lvl>
  </w:abstractNum>
  <w:abstractNum w:abstractNumId="4">
    <w:nsid w:val="454E1636"/>
    <w:multiLevelType w:val="singleLevel"/>
    <w:tmpl w:val="454E1636"/>
    <w:lvl w:ilvl="0" w:tentative="0">
      <w:start w:val="8"/>
      <w:numFmt w:val="decimal"/>
      <w:lvlText w:val="%1."/>
      <w:lvlJc w:val="left"/>
      <w:pPr>
        <w:tabs>
          <w:tab w:val="left" w:pos="312"/>
        </w:tabs>
        <w:ind w:left="735" w:leftChars="0" w:firstLine="0" w:firstLineChars="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YmIzNGRiMmYzMmFkYmJmMDZkODY5ZmQzNjhkOWYifQ=="/>
  </w:docVars>
  <w:rsids>
    <w:rsidRoot w:val="008075BE"/>
    <w:rsid w:val="00007FB9"/>
    <w:rsid w:val="0001020E"/>
    <w:rsid w:val="000127B4"/>
    <w:rsid w:val="000134DB"/>
    <w:rsid w:val="00014193"/>
    <w:rsid w:val="000169B3"/>
    <w:rsid w:val="000237AD"/>
    <w:rsid w:val="000373B0"/>
    <w:rsid w:val="00057ACF"/>
    <w:rsid w:val="00070C77"/>
    <w:rsid w:val="00075154"/>
    <w:rsid w:val="00075299"/>
    <w:rsid w:val="00077167"/>
    <w:rsid w:val="00082AEA"/>
    <w:rsid w:val="00083AC0"/>
    <w:rsid w:val="000A3599"/>
    <w:rsid w:val="000A5698"/>
    <w:rsid w:val="000B050B"/>
    <w:rsid w:val="000B49F0"/>
    <w:rsid w:val="000D5209"/>
    <w:rsid w:val="000E2D35"/>
    <w:rsid w:val="000E38FD"/>
    <w:rsid w:val="000E68BF"/>
    <w:rsid w:val="000F546E"/>
    <w:rsid w:val="000F7920"/>
    <w:rsid w:val="00103B9B"/>
    <w:rsid w:val="00105CFC"/>
    <w:rsid w:val="0011288A"/>
    <w:rsid w:val="00115AB4"/>
    <w:rsid w:val="00116CF2"/>
    <w:rsid w:val="00122055"/>
    <w:rsid w:val="00127358"/>
    <w:rsid w:val="00130914"/>
    <w:rsid w:val="001326F3"/>
    <w:rsid w:val="001341E1"/>
    <w:rsid w:val="001456C9"/>
    <w:rsid w:val="00150995"/>
    <w:rsid w:val="00160ADC"/>
    <w:rsid w:val="001665BC"/>
    <w:rsid w:val="00167403"/>
    <w:rsid w:val="001776E9"/>
    <w:rsid w:val="001806E9"/>
    <w:rsid w:val="00181A67"/>
    <w:rsid w:val="001B05E6"/>
    <w:rsid w:val="001B11E4"/>
    <w:rsid w:val="001B4032"/>
    <w:rsid w:val="001C12A8"/>
    <w:rsid w:val="001D5238"/>
    <w:rsid w:val="001D5EEF"/>
    <w:rsid w:val="001D768C"/>
    <w:rsid w:val="001E5254"/>
    <w:rsid w:val="001F2286"/>
    <w:rsid w:val="001F3E0F"/>
    <w:rsid w:val="001F5742"/>
    <w:rsid w:val="0020393E"/>
    <w:rsid w:val="00206636"/>
    <w:rsid w:val="002139C8"/>
    <w:rsid w:val="00222741"/>
    <w:rsid w:val="00225734"/>
    <w:rsid w:val="00226B91"/>
    <w:rsid w:val="00231768"/>
    <w:rsid w:val="002375FB"/>
    <w:rsid w:val="0024345B"/>
    <w:rsid w:val="00245627"/>
    <w:rsid w:val="00245C5B"/>
    <w:rsid w:val="00263571"/>
    <w:rsid w:val="00272515"/>
    <w:rsid w:val="00275AEC"/>
    <w:rsid w:val="00293481"/>
    <w:rsid w:val="00294DD0"/>
    <w:rsid w:val="00295925"/>
    <w:rsid w:val="00295B0C"/>
    <w:rsid w:val="00296130"/>
    <w:rsid w:val="002A0776"/>
    <w:rsid w:val="002A34B2"/>
    <w:rsid w:val="002B1ABF"/>
    <w:rsid w:val="002C4A52"/>
    <w:rsid w:val="002D0234"/>
    <w:rsid w:val="002D31C8"/>
    <w:rsid w:val="002D38E5"/>
    <w:rsid w:val="002E1539"/>
    <w:rsid w:val="002F1061"/>
    <w:rsid w:val="002F1254"/>
    <w:rsid w:val="002F3CDC"/>
    <w:rsid w:val="002F6561"/>
    <w:rsid w:val="00301B25"/>
    <w:rsid w:val="00307A36"/>
    <w:rsid w:val="003124F4"/>
    <w:rsid w:val="003162B8"/>
    <w:rsid w:val="0032064E"/>
    <w:rsid w:val="00323E8D"/>
    <w:rsid w:val="00335546"/>
    <w:rsid w:val="0034281D"/>
    <w:rsid w:val="0035489D"/>
    <w:rsid w:val="00356D67"/>
    <w:rsid w:val="0036000D"/>
    <w:rsid w:val="00362453"/>
    <w:rsid w:val="00364EF2"/>
    <w:rsid w:val="00365A5A"/>
    <w:rsid w:val="00377257"/>
    <w:rsid w:val="00380EFA"/>
    <w:rsid w:val="00382432"/>
    <w:rsid w:val="003830F1"/>
    <w:rsid w:val="00391D88"/>
    <w:rsid w:val="00397C04"/>
    <w:rsid w:val="003A6515"/>
    <w:rsid w:val="003A7892"/>
    <w:rsid w:val="003A7CD8"/>
    <w:rsid w:val="003B343B"/>
    <w:rsid w:val="003B41D7"/>
    <w:rsid w:val="003B6CB8"/>
    <w:rsid w:val="003C36C3"/>
    <w:rsid w:val="003C7329"/>
    <w:rsid w:val="003D4AA0"/>
    <w:rsid w:val="003E4236"/>
    <w:rsid w:val="003F1E66"/>
    <w:rsid w:val="003F247C"/>
    <w:rsid w:val="003F3B52"/>
    <w:rsid w:val="0040084B"/>
    <w:rsid w:val="00400AA5"/>
    <w:rsid w:val="004021B9"/>
    <w:rsid w:val="00412BC7"/>
    <w:rsid w:val="00413251"/>
    <w:rsid w:val="00417B81"/>
    <w:rsid w:val="00417FE0"/>
    <w:rsid w:val="00424E0C"/>
    <w:rsid w:val="0043594D"/>
    <w:rsid w:val="00444E6F"/>
    <w:rsid w:val="004522AE"/>
    <w:rsid w:val="0046186D"/>
    <w:rsid w:val="00462B0D"/>
    <w:rsid w:val="00464320"/>
    <w:rsid w:val="00470BC0"/>
    <w:rsid w:val="00473504"/>
    <w:rsid w:val="00475050"/>
    <w:rsid w:val="00475B25"/>
    <w:rsid w:val="00484ED3"/>
    <w:rsid w:val="004871D5"/>
    <w:rsid w:val="00494F1F"/>
    <w:rsid w:val="004A1476"/>
    <w:rsid w:val="004A267D"/>
    <w:rsid w:val="004A2CFF"/>
    <w:rsid w:val="004A4E29"/>
    <w:rsid w:val="004A690E"/>
    <w:rsid w:val="004C0EB6"/>
    <w:rsid w:val="004C45F8"/>
    <w:rsid w:val="004D22E1"/>
    <w:rsid w:val="004E4604"/>
    <w:rsid w:val="004E5BA0"/>
    <w:rsid w:val="004E7D39"/>
    <w:rsid w:val="004F2763"/>
    <w:rsid w:val="00507EB9"/>
    <w:rsid w:val="0051544C"/>
    <w:rsid w:val="00516287"/>
    <w:rsid w:val="0052263E"/>
    <w:rsid w:val="00522F88"/>
    <w:rsid w:val="005348E4"/>
    <w:rsid w:val="005364A6"/>
    <w:rsid w:val="00537B6D"/>
    <w:rsid w:val="005438E1"/>
    <w:rsid w:val="005444B1"/>
    <w:rsid w:val="0054503C"/>
    <w:rsid w:val="00545BDC"/>
    <w:rsid w:val="00547801"/>
    <w:rsid w:val="00550421"/>
    <w:rsid w:val="005614A6"/>
    <w:rsid w:val="00563F32"/>
    <w:rsid w:val="00564A90"/>
    <w:rsid w:val="0057049F"/>
    <w:rsid w:val="005724D0"/>
    <w:rsid w:val="00591526"/>
    <w:rsid w:val="00593572"/>
    <w:rsid w:val="00597217"/>
    <w:rsid w:val="005973F7"/>
    <w:rsid w:val="005A539E"/>
    <w:rsid w:val="005B13B2"/>
    <w:rsid w:val="005B538C"/>
    <w:rsid w:val="005B772C"/>
    <w:rsid w:val="005C2676"/>
    <w:rsid w:val="005C2D0F"/>
    <w:rsid w:val="005C434D"/>
    <w:rsid w:val="005C4BF6"/>
    <w:rsid w:val="005D0BA9"/>
    <w:rsid w:val="005E098A"/>
    <w:rsid w:val="005E195E"/>
    <w:rsid w:val="005E284F"/>
    <w:rsid w:val="005F609A"/>
    <w:rsid w:val="006002FC"/>
    <w:rsid w:val="00601E55"/>
    <w:rsid w:val="0060266A"/>
    <w:rsid w:val="00613A9C"/>
    <w:rsid w:val="00621A7B"/>
    <w:rsid w:val="00621D41"/>
    <w:rsid w:val="0064104B"/>
    <w:rsid w:val="00641B23"/>
    <w:rsid w:val="0064476A"/>
    <w:rsid w:val="006574C5"/>
    <w:rsid w:val="00663D1D"/>
    <w:rsid w:val="00672A34"/>
    <w:rsid w:val="00672C84"/>
    <w:rsid w:val="00674E8E"/>
    <w:rsid w:val="00675906"/>
    <w:rsid w:val="00687BFA"/>
    <w:rsid w:val="006A3A52"/>
    <w:rsid w:val="006B5A70"/>
    <w:rsid w:val="006C1919"/>
    <w:rsid w:val="006C39BC"/>
    <w:rsid w:val="006C6B19"/>
    <w:rsid w:val="006C7EE9"/>
    <w:rsid w:val="006D7783"/>
    <w:rsid w:val="006E1690"/>
    <w:rsid w:val="006E3A33"/>
    <w:rsid w:val="006F2523"/>
    <w:rsid w:val="006F304F"/>
    <w:rsid w:val="006F337E"/>
    <w:rsid w:val="006F4349"/>
    <w:rsid w:val="006F5DC7"/>
    <w:rsid w:val="0070294F"/>
    <w:rsid w:val="00703357"/>
    <w:rsid w:val="0070567F"/>
    <w:rsid w:val="00711035"/>
    <w:rsid w:val="007126CC"/>
    <w:rsid w:val="00713DAC"/>
    <w:rsid w:val="00717040"/>
    <w:rsid w:val="00720999"/>
    <w:rsid w:val="00722A99"/>
    <w:rsid w:val="007241C6"/>
    <w:rsid w:val="00734F91"/>
    <w:rsid w:val="00735384"/>
    <w:rsid w:val="00740B96"/>
    <w:rsid w:val="00741422"/>
    <w:rsid w:val="0074236A"/>
    <w:rsid w:val="0075273F"/>
    <w:rsid w:val="0075490A"/>
    <w:rsid w:val="00766748"/>
    <w:rsid w:val="0077034F"/>
    <w:rsid w:val="00772FAA"/>
    <w:rsid w:val="00784E0B"/>
    <w:rsid w:val="00786BC9"/>
    <w:rsid w:val="007913E4"/>
    <w:rsid w:val="007915C3"/>
    <w:rsid w:val="00795190"/>
    <w:rsid w:val="007B1083"/>
    <w:rsid w:val="007D1494"/>
    <w:rsid w:val="007D5EC0"/>
    <w:rsid w:val="007E2B9C"/>
    <w:rsid w:val="007E3287"/>
    <w:rsid w:val="007E4822"/>
    <w:rsid w:val="007E4DC7"/>
    <w:rsid w:val="007E5B56"/>
    <w:rsid w:val="007E6C9D"/>
    <w:rsid w:val="007F1EC4"/>
    <w:rsid w:val="007F3057"/>
    <w:rsid w:val="007F70FE"/>
    <w:rsid w:val="007F7C06"/>
    <w:rsid w:val="00803EDF"/>
    <w:rsid w:val="008075BE"/>
    <w:rsid w:val="00816413"/>
    <w:rsid w:val="00820573"/>
    <w:rsid w:val="00826C8D"/>
    <w:rsid w:val="00840039"/>
    <w:rsid w:val="00844785"/>
    <w:rsid w:val="008457F1"/>
    <w:rsid w:val="00845F3C"/>
    <w:rsid w:val="00854790"/>
    <w:rsid w:val="00857A51"/>
    <w:rsid w:val="0086680E"/>
    <w:rsid w:val="0087112C"/>
    <w:rsid w:val="0087572D"/>
    <w:rsid w:val="00875D3A"/>
    <w:rsid w:val="00881F18"/>
    <w:rsid w:val="008820BF"/>
    <w:rsid w:val="008830B3"/>
    <w:rsid w:val="00885EB4"/>
    <w:rsid w:val="00891DAE"/>
    <w:rsid w:val="00892B51"/>
    <w:rsid w:val="008948FF"/>
    <w:rsid w:val="008A0D27"/>
    <w:rsid w:val="008A2E9F"/>
    <w:rsid w:val="008A7EAB"/>
    <w:rsid w:val="008B1167"/>
    <w:rsid w:val="008B1326"/>
    <w:rsid w:val="008B5E62"/>
    <w:rsid w:val="008C28FF"/>
    <w:rsid w:val="008D5D92"/>
    <w:rsid w:val="008D7999"/>
    <w:rsid w:val="008E31DE"/>
    <w:rsid w:val="008E67F6"/>
    <w:rsid w:val="00907879"/>
    <w:rsid w:val="00911721"/>
    <w:rsid w:val="009141BD"/>
    <w:rsid w:val="00920869"/>
    <w:rsid w:val="0092294B"/>
    <w:rsid w:val="00923E25"/>
    <w:rsid w:val="00930E91"/>
    <w:rsid w:val="00932092"/>
    <w:rsid w:val="0093351B"/>
    <w:rsid w:val="00934BA0"/>
    <w:rsid w:val="00941CA0"/>
    <w:rsid w:val="00942F1D"/>
    <w:rsid w:val="00952192"/>
    <w:rsid w:val="00953738"/>
    <w:rsid w:val="00961447"/>
    <w:rsid w:val="0096440E"/>
    <w:rsid w:val="00964619"/>
    <w:rsid w:val="00965B21"/>
    <w:rsid w:val="0096616A"/>
    <w:rsid w:val="0097307E"/>
    <w:rsid w:val="0097355C"/>
    <w:rsid w:val="00974296"/>
    <w:rsid w:val="009766DB"/>
    <w:rsid w:val="009821D8"/>
    <w:rsid w:val="009909CF"/>
    <w:rsid w:val="009964EC"/>
    <w:rsid w:val="009A120D"/>
    <w:rsid w:val="009A3DFF"/>
    <w:rsid w:val="009A68F3"/>
    <w:rsid w:val="009C147A"/>
    <w:rsid w:val="009C242C"/>
    <w:rsid w:val="009C364F"/>
    <w:rsid w:val="009C60C5"/>
    <w:rsid w:val="009D2EFD"/>
    <w:rsid w:val="009D618F"/>
    <w:rsid w:val="009E195B"/>
    <w:rsid w:val="009E564E"/>
    <w:rsid w:val="009E6E26"/>
    <w:rsid w:val="009F119E"/>
    <w:rsid w:val="009F4405"/>
    <w:rsid w:val="00A00926"/>
    <w:rsid w:val="00A15718"/>
    <w:rsid w:val="00A16744"/>
    <w:rsid w:val="00A20324"/>
    <w:rsid w:val="00A249EC"/>
    <w:rsid w:val="00A2589F"/>
    <w:rsid w:val="00A32026"/>
    <w:rsid w:val="00A36D75"/>
    <w:rsid w:val="00A41AFA"/>
    <w:rsid w:val="00A50F63"/>
    <w:rsid w:val="00A53425"/>
    <w:rsid w:val="00A63ED9"/>
    <w:rsid w:val="00A64F43"/>
    <w:rsid w:val="00A70B82"/>
    <w:rsid w:val="00A72FAE"/>
    <w:rsid w:val="00A75762"/>
    <w:rsid w:val="00A769E7"/>
    <w:rsid w:val="00A82AAC"/>
    <w:rsid w:val="00A870FC"/>
    <w:rsid w:val="00A93941"/>
    <w:rsid w:val="00A960E5"/>
    <w:rsid w:val="00A96B9C"/>
    <w:rsid w:val="00AA11E6"/>
    <w:rsid w:val="00AA1D32"/>
    <w:rsid w:val="00AB12F6"/>
    <w:rsid w:val="00AB1F6F"/>
    <w:rsid w:val="00AB41CC"/>
    <w:rsid w:val="00AB4B16"/>
    <w:rsid w:val="00AB62D4"/>
    <w:rsid w:val="00AC7C4F"/>
    <w:rsid w:val="00AD0690"/>
    <w:rsid w:val="00AD4333"/>
    <w:rsid w:val="00AD4D51"/>
    <w:rsid w:val="00AD502F"/>
    <w:rsid w:val="00AD6974"/>
    <w:rsid w:val="00AE5F75"/>
    <w:rsid w:val="00AF6595"/>
    <w:rsid w:val="00AF6F02"/>
    <w:rsid w:val="00B00986"/>
    <w:rsid w:val="00B05427"/>
    <w:rsid w:val="00B151DD"/>
    <w:rsid w:val="00B16E65"/>
    <w:rsid w:val="00B207FF"/>
    <w:rsid w:val="00B23A21"/>
    <w:rsid w:val="00B2539C"/>
    <w:rsid w:val="00B25779"/>
    <w:rsid w:val="00B25DE7"/>
    <w:rsid w:val="00B25ECE"/>
    <w:rsid w:val="00B50145"/>
    <w:rsid w:val="00B5579F"/>
    <w:rsid w:val="00B60677"/>
    <w:rsid w:val="00B61086"/>
    <w:rsid w:val="00B61C01"/>
    <w:rsid w:val="00B71B5A"/>
    <w:rsid w:val="00B802DB"/>
    <w:rsid w:val="00B83F32"/>
    <w:rsid w:val="00B9288B"/>
    <w:rsid w:val="00B96337"/>
    <w:rsid w:val="00B9766A"/>
    <w:rsid w:val="00B9790C"/>
    <w:rsid w:val="00BA0AF6"/>
    <w:rsid w:val="00BA1559"/>
    <w:rsid w:val="00BA4DB9"/>
    <w:rsid w:val="00BB2AAC"/>
    <w:rsid w:val="00BC03F0"/>
    <w:rsid w:val="00BC2C20"/>
    <w:rsid w:val="00BC34FA"/>
    <w:rsid w:val="00BD08F3"/>
    <w:rsid w:val="00BD2E87"/>
    <w:rsid w:val="00BE5142"/>
    <w:rsid w:val="00BE7D3D"/>
    <w:rsid w:val="00C06062"/>
    <w:rsid w:val="00C10C46"/>
    <w:rsid w:val="00C16305"/>
    <w:rsid w:val="00C313BF"/>
    <w:rsid w:val="00C3367C"/>
    <w:rsid w:val="00C355A1"/>
    <w:rsid w:val="00C422DA"/>
    <w:rsid w:val="00C46C37"/>
    <w:rsid w:val="00C47294"/>
    <w:rsid w:val="00C5095A"/>
    <w:rsid w:val="00C5148A"/>
    <w:rsid w:val="00C5232B"/>
    <w:rsid w:val="00C55A31"/>
    <w:rsid w:val="00C63D4E"/>
    <w:rsid w:val="00C71CF6"/>
    <w:rsid w:val="00C82620"/>
    <w:rsid w:val="00CA0E78"/>
    <w:rsid w:val="00CB2110"/>
    <w:rsid w:val="00CC0260"/>
    <w:rsid w:val="00CC0746"/>
    <w:rsid w:val="00CC0E98"/>
    <w:rsid w:val="00CC4B77"/>
    <w:rsid w:val="00CC5C35"/>
    <w:rsid w:val="00CD3CFB"/>
    <w:rsid w:val="00CD4B4B"/>
    <w:rsid w:val="00CE0538"/>
    <w:rsid w:val="00CE0E9C"/>
    <w:rsid w:val="00CE13DA"/>
    <w:rsid w:val="00CE7291"/>
    <w:rsid w:val="00CF5CB9"/>
    <w:rsid w:val="00D01C82"/>
    <w:rsid w:val="00D04181"/>
    <w:rsid w:val="00D069C4"/>
    <w:rsid w:val="00D138FF"/>
    <w:rsid w:val="00D17008"/>
    <w:rsid w:val="00D17A5C"/>
    <w:rsid w:val="00D26934"/>
    <w:rsid w:val="00D315AB"/>
    <w:rsid w:val="00D32CBB"/>
    <w:rsid w:val="00D347E3"/>
    <w:rsid w:val="00D35B94"/>
    <w:rsid w:val="00D46D26"/>
    <w:rsid w:val="00D62760"/>
    <w:rsid w:val="00D641AD"/>
    <w:rsid w:val="00D7078E"/>
    <w:rsid w:val="00D723CE"/>
    <w:rsid w:val="00D758FA"/>
    <w:rsid w:val="00D83F87"/>
    <w:rsid w:val="00D84F02"/>
    <w:rsid w:val="00D8548C"/>
    <w:rsid w:val="00D90F25"/>
    <w:rsid w:val="00D9510B"/>
    <w:rsid w:val="00D97CC3"/>
    <w:rsid w:val="00DA15B8"/>
    <w:rsid w:val="00DB5F8B"/>
    <w:rsid w:val="00DB6431"/>
    <w:rsid w:val="00DB7961"/>
    <w:rsid w:val="00DD37F7"/>
    <w:rsid w:val="00DD66D8"/>
    <w:rsid w:val="00DE4327"/>
    <w:rsid w:val="00DE452A"/>
    <w:rsid w:val="00DF39DB"/>
    <w:rsid w:val="00DF442F"/>
    <w:rsid w:val="00E0214B"/>
    <w:rsid w:val="00E111BC"/>
    <w:rsid w:val="00E13D9C"/>
    <w:rsid w:val="00E23104"/>
    <w:rsid w:val="00E24737"/>
    <w:rsid w:val="00E30AB8"/>
    <w:rsid w:val="00E30B6E"/>
    <w:rsid w:val="00E30DC4"/>
    <w:rsid w:val="00E320C1"/>
    <w:rsid w:val="00E32B9F"/>
    <w:rsid w:val="00E36631"/>
    <w:rsid w:val="00E376C8"/>
    <w:rsid w:val="00E37F60"/>
    <w:rsid w:val="00E40478"/>
    <w:rsid w:val="00E45047"/>
    <w:rsid w:val="00E46BDF"/>
    <w:rsid w:val="00E52169"/>
    <w:rsid w:val="00E527D8"/>
    <w:rsid w:val="00E5501E"/>
    <w:rsid w:val="00E64FBD"/>
    <w:rsid w:val="00E71E11"/>
    <w:rsid w:val="00E762C5"/>
    <w:rsid w:val="00E82200"/>
    <w:rsid w:val="00E82F38"/>
    <w:rsid w:val="00E85C67"/>
    <w:rsid w:val="00E91741"/>
    <w:rsid w:val="00E94250"/>
    <w:rsid w:val="00EA0719"/>
    <w:rsid w:val="00EA4BB4"/>
    <w:rsid w:val="00EB0838"/>
    <w:rsid w:val="00EB09FF"/>
    <w:rsid w:val="00EB11D2"/>
    <w:rsid w:val="00EB716C"/>
    <w:rsid w:val="00EC1533"/>
    <w:rsid w:val="00ED2244"/>
    <w:rsid w:val="00ED692F"/>
    <w:rsid w:val="00ED6C4D"/>
    <w:rsid w:val="00ED78AB"/>
    <w:rsid w:val="00EE1BD3"/>
    <w:rsid w:val="00EE49EB"/>
    <w:rsid w:val="00F02448"/>
    <w:rsid w:val="00F109D3"/>
    <w:rsid w:val="00F16B38"/>
    <w:rsid w:val="00F1709E"/>
    <w:rsid w:val="00F2165B"/>
    <w:rsid w:val="00F21F52"/>
    <w:rsid w:val="00F2436D"/>
    <w:rsid w:val="00F24A1C"/>
    <w:rsid w:val="00F3044B"/>
    <w:rsid w:val="00F40A8D"/>
    <w:rsid w:val="00F53B30"/>
    <w:rsid w:val="00F57563"/>
    <w:rsid w:val="00F62CC4"/>
    <w:rsid w:val="00F677D2"/>
    <w:rsid w:val="00F76D51"/>
    <w:rsid w:val="00F93493"/>
    <w:rsid w:val="00FB0D46"/>
    <w:rsid w:val="00FB0ED6"/>
    <w:rsid w:val="00FC3506"/>
    <w:rsid w:val="00FC4441"/>
    <w:rsid w:val="00FC4AD2"/>
    <w:rsid w:val="00FC65FB"/>
    <w:rsid w:val="00FD0074"/>
    <w:rsid w:val="00FD4788"/>
    <w:rsid w:val="00FD6D8F"/>
    <w:rsid w:val="00FE2D21"/>
    <w:rsid w:val="00FF1711"/>
    <w:rsid w:val="00FF5C76"/>
    <w:rsid w:val="00FF6A78"/>
    <w:rsid w:val="011919CD"/>
    <w:rsid w:val="01461A7F"/>
    <w:rsid w:val="015047F5"/>
    <w:rsid w:val="01BF5692"/>
    <w:rsid w:val="03AD3555"/>
    <w:rsid w:val="04E458C6"/>
    <w:rsid w:val="05544226"/>
    <w:rsid w:val="05982F07"/>
    <w:rsid w:val="05DC49D1"/>
    <w:rsid w:val="063D64B0"/>
    <w:rsid w:val="07177C50"/>
    <w:rsid w:val="07556094"/>
    <w:rsid w:val="07B36364"/>
    <w:rsid w:val="08153C1F"/>
    <w:rsid w:val="08A931C2"/>
    <w:rsid w:val="098615EE"/>
    <w:rsid w:val="09AF6C59"/>
    <w:rsid w:val="09CB31EA"/>
    <w:rsid w:val="09FC0572"/>
    <w:rsid w:val="0A150735"/>
    <w:rsid w:val="0ABA737D"/>
    <w:rsid w:val="0BC165DF"/>
    <w:rsid w:val="0C243F75"/>
    <w:rsid w:val="0D0F7B3A"/>
    <w:rsid w:val="100F3B6B"/>
    <w:rsid w:val="101F7D63"/>
    <w:rsid w:val="10685029"/>
    <w:rsid w:val="10DA1F6E"/>
    <w:rsid w:val="10E06FFA"/>
    <w:rsid w:val="1225260F"/>
    <w:rsid w:val="12B502CE"/>
    <w:rsid w:val="12BC2AF6"/>
    <w:rsid w:val="12E71F30"/>
    <w:rsid w:val="13464AEF"/>
    <w:rsid w:val="137F2DB6"/>
    <w:rsid w:val="13C76208"/>
    <w:rsid w:val="14DB45A3"/>
    <w:rsid w:val="14E56CAF"/>
    <w:rsid w:val="151B4D60"/>
    <w:rsid w:val="16261A6C"/>
    <w:rsid w:val="164A44DB"/>
    <w:rsid w:val="16E8049F"/>
    <w:rsid w:val="17230B90"/>
    <w:rsid w:val="180513B0"/>
    <w:rsid w:val="19E923FA"/>
    <w:rsid w:val="1A3273F8"/>
    <w:rsid w:val="1A446818"/>
    <w:rsid w:val="1A882E99"/>
    <w:rsid w:val="1AAD7FA9"/>
    <w:rsid w:val="1B1E2EB4"/>
    <w:rsid w:val="1B4E54CC"/>
    <w:rsid w:val="1BF43C15"/>
    <w:rsid w:val="1EAD4248"/>
    <w:rsid w:val="206D0194"/>
    <w:rsid w:val="20994D8B"/>
    <w:rsid w:val="20A31464"/>
    <w:rsid w:val="219A586F"/>
    <w:rsid w:val="22C41308"/>
    <w:rsid w:val="23510F32"/>
    <w:rsid w:val="240C7B96"/>
    <w:rsid w:val="241E0B6B"/>
    <w:rsid w:val="25436FAD"/>
    <w:rsid w:val="254C4080"/>
    <w:rsid w:val="25D72F59"/>
    <w:rsid w:val="268F4C66"/>
    <w:rsid w:val="28022076"/>
    <w:rsid w:val="28186EDD"/>
    <w:rsid w:val="28333D17"/>
    <w:rsid w:val="29674694"/>
    <w:rsid w:val="29D67FAE"/>
    <w:rsid w:val="2A8A2271"/>
    <w:rsid w:val="2A902163"/>
    <w:rsid w:val="2B35169C"/>
    <w:rsid w:val="2BB45C13"/>
    <w:rsid w:val="2CBC3F9A"/>
    <w:rsid w:val="2CCB7F7F"/>
    <w:rsid w:val="2CDB0900"/>
    <w:rsid w:val="2E9B3AC1"/>
    <w:rsid w:val="2EA634D0"/>
    <w:rsid w:val="2EE70783"/>
    <w:rsid w:val="2F585162"/>
    <w:rsid w:val="2FEC0401"/>
    <w:rsid w:val="30944CAF"/>
    <w:rsid w:val="31411253"/>
    <w:rsid w:val="318C4BC4"/>
    <w:rsid w:val="31937300"/>
    <w:rsid w:val="31C152F5"/>
    <w:rsid w:val="323837CE"/>
    <w:rsid w:val="329D7C39"/>
    <w:rsid w:val="32D428B1"/>
    <w:rsid w:val="33060A80"/>
    <w:rsid w:val="33ED1068"/>
    <w:rsid w:val="346239BA"/>
    <w:rsid w:val="35526F62"/>
    <w:rsid w:val="35A50710"/>
    <w:rsid w:val="363B0967"/>
    <w:rsid w:val="36453593"/>
    <w:rsid w:val="367C2A25"/>
    <w:rsid w:val="383F3214"/>
    <w:rsid w:val="38426AE1"/>
    <w:rsid w:val="385C6C0F"/>
    <w:rsid w:val="386B4E07"/>
    <w:rsid w:val="38903F96"/>
    <w:rsid w:val="397A17A6"/>
    <w:rsid w:val="3AC54392"/>
    <w:rsid w:val="3B5D01BA"/>
    <w:rsid w:val="3C6D779F"/>
    <w:rsid w:val="3CE311C2"/>
    <w:rsid w:val="3D7F2A3A"/>
    <w:rsid w:val="3E587BDC"/>
    <w:rsid w:val="403B627D"/>
    <w:rsid w:val="407053B2"/>
    <w:rsid w:val="418362E0"/>
    <w:rsid w:val="42EF167A"/>
    <w:rsid w:val="43987790"/>
    <w:rsid w:val="440B5F42"/>
    <w:rsid w:val="441B069D"/>
    <w:rsid w:val="441D3C71"/>
    <w:rsid w:val="445C1E73"/>
    <w:rsid w:val="44B813D4"/>
    <w:rsid w:val="458C4D3B"/>
    <w:rsid w:val="45AA6F6F"/>
    <w:rsid w:val="465563B6"/>
    <w:rsid w:val="46BA02E8"/>
    <w:rsid w:val="470824F1"/>
    <w:rsid w:val="48233009"/>
    <w:rsid w:val="48B7659B"/>
    <w:rsid w:val="49E12B0F"/>
    <w:rsid w:val="4B3F0E3A"/>
    <w:rsid w:val="4B4520EF"/>
    <w:rsid w:val="4B7B52E0"/>
    <w:rsid w:val="4C1C0024"/>
    <w:rsid w:val="4C2A00A0"/>
    <w:rsid w:val="4CF161AB"/>
    <w:rsid w:val="4DEE4078"/>
    <w:rsid w:val="4F4A531F"/>
    <w:rsid w:val="4F5010E4"/>
    <w:rsid w:val="4FBF3F5F"/>
    <w:rsid w:val="4FDF7447"/>
    <w:rsid w:val="50AD289F"/>
    <w:rsid w:val="513E6134"/>
    <w:rsid w:val="517F4D93"/>
    <w:rsid w:val="51A63887"/>
    <w:rsid w:val="5200387C"/>
    <w:rsid w:val="529C4E05"/>
    <w:rsid w:val="52FC6067"/>
    <w:rsid w:val="53891DA9"/>
    <w:rsid w:val="53D2463E"/>
    <w:rsid w:val="55E77D6B"/>
    <w:rsid w:val="56922FB8"/>
    <w:rsid w:val="56CE4A87"/>
    <w:rsid w:val="57726E69"/>
    <w:rsid w:val="577C717E"/>
    <w:rsid w:val="57853398"/>
    <w:rsid w:val="59F14D15"/>
    <w:rsid w:val="5A5A4FB0"/>
    <w:rsid w:val="5B101B12"/>
    <w:rsid w:val="5B31149E"/>
    <w:rsid w:val="5B840133"/>
    <w:rsid w:val="5BA726FA"/>
    <w:rsid w:val="5BE621FE"/>
    <w:rsid w:val="5BF60D08"/>
    <w:rsid w:val="5C105220"/>
    <w:rsid w:val="5C2E2250"/>
    <w:rsid w:val="5C470922"/>
    <w:rsid w:val="5CA665A1"/>
    <w:rsid w:val="5CCC159B"/>
    <w:rsid w:val="5CE62FC8"/>
    <w:rsid w:val="5D063D8B"/>
    <w:rsid w:val="5E3478C6"/>
    <w:rsid w:val="5EE45D1D"/>
    <w:rsid w:val="5F2076B5"/>
    <w:rsid w:val="60552811"/>
    <w:rsid w:val="60BF1742"/>
    <w:rsid w:val="615E088A"/>
    <w:rsid w:val="61E012DE"/>
    <w:rsid w:val="62A03C77"/>
    <w:rsid w:val="62EB29DE"/>
    <w:rsid w:val="635860D4"/>
    <w:rsid w:val="635F42CD"/>
    <w:rsid w:val="63D52451"/>
    <w:rsid w:val="64393989"/>
    <w:rsid w:val="6488799B"/>
    <w:rsid w:val="64A935C5"/>
    <w:rsid w:val="655B3AC7"/>
    <w:rsid w:val="6562740E"/>
    <w:rsid w:val="670964B1"/>
    <w:rsid w:val="67803B7C"/>
    <w:rsid w:val="68317D19"/>
    <w:rsid w:val="68E14509"/>
    <w:rsid w:val="69450512"/>
    <w:rsid w:val="694F3806"/>
    <w:rsid w:val="69550E53"/>
    <w:rsid w:val="6958090C"/>
    <w:rsid w:val="696557AA"/>
    <w:rsid w:val="699720E1"/>
    <w:rsid w:val="69D74B3A"/>
    <w:rsid w:val="69DC2584"/>
    <w:rsid w:val="69F50851"/>
    <w:rsid w:val="6A99742E"/>
    <w:rsid w:val="6B0823BF"/>
    <w:rsid w:val="6BB8052A"/>
    <w:rsid w:val="6CCA7D73"/>
    <w:rsid w:val="6D884DD1"/>
    <w:rsid w:val="6DDC47DB"/>
    <w:rsid w:val="6E9A203B"/>
    <w:rsid w:val="6F305E87"/>
    <w:rsid w:val="6F4B2CC1"/>
    <w:rsid w:val="6FE36B69"/>
    <w:rsid w:val="71C4397A"/>
    <w:rsid w:val="71CD0E19"/>
    <w:rsid w:val="71D87498"/>
    <w:rsid w:val="72AC7421"/>
    <w:rsid w:val="739358D2"/>
    <w:rsid w:val="758B6831"/>
    <w:rsid w:val="75B11767"/>
    <w:rsid w:val="775C1F10"/>
    <w:rsid w:val="77877265"/>
    <w:rsid w:val="778BD916"/>
    <w:rsid w:val="79672691"/>
    <w:rsid w:val="7A8E12BB"/>
    <w:rsid w:val="7AAA5FA3"/>
    <w:rsid w:val="7B785E16"/>
    <w:rsid w:val="7C09766B"/>
    <w:rsid w:val="7CE80B0A"/>
    <w:rsid w:val="7D5320BC"/>
    <w:rsid w:val="7D5D2F04"/>
    <w:rsid w:val="7DCC4117"/>
    <w:rsid w:val="7DFB76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34"/>
    <w:qFormat/>
    <w:uiPriority w:val="1"/>
    <w:pPr>
      <w:ind w:left="38"/>
      <w:jc w:val="center"/>
      <w:outlineLvl w:val="0"/>
    </w:pPr>
    <w:rPr>
      <w:rFonts w:ascii="微软雅黑" w:hAnsi="微软雅黑" w:eastAsia="微软雅黑" w:cs="微软雅黑"/>
      <w:b/>
      <w:bCs/>
      <w:sz w:val="44"/>
      <w:szCs w:val="44"/>
    </w:rPr>
  </w:style>
  <w:style w:type="paragraph" w:styleId="3">
    <w:name w:val="heading 2"/>
    <w:basedOn w:val="1"/>
    <w:next w:val="1"/>
    <w:link w:val="35"/>
    <w:qFormat/>
    <w:uiPriority w:val="1"/>
    <w:pPr>
      <w:ind w:left="638"/>
      <w:outlineLvl w:val="1"/>
    </w:pPr>
    <w:rPr>
      <w:rFonts w:ascii="黑体" w:hAnsi="黑体" w:eastAsia="黑体" w:cs="黑体"/>
      <w:b/>
      <w:bCs/>
      <w:sz w:val="32"/>
      <w:szCs w:val="32"/>
    </w:rPr>
  </w:style>
  <w:style w:type="paragraph" w:styleId="4">
    <w:name w:val="heading 3"/>
    <w:basedOn w:val="1"/>
    <w:next w:val="1"/>
    <w:link w:val="36"/>
    <w:qFormat/>
    <w:uiPriority w:val="1"/>
    <w:pPr>
      <w:spacing w:before="41"/>
      <w:ind w:left="957"/>
      <w:outlineLvl w:val="2"/>
    </w:pPr>
    <w:rPr>
      <w:rFonts w:ascii="微软雅黑" w:hAnsi="微软雅黑" w:eastAsia="微软雅黑" w:cs="微软雅黑"/>
      <w:sz w:val="32"/>
      <w:szCs w:val="32"/>
    </w:rPr>
  </w:style>
  <w:style w:type="paragraph" w:styleId="5">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6">
    <w:name w:val="heading 5"/>
    <w:basedOn w:val="1"/>
    <w:next w:val="1"/>
    <w:link w:val="37"/>
    <w:qFormat/>
    <w:uiPriority w:val="1"/>
    <w:pPr>
      <w:ind w:left="638"/>
      <w:outlineLvl w:val="4"/>
    </w:pPr>
    <w:rPr>
      <w:sz w:val="24"/>
      <w:szCs w:val="24"/>
    </w:rPr>
  </w:style>
  <w:style w:type="paragraph" w:styleId="7">
    <w:name w:val="heading 6"/>
    <w:basedOn w:val="1"/>
    <w:next w:val="1"/>
    <w:link w:val="38"/>
    <w:qFormat/>
    <w:uiPriority w:val="1"/>
    <w:pPr>
      <w:ind w:left="1269" w:hanging="214"/>
      <w:outlineLvl w:val="5"/>
    </w:pPr>
    <w:rPr>
      <w:b/>
      <w:bCs/>
      <w:sz w:val="21"/>
      <w:szCs w:val="21"/>
    </w:rPr>
  </w:style>
  <w:style w:type="character" w:default="1" w:styleId="27">
    <w:name w:val="Default Paragraph Font"/>
    <w:unhideWhenUsed/>
    <w:qFormat/>
    <w:uiPriority w:val="1"/>
  </w:style>
  <w:style w:type="table" w:default="1" w:styleId="25">
    <w:name w:val="Normal Table"/>
    <w:unhideWhenUsed/>
    <w:qFormat/>
    <w:uiPriority w:val="99"/>
    <w:tblPr>
      <w:tblCellMar>
        <w:top w:w="0" w:type="dxa"/>
        <w:left w:w="108" w:type="dxa"/>
        <w:bottom w:w="0" w:type="dxa"/>
        <w:right w:w="108" w:type="dxa"/>
      </w:tblCellMar>
    </w:tblPr>
  </w:style>
  <w:style w:type="paragraph" w:styleId="8">
    <w:name w:val="Normal Indent"/>
    <w:basedOn w:val="1"/>
    <w:link w:val="39"/>
    <w:qFormat/>
    <w:uiPriority w:val="0"/>
    <w:pPr>
      <w:ind w:firstLine="420" w:firstLineChars="200"/>
    </w:pPr>
    <w:rPr>
      <w:sz w:val="21"/>
    </w:rPr>
  </w:style>
  <w:style w:type="paragraph" w:styleId="9">
    <w:name w:val="annotation text"/>
    <w:basedOn w:val="1"/>
    <w:link w:val="40"/>
    <w:qFormat/>
    <w:uiPriority w:val="0"/>
  </w:style>
  <w:style w:type="paragraph" w:styleId="10">
    <w:name w:val="Body Text"/>
    <w:basedOn w:val="1"/>
    <w:link w:val="41"/>
    <w:qFormat/>
    <w:uiPriority w:val="1"/>
    <w:rPr>
      <w:sz w:val="21"/>
      <w:szCs w:val="21"/>
    </w:rPr>
  </w:style>
  <w:style w:type="paragraph" w:styleId="11">
    <w:name w:val="Body Text Indent"/>
    <w:basedOn w:val="1"/>
    <w:link w:val="42"/>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3"/>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4"/>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45"/>
    <w:qFormat/>
    <w:uiPriority w:val="0"/>
    <w:pPr>
      <w:spacing w:line="520" w:lineRule="exact"/>
      <w:ind w:firstLine="478" w:firstLineChars="199"/>
    </w:pPr>
    <w:rPr>
      <w:sz w:val="24"/>
    </w:rPr>
  </w:style>
  <w:style w:type="paragraph" w:styleId="15">
    <w:name w:val="Balloon Text"/>
    <w:basedOn w:val="1"/>
    <w:link w:val="46"/>
    <w:qFormat/>
    <w:uiPriority w:val="0"/>
    <w:rPr>
      <w:sz w:val="18"/>
      <w:szCs w:val="18"/>
    </w:rPr>
  </w:style>
  <w:style w:type="paragraph" w:styleId="16">
    <w:name w:val="footer"/>
    <w:basedOn w:val="1"/>
    <w:link w:val="47"/>
    <w:qFormat/>
    <w:uiPriority w:val="0"/>
    <w:pPr>
      <w:tabs>
        <w:tab w:val="center" w:pos="4153"/>
        <w:tab w:val="right" w:pos="8306"/>
      </w:tabs>
      <w:snapToGrid w:val="0"/>
    </w:pPr>
    <w:rPr>
      <w:sz w:val="18"/>
      <w:szCs w:val="18"/>
    </w:rPr>
  </w:style>
  <w:style w:type="paragraph" w:styleId="17">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0"/>
    <w:pPr>
      <w:autoSpaceDE/>
      <w:autoSpaceDN/>
      <w:jc w:val="both"/>
    </w:pPr>
    <w:rPr>
      <w:rFonts w:ascii="Times New Roman" w:hAnsi="Times New Roman" w:cs="Times New Roman"/>
      <w:kern w:val="2"/>
      <w:sz w:val="24"/>
      <w:szCs w:val="20"/>
      <w:lang w:val="en-US" w:bidi="ar-SA"/>
    </w:rPr>
  </w:style>
  <w:style w:type="paragraph" w:styleId="22">
    <w:name w:val="Title"/>
    <w:basedOn w:val="1"/>
    <w:next w:val="1"/>
    <w:qFormat/>
    <w:uiPriority w:val="0"/>
    <w:pPr>
      <w:spacing w:after="80"/>
      <w:contextualSpacing/>
      <w:jc w:val="center"/>
    </w:pPr>
    <w:rPr>
      <w:rFonts w:ascii="Cambria" w:hAnsi="Cambria" w:eastAsia="宋体" w:cs="Times New Roman"/>
      <w:spacing w:val="-10"/>
      <w:kern w:val="28"/>
      <w:sz w:val="56"/>
      <w:szCs w:val="56"/>
    </w:rPr>
  </w:style>
  <w:style w:type="paragraph" w:styleId="23">
    <w:name w:val="annotation subject"/>
    <w:basedOn w:val="9"/>
    <w:next w:val="9"/>
    <w:link w:val="50"/>
    <w:qFormat/>
    <w:uiPriority w:val="0"/>
    <w:rPr>
      <w:b/>
      <w:bCs/>
    </w:rPr>
  </w:style>
  <w:style w:type="paragraph" w:styleId="24">
    <w:name w:val="Body Text First Indent 2"/>
    <w:basedOn w:val="11"/>
    <w:next w:val="1"/>
    <w:qFormat/>
    <w:uiPriority w:val="0"/>
    <w:pPr>
      <w:widowControl/>
      <w:kinsoku w:val="0"/>
      <w:autoSpaceDE w:val="0"/>
      <w:autoSpaceDN w:val="0"/>
      <w:adjustRightInd w:val="0"/>
      <w:snapToGrid w:val="0"/>
      <w:spacing w:line="276" w:lineRule="auto"/>
      <w:ind w:left="200" w:firstLine="200" w:firstLineChars="200"/>
      <w:jc w:val="left"/>
      <w:textAlignment w:val="baseline"/>
    </w:pPr>
    <w:rPr>
      <w:rFonts w:ascii="Calibri" w:hAnsi="Calibri" w:eastAsia="Arial" w:cs="Arial"/>
      <w:snapToGrid w:val="0"/>
      <w:color w:val="000000"/>
      <w:kern w:val="0"/>
      <w:szCs w:val="22"/>
      <w:lang w:eastAsia="en-US"/>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rPr>
  </w:style>
  <w:style w:type="character" w:styleId="29">
    <w:name w:val="page number"/>
    <w:basedOn w:val="27"/>
    <w:qFormat/>
    <w:uiPriority w:val="0"/>
  </w:style>
  <w:style w:type="character" w:styleId="30">
    <w:name w:val="FollowedHyperlink"/>
    <w:qFormat/>
    <w:uiPriority w:val="99"/>
    <w:rPr>
      <w:color w:val="800080"/>
      <w:u w:val="single"/>
    </w:rPr>
  </w:style>
  <w:style w:type="character" w:styleId="31">
    <w:name w:val="Emphasis"/>
    <w:qFormat/>
    <w:uiPriority w:val="20"/>
    <w:rPr>
      <w:i/>
      <w:iCs/>
    </w:rPr>
  </w:style>
  <w:style w:type="character" w:styleId="32">
    <w:name w:val="Hyperlink"/>
    <w:qFormat/>
    <w:uiPriority w:val="99"/>
    <w:rPr>
      <w:rFonts w:cs="Times New Roman"/>
      <w:color w:val="1F4F88"/>
      <w:u w:val="none"/>
    </w:rPr>
  </w:style>
  <w:style w:type="character" w:styleId="33">
    <w:name w:val="annotation reference"/>
    <w:basedOn w:val="27"/>
    <w:qFormat/>
    <w:uiPriority w:val="0"/>
    <w:rPr>
      <w:sz w:val="21"/>
      <w:szCs w:val="21"/>
    </w:rPr>
  </w:style>
  <w:style w:type="character" w:customStyle="1" w:styleId="34">
    <w:name w:val="标题 1 字符"/>
    <w:basedOn w:val="27"/>
    <w:link w:val="2"/>
    <w:qFormat/>
    <w:uiPriority w:val="0"/>
    <w:rPr>
      <w:rFonts w:ascii="微软雅黑" w:hAnsi="微软雅黑" w:eastAsia="微软雅黑" w:cs="微软雅黑"/>
      <w:b/>
      <w:bCs/>
      <w:sz w:val="44"/>
      <w:szCs w:val="44"/>
      <w:lang w:val="zh-CN" w:bidi="zh-CN"/>
    </w:rPr>
  </w:style>
  <w:style w:type="character" w:customStyle="1" w:styleId="35">
    <w:name w:val="标题 2 字符"/>
    <w:basedOn w:val="27"/>
    <w:link w:val="3"/>
    <w:qFormat/>
    <w:uiPriority w:val="1"/>
    <w:rPr>
      <w:rFonts w:ascii="黑体" w:hAnsi="黑体" w:eastAsia="黑体" w:cs="黑体"/>
      <w:b/>
      <w:bCs/>
      <w:sz w:val="32"/>
      <w:szCs w:val="32"/>
      <w:lang w:val="zh-CN" w:bidi="zh-CN"/>
    </w:rPr>
  </w:style>
  <w:style w:type="character" w:customStyle="1" w:styleId="36">
    <w:name w:val="标题 3 字符"/>
    <w:basedOn w:val="27"/>
    <w:link w:val="4"/>
    <w:qFormat/>
    <w:uiPriority w:val="9"/>
    <w:rPr>
      <w:rFonts w:ascii="微软雅黑" w:hAnsi="微软雅黑" w:eastAsia="微软雅黑" w:cs="微软雅黑"/>
      <w:sz w:val="32"/>
      <w:szCs w:val="32"/>
      <w:lang w:val="zh-CN" w:bidi="zh-CN"/>
    </w:rPr>
  </w:style>
  <w:style w:type="character" w:customStyle="1" w:styleId="37">
    <w:name w:val="标题 5 字符"/>
    <w:basedOn w:val="27"/>
    <w:link w:val="6"/>
    <w:qFormat/>
    <w:uiPriority w:val="1"/>
    <w:rPr>
      <w:rFonts w:ascii="宋体" w:hAnsi="宋体" w:eastAsia="宋体" w:cs="宋体"/>
      <w:sz w:val="24"/>
      <w:szCs w:val="24"/>
      <w:lang w:val="zh-CN" w:bidi="zh-CN"/>
    </w:rPr>
  </w:style>
  <w:style w:type="character" w:customStyle="1" w:styleId="38">
    <w:name w:val="标题 6 字符"/>
    <w:basedOn w:val="27"/>
    <w:link w:val="7"/>
    <w:qFormat/>
    <w:uiPriority w:val="1"/>
    <w:rPr>
      <w:rFonts w:ascii="宋体" w:hAnsi="宋体" w:eastAsia="宋体" w:cs="宋体"/>
      <w:b/>
      <w:bCs/>
      <w:sz w:val="21"/>
      <w:szCs w:val="21"/>
      <w:lang w:val="zh-CN" w:bidi="zh-CN"/>
    </w:rPr>
  </w:style>
  <w:style w:type="character" w:customStyle="1" w:styleId="39">
    <w:name w:val="正文缩进 字符"/>
    <w:link w:val="8"/>
    <w:qFormat/>
    <w:uiPriority w:val="0"/>
    <w:rPr>
      <w:rFonts w:ascii="宋体" w:hAnsi="宋体" w:eastAsia="宋体" w:cs="宋体"/>
      <w:sz w:val="21"/>
      <w:szCs w:val="22"/>
      <w:lang w:val="zh-CN" w:bidi="zh-CN"/>
    </w:rPr>
  </w:style>
  <w:style w:type="character" w:customStyle="1" w:styleId="40">
    <w:name w:val="批注文字 字符"/>
    <w:basedOn w:val="27"/>
    <w:link w:val="9"/>
    <w:qFormat/>
    <w:uiPriority w:val="0"/>
    <w:rPr>
      <w:rFonts w:ascii="宋体" w:hAnsi="宋体" w:eastAsia="宋体" w:cs="宋体"/>
      <w:sz w:val="22"/>
      <w:szCs w:val="22"/>
      <w:lang w:val="zh-CN" w:bidi="zh-CN"/>
    </w:rPr>
  </w:style>
  <w:style w:type="character" w:customStyle="1" w:styleId="41">
    <w:name w:val="正文文本 字符"/>
    <w:link w:val="10"/>
    <w:qFormat/>
    <w:uiPriority w:val="1"/>
    <w:rPr>
      <w:rFonts w:ascii="宋体" w:hAnsi="宋体" w:eastAsia="宋体" w:cs="宋体"/>
      <w:sz w:val="21"/>
      <w:szCs w:val="21"/>
      <w:lang w:val="zh-CN" w:bidi="zh-CN"/>
    </w:rPr>
  </w:style>
  <w:style w:type="character" w:customStyle="1" w:styleId="42">
    <w:name w:val="正文文本缩进 字符"/>
    <w:basedOn w:val="27"/>
    <w:link w:val="11"/>
    <w:qFormat/>
    <w:uiPriority w:val="99"/>
    <w:rPr>
      <w:rFonts w:ascii="Times New Roman" w:hAnsi="Times New Roman" w:eastAsia="宋体" w:cs="Times New Roman"/>
      <w:kern w:val="2"/>
      <w:sz w:val="21"/>
    </w:rPr>
  </w:style>
  <w:style w:type="character" w:customStyle="1" w:styleId="43">
    <w:name w:val="纯文本 字符"/>
    <w:basedOn w:val="27"/>
    <w:link w:val="12"/>
    <w:qFormat/>
    <w:uiPriority w:val="0"/>
    <w:rPr>
      <w:rFonts w:ascii="宋体" w:hAnsi="Courier New" w:eastAsia="宋体" w:cs="Courier New"/>
      <w:kern w:val="2"/>
      <w:sz w:val="21"/>
      <w:szCs w:val="21"/>
    </w:rPr>
  </w:style>
  <w:style w:type="character" w:customStyle="1" w:styleId="44">
    <w:name w:val="日期 字符"/>
    <w:basedOn w:val="27"/>
    <w:link w:val="13"/>
    <w:qFormat/>
    <w:uiPriority w:val="99"/>
    <w:rPr>
      <w:rFonts w:ascii="Times New Roman" w:hAnsi="Times New Roman" w:eastAsia="宋体" w:cs="Times New Roman"/>
      <w:kern w:val="2"/>
      <w:sz w:val="21"/>
    </w:rPr>
  </w:style>
  <w:style w:type="character" w:customStyle="1" w:styleId="45">
    <w:name w:val="正文文本缩进 2 字符"/>
    <w:basedOn w:val="27"/>
    <w:link w:val="14"/>
    <w:qFormat/>
    <w:uiPriority w:val="0"/>
    <w:rPr>
      <w:rFonts w:ascii="宋体" w:hAnsi="宋体" w:eastAsia="宋体" w:cs="宋体"/>
      <w:sz w:val="24"/>
      <w:szCs w:val="22"/>
      <w:lang w:val="zh-CN" w:bidi="zh-CN"/>
    </w:rPr>
  </w:style>
  <w:style w:type="character" w:customStyle="1" w:styleId="46">
    <w:name w:val="批注框文本 字符"/>
    <w:basedOn w:val="27"/>
    <w:link w:val="15"/>
    <w:qFormat/>
    <w:uiPriority w:val="0"/>
    <w:rPr>
      <w:rFonts w:ascii="宋体" w:hAnsi="宋体" w:eastAsia="宋体" w:cs="宋体"/>
      <w:sz w:val="18"/>
      <w:szCs w:val="18"/>
      <w:lang w:val="zh-CN" w:bidi="zh-CN"/>
    </w:rPr>
  </w:style>
  <w:style w:type="character" w:customStyle="1" w:styleId="47">
    <w:name w:val="页脚 字符"/>
    <w:basedOn w:val="27"/>
    <w:link w:val="16"/>
    <w:qFormat/>
    <w:uiPriority w:val="0"/>
    <w:rPr>
      <w:rFonts w:ascii="宋体" w:hAnsi="宋体" w:eastAsia="宋体" w:cs="宋体"/>
      <w:sz w:val="18"/>
      <w:szCs w:val="18"/>
      <w:lang w:val="zh-CN" w:bidi="zh-CN"/>
    </w:rPr>
  </w:style>
  <w:style w:type="character" w:customStyle="1" w:styleId="48">
    <w:name w:val="页眉 字符"/>
    <w:basedOn w:val="27"/>
    <w:link w:val="17"/>
    <w:qFormat/>
    <w:uiPriority w:val="0"/>
    <w:rPr>
      <w:rFonts w:ascii="宋体" w:hAnsi="宋体" w:eastAsia="宋体" w:cs="宋体"/>
      <w:sz w:val="18"/>
      <w:szCs w:val="18"/>
      <w:lang w:val="zh-CN" w:bidi="zh-CN"/>
    </w:rPr>
  </w:style>
  <w:style w:type="character" w:customStyle="1" w:styleId="49">
    <w:name w:val="HTML 预设格式 字符"/>
    <w:basedOn w:val="27"/>
    <w:link w:val="20"/>
    <w:qFormat/>
    <w:uiPriority w:val="0"/>
    <w:rPr>
      <w:rFonts w:ascii="Arial" w:hAnsi="Arial" w:eastAsia="宋体" w:cs="Arial"/>
      <w:sz w:val="21"/>
      <w:szCs w:val="21"/>
    </w:rPr>
  </w:style>
  <w:style w:type="character" w:customStyle="1" w:styleId="50">
    <w:name w:val="批注主题 字符"/>
    <w:basedOn w:val="40"/>
    <w:link w:val="23"/>
    <w:qFormat/>
    <w:uiPriority w:val="0"/>
    <w:rPr>
      <w:rFonts w:ascii="宋体" w:hAnsi="宋体" w:eastAsia="宋体" w:cs="宋体"/>
      <w:b/>
      <w:bCs/>
      <w:sz w:val="22"/>
      <w:szCs w:val="22"/>
      <w:lang w:val="zh-CN" w:bidi="zh-CN"/>
    </w:rPr>
  </w:style>
  <w:style w:type="table" w:customStyle="1" w:styleId="51">
    <w:name w:val="Table Normal"/>
    <w:unhideWhenUsed/>
    <w:qFormat/>
    <w:uiPriority w:val="2"/>
    <w:tblPr>
      <w:tblCellMar>
        <w:top w:w="0" w:type="dxa"/>
        <w:left w:w="0" w:type="dxa"/>
        <w:bottom w:w="0" w:type="dxa"/>
        <w:right w:w="0" w:type="dxa"/>
      </w:tblCellMar>
    </w:tblPr>
  </w:style>
  <w:style w:type="paragraph" w:styleId="52">
    <w:name w:val="List Paragraph"/>
    <w:basedOn w:val="1"/>
    <w:qFormat/>
    <w:uiPriority w:val="34"/>
    <w:pPr>
      <w:ind w:left="638" w:firstLine="420"/>
    </w:pPr>
  </w:style>
  <w:style w:type="paragraph" w:customStyle="1" w:styleId="53">
    <w:name w:val="Table Paragraph"/>
    <w:basedOn w:val="1"/>
    <w:qFormat/>
    <w:uiPriority w:val="1"/>
  </w:style>
  <w:style w:type="paragraph" w:customStyle="1" w:styleId="54">
    <w:name w:val="修订1"/>
    <w:semiHidden/>
    <w:qFormat/>
    <w:uiPriority w:val="99"/>
    <w:rPr>
      <w:rFonts w:ascii="宋体" w:hAnsi="宋体" w:eastAsia="宋体" w:cs="宋体"/>
      <w:sz w:val="22"/>
      <w:szCs w:val="22"/>
      <w:lang w:val="zh-CN" w:eastAsia="zh-CN" w:bidi="zh-CN"/>
    </w:rPr>
  </w:style>
  <w:style w:type="character" w:customStyle="1" w:styleId="55">
    <w:name w:val="font01"/>
    <w:qFormat/>
    <w:uiPriority w:val="0"/>
    <w:rPr>
      <w:rFonts w:hint="eastAsia" w:ascii="宋体" w:hAnsi="宋体" w:eastAsia="宋体" w:cs="宋体"/>
      <w:color w:val="000000"/>
      <w:sz w:val="15"/>
      <w:szCs w:val="15"/>
      <w:u w:val="none"/>
    </w:rPr>
  </w:style>
  <w:style w:type="table" w:customStyle="1" w:styleId="56">
    <w:name w:val="网格型1"/>
    <w:basedOn w:val="2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7">
    <w:name w:val="apple-converted-space"/>
    <w:basedOn w:val="27"/>
    <w:qFormat/>
    <w:uiPriority w:val="0"/>
  </w:style>
  <w:style w:type="character" w:customStyle="1" w:styleId="58">
    <w:name w:val="Char Char2"/>
    <w:qFormat/>
    <w:uiPriority w:val="0"/>
    <w:rPr>
      <w:rFonts w:ascii="宋体" w:hAnsi="Courier New" w:cs="宋体"/>
      <w:kern w:val="2"/>
      <w:sz w:val="21"/>
      <w:szCs w:val="21"/>
    </w:rPr>
  </w:style>
  <w:style w:type="character" w:customStyle="1" w:styleId="59">
    <w:name w:val="纯文本 Char"/>
    <w:qFormat/>
    <w:uiPriority w:val="0"/>
    <w:rPr>
      <w:rFonts w:ascii="宋体" w:hAnsi="Courier New" w:eastAsia="宋体"/>
      <w:kern w:val="2"/>
      <w:sz w:val="21"/>
      <w:lang w:val="en-US" w:eastAsia="zh-CN" w:bidi="ar-SA"/>
    </w:rPr>
  </w:style>
  <w:style w:type="character" w:customStyle="1" w:styleId="60">
    <w:name w:val="HTML Markup"/>
    <w:qFormat/>
    <w:uiPriority w:val="0"/>
    <w:rPr>
      <w:vanish/>
      <w:color w:val="FF0000"/>
    </w:rPr>
  </w:style>
  <w:style w:type="character" w:customStyle="1" w:styleId="61">
    <w:name w:val="正文文本缩进 Char"/>
    <w:link w:val="62"/>
    <w:qFormat/>
    <w:uiPriority w:val="0"/>
  </w:style>
  <w:style w:type="paragraph" w:customStyle="1" w:styleId="62">
    <w:name w:val="正文文本缩进1"/>
    <w:basedOn w:val="1"/>
    <w:link w:val="61"/>
    <w:qFormat/>
    <w:uiPriority w:val="0"/>
    <w:pPr>
      <w:autoSpaceDE/>
      <w:autoSpaceDN/>
      <w:spacing w:after="120"/>
      <w:ind w:left="420" w:leftChars="200"/>
      <w:jc w:val="both"/>
    </w:pPr>
    <w:rPr>
      <w:rFonts w:ascii="Calibri" w:hAnsi="Calibri" w:eastAsia="宋体" w:cs="Times New Roman"/>
      <w:sz w:val="20"/>
      <w:szCs w:val="20"/>
      <w:lang w:val="en-US" w:bidi="ar-SA"/>
    </w:rPr>
  </w:style>
  <w:style w:type="character" w:customStyle="1" w:styleId="63">
    <w:name w:val="Char Char3"/>
    <w:qFormat/>
    <w:uiPriority w:val="0"/>
    <w:rPr>
      <w:rFonts w:ascii="宋体" w:hAnsi="Courier New" w:eastAsia="宋体"/>
      <w:kern w:val="2"/>
      <w:sz w:val="21"/>
      <w:lang w:val="en-US" w:eastAsia="zh-CN" w:bidi="ar-SA"/>
    </w:rPr>
  </w:style>
  <w:style w:type="character" w:customStyle="1" w:styleId="64">
    <w:name w:val="font61"/>
    <w:qFormat/>
    <w:uiPriority w:val="0"/>
    <w:rPr>
      <w:rFonts w:hint="eastAsia" w:ascii="宋体" w:hAnsi="宋体" w:eastAsia="宋体" w:cs="宋体"/>
      <w:color w:val="000000"/>
      <w:sz w:val="24"/>
      <w:szCs w:val="24"/>
      <w:u w:val="none"/>
    </w:rPr>
  </w:style>
  <w:style w:type="character" w:customStyle="1" w:styleId="65">
    <w:name w:val="纯文本 Char3"/>
    <w:qFormat/>
    <w:uiPriority w:val="0"/>
    <w:rPr>
      <w:rFonts w:ascii="宋体" w:hAnsi="Courier New" w:eastAsia="宋体"/>
      <w:kern w:val="2"/>
      <w:sz w:val="21"/>
      <w:lang w:val="en-US" w:eastAsia="zh-CN" w:bidi="ar-SA"/>
    </w:rPr>
  </w:style>
  <w:style w:type="character" w:customStyle="1" w:styleId="66">
    <w:name w:val="Char Char5"/>
    <w:qFormat/>
    <w:uiPriority w:val="0"/>
    <w:rPr>
      <w:rFonts w:ascii="宋体" w:hAnsi="Courier New" w:eastAsia="宋体"/>
      <w:kern w:val="2"/>
      <w:sz w:val="21"/>
      <w:lang w:val="en-US" w:eastAsia="zh-CN" w:bidi="ar-SA"/>
    </w:rPr>
  </w:style>
  <w:style w:type="character" w:customStyle="1" w:styleId="67">
    <w:name w:val="正文文本 Char"/>
    <w:qFormat/>
    <w:uiPriority w:val="0"/>
    <w:rPr>
      <w:rFonts w:ascii="仿宋_GB2312" w:eastAsia="仿宋_GB2312"/>
      <w:kern w:val="2"/>
      <w:sz w:val="32"/>
    </w:rPr>
  </w:style>
  <w:style w:type="character" w:customStyle="1" w:styleId="68">
    <w:name w:val="批注框文本 Char1"/>
    <w:basedOn w:val="27"/>
    <w:semiHidden/>
    <w:qFormat/>
    <w:uiPriority w:val="99"/>
    <w:rPr>
      <w:rFonts w:ascii="Calibri" w:hAnsi="Calibri" w:eastAsia="宋体" w:cs="Times New Roman"/>
      <w:sz w:val="18"/>
      <w:szCs w:val="18"/>
    </w:rPr>
  </w:style>
  <w:style w:type="character" w:customStyle="1" w:styleId="69">
    <w:name w:val="纯文本 Char2"/>
    <w:basedOn w:val="27"/>
    <w:semiHidden/>
    <w:qFormat/>
    <w:uiPriority w:val="99"/>
    <w:rPr>
      <w:rFonts w:ascii="宋体" w:hAnsi="Courier New" w:eastAsia="宋体" w:cs="Courier New"/>
      <w:szCs w:val="21"/>
    </w:rPr>
  </w:style>
  <w:style w:type="character" w:customStyle="1" w:styleId="70">
    <w:name w:val="页眉 Char1"/>
    <w:basedOn w:val="27"/>
    <w:semiHidden/>
    <w:qFormat/>
    <w:uiPriority w:val="99"/>
    <w:rPr>
      <w:rFonts w:ascii="Calibri" w:hAnsi="Calibri" w:eastAsia="宋体" w:cs="Times New Roman"/>
      <w:sz w:val="18"/>
      <w:szCs w:val="18"/>
    </w:rPr>
  </w:style>
  <w:style w:type="character" w:customStyle="1" w:styleId="71">
    <w:name w:val="正文文本缩进 Char2"/>
    <w:basedOn w:val="27"/>
    <w:semiHidden/>
    <w:qFormat/>
    <w:uiPriority w:val="99"/>
    <w:rPr>
      <w:rFonts w:ascii="Calibri" w:hAnsi="Calibri" w:eastAsia="宋体" w:cs="Times New Roman"/>
      <w:szCs w:val="20"/>
    </w:rPr>
  </w:style>
  <w:style w:type="character" w:customStyle="1" w:styleId="72">
    <w:name w:val="正文文本 Char2"/>
    <w:basedOn w:val="27"/>
    <w:semiHidden/>
    <w:qFormat/>
    <w:uiPriority w:val="99"/>
    <w:rPr>
      <w:rFonts w:ascii="Calibri" w:hAnsi="Calibri" w:eastAsia="宋体" w:cs="Times New Roman"/>
      <w:szCs w:val="20"/>
    </w:rPr>
  </w:style>
  <w:style w:type="character" w:customStyle="1" w:styleId="73">
    <w:name w:val="批注文字 Char1"/>
    <w:basedOn w:val="27"/>
    <w:semiHidden/>
    <w:qFormat/>
    <w:uiPriority w:val="99"/>
    <w:rPr>
      <w:rFonts w:ascii="Calibri" w:hAnsi="Calibri" w:eastAsia="宋体" w:cs="Times New Roman"/>
      <w:szCs w:val="20"/>
    </w:rPr>
  </w:style>
  <w:style w:type="character" w:customStyle="1" w:styleId="74">
    <w:name w:val="页脚 Char1"/>
    <w:basedOn w:val="27"/>
    <w:semiHidden/>
    <w:qFormat/>
    <w:uiPriority w:val="99"/>
    <w:rPr>
      <w:rFonts w:ascii="Calibri" w:hAnsi="Calibri" w:eastAsia="宋体" w:cs="Times New Roman"/>
      <w:sz w:val="18"/>
      <w:szCs w:val="18"/>
    </w:rPr>
  </w:style>
  <w:style w:type="character" w:customStyle="1" w:styleId="75">
    <w:name w:val="批注主题 Char1"/>
    <w:basedOn w:val="73"/>
    <w:semiHidden/>
    <w:qFormat/>
    <w:uiPriority w:val="99"/>
    <w:rPr>
      <w:rFonts w:ascii="Calibri" w:hAnsi="Calibri" w:eastAsia="宋体" w:cs="Times New Roman"/>
      <w:b/>
      <w:bCs/>
      <w:szCs w:val="20"/>
    </w:rPr>
  </w:style>
  <w:style w:type="paragraph" w:customStyle="1" w:styleId="76">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7">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8">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9">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80">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81">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82">
    <w:name w:val="标题 11"/>
    <w:basedOn w:val="1"/>
    <w:qFormat/>
    <w:uiPriority w:val="1"/>
    <w:pPr>
      <w:spacing w:before="33"/>
      <w:ind w:left="139"/>
      <w:jc w:val="center"/>
      <w:outlineLvl w:val="1"/>
    </w:pPr>
    <w:rPr>
      <w:sz w:val="48"/>
      <w:szCs w:val="48"/>
    </w:rPr>
  </w:style>
  <w:style w:type="paragraph" w:customStyle="1" w:styleId="83">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4">
    <w:name w:val="标题 31"/>
    <w:basedOn w:val="1"/>
    <w:qFormat/>
    <w:uiPriority w:val="1"/>
    <w:pPr>
      <w:ind w:left="541"/>
      <w:outlineLvl w:val="3"/>
    </w:pPr>
    <w:rPr>
      <w:rFonts w:ascii="微软雅黑" w:hAnsi="微软雅黑" w:eastAsia="微软雅黑" w:cs="微软雅黑"/>
      <w:b/>
      <w:bCs/>
      <w:sz w:val="21"/>
      <w:szCs w:val="21"/>
    </w:rPr>
  </w:style>
  <w:style w:type="paragraph" w:styleId="85">
    <w:name w:val="No Spacing"/>
    <w:link w:val="86"/>
    <w:qFormat/>
    <w:uiPriority w:val="1"/>
    <w:rPr>
      <w:rFonts w:ascii="Calibri" w:hAnsi="Calibri" w:eastAsia="宋体" w:cs="Times New Roman"/>
      <w:sz w:val="22"/>
      <w:szCs w:val="22"/>
      <w:lang w:val="en-US" w:eastAsia="zh-CN" w:bidi="ar-SA"/>
    </w:rPr>
  </w:style>
  <w:style w:type="character" w:customStyle="1" w:styleId="86">
    <w:name w:val="无间隔 字符"/>
    <w:basedOn w:val="27"/>
    <w:link w:val="85"/>
    <w:qFormat/>
    <w:uiPriority w:val="1"/>
    <w:rPr>
      <w:sz w:val="22"/>
      <w:szCs w:val="22"/>
    </w:rPr>
  </w:style>
  <w:style w:type="paragraph" w:customStyle="1" w:styleId="8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8">
    <w:name w:val="Char Char51"/>
    <w:qFormat/>
    <w:uiPriority w:val="0"/>
    <w:rPr>
      <w:rFonts w:ascii="宋体" w:hAnsi="Courier New" w:eastAsia="宋体"/>
      <w:kern w:val="2"/>
      <w:sz w:val="21"/>
      <w:lang w:val="en-US" w:eastAsia="zh-CN" w:bidi="ar-SA"/>
    </w:rPr>
  </w:style>
  <w:style w:type="character" w:customStyle="1" w:styleId="89">
    <w:name w:val="Char Char21"/>
    <w:qFormat/>
    <w:uiPriority w:val="0"/>
    <w:rPr>
      <w:rFonts w:ascii="宋体" w:hAnsi="Courier New" w:cs="宋体"/>
      <w:kern w:val="2"/>
      <w:sz w:val="21"/>
      <w:szCs w:val="21"/>
    </w:rPr>
  </w:style>
  <w:style w:type="character" w:customStyle="1" w:styleId="90">
    <w:name w:val="Char Char31"/>
    <w:qFormat/>
    <w:uiPriority w:val="0"/>
    <w:rPr>
      <w:rFonts w:ascii="宋体" w:hAnsi="Courier New" w:eastAsia="宋体"/>
      <w:kern w:val="2"/>
      <w:sz w:val="21"/>
      <w:lang w:val="en-US" w:eastAsia="zh-CN" w:bidi="ar-SA"/>
    </w:rPr>
  </w:style>
  <w:style w:type="paragraph" w:customStyle="1" w:styleId="91">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2">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3">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4">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5">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6">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7">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8">
    <w:name w:val="xl70"/>
    <w:basedOn w:val="1"/>
    <w:qFormat/>
    <w:uiPriority w:val="0"/>
    <w:pPr>
      <w:widowControl/>
      <w:autoSpaceDE/>
      <w:autoSpaceDN/>
      <w:spacing w:before="100" w:beforeAutospacing="1" w:after="100" w:afterAutospacing="1"/>
    </w:pPr>
    <w:rPr>
      <w:b/>
      <w:bCs/>
      <w:sz w:val="24"/>
      <w:szCs w:val="24"/>
      <w:lang w:val="en-US" w:bidi="ar-SA"/>
    </w:rPr>
  </w:style>
  <w:style w:type="paragraph" w:customStyle="1" w:styleId="99">
    <w:name w:val="xl6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textAlignment w:val="bottom"/>
    </w:pPr>
    <w:rPr>
      <w:b/>
      <w:bCs/>
      <w:sz w:val="24"/>
      <w:szCs w:val="24"/>
      <w:lang w:val="en-US" w:bidi="ar-SA"/>
    </w:rPr>
  </w:style>
  <w:style w:type="paragraph" w:customStyle="1" w:styleId="100">
    <w:name w:val="xl64"/>
    <w:basedOn w:val="1"/>
    <w:qFormat/>
    <w:uiPriority w:val="0"/>
    <w:pPr>
      <w:widowControl/>
      <w:autoSpaceDE/>
      <w:autoSpaceDN/>
      <w:spacing w:before="100" w:beforeAutospacing="1" w:after="100" w:afterAutospacing="1"/>
      <w:jc w:val="center"/>
    </w:pPr>
    <w:rPr>
      <w:sz w:val="24"/>
      <w:szCs w:val="24"/>
      <w:lang w:val="en-US" w:bidi="ar-SA"/>
    </w:rPr>
  </w:style>
  <w:style w:type="character" w:customStyle="1" w:styleId="101">
    <w:name w:val="font11"/>
    <w:basedOn w:val="27"/>
    <w:qFormat/>
    <w:uiPriority w:val="0"/>
    <w:rPr>
      <w:rFonts w:ascii="Arial" w:hAnsi="Arial" w:cs="Arial"/>
      <w:color w:val="000000"/>
      <w:sz w:val="22"/>
      <w:szCs w:val="22"/>
      <w:u w:val="none"/>
    </w:rPr>
  </w:style>
  <w:style w:type="paragraph" w:customStyle="1" w:styleId="102">
    <w:name w:val="Table Text"/>
    <w:basedOn w:val="1"/>
    <w:semiHidden/>
    <w:qFormat/>
    <w:uiPriority w:val="0"/>
    <w:rPr>
      <w:rFonts w:eastAsia="Arial"/>
    </w:rPr>
  </w:style>
  <w:style w:type="character" w:customStyle="1" w:styleId="103">
    <w:name w:val="font21"/>
    <w:basedOn w:val="27"/>
    <w:qFormat/>
    <w:uiPriority w:val="0"/>
    <w:rPr>
      <w:rFonts w:hint="eastAsia" w:ascii="宋体" w:hAnsi="宋体" w:eastAsia="宋体" w:cs="宋体"/>
      <w:color w:val="000000"/>
      <w:sz w:val="24"/>
      <w:szCs w:val="24"/>
      <w:u w:val="none"/>
    </w:rPr>
  </w:style>
  <w:style w:type="character" w:customStyle="1" w:styleId="104">
    <w:name w:val="font31"/>
    <w:basedOn w:val="2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14</Pages>
  <Words>5084</Words>
  <Characters>5326</Characters>
  <Lines>77</Lines>
  <Paragraphs>21</Paragraphs>
  <TotalTime>6</TotalTime>
  <ScaleCrop>false</ScaleCrop>
  <LinksUpToDate>false</LinksUpToDate>
  <CharactersWithSpaces>5344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2020-12-24T16:31:00Z</dcterms:created>
  <dc:creator>YL</dc:creator>
  <cp:lastModifiedBy>张晓庆</cp:lastModifiedBy>
  <cp:lastPrinted>2020-08-19T10:30:00Z</cp:lastPrinted>
  <dcterms:modified xsi:type="dcterms:W3CDTF">2026-10-08T05:40:52Z</dcterms:modified>
  <cp:revision>166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2052-12.1.0.28043</vt:lpwstr>
  </property>
  <property fmtid="{D5CDD505-2E9C-101B-9397-08002B2CF9AE}" pid="6" name="ICV">
    <vt:lpwstr>9C2AF9B8B3FC4882867F8319093CE42D_13</vt:lpwstr>
  </property>
  <property fmtid="{D5CDD505-2E9C-101B-9397-08002B2CF9AE}" pid="7" name="KSOTemplateDocerSaveRecord">
    <vt:lpwstr>eyJoZGlkIjoiMWVhNDhmMDMxNGM3ODM1MjU3M2FlOGVlOWQyZjc3NmYiLCJ1c2VySWQiOiIxNzY1MTkzNjY1In0=</vt:lpwstr>
  </property>
</Properties>
</file>