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新能源</w:t>
      </w:r>
      <w:r>
        <w:rPr>
          <w:rFonts w:hint="eastAsia" w:ascii="宋体" w:hAnsi="宋体" w:eastAsia="宋体" w:cs="宋体"/>
          <w:b/>
          <w:bCs/>
          <w:color w:val="000000"/>
          <w:spacing w:val="-8"/>
          <w:sz w:val="48"/>
          <w:szCs w:val="44"/>
        </w:rPr>
        <w:t>产品试验检测中心</w:t>
      </w: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试验家具采购</w:t>
      </w:r>
      <w:r>
        <w:rPr>
          <w:rFonts w:hint="eastAsia" w:ascii="宋体" w:hAnsi="宋体" w:eastAsia="宋体" w:cs="宋体"/>
          <w:b/>
          <w:bCs/>
          <w:color w:val="000000"/>
          <w:spacing w:val="-8"/>
          <w:sz w:val="48"/>
          <w:szCs w:val="44"/>
        </w:rPr>
        <w:t xml:space="preserve">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63"/>
        <w:rPr>
          <w:rFonts w:hint="eastAsia" w:ascii="宋体" w:hAnsi="宋体" w:eastAsia="宋体" w:cs="宋体"/>
        </w:rPr>
      </w:pPr>
      <w:r>
        <w:rPr>
          <w:rFonts w:hint="eastAsia" w:ascii="宋体" w:hAnsi="宋体" w:eastAsia="宋体" w:cs="宋体"/>
        </w:rPr>
        <w:t>第一章  招标公告</w:t>
      </w:r>
    </w:p>
    <w:p>
      <w:pPr>
        <w:pStyle w:val="85"/>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新能源产品试验检测中心</w:t>
      </w:r>
      <w:r>
        <w:rPr>
          <w:rFonts w:hint="eastAsia" w:ascii="宋体" w:hAnsi="宋体" w:cs="宋体"/>
          <w:color w:val="000000"/>
          <w:sz w:val="24"/>
          <w:szCs w:val="24"/>
          <w:u w:val="single"/>
          <w:lang w:val="en-US" w:eastAsia="zh-CN"/>
        </w:rPr>
        <w:t>试验</w:t>
      </w:r>
      <w:r>
        <w:rPr>
          <w:rFonts w:hint="eastAsia" w:ascii="宋体" w:hAnsi="宋体" w:eastAsia="宋体" w:cs="宋体"/>
          <w:color w:val="000000"/>
          <w:sz w:val="24"/>
          <w:szCs w:val="24"/>
          <w:u w:val="single"/>
          <w:lang w:eastAsia="zh-CN"/>
        </w:rPr>
        <w:t>家具采购项目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eastAsia="zh-CN" w:bidi="ar-SA"/>
          <w:woUserID w:val="1"/>
        </w:rPr>
      </w:pPr>
      <w:r>
        <w:rPr>
          <w:rFonts w:hint="eastAsia" w:ascii="宋体" w:hAnsi="宋体" w:eastAsia="宋体" w:cs="宋体"/>
          <w:b w:val="0"/>
          <w:bCs w:val="0"/>
          <w:color w:val="000000"/>
          <w:kern w:val="2"/>
          <w:sz w:val="24"/>
          <w:szCs w:val="24"/>
          <w:lang w:val="en-US" w:eastAsia="zh-CN" w:bidi="ar-SA"/>
        </w:rPr>
        <w:t>采购形式编号：</w:t>
      </w:r>
      <w:r>
        <w:rPr>
          <w:rFonts w:hint="default" w:ascii="宋体" w:hAnsi="宋体" w:eastAsia="宋体" w:cs="宋体"/>
          <w:b w:val="0"/>
          <w:bCs w:val="0"/>
          <w:color w:val="000000"/>
          <w:kern w:val="2"/>
          <w:sz w:val="24"/>
          <w:szCs w:val="24"/>
          <w:lang w:eastAsia="zh-CN" w:bidi="ar-SA"/>
          <w:woUserID w:val="1"/>
        </w:rPr>
        <w:t>ZBGL2026060396</w:t>
      </w:r>
    </w:p>
    <w:bookmarkEnd w:id="0"/>
    <w:p>
      <w:pPr>
        <w:pStyle w:val="85"/>
        <w:rPr>
          <w:rFonts w:hint="eastAsia" w:ascii="宋体" w:hAnsi="宋体" w:eastAsia="宋体" w:cs="宋体"/>
        </w:rPr>
      </w:pPr>
      <w:r>
        <w:rPr>
          <w:rFonts w:hint="eastAsia" w:ascii="宋体" w:hAnsi="宋体" w:eastAsia="宋体" w:cs="宋体"/>
        </w:rPr>
        <w:t>二、招标内容及形式</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1、招标内容：新能源产品试验检测中心试验家具采购</w:t>
      </w:r>
    </w:p>
    <w:p>
      <w:pPr>
        <w:pStyle w:val="17"/>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2、招标形式：</w:t>
      </w:r>
      <w:r>
        <w:rPr>
          <w:rFonts w:hint="eastAsia" w:ascii="宋体" w:hAnsi="宋体" w:eastAsia="宋体" w:cs="宋体"/>
          <w:color w:val="000000"/>
          <w:sz w:val="24"/>
          <w:szCs w:val="24"/>
          <w:highlight w:val="none"/>
          <w:lang w:val="en-US" w:eastAsia="zh-CN"/>
        </w:rPr>
        <w:t>公开招标</w:t>
      </w:r>
    </w:p>
    <w:p>
      <w:pPr>
        <w:pStyle w:val="1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5"/>
        <w:rPr>
          <w:rFonts w:hint="eastAsia" w:ascii="宋体" w:hAnsi="宋体" w:eastAsia="宋体" w:cs="宋体"/>
        </w:rPr>
      </w:pPr>
      <w:r>
        <w:rPr>
          <w:rFonts w:hint="eastAsia" w:ascii="宋体" w:hAnsi="宋体" w:eastAsia="宋体" w:cs="宋体"/>
        </w:rPr>
        <w:t>三、项目概况与招标范围</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新能源产品试验检测中心</w:t>
      </w:r>
      <w:r>
        <w:rPr>
          <w:rFonts w:hint="eastAsia" w:hAnsi="宋体" w:cs="宋体"/>
          <w:color w:val="000000"/>
          <w:sz w:val="24"/>
          <w:szCs w:val="24"/>
          <w:lang w:val="en-US" w:eastAsia="zh-CN"/>
        </w:rPr>
        <w:t>试验</w:t>
      </w:r>
      <w:r>
        <w:rPr>
          <w:rFonts w:hint="eastAsia" w:ascii="宋体" w:hAnsi="宋体" w:eastAsia="宋体" w:cs="宋体"/>
          <w:color w:val="000000"/>
          <w:sz w:val="24"/>
          <w:szCs w:val="24"/>
          <w:lang w:eastAsia="zh-CN"/>
        </w:rPr>
        <w:t>家具采购项目</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highlight w:val="none"/>
        </w:rPr>
        <w:t>济南市</w:t>
      </w:r>
      <w:r>
        <w:rPr>
          <w:rFonts w:hint="eastAsia" w:hAnsi="宋体" w:cs="宋体"/>
          <w:color w:val="000000"/>
          <w:sz w:val="24"/>
          <w:szCs w:val="24"/>
          <w:highlight w:val="none"/>
          <w:lang w:val="en-US" w:eastAsia="zh-CN"/>
        </w:rPr>
        <w:t>莱芜区莱城大道1188号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83"/>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none"/>
          <w:u w:val="single"/>
        </w:rPr>
        <w:t>半年期商业汇票（包括银行承兑汇票和商业承兑汇票</w:t>
      </w:r>
      <w:r>
        <w:rPr>
          <w:rFonts w:hint="eastAsia" w:ascii="宋体" w:hAnsi="宋体" w:eastAsia="宋体" w:cs="宋体"/>
          <w:highlight w:val="none"/>
          <w:u w:val="single"/>
          <w:lang w:eastAsia="zh-CN"/>
        </w:rPr>
        <w:t>）</w:t>
      </w:r>
    </w:p>
    <w:p>
      <w:pPr>
        <w:pStyle w:val="83"/>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7"/>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7"/>
              <w:jc w:val="center"/>
              <w:rPr>
                <w:rFonts w:hint="eastAsia" w:ascii="宋体" w:hAnsi="宋体" w:eastAsia="宋体" w:cs="宋体"/>
                <w:b w:val="0"/>
              </w:rPr>
            </w:pPr>
            <w:r>
              <w:rPr>
                <w:rFonts w:hint="eastAsia" w:ascii="宋体" w:hAnsi="宋体" w:eastAsia="宋体" w:cs="宋体"/>
                <w:b w:val="0"/>
                <w:lang w:eastAsia="zh-CN"/>
              </w:rPr>
              <w:t>新能源产品试验检测中心</w:t>
            </w:r>
            <w:r>
              <w:rPr>
                <w:rFonts w:hint="eastAsia" w:ascii="宋体" w:hAnsi="宋体" w:eastAsia="宋体" w:cs="宋体"/>
                <w:b w:val="0"/>
                <w:lang w:val="en-US" w:eastAsia="zh-CN"/>
              </w:rPr>
              <w:t>试验</w:t>
            </w:r>
            <w:r>
              <w:rPr>
                <w:rFonts w:hint="eastAsia" w:ascii="宋体" w:hAnsi="宋体" w:eastAsia="宋体" w:cs="宋体"/>
                <w:b w:val="0"/>
                <w:lang w:eastAsia="zh-CN"/>
              </w:rPr>
              <w:t>家具采购项目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7"/>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7"/>
              <w:jc w:val="center"/>
              <w:rPr>
                <w:rFonts w:hint="eastAsia" w:ascii="宋体" w:hAnsi="宋体" w:eastAsia="宋体" w:cs="宋体"/>
                <w:b w:val="0"/>
              </w:rPr>
            </w:pPr>
            <w:r>
              <w:rPr>
                <w:rFonts w:hint="eastAsia" w:ascii="宋体" w:hAnsi="宋体" w:eastAsia="宋体" w:cs="宋体"/>
                <w:b w:val="0"/>
                <w:lang w:val="en-US" w:eastAsia="zh-CN"/>
              </w:rPr>
              <w:t>货物</w:t>
            </w:r>
            <w:r>
              <w:rPr>
                <w:rFonts w:hint="eastAsia" w:ascii="宋体" w:hAnsi="宋体" w:eastAsia="宋体" w:cs="宋体"/>
                <w:b w:val="0"/>
              </w:rPr>
              <w:t>全部到齐，经现场安装调试验收合格交付使用后，投标方提交金额为结算额90%的发票，经招标方依照财务制度审核无误后支付，结算额的10%作为质保金，待质保期结束后无息支付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7"/>
              <w:jc w:val="center"/>
              <w:rPr>
                <w:rFonts w:hint="default" w:ascii="宋体" w:hAnsi="宋体" w:eastAsia="宋体" w:cs="宋体"/>
                <w:b w:val="0"/>
                <w:lang w:val="en-US" w:eastAsia="zh-CN"/>
              </w:rPr>
            </w:pPr>
            <w:r>
              <w:rPr>
                <w:rFonts w:hint="eastAsia" w:ascii="宋体" w:hAnsi="宋体" w:eastAsia="宋体" w:cs="宋体"/>
                <w:b w:val="0"/>
                <w:lang w:val="en-US" w:eastAsia="zh-CN"/>
              </w:rPr>
              <w:t>90%/10%</w:t>
            </w:r>
          </w:p>
        </w:tc>
      </w:tr>
    </w:tbl>
    <w:p>
      <w:pPr>
        <w:pStyle w:val="85"/>
        <w:rPr>
          <w:rFonts w:hint="eastAsia" w:ascii="宋体" w:hAnsi="宋体" w:eastAsia="宋体" w:cs="宋体"/>
        </w:rPr>
      </w:pPr>
      <w:r>
        <w:rPr>
          <w:rFonts w:hint="eastAsia" w:ascii="宋体" w:hAnsi="宋体" w:eastAsia="宋体" w:cs="宋体"/>
        </w:rPr>
        <w:t>四、投标说明</w:t>
      </w:r>
    </w:p>
    <w:p>
      <w:pPr>
        <w:pStyle w:val="93"/>
        <w:ind w:firstLine="480"/>
        <w:rPr>
          <w:rFonts w:hint="eastAsia" w:ascii="宋体" w:hAnsi="宋体" w:eastAsia="宋体" w:cs="宋体"/>
        </w:rPr>
      </w:pPr>
      <w:r>
        <w:rPr>
          <w:rFonts w:hint="eastAsia" w:ascii="宋体" w:hAnsi="宋体" w:eastAsia="宋体" w:cs="宋体"/>
        </w:rPr>
        <w:t>1、报名方式</w:t>
      </w:r>
    </w:p>
    <w:p>
      <w:pPr>
        <w:pStyle w:val="83"/>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83"/>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83"/>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83"/>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83"/>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83"/>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83"/>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9"/>
        <w:ind w:firstLine="480"/>
        <w:rPr>
          <w:rFonts w:hint="eastAsia" w:ascii="宋体" w:hAnsi="宋体" w:eastAsia="宋体" w:cs="宋体"/>
        </w:rPr>
      </w:pPr>
      <w:r>
        <w:rPr>
          <w:rFonts w:hint="eastAsia" w:ascii="宋体" w:hAnsi="宋体" w:eastAsia="宋体" w:cs="宋体"/>
        </w:rPr>
        <w:t>2、投标条件</w:t>
      </w:r>
    </w:p>
    <w:p>
      <w:pPr>
        <w:pStyle w:val="17"/>
        <w:spacing w:line="360" w:lineRule="auto"/>
        <w:ind w:firstLine="240" w:firstLineChars="1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（1）拟标投人必须是在中华人民共和国境内注册的独立法人机构，具有独立承担民事责任能力，公司成立三年以上（以营业执照成立日期到开标当日满三年为准）；</w:t>
      </w:r>
      <w:r>
        <w:rPr>
          <w:rFonts w:hint="eastAsia" w:ascii="宋体" w:hAnsi="宋体" w:eastAsia="宋体" w:cs="宋体"/>
          <w:color w:val="000000"/>
          <w:sz w:val="24"/>
          <w:szCs w:val="24"/>
          <w:highlight w:val="yellow"/>
          <w:lang w:val="en-US" w:eastAsia="zh-CN"/>
        </w:rPr>
        <w:t>注册资金为</w:t>
      </w:r>
      <w:r>
        <w:rPr>
          <w:rFonts w:hint="eastAsia" w:hAnsi="宋体" w:cs="宋体"/>
          <w:color w:val="000000"/>
          <w:sz w:val="24"/>
          <w:szCs w:val="24"/>
          <w:highlight w:val="yellow"/>
          <w:lang w:val="en-US" w:eastAsia="zh-CN"/>
        </w:rPr>
        <w:t>1</w:t>
      </w:r>
      <w:r>
        <w:rPr>
          <w:rFonts w:hint="eastAsia" w:ascii="宋体" w:hAnsi="宋体" w:eastAsia="宋体" w:cs="宋体"/>
          <w:color w:val="000000"/>
          <w:sz w:val="24"/>
          <w:szCs w:val="24"/>
          <w:highlight w:val="yellow"/>
          <w:lang w:val="en-US" w:eastAsia="zh-CN"/>
        </w:rPr>
        <w:t>00万元（含）及以上人民币（或等值其他货币）；</w:t>
      </w:r>
      <w:r>
        <w:rPr>
          <w:rFonts w:hint="eastAsia" w:ascii="宋体" w:hAnsi="宋体" w:eastAsia="宋体" w:cs="宋体"/>
          <w:color w:val="000000"/>
          <w:sz w:val="24"/>
          <w:szCs w:val="24"/>
        </w:rPr>
        <w:t>经营范围满足招标人需求；</w:t>
      </w:r>
      <w:r>
        <w:rPr>
          <w:rFonts w:hint="eastAsia" w:ascii="宋体" w:hAnsi="宋体" w:eastAsia="宋体" w:cs="宋体"/>
          <w:color w:val="000000"/>
          <w:sz w:val="24"/>
          <w:szCs w:val="24"/>
          <w:lang w:val="en-US" w:eastAsia="zh-CN"/>
        </w:rPr>
        <w:t>满足技术、质量、资金等要求，财务状况良好、经营稳定，具有全面履约的能力</w:t>
      </w:r>
    </w:p>
    <w:p>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（6）拟投标人经审计的近三年的公司财务报表（资产负债表、损益表、现金流量表）</w:t>
      </w:r>
      <w:r>
        <w:rPr>
          <w:rFonts w:hint="eastAsia" w:ascii="宋体" w:hAnsi="宋体" w:eastAsia="宋体" w:cs="宋体"/>
          <w:color w:val="000000"/>
          <w:sz w:val="24"/>
          <w:szCs w:val="24"/>
          <w:highlight w:val="none"/>
        </w:rPr>
        <w:t>未显示异常</w:t>
      </w:r>
      <w:r>
        <w:rPr>
          <w:rFonts w:hint="eastAsia" w:ascii="宋体" w:hAnsi="宋体" w:eastAsia="宋体" w:cs="宋体"/>
          <w:color w:val="000000"/>
          <w:sz w:val="24"/>
          <w:szCs w:val="24"/>
          <w:highlight w:val="none"/>
          <w:lang w:val="en-US" w:eastAsia="zh-CN"/>
        </w:rPr>
        <w:t>,并提供完税证明</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7"/>
        <w:spacing w:line="360" w:lineRule="auto"/>
        <w:ind w:firstLine="235" w:firstLineChars="98"/>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（8）拟投标人应提供企业对外担保说明（写明贵单位对外有无对外担保和质押业务，需加盖公章）</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）本项目不接受联合体投标。</w:t>
      </w:r>
    </w:p>
    <w:p>
      <w:pPr>
        <w:pStyle w:val="17"/>
        <w:spacing w:line="360" w:lineRule="auto"/>
        <w:ind w:firstLine="235" w:firstLineChars="98"/>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r>
        <w:rPr>
          <w:rFonts w:hint="eastAsia" w:hAnsi="宋体" w:cs="宋体"/>
          <w:color w:val="000000"/>
          <w:sz w:val="24"/>
          <w:szCs w:val="24"/>
          <w:highlight w:val="none"/>
          <w:lang w:val="en-US" w:eastAsia="zh-CN"/>
        </w:rPr>
        <w:t>10</w:t>
      </w:r>
      <w:r>
        <w:rPr>
          <w:rFonts w:hint="eastAsia" w:ascii="宋体" w:hAnsi="宋体" w:eastAsia="宋体" w:cs="宋体"/>
          <w:color w:val="000000"/>
          <w:sz w:val="24"/>
          <w:szCs w:val="24"/>
          <w:highlight w:val="none"/>
          <w:lang w:val="en-US" w:eastAsia="zh-CN"/>
        </w:rPr>
        <w:t xml:space="preserve">）无招标违规、谎报年度报告信息、提供虚假资质资料等行为或其他行政处罚记录； </w:t>
      </w:r>
    </w:p>
    <w:p>
      <w:pPr>
        <w:pStyle w:val="17"/>
        <w:spacing w:line="360" w:lineRule="auto"/>
        <w:ind w:firstLine="235" w:firstLineChars="98"/>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投标人的直接或间接股东、法定代表人、董事、监事、高管非重汽员工及其亲属。 </w:t>
      </w:r>
    </w:p>
    <w:p>
      <w:pPr>
        <w:pStyle w:val="17"/>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w:t>
      </w:r>
      <w:r>
        <w:rPr>
          <w:rFonts w:hint="eastAsia" w:hAnsi="宋体" w:cs="宋体"/>
          <w:color w:val="000000"/>
          <w:sz w:val="24"/>
          <w:szCs w:val="24"/>
          <w:lang w:eastAsia="zh-CN"/>
        </w:rPr>
        <w:t>（</w:t>
      </w:r>
      <w:r>
        <w:rPr>
          <w:rFonts w:hint="eastAsia" w:hAnsi="宋体" w:cs="宋体"/>
          <w:color w:val="000000"/>
          <w:sz w:val="24"/>
          <w:szCs w:val="24"/>
          <w:lang w:val="en-US" w:eastAsia="zh-CN"/>
        </w:rPr>
        <w:t>若线上参会，需视频端展示）</w:t>
      </w:r>
      <w:r>
        <w:rPr>
          <w:rFonts w:hint="eastAsia" w:ascii="宋体" w:hAnsi="宋体" w:eastAsia="宋体" w:cs="宋体"/>
          <w:color w:val="000000"/>
          <w:sz w:val="24"/>
          <w:szCs w:val="24"/>
        </w:rPr>
        <w:t>，否则视为</w:t>
      </w:r>
      <w:r>
        <w:rPr>
          <w:rFonts w:hint="eastAsia" w:hAnsi="宋体" w:cs="宋体"/>
          <w:color w:val="000000"/>
          <w:sz w:val="24"/>
          <w:szCs w:val="24"/>
          <w:lang w:val="en-US" w:eastAsia="zh-CN"/>
        </w:rPr>
        <w:t>投标无效</w:t>
      </w:r>
      <w:r>
        <w:rPr>
          <w:rFonts w:hint="eastAsia" w:ascii="宋体" w:hAnsi="宋体" w:eastAsia="宋体" w:cs="宋体"/>
          <w:color w:val="000000"/>
          <w:sz w:val="24"/>
          <w:szCs w:val="24"/>
        </w:rPr>
        <w:t>；</w:t>
      </w:r>
    </w:p>
    <w:p>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w:t>
      </w:r>
      <w:r>
        <w:rPr>
          <w:rFonts w:hint="eastAsia" w:hAnsi="宋体" w:cs="宋体"/>
          <w:color w:val="000000"/>
          <w:sz w:val="24"/>
          <w:szCs w:val="24"/>
          <w:lang w:eastAsia="zh-CN"/>
        </w:rPr>
        <w:t>（</w:t>
      </w:r>
      <w:r>
        <w:rPr>
          <w:rFonts w:hint="eastAsia" w:hAnsi="宋体" w:cs="宋体"/>
          <w:color w:val="000000"/>
          <w:sz w:val="24"/>
          <w:szCs w:val="24"/>
          <w:lang w:val="en-US" w:eastAsia="zh-CN"/>
        </w:rPr>
        <w:t>若线上参会，需视频端展示）</w:t>
      </w:r>
      <w:r>
        <w:rPr>
          <w:rFonts w:hint="eastAsia" w:ascii="宋体" w:hAnsi="宋体" w:eastAsia="宋体" w:cs="宋体"/>
          <w:color w:val="000000"/>
          <w:sz w:val="24"/>
          <w:szCs w:val="24"/>
        </w:rPr>
        <w:t>，否则视为</w:t>
      </w:r>
      <w:r>
        <w:rPr>
          <w:rFonts w:hint="eastAsia" w:hAnsi="宋体" w:cs="宋体"/>
          <w:color w:val="000000"/>
          <w:sz w:val="24"/>
          <w:szCs w:val="24"/>
          <w:lang w:val="en-US" w:eastAsia="zh-CN"/>
        </w:rPr>
        <w:t>投标无效</w:t>
      </w:r>
      <w:r>
        <w:rPr>
          <w:rFonts w:hint="eastAsia" w:ascii="宋体" w:hAnsi="宋体" w:eastAsia="宋体" w:cs="宋体"/>
          <w:color w:val="000000"/>
          <w:sz w:val="24"/>
          <w:szCs w:val="24"/>
        </w:rPr>
        <w:t>；</w:t>
      </w:r>
    </w:p>
    <w:p>
      <w:pPr>
        <w:pStyle w:val="83"/>
        <w:ind w:firstLine="480"/>
        <w:rPr>
          <w:rFonts w:hint="eastAsia" w:ascii="宋体" w:hAnsi="宋体" w:eastAsia="宋体" w:cs="宋体"/>
          <w:b/>
          <w:highlight w:val="none"/>
        </w:rPr>
      </w:pPr>
      <w:r>
        <w:rPr>
          <w:rFonts w:hint="eastAsia" w:ascii="宋体" w:hAnsi="宋体" w:eastAsia="宋体" w:cs="宋体"/>
          <w:b/>
          <w:highlight w:val="none"/>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若线上参会，需视频端展示），否则视</w:t>
      </w:r>
      <w:r>
        <w:rPr>
          <w:rFonts w:hint="eastAsia" w:eastAsia="宋体" w:cs="宋体"/>
          <w:b/>
          <w:highlight w:val="none"/>
          <w:lang w:val="en-US" w:eastAsia="zh-CN"/>
        </w:rPr>
        <w:t>为投标无效</w:t>
      </w:r>
      <w:r>
        <w:rPr>
          <w:rFonts w:hint="eastAsia" w:ascii="宋体" w:hAnsi="宋体" w:eastAsia="宋体" w:cs="宋体"/>
          <w:b/>
          <w:highlight w:val="none"/>
        </w:rPr>
        <w:t>。</w:t>
      </w:r>
    </w:p>
    <w:p>
      <w:pPr>
        <w:pStyle w:val="89"/>
        <w:ind w:firstLine="480"/>
        <w:rPr>
          <w:rFonts w:hint="eastAsia" w:ascii="宋体" w:hAnsi="宋体" w:eastAsia="宋体" w:cs="宋体"/>
        </w:rPr>
      </w:pPr>
      <w:r>
        <w:rPr>
          <w:rFonts w:hint="eastAsia" w:ascii="宋体" w:hAnsi="宋体" w:eastAsia="宋体" w:cs="宋体"/>
        </w:rPr>
        <w:t>3、报价</w:t>
      </w:r>
    </w:p>
    <w:p>
      <w:pPr>
        <w:pStyle w:val="1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83"/>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83"/>
        <w:numPr>
          <w:ilvl w:val="0"/>
          <w:numId w:val="2"/>
        </w:numPr>
        <w:ind w:firstLine="480"/>
        <w:rPr>
          <w:rFonts w:hint="eastAsia" w:ascii="宋体" w:hAnsi="宋体" w:eastAsia="宋体" w:cs="宋体"/>
          <w:b/>
        </w:rPr>
      </w:pPr>
      <w:r>
        <w:rPr>
          <w:rFonts w:hint="eastAsia" w:ascii="宋体" w:hAnsi="宋体" w:eastAsia="宋体" w:cs="宋体"/>
          <w:b/>
        </w:rPr>
        <w:t>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93"/>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注意事项：</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转账时，请注意备注投标的项目名称，方便后期核对退款。</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报名时提供电子回单（含贵公司账户及我公司账户信息）</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报名时候，请务必在邮件正文中文字表述付款账号、户名、开户行名称、开户行行号、保证金金额。</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(一) 该银行账户只接受电汇。</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w:t>
      </w:r>
      <w:r>
        <w:rPr>
          <w:rFonts w:hint="eastAsia" w:ascii="宋体" w:hAnsi="宋体" w:cs="宋体"/>
          <w:color w:val="000000"/>
          <w:kern w:val="2"/>
          <w:sz w:val="24"/>
          <w:szCs w:val="24"/>
          <w:highlight w:val="none"/>
          <w:lang w:val="en-US" w:eastAsia="zh-CN" w:bidi="ar-SA"/>
        </w:rPr>
        <w:t>二</w:t>
      </w:r>
      <w:r>
        <w:rPr>
          <w:rFonts w:hint="eastAsia" w:ascii="宋体" w:hAnsi="宋体" w:eastAsia="宋体" w:cs="宋体"/>
          <w:color w:val="000000"/>
          <w:kern w:val="2"/>
          <w:sz w:val="24"/>
          <w:szCs w:val="24"/>
          <w:highlight w:val="none"/>
          <w:lang w:val="en-US" w:eastAsia="zh-CN" w:bidi="ar-SA"/>
        </w:rPr>
        <w:t>) 对于没有中标的投标单位，投标保证金将于招标人内部完成中标人评审并确认最终中标人后在</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工作日内予以原路返还；对于中标供应商，投标保证金将在签订合同后</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工作日内返还</w:t>
      </w:r>
      <w:r>
        <w:rPr>
          <w:rFonts w:hint="eastAsia" w:ascii="宋体" w:hAnsi="宋体" w:cs="宋体"/>
          <w:color w:val="000000"/>
          <w:kern w:val="2"/>
          <w:sz w:val="24"/>
          <w:szCs w:val="24"/>
          <w:highlight w:val="none"/>
          <w:lang w:val="en-US" w:eastAsia="zh-CN" w:bidi="ar-SA"/>
        </w:rPr>
        <w:t>，退还保证金时，不计算利息</w:t>
      </w:r>
      <w:r>
        <w:rPr>
          <w:rFonts w:hint="eastAsia" w:ascii="宋体" w:hAnsi="宋体" w:eastAsia="宋体" w:cs="宋体"/>
          <w:color w:val="000000"/>
          <w:kern w:val="2"/>
          <w:sz w:val="24"/>
          <w:szCs w:val="24"/>
          <w:highlight w:val="none"/>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①供应商在提交响应文件截止时间后撤回响应文件的；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②供应商在响应文件中提供虚假材料的；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③除因不可抗力或谈判文件、询价通知书认可的情形以外，成交供应商不与采购人签订合同的；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④供应商与采购人、其他供应商或者采购代理机构恶意串通、围标、陪标的；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⑤采购文件规定的其他情形；</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⑥供应商有违约违规行为或被投诉、举报的，在调查处理期间，保证金暂不退还，待调查处理结束后按有关规定处理。</w:t>
      </w:r>
    </w:p>
    <w:p>
      <w:pPr>
        <w:pStyle w:val="8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83"/>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w:t>
      </w:r>
      <w:r>
        <w:rPr>
          <w:rFonts w:hint="eastAsia" w:eastAsia="宋体" w:cs="宋体"/>
          <w:color w:val="000000"/>
          <w:kern w:val="2"/>
          <w:sz w:val="24"/>
          <w:szCs w:val="24"/>
          <w:lang w:val="en-US" w:eastAsia="zh-CN" w:bidi="ar-SA"/>
        </w:rPr>
        <w:t>书面及邮件</w:t>
      </w:r>
      <w:r>
        <w:rPr>
          <w:rFonts w:hint="eastAsia" w:ascii="宋体" w:hAnsi="宋体" w:eastAsia="宋体" w:cs="宋体"/>
          <w:color w:val="000000"/>
          <w:kern w:val="2"/>
          <w:sz w:val="24"/>
          <w:szCs w:val="24"/>
          <w:lang w:val="en-US" w:eastAsia="zh-CN" w:bidi="ar-SA"/>
        </w:rPr>
        <w:t>答复为准</w:t>
      </w:r>
      <w:r>
        <w:rPr>
          <w:rFonts w:hint="eastAsia" w:ascii="宋体" w:hAnsi="宋体" w:eastAsia="宋体" w:cs="宋体"/>
        </w:rPr>
        <w:t>。</w:t>
      </w:r>
    </w:p>
    <w:p>
      <w:pPr>
        <w:pStyle w:val="8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83"/>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83"/>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9"/>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8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lang w:eastAsia="zh-CN"/>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highlight w:val="none"/>
        </w:rPr>
        <w:t>若为现场</w:t>
      </w:r>
      <w:r>
        <w:rPr>
          <w:rFonts w:hint="eastAsia" w:eastAsia="宋体" w:cs="宋体"/>
          <w:b/>
          <w:highlight w:val="none"/>
          <w:lang w:val="en-US" w:eastAsia="zh-CN"/>
        </w:rPr>
        <w:t>参加投标</w:t>
      </w:r>
      <w:r>
        <w:rPr>
          <w:rFonts w:hint="eastAsia" w:eastAsia="宋体" w:cs="宋体"/>
          <w:b/>
          <w:highlight w:val="none"/>
        </w:rPr>
        <w:t>，营业</w:t>
      </w:r>
      <w:r>
        <w:rPr>
          <w:rFonts w:hint="eastAsia" w:eastAsia="宋体" w:cs="宋体"/>
          <w:b/>
        </w:rPr>
        <w:t>执照和授权书需</w:t>
      </w:r>
      <w:r>
        <w:rPr>
          <w:rFonts w:hint="eastAsia" w:eastAsia="宋体" w:cs="宋体"/>
          <w:b/>
          <w:highlight w:val="none"/>
        </w:rPr>
        <w:t>在开标现场出示；若为视频</w:t>
      </w:r>
      <w:r>
        <w:rPr>
          <w:rFonts w:hint="eastAsia" w:eastAsia="宋体" w:cs="宋体"/>
          <w:b/>
          <w:highlight w:val="none"/>
          <w:lang w:val="en-US" w:eastAsia="zh-CN"/>
        </w:rPr>
        <w:t>参加投标</w:t>
      </w:r>
      <w:r>
        <w:rPr>
          <w:rFonts w:hint="eastAsia" w:eastAsia="宋体" w:cs="宋体"/>
          <w:b/>
          <w:highlight w:val="none"/>
        </w:rPr>
        <w:t>，则需在视频端呈现即可。</w:t>
      </w:r>
      <w:r>
        <w:rPr>
          <w:rFonts w:hint="eastAsia" w:eastAsia="宋体" w:cs="宋体"/>
          <w:highlight w:val="none"/>
        </w:rPr>
        <w:t>若没有携带营业执照原</w:t>
      </w:r>
      <w:r>
        <w:rPr>
          <w:rFonts w:hint="eastAsia" w:eastAsia="宋体" w:cs="宋体"/>
        </w:rPr>
        <w:t>件，将根据现场所有参与开标的投标单位和专家共同判定得出认可情况</w:t>
      </w:r>
      <w:r>
        <w:rPr>
          <w:rFonts w:hint="eastAsia" w:eastAsia="宋体" w:cs="宋体"/>
          <w:b/>
        </w:rPr>
        <w:t>。</w:t>
      </w:r>
      <w:r>
        <w:rPr>
          <w:rFonts w:hint="eastAsia" w:eastAsia="宋体" w:cs="宋体"/>
          <w:strike w:val="0"/>
          <w:dstrike w:val="0"/>
        </w:rPr>
        <w:t>详见附件格式</w:t>
      </w:r>
      <w:r>
        <w:rPr>
          <w:rFonts w:hint="eastAsia" w:eastAsia="宋体" w:cs="宋体"/>
          <w:strike w:val="0"/>
          <w:dstrike w:val="0"/>
          <w:color w:val="auto"/>
        </w:rPr>
        <w:t>1—11</w:t>
      </w:r>
      <w:r>
        <w:rPr>
          <w:rFonts w:hint="eastAsia" w:eastAsia="宋体" w:cs="宋体"/>
          <w:strike w:val="0"/>
          <w:dstrike w:val="0"/>
          <w:color w:val="auto"/>
          <w:lang w:eastAsia="zh-CN"/>
        </w:rPr>
        <w:t>。</w:t>
      </w:r>
    </w:p>
    <w:p>
      <w:pPr>
        <w:pStyle w:val="83"/>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lang w:eastAsia="zh-C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highlight w:val="cyan"/>
          <w:lang w:val="en-US" w:eastAsia="zh-CN"/>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val="0"/>
          <w:bCs w:val="0"/>
          <w:color w:val="000000"/>
          <w:sz w:val="24"/>
          <w:szCs w:val="24"/>
        </w:rPr>
      </w:pPr>
      <w:r>
        <w:rPr>
          <w:rFonts w:hint="eastAsia" w:ascii="宋体" w:hAnsi="宋体" w:cs="宋体"/>
          <w:b w:val="0"/>
          <w:bCs w:val="0"/>
          <w:color w:val="000000"/>
          <w:sz w:val="24"/>
          <w:szCs w:val="24"/>
          <w:lang w:val="en-US" w:eastAsia="zh-CN"/>
        </w:rPr>
        <w:t>1）</w:t>
      </w:r>
      <w:r>
        <w:rPr>
          <w:rFonts w:hint="eastAsia" w:ascii="宋体" w:hAnsi="宋体" w:eastAsia="宋体" w:cs="宋体"/>
          <w:b w:val="0"/>
          <w:bCs w:val="0"/>
          <w:color w:val="000000"/>
          <w:sz w:val="24"/>
          <w:szCs w:val="24"/>
        </w:rPr>
        <w:t>技术规格偏离表（附件</w:t>
      </w:r>
      <w:r>
        <w:rPr>
          <w:rFonts w:hint="eastAsia" w:ascii="宋体" w:hAnsi="宋体" w:eastAsia="宋体" w:cs="宋体"/>
          <w:b w:val="0"/>
          <w:bCs w:val="0"/>
          <w:color w:val="000000"/>
          <w:sz w:val="24"/>
          <w:szCs w:val="24"/>
          <w:lang w:val="en-US" w:eastAsia="zh-CN"/>
        </w:rPr>
        <w:t>4</w:t>
      </w:r>
      <w:r>
        <w:rPr>
          <w:rFonts w:hint="eastAsia" w:ascii="宋体" w:hAnsi="宋体" w:eastAsia="宋体" w:cs="宋体"/>
          <w:b w:val="0"/>
          <w:bCs w:val="0"/>
          <w:color w:val="000000"/>
          <w:sz w:val="24"/>
          <w:szCs w:val="24"/>
        </w:rPr>
        <w:t>），</w:t>
      </w:r>
      <w:r>
        <w:rPr>
          <w:rFonts w:hint="eastAsia" w:ascii="宋体" w:hAnsi="宋体" w:eastAsia="宋体" w:cs="宋体"/>
          <w:b/>
          <w:color w:val="000000"/>
          <w:sz w:val="24"/>
          <w:szCs w:val="24"/>
        </w:rPr>
        <w:t>必须先进行两列要求一一对照，不允许直接写无偏离；</w:t>
      </w:r>
    </w:p>
    <w:p>
      <w:pPr>
        <w:numPr>
          <w:ilvl w:val="0"/>
          <w:numId w:val="0"/>
        </w:num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8）项目实施整体思路，详细阐述项目建设目标、实现思路和关键内容的理解</w:t>
      </w:r>
      <w:r>
        <w:rPr>
          <w:rFonts w:hint="eastAsia" w:ascii="宋体" w:hAnsi="宋体" w:cs="宋体"/>
          <w:color w:val="000000"/>
          <w:sz w:val="24"/>
          <w:szCs w:val="24"/>
          <w:highlight w:val="none"/>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9</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10</w:t>
      </w:r>
      <w:r>
        <w:rPr>
          <w:rFonts w:hint="eastAsia" w:ascii="宋体" w:hAnsi="宋体" w:eastAsia="宋体" w:cs="宋体"/>
          <w:color w:val="000000"/>
          <w:sz w:val="24"/>
          <w:szCs w:val="24"/>
        </w:rPr>
        <w:t>）按招标文件投标人须知和技术规格书中要求提供的有关文件</w:t>
      </w:r>
    </w:p>
    <w:p>
      <w:pPr>
        <w:pStyle w:val="83"/>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83"/>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r>
        <w:rPr>
          <w:rFonts w:hint="eastAsia" w:eastAsia="宋体" w:cs="宋体"/>
          <w:lang w:val="en-US" w:eastAsia="zh-CN"/>
        </w:rPr>
        <w:t>商务标文件外</w:t>
      </w:r>
      <w:r>
        <w:rPr>
          <w:rFonts w:hint="eastAsia" w:eastAsia="宋体" w:cs="宋体"/>
          <w:lang w:eastAsia="zh-CN"/>
        </w:rPr>
        <w:t>单独封装1份</w:t>
      </w:r>
    </w:p>
    <w:p>
      <w:pPr>
        <w:pStyle w:val="83"/>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eastAsia="宋体" w:cs="宋体"/>
          <w:lang w:eastAsia="zh-CN"/>
        </w:rPr>
        <w:t>；</w:t>
      </w:r>
    </w:p>
    <w:p>
      <w:pPr>
        <w:pStyle w:val="83"/>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83"/>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83"/>
        <w:ind w:firstLine="480"/>
        <w:rPr>
          <w:rFonts w:hint="eastAsia" w:ascii="宋体" w:hAnsi="宋体" w:eastAsia="宋体" w:cs="宋体"/>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89"/>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83"/>
        <w:ind w:firstLine="480"/>
        <w:rPr>
          <w:rFonts w:hint="eastAsia" w:ascii="宋体" w:hAnsi="宋体" w:eastAsia="宋体" w:cs="宋体"/>
          <w:b/>
          <w:lang w:val="en-US" w:eastAsia="zh-CN"/>
        </w:rPr>
      </w:pPr>
      <w:r>
        <w:rPr>
          <w:rFonts w:hint="eastAsia" w:ascii="宋体" w:hAnsi="宋体" w:eastAsia="宋体" w:cs="宋体"/>
        </w:rPr>
        <w:t>详见附件格式1—11</w:t>
      </w:r>
      <w:r>
        <w:rPr>
          <w:rFonts w:hint="eastAsia" w:eastAsia="宋体" w:cs="宋体"/>
          <w:lang w:eastAsia="zh-CN"/>
        </w:rPr>
        <w:t>。</w:t>
      </w:r>
    </w:p>
    <w:p>
      <w:pPr>
        <w:pStyle w:val="85"/>
        <w:rPr>
          <w:rFonts w:hint="eastAsia" w:ascii="宋体" w:hAnsi="宋体" w:eastAsia="宋体" w:cs="宋体"/>
        </w:rPr>
      </w:pPr>
      <w:r>
        <w:rPr>
          <w:rFonts w:hint="eastAsia" w:ascii="宋体" w:hAnsi="宋体" w:eastAsia="宋体" w:cs="宋体"/>
        </w:rPr>
        <w:t>五、议程安排</w:t>
      </w:r>
    </w:p>
    <w:p>
      <w:pPr>
        <w:pStyle w:val="8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woUserID w:val="1"/>
        </w:rPr>
      </w:pPr>
      <w:r>
        <w:rPr>
          <w:rFonts w:hint="eastAsia" w:ascii="宋体" w:hAnsi="宋体" w:eastAsia="宋体" w:cs="宋体"/>
          <w:woUserID w:val="1"/>
        </w:rPr>
        <w:t>1、</w:t>
      </w:r>
      <w:r>
        <w:rPr>
          <w:rFonts w:hint="eastAsia" w:ascii="宋体" w:hAnsi="宋体" w:eastAsia="宋体" w:cs="宋体"/>
          <w:lang w:val="en-US" w:eastAsia="zh-CN"/>
          <w:woUserID w:val="1"/>
        </w:rPr>
        <w:t>供应商报名时间：</w:t>
      </w:r>
    </w:p>
    <w:p>
      <w:pPr>
        <w:pStyle w:val="89"/>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woUserID w:val="1"/>
        </w:rPr>
      </w:pPr>
      <w:r>
        <w:rPr>
          <w:rFonts w:hint="eastAsia" w:ascii="宋体" w:hAnsi="宋体" w:eastAsia="宋体" w:cs="宋体"/>
          <w:lang w:val="en-US" w:eastAsia="zh-CN"/>
          <w:woUserID w:val="1"/>
        </w:rPr>
        <w:t>（1）发标</w:t>
      </w:r>
      <w:r>
        <w:rPr>
          <w:rFonts w:hint="eastAsia" w:ascii="宋体" w:hAnsi="宋体" w:eastAsia="宋体" w:cs="宋体"/>
          <w:woUserID w:val="1"/>
        </w:rPr>
        <w:t>时间：</w:t>
      </w:r>
      <w:r>
        <w:rPr>
          <w:rFonts w:hint="eastAsia" w:ascii="宋体" w:hAnsi="宋体" w:eastAsia="宋体" w:cs="宋体"/>
          <w:b w:val="0"/>
          <w:color w:val="auto"/>
          <w:highlight w:val="none"/>
          <w:woUserID w:val="1"/>
        </w:rPr>
        <w:t>202</w:t>
      </w:r>
      <w:r>
        <w:rPr>
          <w:rFonts w:hint="eastAsia" w:ascii="宋体" w:hAnsi="宋体" w:eastAsia="宋体" w:cs="宋体"/>
          <w:b w:val="0"/>
          <w:color w:val="auto"/>
          <w:highlight w:val="none"/>
          <w:lang w:val="en-US" w:eastAsia="zh-CN"/>
          <w:woUserID w:val="1"/>
        </w:rPr>
        <w:t>6</w:t>
      </w:r>
      <w:r>
        <w:rPr>
          <w:rFonts w:hint="eastAsia" w:ascii="宋体" w:hAnsi="宋体" w:eastAsia="宋体" w:cs="宋体"/>
          <w:b w:val="0"/>
          <w:color w:val="auto"/>
          <w:highlight w:val="none"/>
          <w:woUserID w:val="1"/>
        </w:rPr>
        <w:t>年</w:t>
      </w:r>
      <w:r>
        <w:rPr>
          <w:rFonts w:hint="eastAsia" w:ascii="宋体" w:hAnsi="宋体" w:eastAsia="宋体" w:cs="宋体"/>
          <w:b w:val="0"/>
          <w:color w:val="auto"/>
          <w:highlight w:val="none"/>
          <w:lang w:val="en-US" w:eastAsia="zh-CN"/>
          <w:woUserID w:val="1"/>
        </w:rPr>
        <w:t xml:space="preserve"> </w:t>
      </w:r>
      <w:r>
        <w:rPr>
          <w:rFonts w:hint="default" w:ascii="宋体" w:hAnsi="宋体" w:eastAsia="宋体" w:cs="宋体"/>
          <w:b w:val="0"/>
          <w:color w:val="auto"/>
          <w:highlight w:val="none"/>
          <w:lang w:eastAsia="zh-CN"/>
          <w:woUserID w:val="1"/>
        </w:rPr>
        <w:t>6</w:t>
      </w:r>
      <w:r>
        <w:rPr>
          <w:rFonts w:hint="eastAsia" w:ascii="宋体" w:hAnsi="宋体" w:eastAsia="宋体" w:cs="宋体"/>
          <w:b w:val="0"/>
          <w:color w:val="auto"/>
          <w:highlight w:val="none"/>
          <w:lang w:val="en-US" w:eastAsia="zh-CN"/>
          <w:woUserID w:val="1"/>
        </w:rPr>
        <w:t xml:space="preserve"> </w:t>
      </w:r>
      <w:r>
        <w:rPr>
          <w:rFonts w:hint="eastAsia" w:ascii="宋体" w:hAnsi="宋体" w:eastAsia="宋体" w:cs="宋体"/>
          <w:b w:val="0"/>
          <w:color w:val="auto"/>
          <w:highlight w:val="none"/>
          <w:woUserID w:val="1"/>
        </w:rPr>
        <w:t>月</w:t>
      </w:r>
      <w:r>
        <w:rPr>
          <w:rFonts w:hint="default" w:ascii="宋体" w:hAnsi="宋体" w:eastAsia="宋体" w:cs="宋体"/>
          <w:b w:val="0"/>
          <w:color w:val="auto"/>
          <w:highlight w:val="none"/>
          <w:woUserID w:val="1"/>
        </w:rPr>
        <w:t>30</w:t>
      </w:r>
      <w:r>
        <w:rPr>
          <w:rFonts w:hint="eastAsia" w:ascii="宋体" w:hAnsi="宋体" w:eastAsia="宋体" w:cs="宋体"/>
          <w:b w:val="0"/>
          <w:color w:val="auto"/>
          <w:highlight w:val="none"/>
          <w:lang w:val="en-US" w:eastAsia="zh-CN"/>
          <w:woUserID w:val="1"/>
        </w:rPr>
        <w:t xml:space="preserve"> </w:t>
      </w:r>
      <w:r>
        <w:rPr>
          <w:rFonts w:hint="eastAsia" w:ascii="宋体" w:hAnsi="宋体" w:eastAsia="宋体" w:cs="宋体"/>
          <w:b w:val="0"/>
          <w:color w:val="auto"/>
          <w:highlight w:val="none"/>
          <w:woUserID w:val="1"/>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woUserID w:val="1"/>
        </w:rPr>
        <w:t>）</w:t>
      </w:r>
    </w:p>
    <w:p>
      <w:pPr>
        <w:pStyle w:val="83"/>
        <w:rPr>
          <w:rFonts w:hint="default" w:ascii="宋体" w:hAnsi="宋体" w:eastAsia="宋体" w:cs="宋体"/>
          <w:b/>
          <w:bCs/>
          <w:color w:val="000000"/>
          <w:kern w:val="2"/>
          <w:sz w:val="24"/>
          <w:szCs w:val="24"/>
          <w:lang w:val="en-US" w:eastAsia="zh-CN" w:bidi="ar-SA"/>
          <w:woUserID w:val="1"/>
        </w:rPr>
      </w:pPr>
      <w:r>
        <w:rPr>
          <w:rFonts w:hint="eastAsia" w:ascii="宋体" w:hAnsi="宋体" w:eastAsia="宋体" w:cs="宋体"/>
          <w:b/>
          <w:bCs/>
          <w:color w:val="000000"/>
          <w:kern w:val="2"/>
          <w:sz w:val="24"/>
          <w:szCs w:val="24"/>
          <w:lang w:val="en-US" w:eastAsia="zh-CN" w:bidi="ar-SA"/>
          <w:woUserID w:val="1"/>
        </w:rPr>
        <w:t>（2）应标截止时间：</w:t>
      </w:r>
      <w:r>
        <w:rPr>
          <w:rFonts w:hint="default" w:ascii="宋体" w:hAnsi="宋体"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woUserID w:val="1"/>
        </w:rPr>
        <w:t xml:space="preserve">年 </w:t>
      </w:r>
      <w:r>
        <w:rPr>
          <w:rFonts w:hint="default" w:eastAsia="宋体" w:cs="宋体"/>
          <w:b/>
          <w:bCs/>
          <w:color w:val="000000"/>
          <w:kern w:val="2"/>
          <w:sz w:val="24"/>
          <w:szCs w:val="24"/>
          <w:lang w:eastAsia="zh-CN" w:bidi="ar-SA"/>
          <w:woUserID w:val="1"/>
        </w:rPr>
        <w:t>1</w:t>
      </w:r>
      <w:r>
        <w:rPr>
          <w:rFonts w:hint="eastAsia" w:eastAsia="宋体" w:cs="宋体"/>
          <w:b/>
          <w:bCs/>
          <w:color w:val="000000"/>
          <w:kern w:val="2"/>
          <w:sz w:val="24"/>
          <w:szCs w:val="24"/>
          <w:lang w:val="en-US" w:eastAsia="zh-CN" w:bidi="ar-SA"/>
          <w:woUserID w:val="1"/>
        </w:rPr>
        <w:t xml:space="preserve">月 </w:t>
      </w:r>
      <w:r>
        <w:rPr>
          <w:rFonts w:hint="default" w:eastAsia="宋体" w:cs="宋体"/>
          <w:b/>
          <w:bCs/>
          <w:color w:val="000000"/>
          <w:kern w:val="2"/>
          <w:sz w:val="24"/>
          <w:szCs w:val="24"/>
          <w:lang w:eastAsia="zh-CN" w:bidi="ar-SA"/>
          <w:woUserID w:val="1"/>
        </w:rPr>
        <w:t>6</w:t>
      </w:r>
      <w:r>
        <w:rPr>
          <w:rFonts w:hint="eastAsia" w:eastAsia="宋体" w:cs="宋体"/>
          <w:b/>
          <w:bCs/>
          <w:color w:val="000000"/>
          <w:kern w:val="2"/>
          <w:sz w:val="24"/>
          <w:szCs w:val="24"/>
          <w:lang w:val="en-US" w:eastAsia="zh-CN" w:bidi="ar-SA"/>
          <w:woUserID w:val="1"/>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woUserID w:val="1"/>
        </w:rPr>
        <w:t>）17:00:00（时间精确到秒）</w:t>
      </w:r>
    </w:p>
    <w:p>
      <w:pPr>
        <w:pStyle w:val="83"/>
        <w:rPr>
          <w:rFonts w:hint="eastAsia" w:ascii="宋体" w:hAnsi="宋体" w:eastAsia="宋体" w:cs="宋体"/>
        </w:rPr>
      </w:pPr>
      <w:r>
        <w:rPr>
          <w:rFonts w:hint="eastAsia" w:ascii="宋体" w:hAnsi="宋体" w:eastAsia="宋体" w:cs="宋体"/>
          <w:b/>
          <w:bCs/>
          <w:color w:val="000000"/>
          <w:kern w:val="2"/>
          <w:sz w:val="24"/>
          <w:szCs w:val="24"/>
          <w:lang w:val="en-US" w:eastAsia="zh-CN" w:bidi="ar-SA"/>
          <w:woUserID w:val="1"/>
        </w:rPr>
        <w:t>（3）投标截止时间：</w:t>
      </w:r>
      <w:r>
        <w:rPr>
          <w:rFonts w:hint="default" w:ascii="宋体" w:hAnsi="宋体"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woUserID w:val="1"/>
        </w:rPr>
        <w:t>年</w:t>
      </w:r>
      <w:r>
        <w:rPr>
          <w:rFonts w:hint="default" w:eastAsia="宋体" w:cs="宋体"/>
          <w:b/>
          <w:bCs/>
          <w:color w:val="000000"/>
          <w:kern w:val="2"/>
          <w:sz w:val="24"/>
          <w:szCs w:val="24"/>
          <w:lang w:eastAsia="zh-CN" w:bidi="ar-SA"/>
          <w:woUserID w:val="1"/>
        </w:rPr>
        <w:t>1</w:t>
      </w:r>
      <w:r>
        <w:rPr>
          <w:rFonts w:hint="eastAsia" w:eastAsia="宋体" w:cs="宋体"/>
          <w:b/>
          <w:bCs/>
          <w:color w:val="000000"/>
          <w:kern w:val="2"/>
          <w:sz w:val="24"/>
          <w:szCs w:val="24"/>
          <w:lang w:val="en-US" w:eastAsia="zh-CN" w:bidi="ar-SA"/>
          <w:woUserID w:val="1"/>
        </w:rPr>
        <w:t>月</w:t>
      </w:r>
      <w:r>
        <w:rPr>
          <w:rFonts w:hint="default" w:eastAsia="宋体" w:cs="宋体"/>
          <w:b/>
          <w:bCs/>
          <w:color w:val="000000"/>
          <w:kern w:val="2"/>
          <w:sz w:val="24"/>
          <w:szCs w:val="24"/>
          <w:lang w:eastAsia="zh-CN" w:bidi="ar-SA"/>
          <w:woUserID w:val="1"/>
        </w:rPr>
        <w:t>13</w:t>
      </w:r>
      <w:r>
        <w:rPr>
          <w:rFonts w:hint="eastAsia" w:eastAsia="宋体" w:cs="宋体"/>
          <w:b/>
          <w:bCs/>
          <w:color w:val="000000"/>
          <w:kern w:val="2"/>
          <w:sz w:val="24"/>
          <w:szCs w:val="24"/>
          <w:lang w:val="en-US" w:eastAsia="zh-CN" w:bidi="ar-SA"/>
          <w:woUserID w:val="1"/>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woUserID w:val="1"/>
        </w:rPr>
        <w:t>）9:00:00（时间精确到秒）</w:t>
      </w:r>
    </w:p>
    <w:p>
      <w:pPr>
        <w:pStyle w:val="8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83"/>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83"/>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default" w:eastAsia="宋体" w:cs="宋体"/>
          <w:bCs/>
          <w:woUserID w:val="1"/>
        </w:rPr>
        <w:t>1</w:t>
      </w:r>
      <w:r>
        <w:rPr>
          <w:rFonts w:hint="eastAsia" w:ascii="宋体" w:hAnsi="宋体" w:eastAsia="宋体" w:cs="宋体"/>
          <w:bCs/>
        </w:rPr>
        <w:t>月</w:t>
      </w:r>
      <w:r>
        <w:rPr>
          <w:rFonts w:hint="default" w:eastAsia="宋体" w:cs="宋体"/>
          <w:bCs/>
          <w:woUserID w:val="1"/>
        </w:rPr>
        <w:t>11</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9"/>
        <w:ind w:firstLine="480"/>
        <w:rPr>
          <w:rFonts w:hint="eastAsia" w:ascii="宋体" w:hAnsi="宋体" w:eastAsia="宋体" w:cs="宋体"/>
        </w:rPr>
      </w:pPr>
      <w:r>
        <w:rPr>
          <w:rFonts w:hint="eastAsia" w:ascii="宋体" w:hAnsi="宋体" w:eastAsia="宋体" w:cs="宋体"/>
        </w:rPr>
        <w:t>4、技术答疑</w:t>
      </w:r>
    </w:p>
    <w:p>
      <w:pPr>
        <w:pStyle w:val="83"/>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6</w:t>
      </w:r>
      <w:r>
        <w:rPr>
          <w:rFonts w:hint="eastAsia" w:ascii="宋体" w:hAnsi="宋体" w:eastAsia="宋体" w:cs="宋体"/>
          <w:bCs/>
          <w:woUserID w:val="1"/>
        </w:rPr>
        <w:t>年</w:t>
      </w:r>
      <w:r>
        <w:rPr>
          <w:rFonts w:hint="default" w:eastAsia="宋体" w:cs="宋体"/>
          <w:bCs/>
          <w:woUserID w:val="1"/>
        </w:rPr>
        <w:t>1</w:t>
      </w:r>
      <w:r>
        <w:rPr>
          <w:rFonts w:hint="eastAsia" w:ascii="宋体" w:hAnsi="宋体" w:eastAsia="宋体" w:cs="宋体"/>
          <w:bCs/>
          <w:woUserID w:val="1"/>
        </w:rPr>
        <w:t>月</w:t>
      </w:r>
      <w:r>
        <w:rPr>
          <w:rFonts w:hint="default" w:eastAsia="宋体" w:cs="宋体"/>
          <w:bCs/>
          <w:woUserID w:val="1"/>
        </w:rPr>
        <w:t>11</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六</w:t>
      </w:r>
      <w:r>
        <w:rPr>
          <w:rFonts w:hint="eastAsia" w:ascii="宋体" w:hAnsi="宋体" w:eastAsia="宋体" w:cs="宋体"/>
          <w:woUserID w:val="1"/>
        </w:rPr>
        <w:t>）</w:t>
      </w:r>
      <w:r>
        <w:rPr>
          <w:rFonts w:hint="eastAsia" w:ascii="宋体" w:hAnsi="宋体" w:eastAsia="宋体" w:cs="宋体"/>
        </w:rPr>
        <w:t>下午17点前，逾期不受理</w:t>
      </w:r>
    </w:p>
    <w:p>
      <w:pPr>
        <w:pStyle w:val="83"/>
        <w:ind w:firstLine="480"/>
        <w:rPr>
          <w:rFonts w:hint="eastAsia" w:ascii="宋体" w:hAnsi="宋体" w:eastAsia="宋体" w:cs="宋体"/>
          <w:highlight w:val="none"/>
        </w:rPr>
      </w:pPr>
      <w:r>
        <w:rPr>
          <w:rFonts w:hint="eastAsia" w:ascii="宋体" w:hAnsi="宋体" w:eastAsia="宋体" w:cs="宋体"/>
          <w:highlight w:val="none"/>
        </w:rPr>
        <w:t>答疑方式：书面及邮件</w:t>
      </w:r>
    </w:p>
    <w:p>
      <w:pPr>
        <w:pStyle w:val="83"/>
        <w:ind w:firstLine="480"/>
        <w:rPr>
          <w:rFonts w:hint="eastAsia" w:ascii="宋体" w:hAnsi="宋体" w:eastAsia="宋体" w:cs="宋体"/>
          <w:highlight w:val="none"/>
          <w:lang w:eastAsia="zh-CN"/>
        </w:rPr>
      </w:pPr>
      <w:r>
        <w:rPr>
          <w:rFonts w:hint="eastAsia" w:ascii="宋体" w:hAnsi="宋体" w:eastAsia="宋体" w:cs="宋体"/>
          <w:highlight w:val="none"/>
        </w:rPr>
        <w:t>联 系 人：</w:t>
      </w:r>
      <w:r>
        <w:rPr>
          <w:rFonts w:hint="eastAsia" w:eastAsia="宋体" w:cs="宋体"/>
          <w:highlight w:val="none"/>
          <w:lang w:val="en-US" w:eastAsia="zh-CN"/>
        </w:rPr>
        <w:t>沈晓峰</w:t>
      </w:r>
    </w:p>
    <w:p>
      <w:pPr>
        <w:pStyle w:val="83"/>
        <w:ind w:firstLine="480"/>
        <w:rPr>
          <w:rFonts w:hint="default" w:ascii="宋体" w:hAnsi="宋体" w:eastAsia="宋体" w:cs="宋体"/>
          <w:highlight w:val="none"/>
          <w:lang w:val="en-US" w:eastAsia="zh-CN"/>
        </w:rPr>
      </w:pPr>
      <w:r>
        <w:rPr>
          <w:rFonts w:hint="eastAsia" w:ascii="宋体" w:hAnsi="宋体" w:eastAsia="宋体" w:cs="宋体"/>
          <w:highlight w:val="none"/>
        </w:rPr>
        <w:t>电    话：</w:t>
      </w:r>
      <w:r>
        <w:rPr>
          <w:rFonts w:hint="eastAsia" w:eastAsia="宋体" w:cs="宋体"/>
          <w:highlight w:val="none"/>
          <w:lang w:val="en-US" w:eastAsia="zh-CN"/>
        </w:rPr>
        <w:t>19861850501</w:t>
      </w:r>
    </w:p>
    <w:p>
      <w:pPr>
        <w:pStyle w:val="83"/>
        <w:ind w:firstLine="480"/>
        <w:rPr>
          <w:rFonts w:hint="eastAsia" w:ascii="宋体" w:hAnsi="宋体" w:eastAsia="宋体" w:cs="宋体"/>
          <w:highlight w:val="none"/>
        </w:rPr>
      </w:pPr>
      <w:r>
        <w:rPr>
          <w:rFonts w:hint="eastAsia" w:ascii="宋体" w:hAnsi="宋体" w:eastAsia="宋体" w:cs="宋体"/>
          <w:highlight w:val="none"/>
        </w:rPr>
        <w:t>邮    箱：</w:t>
      </w:r>
      <w:r>
        <w:rPr>
          <w:rFonts w:hint="eastAsia" w:eastAsia="宋体" w:cs="宋体"/>
          <w:highlight w:val="none"/>
          <w:lang w:val="en-US" w:eastAsia="zh-CN"/>
        </w:rPr>
        <w:t>shenxiaofeng</w:t>
      </w:r>
      <w:r>
        <w:rPr>
          <w:rFonts w:hint="eastAsia" w:ascii="宋体" w:hAnsi="宋体" w:eastAsia="宋体" w:cs="宋体"/>
          <w:highlight w:val="none"/>
        </w:rPr>
        <w:t xml:space="preserve">@sinotruk.com </w:t>
      </w:r>
    </w:p>
    <w:p>
      <w:pPr>
        <w:pStyle w:val="89"/>
        <w:ind w:firstLine="480"/>
        <w:rPr>
          <w:rFonts w:hint="eastAsia" w:ascii="宋体" w:hAnsi="宋体" w:eastAsia="宋体" w:cs="宋体"/>
          <w:highlight w:val="none"/>
        </w:rPr>
      </w:pPr>
      <w:r>
        <w:rPr>
          <w:rFonts w:hint="eastAsia" w:ascii="宋体" w:hAnsi="宋体" w:eastAsia="宋体" w:cs="宋体"/>
          <w:highlight w:val="none"/>
        </w:rPr>
        <w:t>5、商务答疑</w:t>
      </w:r>
    </w:p>
    <w:p>
      <w:pPr>
        <w:pStyle w:val="83"/>
        <w:ind w:firstLine="480"/>
        <w:rPr>
          <w:rFonts w:hint="eastAsia" w:ascii="宋体" w:hAnsi="宋体" w:eastAsia="宋体" w:cs="宋体"/>
          <w:highlight w:val="none"/>
        </w:rPr>
      </w:pPr>
      <w:r>
        <w:rPr>
          <w:rFonts w:hint="eastAsia" w:ascii="宋体" w:hAnsi="宋体" w:eastAsia="宋体" w:cs="宋体"/>
          <w:highlight w:val="none"/>
        </w:rPr>
        <w:t>答疑方式：</w:t>
      </w:r>
      <w:r>
        <w:rPr>
          <w:rFonts w:hint="eastAsia" w:ascii="宋体" w:hAnsi="宋体" w:eastAsia="宋体" w:cs="宋体"/>
          <w:b/>
          <w:highlight w:val="none"/>
        </w:rPr>
        <w:t>邮件</w:t>
      </w:r>
      <w:r>
        <w:rPr>
          <w:rFonts w:hint="eastAsia" w:ascii="宋体" w:hAnsi="宋体" w:eastAsia="宋体" w:cs="宋体"/>
          <w:highlight w:val="none"/>
        </w:rPr>
        <w:t>（电话不受理）</w:t>
      </w:r>
    </w:p>
    <w:p>
      <w:pPr>
        <w:pStyle w:val="83"/>
        <w:ind w:firstLine="480"/>
        <w:rPr>
          <w:rFonts w:hint="eastAsia" w:ascii="宋体" w:hAnsi="宋体" w:eastAsia="宋体" w:cs="宋体"/>
          <w:highlight w:val="none"/>
          <w:lang w:eastAsia="zh-CN"/>
        </w:rPr>
      </w:pPr>
      <w:r>
        <w:rPr>
          <w:rFonts w:hint="eastAsia" w:ascii="宋体" w:hAnsi="宋体" w:eastAsia="宋体" w:cs="宋体"/>
          <w:highlight w:val="none"/>
        </w:rPr>
        <w:t>联系人：</w:t>
      </w:r>
      <w:r>
        <w:rPr>
          <w:rFonts w:hint="eastAsia" w:eastAsia="宋体" w:cs="宋体"/>
          <w:highlight w:val="none"/>
          <w:lang w:val="en-US" w:eastAsia="zh-CN"/>
        </w:rPr>
        <w:t>李岳</w:t>
      </w:r>
    </w:p>
    <w:p>
      <w:pPr>
        <w:pStyle w:val="83"/>
        <w:ind w:firstLine="480"/>
        <w:rPr>
          <w:rFonts w:hint="eastAsia" w:ascii="宋体" w:hAnsi="宋体" w:eastAsia="宋体" w:cs="宋体"/>
          <w:highlight w:val="none"/>
          <w:lang w:val="en-US" w:eastAsia="zh-CN"/>
        </w:rPr>
      </w:pPr>
      <w:r>
        <w:rPr>
          <w:rFonts w:hint="eastAsia" w:ascii="宋体" w:hAnsi="宋体" w:eastAsia="宋体" w:cs="宋体"/>
          <w:highlight w:val="none"/>
        </w:rPr>
        <w:t>电话：0531-58066</w:t>
      </w:r>
      <w:r>
        <w:rPr>
          <w:rFonts w:hint="eastAsia" w:ascii="宋体" w:hAnsi="宋体" w:eastAsia="宋体" w:cs="宋体"/>
          <w:highlight w:val="none"/>
          <w:lang w:val="en-US" w:eastAsia="zh-CN"/>
        </w:rPr>
        <w:t>116</w:t>
      </w:r>
    </w:p>
    <w:p>
      <w:pPr>
        <w:pStyle w:val="83"/>
        <w:ind w:firstLine="480"/>
        <w:rPr>
          <w:rFonts w:hint="default" w:ascii="宋体" w:hAnsi="宋体" w:eastAsia="宋体" w:cs="宋体"/>
          <w:highlight w:val="none"/>
          <w:lang w:val="en-US" w:eastAsia="zh-CN"/>
        </w:rPr>
      </w:pPr>
      <w:r>
        <w:rPr>
          <w:rFonts w:hint="eastAsia" w:ascii="宋体" w:hAnsi="宋体" w:eastAsia="宋体" w:cs="宋体"/>
          <w:highlight w:val="none"/>
        </w:rPr>
        <w:t>邮    箱：</w:t>
      </w:r>
      <w:r>
        <w:rPr>
          <w:rFonts w:hint="eastAsia" w:eastAsia="宋体" w:cs="宋体"/>
          <w:highlight w:val="none"/>
          <w:lang w:val="en-US" w:eastAsia="zh-CN"/>
        </w:rPr>
        <w:fldChar w:fldCharType="begin"/>
      </w:r>
      <w:r>
        <w:rPr>
          <w:rFonts w:hint="eastAsia" w:eastAsia="宋体" w:cs="宋体"/>
          <w:highlight w:val="none"/>
          <w:lang w:val="en-US" w:eastAsia="zh-CN"/>
        </w:rPr>
        <w:instrText xml:space="preserve"> HYPERLINK "mailto:liyue1@sinotruk.com" </w:instrText>
      </w:r>
      <w:r>
        <w:rPr>
          <w:rFonts w:hint="eastAsia" w:eastAsia="宋体" w:cs="宋体"/>
          <w:highlight w:val="none"/>
          <w:lang w:val="en-US" w:eastAsia="zh-CN"/>
        </w:rPr>
        <w:fldChar w:fldCharType="separate"/>
      </w:r>
      <w:r>
        <w:rPr>
          <w:rStyle w:val="43"/>
          <w:rFonts w:hint="eastAsia" w:eastAsia="宋体" w:cs="宋体"/>
          <w:highlight w:val="none"/>
          <w:lang w:val="en-US" w:eastAsia="zh-CN"/>
        </w:rPr>
        <w:t>liyue1</w:t>
      </w:r>
      <w:r>
        <w:rPr>
          <w:rStyle w:val="43"/>
          <w:rFonts w:hint="eastAsia" w:ascii="宋体" w:hAnsi="宋体" w:eastAsia="宋体" w:cs="宋体"/>
          <w:highlight w:val="none"/>
        </w:rPr>
        <w:t>@sinotruk.com</w:t>
      </w:r>
      <w:r>
        <w:rPr>
          <w:rFonts w:hint="eastAsia" w:eastAsia="宋体" w:cs="宋体"/>
          <w:highlight w:val="none"/>
          <w:lang w:val="en-US" w:eastAsia="zh-CN"/>
        </w:rPr>
        <w:fldChar w:fldCharType="end"/>
      </w:r>
    </w:p>
    <w:p>
      <w:pPr>
        <w:pStyle w:val="89"/>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highlight w:val="none"/>
        </w:rPr>
      </w:pPr>
      <w:r>
        <w:rPr>
          <w:rFonts w:hint="eastAsia" w:ascii="宋体" w:hAnsi="宋体" w:eastAsia="宋体" w:cs="宋体"/>
          <w:highlight w:val="none"/>
        </w:rPr>
        <w:t>6、投标报名及注意事项</w:t>
      </w:r>
    </w:p>
    <w:p>
      <w:pPr>
        <w:pStyle w:val="85"/>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详见 </w:t>
      </w:r>
      <w:r>
        <w:rPr>
          <w:rFonts w:hint="eastAsia" w:ascii="宋体" w:hAnsi="宋体" w:eastAsia="宋体" w:cs="宋体"/>
          <w:b/>
          <w:bCs w:val="0"/>
          <w:sz w:val="24"/>
          <w:szCs w:val="24"/>
          <w:highlight w:val="none"/>
        </w:rPr>
        <w:t>四、投标说明</w:t>
      </w:r>
      <w:r>
        <w:rPr>
          <w:rFonts w:hint="eastAsia" w:ascii="宋体" w:hAnsi="宋体" w:eastAsia="宋体" w:cs="宋体"/>
          <w:b/>
          <w:bCs w:val="0"/>
          <w:sz w:val="24"/>
          <w:szCs w:val="24"/>
          <w:highlight w:val="none"/>
          <w:lang w:val="en-US" w:eastAsia="zh-CN"/>
        </w:rPr>
        <w:t xml:space="preserve"> </w:t>
      </w:r>
      <w:r>
        <w:rPr>
          <w:rFonts w:hint="eastAsia" w:ascii="宋体" w:hAnsi="宋体" w:eastAsia="宋体" w:cs="宋体"/>
          <w:sz w:val="24"/>
          <w:szCs w:val="24"/>
          <w:highlight w:val="none"/>
          <w:lang w:val="en-US" w:eastAsia="zh-CN"/>
        </w:rPr>
        <w:t>-&gt;</w:t>
      </w:r>
      <w:r>
        <w:rPr>
          <w:rFonts w:hint="eastAsia" w:ascii="宋体" w:hAnsi="宋体" w:eastAsia="宋体" w:cs="宋体"/>
          <w:sz w:val="24"/>
          <w:szCs w:val="24"/>
          <w:highlight w:val="none"/>
        </w:rPr>
        <w:t>1、报名方式</w:t>
      </w:r>
    </w:p>
    <w:p>
      <w:pPr>
        <w:pStyle w:val="89"/>
        <w:keepNext/>
        <w:keepLines/>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b w:val="0"/>
          <w:bCs/>
          <w:color w:val="auto"/>
          <w:kern w:val="2"/>
          <w:sz w:val="24"/>
          <w:szCs w:val="24"/>
          <w:highlight w:val="none"/>
          <w:lang w:val="en-US" w:eastAsia="zh-CN" w:bidi="ar-SA"/>
        </w:rPr>
      </w:pPr>
      <w:r>
        <w:rPr>
          <w:rFonts w:hint="eastAsia" w:ascii="宋体" w:hAnsi="宋体" w:eastAsia="宋体" w:cs="宋体"/>
          <w:highlight w:val="none"/>
        </w:rPr>
        <w:t>7、开标时间</w:t>
      </w:r>
      <w:r>
        <w:rPr>
          <w:rFonts w:hint="eastAsia" w:ascii="宋体" w:hAnsi="宋体" w:eastAsia="宋体" w:cs="宋体"/>
          <w:highlight w:val="none"/>
          <w:lang w:val="en-US" w:eastAsia="zh-CN"/>
        </w:rPr>
        <w:t>及</w:t>
      </w:r>
      <w:r>
        <w:rPr>
          <w:rFonts w:hint="eastAsia" w:ascii="宋体" w:hAnsi="宋体" w:eastAsia="宋体" w:cs="宋体"/>
          <w:b/>
          <w:bCs w:val="0"/>
          <w:color w:val="auto"/>
          <w:kern w:val="2"/>
          <w:sz w:val="24"/>
          <w:szCs w:val="24"/>
          <w:highlight w:val="none"/>
          <w:lang w:val="en-US" w:eastAsia="zh-CN" w:bidi="ar-SA"/>
        </w:rPr>
        <w:t>开标地点</w:t>
      </w:r>
    </w:p>
    <w:p>
      <w:pPr>
        <w:pStyle w:val="17"/>
        <w:spacing w:line="360" w:lineRule="auto"/>
        <w:ind w:firstLine="480" w:firstLineChars="200"/>
        <w:rPr>
          <w:rFonts w:hint="eastAsia" w:hAnsi="宋体" w:cs="宋体"/>
          <w:color w:val="000000"/>
          <w:sz w:val="24"/>
          <w:szCs w:val="24"/>
          <w:highlight w:val="none"/>
          <w:lang w:val="en-US" w:eastAsia="zh-CN"/>
        </w:rPr>
      </w:pPr>
      <w:r>
        <w:rPr>
          <w:rFonts w:hint="eastAsia" w:ascii="宋体" w:hAnsi="宋体" w:eastAsia="宋体" w:cs="宋体"/>
          <w:color w:val="000000"/>
          <w:sz w:val="24"/>
          <w:szCs w:val="24"/>
          <w:highlight w:val="none"/>
        </w:rPr>
        <w:t>济南市高新区华奥路777号中国重汽科技大厦</w:t>
      </w:r>
      <w:r>
        <w:rPr>
          <w:rFonts w:hint="eastAsia" w:hAnsi="宋体" w:cs="宋体"/>
          <w:color w:val="000000"/>
          <w:sz w:val="24"/>
          <w:szCs w:val="24"/>
          <w:highlight w:val="none"/>
          <w:lang w:eastAsia="zh-CN"/>
        </w:rPr>
        <w:t>，</w:t>
      </w:r>
      <w:r>
        <w:rPr>
          <w:rFonts w:hint="eastAsia" w:hAnsi="宋体" w:cs="宋体"/>
          <w:color w:val="000000"/>
          <w:sz w:val="24"/>
          <w:szCs w:val="24"/>
          <w:highlight w:val="none"/>
          <w:lang w:val="en-US" w:eastAsia="zh-CN"/>
        </w:rPr>
        <w:t>具体会议室待开标前一天另行通知；</w:t>
      </w:r>
    </w:p>
    <w:p>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w:t>
      </w:r>
      <w:r>
        <w:rPr>
          <w:rFonts w:hint="eastAsia" w:hAnsi="宋体" w:cs="宋体"/>
          <w:color w:val="000000"/>
          <w:sz w:val="24"/>
          <w:szCs w:val="24"/>
          <w:highlight w:val="none"/>
          <w:lang w:val="en-US" w:eastAsia="zh-CN"/>
        </w:rPr>
        <w:t>6</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lang w:val="en-US" w:eastAsia="zh-CN"/>
        </w:rPr>
        <w:t xml:space="preserve"> </w:t>
      </w:r>
      <w:r>
        <w:rPr>
          <w:rFonts w:hint="default" w:hAnsi="宋体" w:cs="宋体"/>
          <w:color w:val="000000"/>
          <w:sz w:val="24"/>
          <w:szCs w:val="24"/>
          <w:highlight w:val="none"/>
          <w:lang w:eastAsia="zh-CN"/>
          <w:woUserID w:val="1"/>
        </w:rPr>
        <w:t>1</w:t>
      </w:r>
      <w:r>
        <w:rPr>
          <w:rFonts w:hint="eastAsia" w:ascii="宋体" w:hAnsi="宋体" w:eastAsia="宋体" w:cs="宋体"/>
          <w:color w:val="000000"/>
          <w:sz w:val="24"/>
          <w:szCs w:val="24"/>
          <w:highlight w:val="none"/>
        </w:rPr>
        <w:t>月</w:t>
      </w:r>
      <w:r>
        <w:rPr>
          <w:rFonts w:hint="eastAsia" w:hAnsi="宋体" w:cs="宋体"/>
          <w:color w:val="000000"/>
          <w:sz w:val="24"/>
          <w:szCs w:val="24"/>
          <w:highlight w:val="none"/>
          <w:lang w:val="en-US" w:eastAsia="zh-CN"/>
        </w:rPr>
        <w:t xml:space="preserve"> </w:t>
      </w:r>
      <w:r>
        <w:rPr>
          <w:rFonts w:hint="default" w:hAnsi="宋体" w:cs="宋体"/>
          <w:color w:val="000000"/>
          <w:sz w:val="24"/>
          <w:szCs w:val="24"/>
          <w:highlight w:val="none"/>
          <w:lang w:eastAsia="zh-CN"/>
          <w:woUserID w:val="1"/>
        </w:rPr>
        <w:t>13</w:t>
      </w:r>
      <w:r>
        <w:rPr>
          <w:rFonts w:hint="eastAsia" w:ascii="宋体" w:hAnsi="宋体" w:eastAsia="宋体" w:cs="宋体"/>
          <w:color w:val="000000"/>
          <w:sz w:val="24"/>
          <w:szCs w:val="24"/>
          <w:highlight w:val="none"/>
        </w:rPr>
        <w:t>日（周</w:t>
      </w:r>
      <w:r>
        <w:rPr>
          <w:rFonts w:hint="default" w:hAnsi="宋体" w:cs="宋体"/>
          <w:color w:val="000000"/>
          <w:sz w:val="24"/>
          <w:szCs w:val="24"/>
          <w:highlight w:val="none"/>
          <w:woUserID w:val="1"/>
        </w:rPr>
        <w:t>一</w:t>
      </w:r>
      <w:r>
        <w:rPr>
          <w:rFonts w:hint="eastAsia" w:ascii="宋体" w:hAnsi="宋体" w:eastAsia="宋体" w:cs="宋体"/>
          <w:color w:val="000000"/>
          <w:sz w:val="24"/>
          <w:szCs w:val="24"/>
          <w:highlight w:val="none"/>
        </w:rPr>
        <w:t>）</w:t>
      </w:r>
      <w:r>
        <w:rPr>
          <w:rFonts w:hint="default" w:hAnsi="宋体" w:cs="宋体"/>
          <w:color w:val="000000"/>
          <w:sz w:val="24"/>
          <w:szCs w:val="24"/>
          <w:highlight w:val="none"/>
          <w:woUserID w:val="1"/>
        </w:rPr>
        <w:t>上午</w:t>
      </w:r>
      <w:bookmarkStart w:id="53" w:name="_GoBack"/>
      <w:bookmarkEnd w:id="53"/>
      <w:r>
        <w:rPr>
          <w:rFonts w:hint="default" w:hAnsi="宋体" w:cs="宋体"/>
          <w:color w:val="000000"/>
          <w:sz w:val="24"/>
          <w:szCs w:val="24"/>
          <w:highlight w:val="none"/>
          <w:woUserID w:val="1"/>
        </w:rPr>
        <w:t>9</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0</w:t>
      </w:r>
      <w:r>
        <w:rPr>
          <w:rFonts w:hint="eastAsia" w:ascii="宋体" w:hAnsi="宋体" w:eastAsia="宋体" w:cs="宋体"/>
          <w:color w:val="000000"/>
          <w:sz w:val="24"/>
          <w:szCs w:val="24"/>
          <w:highlight w:val="none"/>
        </w:rPr>
        <w:t>0，若有变动另行通知。</w:t>
      </w:r>
    </w:p>
    <w:p>
      <w:pPr>
        <w:pStyle w:val="89"/>
        <w:ind w:firstLine="480"/>
        <w:rPr>
          <w:rFonts w:ascii="宋体" w:hAnsi="宋体" w:eastAsia="宋体" w:cs="宋体"/>
          <w:b w:val="0"/>
          <w:bCs w:val="0"/>
          <w:highlight w:val="none"/>
        </w:rPr>
      </w:pPr>
      <w:r>
        <w:rPr>
          <w:rFonts w:hint="eastAsia" w:ascii="宋体" w:hAnsi="宋体" w:eastAsia="宋体" w:cs="宋体"/>
          <w:highlight w:val="none"/>
        </w:rPr>
        <w:t>8、开标方式</w:t>
      </w:r>
    </w:p>
    <w:p>
      <w:pPr>
        <w:pStyle w:val="17"/>
        <w:spacing w:line="360" w:lineRule="auto"/>
        <w:ind w:firstLine="480" w:firstLineChars="200"/>
        <w:rPr>
          <w:rFonts w:hAnsi="宋体" w:cs="宋体"/>
          <w:bCs/>
          <w:sz w:val="24"/>
          <w:szCs w:val="24"/>
          <w:highlight w:val="none"/>
        </w:rPr>
      </w:pPr>
      <w:r>
        <w:rPr>
          <w:rFonts w:hint="eastAsia" w:hAnsi="宋体" w:cs="宋体"/>
          <w:bCs/>
          <w:sz w:val="24"/>
          <w:szCs w:val="24"/>
          <w:highlight w:val="none"/>
        </w:rPr>
        <w:t>如选择到场参与开标，自行携带</w:t>
      </w:r>
      <w:r>
        <w:rPr>
          <w:rFonts w:hint="eastAsia" w:hAnsi="宋体" w:cs="宋体"/>
          <w:bCs/>
          <w:sz w:val="24"/>
          <w:szCs w:val="24"/>
          <w:highlight w:val="none"/>
          <w:lang w:val="en-US" w:eastAsia="zh-CN"/>
        </w:rPr>
        <w:t>笔记本电脑</w:t>
      </w:r>
      <w:r>
        <w:rPr>
          <w:rFonts w:hint="eastAsia" w:hAnsi="宋体" w:cs="宋体"/>
          <w:bCs/>
          <w:sz w:val="24"/>
          <w:szCs w:val="24"/>
          <w:highlight w:val="none"/>
        </w:rPr>
        <w:t>至开标地点即可。</w:t>
      </w:r>
    </w:p>
    <w:p>
      <w:pPr>
        <w:pStyle w:val="17"/>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9"/>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83"/>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83"/>
        <w:ind w:firstLine="480"/>
        <w:rPr>
          <w:highlight w:val="none"/>
        </w:rPr>
      </w:pPr>
      <w:r>
        <w:rPr>
          <w:rFonts w:hint="eastAsia" w:ascii="宋体" w:hAnsi="宋体" w:eastAsia="宋体" w:cs="宋体"/>
          <w:highlight w:val="none"/>
        </w:rPr>
        <w:t>投标地点：</w:t>
      </w:r>
      <w:bookmarkStart w:id="3" w:name="OLE_LINK2"/>
      <w:bookmarkStart w:id="4" w:name="OLE_LINK3"/>
      <w:r>
        <w:rPr>
          <w:rFonts w:hint="eastAsia" w:ascii="宋体" w:hAnsi="宋体" w:eastAsia="宋体" w:cs="宋体"/>
          <w:highlight w:val="none"/>
        </w:rPr>
        <w:t>济南市高新区华奥路777号重汽科技大厦</w:t>
      </w:r>
      <w:r>
        <w:rPr>
          <w:rFonts w:hint="eastAsia" w:eastAsia="宋体" w:cs="宋体"/>
          <w:highlight w:val="none"/>
          <w:lang w:val="en-US" w:eastAsia="zh-CN"/>
        </w:rPr>
        <w:t>8#试验室308</w:t>
      </w:r>
      <w:r>
        <w:rPr>
          <w:rFonts w:hint="eastAsia" w:ascii="宋体" w:hAnsi="宋体" w:eastAsia="宋体" w:cs="宋体"/>
          <w:highlight w:val="none"/>
        </w:rPr>
        <w:t>会议室</w:t>
      </w:r>
      <w:bookmarkEnd w:id="3"/>
      <w:bookmarkEnd w:id="4"/>
    </w:p>
    <w:p>
      <w:pPr>
        <w:pStyle w:val="85"/>
        <w:rPr>
          <w:rFonts w:hint="eastAsia" w:ascii="宋体" w:hAnsi="宋体" w:eastAsia="宋体" w:cs="宋体"/>
        </w:rPr>
      </w:pPr>
      <w:r>
        <w:rPr>
          <w:rFonts w:hint="eastAsia" w:ascii="宋体" w:hAnsi="宋体" w:eastAsia="宋体" w:cs="宋体"/>
        </w:rPr>
        <w:t>六、评标规则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eastAsia="zh-CN"/>
        </w:rPr>
        <w:t>综合评标法（</w:t>
      </w:r>
      <w:r>
        <w:rPr>
          <w:rFonts w:hint="eastAsia" w:ascii="宋体" w:hAnsi="宋体" w:eastAsia="宋体" w:cs="宋体"/>
          <w:b/>
          <w:bCs/>
          <w:sz w:val="24"/>
          <w:szCs w:val="24"/>
          <w:lang w:val="en-US" w:eastAsia="zh-CN"/>
        </w:rPr>
        <w:t>技术标占比40%，商务标占比60%</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83"/>
        <w:ind w:firstLine="482"/>
        <w:rPr>
          <w:rFonts w:hint="eastAsia" w:ascii="宋体" w:hAnsi="宋体" w:eastAsia="宋体" w:cs="宋体"/>
          <w:b/>
          <w:highlight w:val="none"/>
          <w:lang w:val="en-US" w:eastAsia="zh-CN"/>
        </w:rPr>
      </w:pPr>
      <w:r>
        <w:rPr>
          <w:rFonts w:hint="eastAsia" w:ascii="宋体" w:hAnsi="宋体" w:eastAsia="宋体" w:cs="宋体"/>
          <w:b/>
          <w:highlight w:val="none"/>
        </w:rPr>
        <w:t>评标流程</w:t>
      </w:r>
      <w:r>
        <w:rPr>
          <w:rFonts w:hint="eastAsia" w:eastAsia="宋体" w:cs="宋体"/>
          <w:b/>
          <w:highlight w:val="none"/>
          <w:lang w:eastAsia="zh-CN"/>
        </w:rPr>
        <w:t>：</w:t>
      </w:r>
    </w:p>
    <w:p>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6"/>
        </w:numPr>
        <w:spacing w:line="420" w:lineRule="exact"/>
        <w:rPr>
          <w:rFonts w:hint="eastAsia" w:ascii="宋体" w:hAnsi="宋体" w:eastAsia="宋体" w:cs="宋体"/>
          <w:b/>
          <w:sz w:val="24"/>
          <w:szCs w:val="24"/>
          <w:highlight w:val="none"/>
        </w:rPr>
      </w:pPr>
      <w:r>
        <w:rPr>
          <w:rFonts w:hint="eastAsia" w:ascii="宋体" w:hAnsi="宋体" w:eastAsia="宋体" w:cs="宋体"/>
          <w:b/>
          <w:sz w:val="24"/>
          <w:szCs w:val="24"/>
          <w:highlight w:val="none"/>
        </w:rPr>
        <w:t>资质标评审：经资质审查通过后</w:t>
      </w:r>
      <w:r>
        <w:rPr>
          <w:rFonts w:hint="eastAsia" w:ascii="宋体" w:hAnsi="宋体" w:cs="宋体"/>
          <w:b/>
          <w:sz w:val="24"/>
          <w:szCs w:val="24"/>
          <w:highlight w:val="none"/>
          <w:lang w:eastAsia="zh-CN"/>
        </w:rPr>
        <w:t>，</w:t>
      </w:r>
      <w:r>
        <w:rPr>
          <w:rFonts w:hint="eastAsia" w:ascii="宋体" w:hAnsi="宋体" w:eastAsia="宋体" w:cs="宋体"/>
          <w:b/>
          <w:sz w:val="24"/>
          <w:szCs w:val="24"/>
          <w:highlight w:val="none"/>
        </w:rPr>
        <w:t>进行开唱标工作，并统一报价要求</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hanging="42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技术标与商务标分别开标，先开技术标，按照标书中规定的详细技术配置对比表</w:t>
      </w:r>
      <w:r>
        <w:rPr>
          <w:rFonts w:hint="eastAsia" w:ascii="宋体" w:hAnsi="宋体" w:cs="宋体"/>
          <w:b/>
          <w:sz w:val="24"/>
          <w:szCs w:val="24"/>
          <w:highlight w:val="none"/>
          <w:lang w:val="en-US" w:eastAsia="zh-CN"/>
        </w:rPr>
        <w:t>进</w:t>
      </w:r>
      <w:r>
        <w:rPr>
          <w:rFonts w:hint="eastAsia" w:ascii="宋体" w:hAnsi="宋体" w:eastAsia="宋体" w:cs="宋体"/>
          <w:b/>
          <w:sz w:val="24"/>
          <w:szCs w:val="24"/>
          <w:highlight w:val="none"/>
        </w:rPr>
        <w:t>行技术评标，</w:t>
      </w:r>
      <w:r>
        <w:rPr>
          <w:rFonts w:hint="eastAsia" w:ascii="宋体" w:hAnsi="宋体" w:eastAsia="宋体" w:cs="宋体"/>
          <w:b/>
          <w:sz w:val="24"/>
          <w:szCs w:val="24"/>
          <w:highlight w:val="none"/>
          <w:lang w:val="en-US" w:eastAsia="zh-CN"/>
        </w:rPr>
        <w:t>在</w:t>
      </w:r>
      <w:r>
        <w:rPr>
          <w:rFonts w:hint="eastAsia" w:ascii="宋体" w:hAnsi="宋体" w:eastAsia="宋体" w:cs="宋体"/>
          <w:b/>
          <w:sz w:val="24"/>
          <w:szCs w:val="24"/>
          <w:highlight w:val="none"/>
        </w:rPr>
        <w:t>满足技术要求的前提下（含技术澄清），推荐至少 3 家投标</w:t>
      </w:r>
      <w:r>
        <w:rPr>
          <w:rFonts w:hint="eastAsia" w:ascii="宋体" w:hAnsi="宋体" w:eastAsia="宋体" w:cs="宋体"/>
          <w:b/>
          <w:sz w:val="24"/>
          <w:szCs w:val="24"/>
          <w:highlight w:val="none"/>
          <w:lang w:val="en-US" w:eastAsia="zh-CN"/>
        </w:rPr>
        <w:t>人</w:t>
      </w:r>
      <w:r>
        <w:rPr>
          <w:rFonts w:hint="eastAsia" w:ascii="宋体" w:hAnsi="宋体" w:eastAsia="宋体" w:cs="宋体"/>
          <w:b/>
          <w:sz w:val="24"/>
          <w:szCs w:val="24"/>
          <w:highlight w:val="none"/>
        </w:rPr>
        <w:t>进入商务标</w:t>
      </w:r>
      <w:r>
        <w:rPr>
          <w:rFonts w:hint="eastAsia" w:ascii="宋体" w:hAnsi="宋体" w:cs="宋体"/>
          <w:b/>
          <w:sz w:val="24"/>
          <w:szCs w:val="24"/>
          <w:highlight w:val="none"/>
          <w:lang w:eastAsia="zh-CN"/>
        </w:rPr>
        <w:t>；</w:t>
      </w:r>
    </w:p>
    <w:p>
      <w:pPr>
        <w:numPr>
          <w:ilvl w:val="0"/>
          <w:numId w:val="6"/>
        </w:numPr>
        <w:spacing w:line="420" w:lineRule="exact"/>
        <w:rPr>
          <w:rFonts w:hint="eastAsia"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bCs/>
          <w:color w:val="000000"/>
          <w:sz w:val="24"/>
          <w:szCs w:val="24"/>
          <w:highlight w:val="none"/>
        </w:rPr>
      </w:pPr>
      <w:r>
        <w:rPr>
          <w:rFonts w:hint="eastAsia" w:ascii="宋体" w:hAnsi="宋体" w:cs="宋体"/>
          <w:b/>
          <w:bCs/>
          <w:color w:val="000000"/>
          <w:sz w:val="24"/>
          <w:szCs w:val="24"/>
          <w:highlight w:val="none"/>
          <w:lang w:val="en-US" w:eastAsia="zh-CN"/>
        </w:rPr>
        <w:t>本评标规则后附</w:t>
      </w: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hanging="42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技术标评分不带入商务标，商务标专家组与技术入围的有效投标人在其开标报价的基础上开展至少 3 轮商务谈判，确定推荐中标人。原则上按照评标合理最低价选择中标人</w:t>
      </w:r>
      <w:r>
        <w:rPr>
          <w:rFonts w:hint="eastAsia" w:ascii="宋体" w:hAnsi="宋体" w:eastAsia="宋体" w:cs="宋体"/>
          <w:b/>
          <w:sz w:val="24"/>
          <w:szCs w:val="24"/>
          <w:highlight w:val="none"/>
          <w:lang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hanging="42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商务标评审：商务条款相应确认→价格澄清→商务标评审；评审期间产生的商务价格澄清均由投标人在重汽e采通平台内限时完成提交；</w:t>
      </w:r>
    </w:p>
    <w:p>
      <w:pPr>
        <w:pStyle w:val="3"/>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本项目采用综合评标法（技术标40%，商务标60%）确定</w:t>
      </w:r>
      <w:r>
        <w:rPr>
          <w:rFonts w:hint="eastAsia" w:ascii="宋体" w:hAnsi="宋体" w:eastAsia="宋体" w:cs="宋体"/>
          <w:b/>
          <w:sz w:val="24"/>
          <w:szCs w:val="24"/>
        </w:rPr>
        <w:t>中标</w:t>
      </w:r>
      <w:r>
        <w:rPr>
          <w:rFonts w:hint="eastAsia" w:ascii="宋体" w:hAnsi="宋体" w:cs="宋体"/>
          <w:b/>
          <w:sz w:val="24"/>
          <w:szCs w:val="24"/>
          <w:lang w:eastAsia="zh-CN"/>
        </w:rPr>
        <w:t>方</w:t>
      </w:r>
      <w:r>
        <w:rPr>
          <w:rFonts w:hint="eastAsia" w:ascii="宋体" w:hAnsi="宋体" w:eastAsia="宋体" w:cs="宋体"/>
          <w:b/>
          <w:sz w:val="24"/>
          <w:szCs w:val="24"/>
        </w:rPr>
        <w:t>。</w:t>
      </w:r>
    </w:p>
    <w:p>
      <w:pPr>
        <w:widowControl/>
        <w:spacing w:line="360" w:lineRule="auto"/>
        <w:ind w:right="2" w:firstLine="480" w:firstLineChars="200"/>
        <w:jc w:val="left"/>
        <w:rPr>
          <w:rFonts w:hint="eastAsia" w:ascii="宋体" w:hAnsi="宋体" w:eastAsia="宋体" w:cs="宋体"/>
        </w:rPr>
      </w:pP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7"/>
        <w:spacing w:line="360" w:lineRule="auto"/>
        <w:ind w:firstLine="480" w:firstLineChars="200"/>
        <w:rPr>
          <w:rFonts w:hint="eastAsia" w:ascii="宋体" w:hAnsi="宋体" w:eastAsia="宋体" w:cs="宋体"/>
          <w:color w:val="000000"/>
          <w:sz w:val="24"/>
          <w:szCs w:val="24"/>
        </w:rPr>
      </w:pPr>
      <w:r>
        <w:rPr>
          <w:rFonts w:hint="eastAsia" w:hAnsi="宋体" w:cs="宋体"/>
          <w:color w:val="000000"/>
          <w:sz w:val="24"/>
          <w:szCs w:val="24"/>
          <w:lang w:val="en-US" w:eastAsia="zh-CN"/>
        </w:rPr>
        <w:t>2</w:t>
      </w:r>
      <w:r>
        <w:rPr>
          <w:rFonts w:hint="eastAsia" w:ascii="宋体" w:hAnsi="宋体" w:eastAsia="宋体" w:cs="宋体"/>
          <w:color w:val="000000"/>
          <w:sz w:val="24"/>
          <w:szCs w:val="24"/>
        </w:rPr>
        <w:t>、中标人瑕疵滞后发现的处理原则</w:t>
      </w:r>
    </w:p>
    <w:p>
      <w:pPr>
        <w:pStyle w:val="17"/>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5"/>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w:t>
      </w:r>
      <w:r>
        <w:rPr>
          <w:rFonts w:hint="eastAsia" w:ascii="宋体" w:hAnsi="宋体" w:eastAsia="宋体" w:cs="宋体"/>
          <w:color w:val="000000"/>
          <w:sz w:val="24"/>
          <w:szCs w:val="24"/>
          <w:highlight w:val="none"/>
        </w:rPr>
        <w:t>评标结果确定</w:t>
      </w:r>
      <w:r>
        <w:rPr>
          <w:rFonts w:hint="eastAsia" w:ascii="宋体" w:hAnsi="宋体" w:cs="宋体"/>
          <w:color w:val="000000"/>
          <w:sz w:val="24"/>
          <w:szCs w:val="24"/>
          <w:highlight w:val="none"/>
          <w:lang w:val="en-US" w:eastAsia="zh-CN"/>
        </w:rPr>
        <w:t>推荐</w:t>
      </w:r>
      <w:r>
        <w:rPr>
          <w:rFonts w:hint="eastAsia" w:ascii="宋体" w:hAnsi="宋体" w:eastAsia="宋体" w:cs="宋体"/>
          <w:color w:val="000000"/>
          <w:sz w:val="24"/>
          <w:szCs w:val="24"/>
          <w:highlight w:val="none"/>
        </w:rPr>
        <w:t>中标人，在</w:t>
      </w:r>
      <w:r>
        <w:rPr>
          <w:rFonts w:hint="eastAsia" w:ascii="宋体" w:hAnsi="宋体" w:eastAsia="宋体" w:cs="宋体"/>
          <w:color w:val="000000"/>
          <w:sz w:val="24"/>
          <w:szCs w:val="24"/>
        </w:rPr>
        <w:t>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83"/>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7"/>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83"/>
        <w:ind w:firstLine="480"/>
        <w:rPr>
          <w:rFonts w:hint="eastAsia" w:ascii="宋体" w:hAnsi="宋体" w:eastAsia="宋体" w:cs="宋体"/>
          <w:highlight w:val="none"/>
        </w:rPr>
      </w:pPr>
      <w:r>
        <w:rPr>
          <w:rFonts w:hint="eastAsia" w:ascii="宋体" w:hAnsi="宋体" w:eastAsia="宋体" w:cs="宋体"/>
          <w:highlight w:val="none"/>
          <w:lang w:val="en-US" w:eastAsia="zh-CN"/>
        </w:rPr>
        <w:t>5</w:t>
      </w:r>
      <w:r>
        <w:rPr>
          <w:rFonts w:hint="eastAsia" w:ascii="宋体" w:hAnsi="宋体" w:eastAsia="宋体" w:cs="宋体"/>
          <w:highlight w:val="none"/>
        </w:rPr>
        <w:t>、投标人有下列情形之一，其投标将被视为</w:t>
      </w:r>
      <w:r>
        <w:rPr>
          <w:rFonts w:hint="eastAsia" w:eastAsia="宋体" w:cs="宋体"/>
          <w:highlight w:val="none"/>
          <w:lang w:val="en-US" w:eastAsia="zh-CN"/>
        </w:rPr>
        <w:t>无效</w:t>
      </w:r>
      <w:r>
        <w:rPr>
          <w:rFonts w:hint="eastAsia" w:ascii="宋体" w:hAnsi="宋体" w:eastAsia="宋体" w:cs="宋体"/>
          <w:highlight w:val="none"/>
        </w:rPr>
        <w:t>，招标人将严格按照《中华人民共和国招标投标法》及相关法律、法规及规章制度的规定行使权利。投标人给招标人造成损失的，招标人有索赔的权利，投标人应予以赔偿。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17"/>
        <w:spacing w:line="360" w:lineRule="auto"/>
        <w:rPr>
          <w:rFonts w:hint="eastAsia" w:ascii="宋体" w:hAnsi="宋体" w:eastAsia="宋体" w:cs="宋体"/>
          <w:highlight w:val="none"/>
        </w:rPr>
      </w:pPr>
      <w:r>
        <w:rPr>
          <w:rFonts w:hint="eastAsia" w:ascii="宋体"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9</w:t>
      </w:r>
      <w:r>
        <w:rPr>
          <w:rFonts w:hint="eastAsia" w:ascii="宋体" w:hAnsi="宋体" w:eastAsia="宋体" w:cs="宋体"/>
          <w:sz w:val="24"/>
          <w:szCs w:val="24"/>
          <w:highlight w:val="none"/>
        </w:rPr>
        <w:t>）未按照招标人规定的时间内在中国重汽e采通完成投标的；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cs="宋体"/>
          <w:color w:val="000000"/>
          <w:sz w:val="24"/>
          <w:szCs w:val="24"/>
          <w:highlight w:val="none"/>
          <w:lang w:val="en-US" w:eastAsia="zh-CN"/>
        </w:rPr>
        <w:t>0</w:t>
      </w:r>
      <w:r>
        <w:rPr>
          <w:rFonts w:hint="eastAsia" w:ascii="宋体" w:hAnsi="宋体" w:eastAsia="宋体" w:cs="宋体"/>
          <w:color w:val="000000"/>
          <w:sz w:val="24"/>
          <w:szCs w:val="24"/>
          <w:highlight w:val="none"/>
        </w:rPr>
        <w:t>）法律、法规规定的其他情况。</w:t>
      </w:r>
    </w:p>
    <w:p>
      <w:pPr>
        <w:pStyle w:val="83"/>
        <w:ind w:firstLine="480"/>
        <w:rPr>
          <w:rFonts w:hint="eastAsia" w:ascii="宋体" w:hAnsi="宋体" w:eastAsia="宋体" w:cs="宋体"/>
          <w:highlight w:val="none"/>
          <w:lang w:val="en-US" w:eastAsia="zh-CN"/>
        </w:rPr>
      </w:pPr>
      <w:r>
        <w:rPr>
          <w:rFonts w:hint="eastAsia" w:ascii="宋体" w:hAnsi="宋体" w:eastAsia="宋体" w:cs="宋体"/>
          <w:highlight w:val="none"/>
          <w:lang w:val="en-US" w:eastAsia="zh-CN"/>
        </w:rPr>
        <w:t>6</w:t>
      </w:r>
      <w:r>
        <w:rPr>
          <w:rFonts w:hint="eastAsia" w:ascii="宋体" w:hAnsi="宋体" w:eastAsia="宋体" w:cs="宋体"/>
          <w:highlight w:val="none"/>
        </w:rPr>
        <w:t>、出现下列情形之一，</w:t>
      </w:r>
      <w:r>
        <w:rPr>
          <w:rFonts w:hint="eastAsia" w:eastAsia="宋体" w:cs="宋体"/>
          <w:highlight w:val="none"/>
          <w:lang w:val="en-US" w:eastAsia="zh-CN"/>
        </w:rPr>
        <w:t>本项目将废标，</w:t>
      </w:r>
      <w:r>
        <w:rPr>
          <w:rFonts w:hint="eastAsia" w:ascii="宋体" w:hAnsi="宋体" w:eastAsia="宋体" w:cs="宋体"/>
          <w:bCs/>
          <w:sz w:val="24"/>
          <w:szCs w:val="24"/>
          <w:highlight w:val="none"/>
        </w:rPr>
        <w:t>投标人承诺同意由于招标人公司政策变化引起的随时终止项目的要求并承担由此带来的一切损失；</w:t>
      </w:r>
    </w:p>
    <w:p>
      <w:pPr>
        <w:spacing w:line="360" w:lineRule="auto"/>
        <w:ind w:right="2" w:firstLine="480" w:firstLineChars="200"/>
        <w:rPr>
          <w:rFonts w:hint="eastAsia" w:eastAsia="宋体"/>
          <w:highlight w:val="none"/>
          <w:lang w:eastAsia="zh-CN"/>
        </w:rPr>
      </w:pPr>
      <w:r>
        <w:rPr>
          <w:rFonts w:hint="eastAsia" w:ascii="宋体" w:hAnsi="宋体" w:eastAsia="宋体" w:cs="宋体"/>
          <w:sz w:val="24"/>
          <w:szCs w:val="24"/>
          <w:highlight w:val="none"/>
        </w:rPr>
        <w:t>（1）符合条件</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或</w:t>
      </w:r>
      <w:r>
        <w:rPr>
          <w:rFonts w:hint="eastAsia" w:ascii="宋体" w:hAnsi="宋体" w:eastAsia="宋体" w:cs="宋体"/>
          <w:sz w:val="24"/>
          <w:szCs w:val="24"/>
          <w:highlight w:val="none"/>
        </w:rPr>
        <w:t>对招标文件做实质响应的供应商不足 3 家的</w:t>
      </w:r>
      <w:r>
        <w:rPr>
          <w:rFonts w:hint="eastAsia" w:ascii="宋体" w:hAnsi="宋体" w:cs="宋体"/>
          <w:sz w:val="24"/>
          <w:szCs w:val="24"/>
          <w:highlight w:val="none"/>
          <w:lang w:val="en-US" w:eastAsia="zh-CN"/>
        </w:rPr>
        <w:t>以及技术入围投标人不足3家的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（3）不同投标人的投标文件异常一致或者投标报价呈规律性差异的</w:t>
      </w:r>
      <w:r>
        <w:rPr>
          <w:rFonts w:hint="eastAsia" w:ascii="宋体" w:hAnsi="宋体" w:cs="宋体"/>
          <w:bCs/>
          <w:sz w:val="24"/>
          <w:szCs w:val="24"/>
          <w:highlight w:val="none"/>
          <w:lang w:eastAsia="zh-CN"/>
        </w:rPr>
        <w:t>；</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（4）投标人报价均超过采购预算的；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（5）因重大变故、采购任务取消的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（6）招标人认为其他应终止招标的情形。</w:t>
      </w:r>
    </w:p>
    <w:p>
      <w:pPr>
        <w:pStyle w:val="17"/>
        <w:spacing w:line="360" w:lineRule="auto"/>
        <w:ind w:firstLine="480" w:firstLineChars="200"/>
        <w:rPr>
          <w:rFonts w:hint="eastAsia" w:ascii="宋体" w:hAnsi="宋体" w:eastAsia="宋体" w:cs="宋体"/>
          <w:bCs/>
          <w:sz w:val="24"/>
          <w:szCs w:val="24"/>
        </w:rPr>
      </w:pPr>
    </w:p>
    <w:p>
      <w:pPr>
        <w:pStyle w:val="85"/>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w:t>
      </w:r>
      <w:r>
        <w:rPr>
          <w:rFonts w:hint="eastAsia" w:ascii="宋体" w:hAnsi="宋体" w:cs="宋体"/>
          <w:color w:val="000000"/>
          <w:sz w:val="24"/>
          <w:szCs w:val="24"/>
          <w:lang w:eastAsia="zh-CN"/>
        </w:rPr>
        <w:t>书面及邮件</w:t>
      </w:r>
      <w:r>
        <w:rPr>
          <w:rFonts w:hint="eastAsia" w:ascii="宋体" w:hAnsi="宋体" w:eastAsia="宋体" w:cs="宋体"/>
          <w:color w:val="000000"/>
          <w:sz w:val="24"/>
          <w:szCs w:val="24"/>
        </w:rPr>
        <w:t>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7"/>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83"/>
        <w:ind w:firstLine="0" w:firstLineChars="0"/>
        <w:rPr>
          <w:rFonts w:hint="eastAsia" w:ascii="宋体" w:hAnsi="宋体" w:eastAsia="宋体" w:cs="宋体"/>
        </w:rPr>
      </w:pPr>
    </w:p>
    <w:p>
      <w:pPr>
        <w:pStyle w:val="83"/>
        <w:ind w:firstLine="0" w:firstLineChars="0"/>
        <w:rPr>
          <w:rFonts w:hint="eastAsia" w:ascii="宋体" w:hAnsi="宋体" w:eastAsia="宋体" w:cs="宋体"/>
        </w:rPr>
      </w:pPr>
    </w:p>
    <w:p>
      <w:pPr>
        <w:pStyle w:val="83"/>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639004"/>
      <w:bookmarkStart w:id="9" w:name="_Toc212369550"/>
      <w:r>
        <w:rPr>
          <w:rFonts w:hint="eastAsia" w:ascii="宋体" w:hAnsi="宋体" w:eastAsia="宋体" w:cs="宋体"/>
        </w:rPr>
        <w:t xml:space="preserve"> 投标函</w:t>
      </w:r>
      <w:bookmarkEnd w:id="6"/>
      <w:bookmarkEnd w:id="7"/>
      <w:bookmarkEnd w:id="8"/>
      <w:bookmarkEnd w:id="9"/>
    </w:p>
    <w:p>
      <w:pPr>
        <w:pStyle w:val="83"/>
        <w:ind w:firstLine="480"/>
        <w:rPr>
          <w:rFonts w:hint="eastAsia" w:ascii="宋体" w:hAnsi="宋体" w:eastAsia="宋体" w:cs="宋体"/>
        </w:rPr>
      </w:pPr>
      <w:r>
        <w:rPr>
          <w:rFonts w:hint="eastAsia" w:ascii="宋体" w:hAnsi="宋体" w:eastAsia="宋体" w:cs="宋体"/>
        </w:rPr>
        <w:t>致：中国重汽集团济南动力有限公司：</w:t>
      </w:r>
    </w:p>
    <w:p>
      <w:pPr>
        <w:pStyle w:val="83"/>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83"/>
        <w:ind w:firstLine="480"/>
        <w:rPr>
          <w:rFonts w:hint="eastAsia" w:ascii="宋体" w:hAnsi="宋体" w:eastAsia="宋体" w:cs="宋体"/>
        </w:rPr>
      </w:pPr>
      <w:r>
        <w:rPr>
          <w:rFonts w:hint="eastAsia" w:ascii="宋体" w:hAnsi="宋体" w:eastAsia="宋体" w:cs="宋体"/>
        </w:rPr>
        <w:t>据此函，签字代表宣布同意如下：</w:t>
      </w:r>
    </w:p>
    <w:p>
      <w:pPr>
        <w:pStyle w:val="83"/>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83"/>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83"/>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83"/>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83"/>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83"/>
        <w:ind w:firstLine="480"/>
        <w:rPr>
          <w:rFonts w:hint="eastAsia" w:ascii="宋体" w:hAnsi="宋体" w:eastAsia="宋体" w:cs="宋体"/>
        </w:rPr>
      </w:pPr>
      <w:r>
        <w:rPr>
          <w:rFonts w:hint="eastAsia" w:ascii="宋体" w:hAnsi="宋体" w:eastAsia="宋体" w:cs="宋体"/>
        </w:rPr>
        <w:t>6、与本投标有关的一切正式往来信函请寄：</w:t>
      </w:r>
    </w:p>
    <w:p>
      <w:pPr>
        <w:pStyle w:val="83"/>
        <w:ind w:firstLine="480"/>
        <w:rPr>
          <w:rFonts w:hint="eastAsia" w:ascii="宋体" w:hAnsi="宋体" w:eastAsia="宋体" w:cs="宋体"/>
        </w:rPr>
      </w:pPr>
      <w:r>
        <w:rPr>
          <w:rFonts w:hint="eastAsia" w:ascii="宋体" w:hAnsi="宋体" w:eastAsia="宋体" w:cs="宋体"/>
        </w:rPr>
        <w:t xml:space="preserve">地址：                             </w:t>
      </w:r>
    </w:p>
    <w:p>
      <w:pPr>
        <w:pStyle w:val="83"/>
        <w:ind w:firstLine="480"/>
        <w:rPr>
          <w:rFonts w:hint="eastAsia" w:ascii="宋体" w:hAnsi="宋体" w:eastAsia="宋体" w:cs="宋体"/>
        </w:rPr>
      </w:pPr>
      <w:r>
        <w:rPr>
          <w:rFonts w:hint="eastAsia" w:ascii="宋体" w:hAnsi="宋体" w:eastAsia="宋体" w:cs="宋体"/>
        </w:rPr>
        <w:t xml:space="preserve">邮编：        </w:t>
      </w:r>
    </w:p>
    <w:p>
      <w:pPr>
        <w:pStyle w:val="83"/>
        <w:ind w:firstLine="480"/>
        <w:rPr>
          <w:rFonts w:hint="eastAsia" w:ascii="宋体" w:hAnsi="宋体" w:eastAsia="宋体" w:cs="宋体"/>
        </w:rPr>
      </w:pPr>
      <w:r>
        <w:rPr>
          <w:rFonts w:hint="eastAsia" w:ascii="宋体" w:hAnsi="宋体" w:eastAsia="宋体" w:cs="宋体"/>
        </w:rPr>
        <w:t xml:space="preserve">电话：        传真：                   </w:t>
      </w:r>
    </w:p>
    <w:p>
      <w:pPr>
        <w:pStyle w:val="83"/>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83"/>
        <w:ind w:firstLine="480"/>
        <w:rPr>
          <w:rFonts w:hint="eastAsia" w:ascii="宋体" w:hAnsi="宋体" w:eastAsia="宋体" w:cs="宋体"/>
        </w:rPr>
      </w:pPr>
      <w:r>
        <w:rPr>
          <w:rFonts w:hint="eastAsia" w:ascii="宋体" w:hAnsi="宋体" w:eastAsia="宋体" w:cs="宋体"/>
        </w:rPr>
        <w:t xml:space="preserve">开户银行：                   </w:t>
      </w:r>
    </w:p>
    <w:p>
      <w:pPr>
        <w:pStyle w:val="83"/>
        <w:ind w:firstLine="480"/>
        <w:rPr>
          <w:rFonts w:hint="eastAsia" w:ascii="宋体" w:hAnsi="宋体" w:eastAsia="宋体" w:cs="宋体"/>
        </w:rPr>
      </w:pPr>
      <w:r>
        <w:rPr>
          <w:rFonts w:hint="eastAsia" w:ascii="宋体" w:hAnsi="宋体" w:eastAsia="宋体" w:cs="宋体"/>
        </w:rPr>
        <w:t>银行帐号：</w:t>
      </w:r>
    </w:p>
    <w:p>
      <w:pPr>
        <w:pStyle w:val="83"/>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83"/>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83"/>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5"/>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83"/>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83"/>
        <w:ind w:firstLine="480"/>
        <w:rPr>
          <w:rFonts w:hint="eastAsia" w:ascii="宋体" w:hAnsi="宋体" w:eastAsia="宋体" w:cs="宋体"/>
        </w:rPr>
      </w:pPr>
      <w:r>
        <w:rPr>
          <w:rFonts w:hint="eastAsia" w:ascii="宋体" w:hAnsi="宋体" w:eastAsia="宋体" w:cs="宋体"/>
        </w:rPr>
        <w:t>全权代表无转委权。特此委托。</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83"/>
        <w:ind w:firstLine="480"/>
        <w:rPr>
          <w:rFonts w:hint="eastAsia" w:ascii="宋体" w:hAnsi="宋体" w:eastAsia="宋体" w:cs="宋体"/>
        </w:rPr>
      </w:pPr>
      <w:r>
        <w:rPr>
          <w:rFonts w:hint="eastAsia" w:ascii="宋体" w:hAnsi="宋体" w:eastAsia="宋体" w:cs="宋体"/>
        </w:rPr>
        <w:t>全权代表姓名：            性别：          年龄：</w:t>
      </w:r>
    </w:p>
    <w:p>
      <w:pPr>
        <w:pStyle w:val="83"/>
        <w:ind w:firstLine="480"/>
        <w:rPr>
          <w:rFonts w:hint="eastAsia" w:ascii="宋体" w:hAnsi="宋体" w:eastAsia="宋体" w:cs="宋体"/>
        </w:rPr>
      </w:pPr>
      <w:r>
        <w:rPr>
          <w:rFonts w:hint="eastAsia" w:ascii="宋体" w:hAnsi="宋体" w:eastAsia="宋体" w:cs="宋体"/>
        </w:rPr>
        <w:t>单位：                    部门：          职务：</w:t>
      </w:r>
    </w:p>
    <w:p>
      <w:pPr>
        <w:pStyle w:val="83"/>
        <w:ind w:firstLine="480"/>
        <w:rPr>
          <w:rFonts w:hint="eastAsia" w:ascii="宋体" w:hAnsi="宋体" w:eastAsia="宋体" w:cs="宋体"/>
        </w:rPr>
      </w:pPr>
      <w:r>
        <w:rPr>
          <w:rFonts w:hint="eastAsia" w:ascii="宋体" w:hAnsi="宋体" w:eastAsia="宋体" w:cs="宋体"/>
        </w:rPr>
        <w:t xml:space="preserve">法定代表人签字或盖章                          </w:t>
      </w:r>
    </w:p>
    <w:p>
      <w:pPr>
        <w:pStyle w:val="83"/>
        <w:ind w:firstLine="480"/>
        <w:rPr>
          <w:rFonts w:hint="eastAsia" w:ascii="宋体" w:hAnsi="宋体" w:eastAsia="宋体" w:cs="宋体"/>
        </w:rPr>
      </w:pPr>
      <w:r>
        <w:rPr>
          <w:rFonts w:hint="eastAsia" w:ascii="宋体" w:hAnsi="宋体" w:eastAsia="宋体" w:cs="宋体"/>
        </w:rPr>
        <w:t xml:space="preserve">被授权人签字  </w:t>
      </w:r>
    </w:p>
    <w:p>
      <w:pPr>
        <w:pStyle w:val="83"/>
        <w:ind w:firstLine="480"/>
        <w:rPr>
          <w:rFonts w:hint="eastAsia" w:ascii="宋体" w:hAnsi="宋体" w:eastAsia="宋体" w:cs="宋体"/>
        </w:rPr>
      </w:pPr>
      <w:r>
        <w:rPr>
          <w:rFonts w:hint="eastAsia" w:ascii="宋体" w:hAnsi="宋体" w:eastAsia="宋体" w:cs="宋体"/>
        </w:rPr>
        <w:t xml:space="preserve">被授权人电话：                          </w:t>
      </w:r>
    </w:p>
    <w:p>
      <w:pPr>
        <w:pStyle w:val="83"/>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9"/>
        <w:ind w:left="0" w:leftChars="0" w:firstLine="480" w:firstLineChars="200"/>
        <w:rPr>
          <w:rFonts w:hint="eastAsia" w:ascii="宋体" w:hAnsi="宋体" w:eastAsia="宋体" w:cs="宋体"/>
          <w:highlight w:val="yellow"/>
        </w:rPr>
      </w:pPr>
      <w:r>
        <w:rPr>
          <w:rFonts w:hint="eastAsia" w:ascii="宋体" w:hAnsi="宋体" w:eastAsia="宋体" w:cs="宋体"/>
          <w:highlight w:val="yellow"/>
        </w:rPr>
        <w:t>附件</w:t>
      </w:r>
      <w:r>
        <w:rPr>
          <w:rFonts w:hint="eastAsia" w:ascii="宋体" w:hAnsi="宋体" w:eastAsia="宋体" w:cs="宋体"/>
          <w:highlight w:val="yellow"/>
          <w:lang w:val="en-US" w:eastAsia="zh-CN"/>
        </w:rPr>
        <w:t>4</w:t>
      </w:r>
      <w:r>
        <w:rPr>
          <w:rFonts w:hint="eastAsia" w:ascii="宋体" w:hAnsi="宋体" w:eastAsia="宋体" w:cs="宋体"/>
          <w:highlight w:val="yellow"/>
        </w:rPr>
        <w:t xml:space="preserve"> 技术规格偏离表</w:t>
      </w:r>
    </w:p>
    <w:p>
      <w:pPr>
        <w:pStyle w:val="83"/>
        <w:ind w:firstLine="480"/>
        <w:rPr>
          <w:rFonts w:hint="eastAsia" w:ascii="宋体" w:hAnsi="宋体" w:eastAsia="宋体" w:cs="宋体"/>
        </w:rPr>
      </w:pPr>
      <w:r>
        <w:rPr>
          <w:rFonts w:hint="eastAsia" w:ascii="宋体" w:hAnsi="宋体" w:eastAsia="宋体" w:cs="宋体"/>
          <w:highlight w:val="yellow"/>
        </w:rPr>
        <w:t>项目名称：</w:t>
      </w:r>
      <w:r>
        <w:rPr>
          <w:rFonts w:hint="eastAsia" w:eastAsia="宋体" w:cs="宋体"/>
          <w:highlight w:val="yellow"/>
          <w:lang w:eastAsia="zh-CN"/>
        </w:rPr>
        <w:t>新能源产品试验检测中心试验家具采购项目</w:t>
      </w:r>
      <w:r>
        <w:rPr>
          <w:rFonts w:hint="eastAsia" w:ascii="宋体" w:hAnsi="宋体" w:eastAsia="宋体" w:cs="宋体"/>
          <w:highlight w:val="yellow"/>
        </w:rPr>
        <w:t xml:space="preserve">      </w:t>
      </w:r>
      <w:r>
        <w:rPr>
          <w:rFonts w:hint="eastAsia" w:ascii="宋体" w:hAnsi="宋体" w:eastAsia="宋体" w:cs="宋体"/>
        </w:rPr>
        <w:t xml:space="preserve">                                                     </w:t>
      </w:r>
    </w:p>
    <w:tbl>
      <w:tblPr>
        <w:tblStyle w:val="3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4331"/>
        <w:gridCol w:w="1675"/>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7"/>
              <w:jc w:val="center"/>
              <w:rPr>
                <w:rFonts w:hint="eastAsia" w:ascii="宋体" w:hAnsi="宋体" w:eastAsia="宋体" w:cs="宋体"/>
                <w:lang w:val="en-US" w:eastAsia="zh-CN"/>
              </w:rPr>
            </w:pPr>
            <w:r>
              <w:rPr>
                <w:rFonts w:hint="eastAsia" w:ascii="宋体" w:hAnsi="宋体" w:eastAsia="宋体" w:cs="宋体"/>
                <w:lang w:val="en-US" w:eastAsia="zh-CN"/>
              </w:rPr>
              <w:t>名称</w:t>
            </w:r>
          </w:p>
        </w:tc>
        <w:tc>
          <w:tcPr>
            <w:tcW w:w="2333" w:type="pct"/>
            <w:vAlign w:val="center"/>
          </w:tcPr>
          <w:p>
            <w:pPr>
              <w:pStyle w:val="87"/>
              <w:jc w:val="center"/>
              <w:rPr>
                <w:rFonts w:hint="eastAsia" w:ascii="宋体" w:hAnsi="宋体" w:eastAsia="宋体" w:cs="宋体"/>
              </w:rPr>
            </w:pPr>
            <w:r>
              <w:rPr>
                <w:rFonts w:hint="eastAsia" w:ascii="宋体" w:hAnsi="宋体" w:eastAsia="宋体" w:cs="宋体"/>
              </w:rPr>
              <w:t>招标要求</w:t>
            </w:r>
          </w:p>
        </w:tc>
        <w:tc>
          <w:tcPr>
            <w:tcW w:w="902" w:type="pct"/>
            <w:vAlign w:val="center"/>
          </w:tcPr>
          <w:p>
            <w:pPr>
              <w:pStyle w:val="87"/>
              <w:jc w:val="center"/>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7"/>
              <w:jc w:val="center"/>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Align w:val="center"/>
          </w:tcPr>
          <w:p>
            <w:pPr>
              <w:pStyle w:val="87"/>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w:t>
            </w:r>
          </w:p>
        </w:tc>
        <w:tc>
          <w:tcPr>
            <w:tcW w:w="2333" w:type="pct"/>
            <w:vAlign w:val="center"/>
          </w:tcPr>
          <w:p>
            <w:pPr>
              <w:pStyle w:val="87"/>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应满足标书第三章第三节所述的各产品的</w:t>
            </w:r>
            <w:r>
              <w:rPr>
                <w:rFonts w:hint="eastAsia" w:ascii="宋体" w:hAnsi="宋体" w:eastAsia="宋体" w:cs="宋体"/>
                <w:b w:val="0"/>
                <w:bCs/>
                <w:sz w:val="24"/>
                <w:szCs w:val="24"/>
                <w:lang w:val="en-US" w:eastAsia="zh-CN"/>
              </w:rPr>
              <w:t>材质及工艺要求</w:t>
            </w: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Align w:val="center"/>
          </w:tcPr>
          <w:p>
            <w:pPr>
              <w:pStyle w:val="87"/>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2</w:t>
            </w:r>
          </w:p>
        </w:tc>
        <w:tc>
          <w:tcPr>
            <w:tcW w:w="2333" w:type="pct"/>
            <w:vAlign w:val="center"/>
          </w:tcPr>
          <w:p>
            <w:pPr>
              <w:pStyle w:val="87"/>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应满足标书第三章第三节所述的</w:t>
            </w:r>
            <w:r>
              <w:rPr>
                <w:rFonts w:hint="eastAsia" w:ascii="宋体" w:hAnsi="宋体" w:eastAsia="宋体" w:cs="宋体"/>
                <w:b w:val="0"/>
                <w:bCs/>
                <w:sz w:val="24"/>
                <w:szCs w:val="24"/>
                <w:lang w:val="en-US" w:eastAsia="zh-CN"/>
              </w:rPr>
              <w:t>结构和尺寸要求</w:t>
            </w: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Align w:val="center"/>
          </w:tcPr>
          <w:p>
            <w:pPr>
              <w:pStyle w:val="87"/>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w:t>
            </w:r>
          </w:p>
        </w:tc>
        <w:tc>
          <w:tcPr>
            <w:tcW w:w="2333" w:type="pct"/>
            <w:vAlign w:val="center"/>
          </w:tcPr>
          <w:p>
            <w:pPr>
              <w:pStyle w:val="87"/>
              <w:jc w:val="center"/>
              <w:rPr>
                <w:rFonts w:hint="eastAsia" w:ascii="宋体" w:hAnsi="宋体" w:eastAsia="宋体" w:cs="宋体"/>
                <w:b w:val="0"/>
                <w:bCs/>
                <w:sz w:val="24"/>
              </w:rPr>
            </w:pPr>
            <w:r>
              <w:rPr>
                <w:rFonts w:hint="eastAsia" w:ascii="宋体" w:hAnsi="宋体" w:eastAsia="宋体" w:cs="宋体"/>
                <w:b w:val="0"/>
                <w:bCs/>
                <w:sz w:val="24"/>
                <w:lang w:val="en-US" w:eastAsia="zh-CN"/>
              </w:rPr>
              <w:t>应满足标书第三章第三节所述的</w:t>
            </w:r>
            <w:r>
              <w:rPr>
                <w:rFonts w:hint="eastAsia" w:ascii="宋体" w:hAnsi="宋体" w:eastAsia="宋体" w:cs="宋体"/>
                <w:b w:val="0"/>
                <w:bCs/>
                <w:sz w:val="24"/>
                <w:szCs w:val="24"/>
                <w:lang w:val="en-US" w:eastAsia="zh-CN"/>
              </w:rPr>
              <w:t>性能及安全要求</w:t>
            </w: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75" w:type="pct"/>
            <w:vAlign w:val="center"/>
          </w:tcPr>
          <w:p>
            <w:pPr>
              <w:pStyle w:val="87"/>
              <w:jc w:val="center"/>
              <w:rPr>
                <w:rFonts w:hint="default" w:ascii="宋体" w:hAnsi="宋体" w:eastAsia="宋体" w:cs="宋体"/>
                <w:b w:val="0"/>
                <w:bCs/>
                <w:sz w:val="24"/>
                <w:lang w:val="en-US" w:eastAsia="zh-CN"/>
              </w:rPr>
            </w:pPr>
          </w:p>
        </w:tc>
        <w:tc>
          <w:tcPr>
            <w:tcW w:w="2333" w:type="pct"/>
            <w:vAlign w:val="center"/>
          </w:tcPr>
          <w:p>
            <w:pPr>
              <w:pStyle w:val="87"/>
              <w:jc w:val="both"/>
              <w:rPr>
                <w:rFonts w:hint="default" w:ascii="宋体" w:hAnsi="宋体" w:eastAsia="宋体" w:cs="宋体"/>
                <w:sz w:val="24"/>
                <w:lang w:val="en-US" w:eastAsia="zh-CN"/>
              </w:rPr>
            </w:pP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75" w:type="pct"/>
            <w:vAlign w:val="center"/>
          </w:tcPr>
          <w:p>
            <w:pPr>
              <w:pStyle w:val="87"/>
              <w:jc w:val="center"/>
              <w:rPr>
                <w:rFonts w:hint="default" w:ascii="宋体" w:hAnsi="宋体" w:eastAsia="宋体" w:cs="宋体"/>
                <w:b w:val="0"/>
                <w:bCs/>
                <w:sz w:val="24"/>
                <w:lang w:val="en-US" w:eastAsia="zh-CN"/>
              </w:rPr>
            </w:pPr>
          </w:p>
        </w:tc>
        <w:tc>
          <w:tcPr>
            <w:tcW w:w="2333" w:type="pct"/>
            <w:vAlign w:val="center"/>
          </w:tcPr>
          <w:p>
            <w:pPr>
              <w:pStyle w:val="87"/>
              <w:jc w:val="both"/>
              <w:rPr>
                <w:rFonts w:hint="default" w:ascii="宋体" w:hAnsi="宋体" w:eastAsia="宋体" w:cs="宋体"/>
                <w:sz w:val="24"/>
                <w:lang w:val="en-US" w:eastAsia="zh-CN"/>
              </w:rPr>
            </w:pP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75" w:type="pct"/>
            <w:vAlign w:val="center"/>
          </w:tcPr>
          <w:p>
            <w:pPr>
              <w:pStyle w:val="87"/>
              <w:jc w:val="center"/>
              <w:rPr>
                <w:rFonts w:hint="default" w:ascii="宋体" w:hAnsi="宋体" w:eastAsia="宋体" w:cs="宋体"/>
                <w:b w:val="0"/>
                <w:bCs/>
                <w:sz w:val="24"/>
                <w:lang w:val="en-US" w:eastAsia="zh-CN"/>
              </w:rPr>
            </w:pPr>
          </w:p>
        </w:tc>
        <w:tc>
          <w:tcPr>
            <w:tcW w:w="2333" w:type="pct"/>
            <w:vAlign w:val="center"/>
          </w:tcPr>
          <w:p>
            <w:pPr>
              <w:pStyle w:val="87"/>
              <w:jc w:val="both"/>
              <w:rPr>
                <w:rFonts w:hint="default" w:ascii="宋体" w:hAnsi="宋体" w:eastAsia="宋体" w:cs="宋体"/>
                <w:sz w:val="24"/>
                <w:lang w:val="en-US" w:eastAsia="zh-CN"/>
              </w:rPr>
            </w:pP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75" w:type="pct"/>
            <w:vAlign w:val="center"/>
          </w:tcPr>
          <w:p>
            <w:pPr>
              <w:pStyle w:val="87"/>
              <w:jc w:val="center"/>
              <w:rPr>
                <w:rFonts w:hint="default" w:ascii="宋体" w:hAnsi="宋体" w:eastAsia="宋体" w:cs="宋体"/>
                <w:b w:val="0"/>
                <w:bCs/>
                <w:sz w:val="24"/>
                <w:lang w:val="en-US" w:eastAsia="zh-CN"/>
              </w:rPr>
            </w:pPr>
          </w:p>
        </w:tc>
        <w:tc>
          <w:tcPr>
            <w:tcW w:w="2333" w:type="pct"/>
            <w:vAlign w:val="center"/>
          </w:tcPr>
          <w:p>
            <w:pPr>
              <w:pStyle w:val="87"/>
              <w:jc w:val="both"/>
              <w:rPr>
                <w:rFonts w:hint="default" w:ascii="宋体" w:hAnsi="宋体" w:eastAsia="宋体" w:cs="宋体"/>
                <w:sz w:val="24"/>
                <w:lang w:val="en-US" w:eastAsia="zh-CN"/>
              </w:rPr>
            </w:pP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75" w:type="pct"/>
            <w:vAlign w:val="center"/>
          </w:tcPr>
          <w:p>
            <w:pPr>
              <w:pStyle w:val="87"/>
              <w:jc w:val="center"/>
              <w:rPr>
                <w:rFonts w:hint="default" w:ascii="宋体" w:hAnsi="宋体" w:eastAsia="宋体" w:cs="宋体"/>
                <w:b w:val="0"/>
                <w:bCs/>
                <w:sz w:val="24"/>
                <w:lang w:val="en-US" w:eastAsia="zh-CN"/>
              </w:rPr>
            </w:pPr>
          </w:p>
        </w:tc>
        <w:tc>
          <w:tcPr>
            <w:tcW w:w="2333" w:type="pct"/>
            <w:vAlign w:val="center"/>
          </w:tcPr>
          <w:p>
            <w:pPr>
              <w:pStyle w:val="87"/>
              <w:jc w:val="both"/>
              <w:rPr>
                <w:rFonts w:hint="default" w:ascii="宋体" w:hAnsi="宋体" w:eastAsia="宋体" w:cs="宋体"/>
                <w:sz w:val="24"/>
                <w:lang w:val="en-US" w:eastAsia="zh-CN"/>
              </w:rPr>
            </w:pP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75" w:type="pct"/>
            <w:vAlign w:val="center"/>
          </w:tcPr>
          <w:p>
            <w:pPr>
              <w:pStyle w:val="87"/>
              <w:jc w:val="center"/>
              <w:rPr>
                <w:rFonts w:hint="default" w:ascii="宋体" w:hAnsi="宋体" w:eastAsia="宋体" w:cs="宋体"/>
                <w:sz w:val="24"/>
                <w:lang w:val="en-US" w:eastAsia="zh-CN"/>
              </w:rPr>
            </w:pPr>
          </w:p>
        </w:tc>
        <w:tc>
          <w:tcPr>
            <w:tcW w:w="2333" w:type="pct"/>
            <w:vAlign w:val="center"/>
          </w:tcPr>
          <w:p>
            <w:pPr>
              <w:pStyle w:val="87"/>
              <w:jc w:val="both"/>
              <w:rPr>
                <w:rFonts w:hint="default" w:ascii="宋体" w:hAnsi="宋体" w:eastAsia="宋体" w:cs="宋体"/>
                <w:sz w:val="24"/>
                <w:lang w:val="en-US" w:eastAsia="zh-CN"/>
              </w:rPr>
            </w:pP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83"/>
        <w:ind w:firstLine="480"/>
        <w:rPr>
          <w:rFonts w:hint="eastAsia" w:ascii="宋体" w:hAnsi="宋体" w:eastAsia="宋体" w:cs="宋体"/>
        </w:rPr>
      </w:pPr>
      <w:r>
        <w:rPr>
          <w:rFonts w:hint="eastAsia" w:ascii="宋体" w:hAnsi="宋体" w:eastAsia="宋体" w:cs="宋体"/>
        </w:rPr>
        <w:t>项目名称：</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6"/>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6"/>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联系人及</w:t>
            </w:r>
          </w:p>
          <w:p>
            <w:pPr>
              <w:pStyle w:val="26"/>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83"/>
        <w:ind w:firstLine="480"/>
        <w:rPr>
          <w:rFonts w:hint="eastAsia" w:ascii="宋体" w:hAnsi="宋体" w:eastAsia="宋体" w:cs="宋体"/>
          <w:b/>
        </w:rPr>
      </w:pPr>
      <w:r>
        <w:rPr>
          <w:rFonts w:hint="eastAsia" w:ascii="宋体" w:hAnsi="宋体" w:eastAsia="宋体" w:cs="宋体"/>
          <w:b/>
        </w:rPr>
        <w:t>《开标一览表》单独封存，以备唱标使用</w:t>
      </w:r>
    </w:p>
    <w:p>
      <w:pPr>
        <w:pStyle w:val="83"/>
        <w:ind w:firstLine="480"/>
        <w:rPr>
          <w:rFonts w:hint="eastAsia" w:ascii="宋体" w:hAnsi="宋体" w:eastAsia="宋体" w:cs="宋体"/>
          <w:lang w:eastAsia="zh-CN"/>
        </w:rPr>
      </w:pPr>
      <w:r>
        <w:rPr>
          <w:rFonts w:hint="eastAsia" w:ascii="宋体" w:hAnsi="宋体" w:eastAsia="宋体" w:cs="宋体"/>
        </w:rPr>
        <w:t>项目名称：</w:t>
      </w:r>
      <w:r>
        <w:rPr>
          <w:rFonts w:hint="eastAsia" w:eastAsia="宋体" w:cs="宋体"/>
          <w:lang w:eastAsia="zh-CN"/>
        </w:rPr>
        <w:t>新能源产品试验检测中心试验家具采购项目</w:t>
      </w:r>
    </w:p>
    <w:tbl>
      <w:tblPr>
        <w:tblStyle w:val="37"/>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61"/>
        <w:gridCol w:w="1136"/>
        <w:gridCol w:w="1200"/>
        <w:gridCol w:w="814"/>
        <w:gridCol w:w="1072"/>
        <w:gridCol w:w="1661"/>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7"/>
              <w:rPr>
                <w:rFonts w:hint="eastAsia" w:ascii="宋体" w:hAnsi="宋体" w:eastAsia="宋体" w:cs="宋体"/>
                <w:lang w:val="en-US" w:eastAsia="zh-CN"/>
              </w:rPr>
            </w:pPr>
            <w:r>
              <w:rPr>
                <w:rFonts w:hint="eastAsia" w:ascii="宋体" w:hAnsi="宋体" w:eastAsia="宋体" w:cs="宋体"/>
                <w:lang w:val="en-US" w:eastAsia="zh-CN"/>
              </w:rPr>
              <w:t>新能源产品试验检测中心试验家具采购项目报价单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7"/>
              <w:rPr>
                <w:rFonts w:hint="eastAsia" w:ascii="宋体" w:hAnsi="宋体" w:eastAsia="宋体" w:cs="宋体"/>
              </w:rPr>
            </w:pPr>
            <w:r>
              <w:rPr>
                <w:rFonts w:hint="eastAsia" w:ascii="宋体" w:hAnsi="宋体" w:eastAsia="宋体" w:cs="宋体"/>
              </w:rPr>
              <w:t>序号</w:t>
            </w:r>
          </w:p>
        </w:tc>
        <w:tc>
          <w:tcPr>
            <w:tcW w:w="732" w:type="pct"/>
            <w:vAlign w:val="center"/>
          </w:tcPr>
          <w:p>
            <w:pPr>
              <w:pStyle w:val="87"/>
              <w:rPr>
                <w:rFonts w:hint="eastAsia" w:ascii="宋体" w:hAnsi="宋体" w:eastAsia="宋体" w:cs="宋体"/>
              </w:rPr>
            </w:pPr>
            <w:r>
              <w:rPr>
                <w:rFonts w:hint="eastAsia" w:ascii="宋体" w:hAnsi="宋体" w:eastAsia="宋体" w:cs="宋体"/>
              </w:rPr>
              <w:t>项目名称</w:t>
            </w:r>
          </w:p>
        </w:tc>
        <w:tc>
          <w:tcPr>
            <w:tcW w:w="611" w:type="pct"/>
            <w:vAlign w:val="center"/>
          </w:tcPr>
          <w:p>
            <w:pPr>
              <w:pStyle w:val="87"/>
              <w:rPr>
                <w:rFonts w:hint="eastAsia" w:ascii="宋体" w:hAnsi="宋体" w:eastAsia="宋体" w:cs="宋体"/>
              </w:rPr>
            </w:pPr>
            <w:r>
              <w:rPr>
                <w:rFonts w:hint="eastAsia" w:ascii="宋体" w:hAnsi="宋体" w:eastAsia="宋体" w:cs="宋体"/>
              </w:rPr>
              <w:t>投标总价</w:t>
            </w:r>
          </w:p>
          <w:p>
            <w:pPr>
              <w:pStyle w:val="87"/>
              <w:rPr>
                <w:rFonts w:hint="eastAsia" w:ascii="宋体" w:hAnsi="宋体" w:eastAsia="宋体" w:cs="宋体"/>
              </w:rPr>
            </w:pPr>
            <w:r>
              <w:rPr>
                <w:rFonts w:hint="eastAsia" w:ascii="宋体" w:hAnsi="宋体" w:eastAsia="宋体" w:cs="宋体"/>
              </w:rPr>
              <w:t>（元）</w:t>
            </w:r>
          </w:p>
        </w:tc>
        <w:tc>
          <w:tcPr>
            <w:tcW w:w="646" w:type="pct"/>
            <w:vAlign w:val="center"/>
          </w:tcPr>
          <w:p>
            <w:pPr>
              <w:pStyle w:val="87"/>
              <w:rPr>
                <w:rFonts w:hint="eastAsia" w:ascii="宋体" w:hAnsi="宋体" w:eastAsia="宋体" w:cs="宋体"/>
                <w:szCs w:val="21"/>
              </w:rPr>
            </w:pPr>
            <w:r>
              <w:rPr>
                <w:rFonts w:hint="eastAsia" w:ascii="宋体" w:hAnsi="宋体" w:eastAsia="宋体" w:cs="宋体"/>
                <w:szCs w:val="21"/>
              </w:rPr>
              <w:t>不含税价</w:t>
            </w:r>
          </w:p>
          <w:p>
            <w:pPr>
              <w:pStyle w:val="87"/>
              <w:rPr>
                <w:rFonts w:hint="default" w:ascii="宋体" w:hAnsi="宋体" w:eastAsia="宋体" w:cs="宋体"/>
                <w:szCs w:val="21"/>
                <w:lang w:val="en-US"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元）</w:t>
            </w:r>
          </w:p>
        </w:tc>
        <w:tc>
          <w:tcPr>
            <w:tcW w:w="438" w:type="pct"/>
            <w:vAlign w:val="center"/>
          </w:tcPr>
          <w:p>
            <w:pPr>
              <w:pStyle w:val="87"/>
              <w:rPr>
                <w:rFonts w:hint="eastAsia" w:ascii="宋体" w:hAnsi="宋体" w:eastAsia="宋体" w:cs="宋体"/>
                <w:szCs w:val="21"/>
              </w:rPr>
            </w:pPr>
            <w:r>
              <w:rPr>
                <w:rFonts w:hint="eastAsia" w:ascii="宋体" w:hAnsi="宋体" w:eastAsia="宋体" w:cs="宋体"/>
                <w:szCs w:val="21"/>
              </w:rPr>
              <w:t>税率</w:t>
            </w:r>
          </w:p>
        </w:tc>
        <w:tc>
          <w:tcPr>
            <w:tcW w:w="577" w:type="pct"/>
            <w:vAlign w:val="center"/>
          </w:tcPr>
          <w:p>
            <w:pPr>
              <w:pStyle w:val="87"/>
              <w:rPr>
                <w:rFonts w:hint="eastAsia" w:ascii="宋体" w:hAnsi="宋体" w:eastAsia="宋体" w:cs="宋体"/>
              </w:rPr>
            </w:pPr>
            <w:r>
              <w:rPr>
                <w:rFonts w:hint="eastAsia" w:ascii="宋体" w:hAnsi="宋体" w:eastAsia="宋体" w:cs="宋体"/>
              </w:rPr>
              <w:t>质保期</w:t>
            </w:r>
          </w:p>
        </w:tc>
        <w:tc>
          <w:tcPr>
            <w:tcW w:w="894" w:type="pct"/>
            <w:vAlign w:val="center"/>
          </w:tcPr>
          <w:p>
            <w:pPr>
              <w:pStyle w:val="87"/>
              <w:rPr>
                <w:rFonts w:hint="eastAsia" w:ascii="宋体" w:hAnsi="宋体" w:eastAsia="宋体" w:cs="宋体"/>
              </w:rPr>
            </w:pPr>
            <w:r>
              <w:rPr>
                <w:rFonts w:hint="eastAsia" w:ascii="宋体" w:hAnsi="宋体" w:eastAsia="宋体" w:cs="宋体"/>
              </w:rPr>
              <w:t>付款方式及比例如何响应</w:t>
            </w:r>
          </w:p>
        </w:tc>
        <w:tc>
          <w:tcPr>
            <w:tcW w:w="802" w:type="pct"/>
            <w:vAlign w:val="center"/>
          </w:tcPr>
          <w:p>
            <w:pPr>
              <w:pStyle w:val="87"/>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40" w:hRule="atLeast"/>
        </w:trPr>
        <w:tc>
          <w:tcPr>
            <w:tcW w:w="297" w:type="pct"/>
            <w:vAlign w:val="center"/>
          </w:tcPr>
          <w:p>
            <w:pPr>
              <w:pStyle w:val="87"/>
              <w:rPr>
                <w:rFonts w:hint="eastAsia" w:ascii="宋体" w:hAnsi="宋体" w:eastAsia="宋体" w:cs="宋体"/>
              </w:rPr>
            </w:pPr>
            <w:r>
              <w:rPr>
                <w:rFonts w:hint="eastAsia" w:ascii="宋体" w:hAnsi="宋体" w:eastAsia="宋体" w:cs="宋体"/>
              </w:rPr>
              <w:t>1</w:t>
            </w:r>
          </w:p>
        </w:tc>
        <w:tc>
          <w:tcPr>
            <w:tcW w:w="732" w:type="pct"/>
            <w:vAlign w:val="center"/>
          </w:tcPr>
          <w:p>
            <w:pPr>
              <w:pStyle w:val="87"/>
              <w:rPr>
                <w:rFonts w:hint="eastAsia" w:ascii="宋体" w:hAnsi="宋体" w:eastAsia="宋体" w:cs="宋体"/>
              </w:rPr>
            </w:pPr>
            <w:r>
              <w:rPr>
                <w:rFonts w:hint="eastAsia" w:ascii="宋体" w:hAnsi="宋体" w:eastAsia="宋体" w:cs="宋体"/>
                <w:color w:val="000000"/>
                <w:sz w:val="24"/>
                <w:szCs w:val="24"/>
                <w:lang w:eastAsia="zh-CN"/>
              </w:rPr>
              <w:t>新能源产品试验检测中心</w:t>
            </w:r>
            <w:r>
              <w:rPr>
                <w:rFonts w:hint="eastAsia" w:ascii="宋体" w:hAnsi="宋体" w:eastAsia="宋体" w:cs="宋体"/>
                <w:color w:val="000000"/>
                <w:sz w:val="24"/>
                <w:szCs w:val="24"/>
                <w:lang w:val="en-US" w:eastAsia="zh-CN"/>
              </w:rPr>
              <w:t>试验</w:t>
            </w:r>
            <w:r>
              <w:rPr>
                <w:rFonts w:hint="eastAsia" w:ascii="宋体" w:hAnsi="宋体" w:eastAsia="宋体" w:cs="宋体"/>
                <w:color w:val="000000"/>
                <w:sz w:val="24"/>
                <w:szCs w:val="24"/>
                <w:lang w:eastAsia="zh-CN"/>
              </w:rPr>
              <w:t>家具采购项目</w:t>
            </w:r>
          </w:p>
        </w:tc>
        <w:tc>
          <w:tcPr>
            <w:tcW w:w="611" w:type="pct"/>
            <w:vAlign w:val="center"/>
          </w:tcPr>
          <w:p>
            <w:pPr>
              <w:pStyle w:val="87"/>
              <w:rPr>
                <w:rFonts w:hint="eastAsia" w:ascii="宋体" w:hAnsi="宋体" w:eastAsia="宋体" w:cs="宋体"/>
              </w:rPr>
            </w:pPr>
          </w:p>
        </w:tc>
        <w:tc>
          <w:tcPr>
            <w:tcW w:w="646" w:type="pct"/>
            <w:vAlign w:val="center"/>
          </w:tcPr>
          <w:p>
            <w:pPr>
              <w:pStyle w:val="87"/>
              <w:rPr>
                <w:rFonts w:hint="eastAsia" w:ascii="宋体" w:hAnsi="宋体" w:eastAsia="宋体" w:cs="宋体"/>
              </w:rPr>
            </w:pPr>
          </w:p>
        </w:tc>
        <w:tc>
          <w:tcPr>
            <w:tcW w:w="438" w:type="pct"/>
            <w:vAlign w:val="center"/>
          </w:tcPr>
          <w:p>
            <w:pPr>
              <w:pStyle w:val="87"/>
              <w:rPr>
                <w:rFonts w:hint="eastAsia" w:ascii="宋体" w:hAnsi="宋体" w:eastAsia="宋体" w:cs="宋体"/>
              </w:rPr>
            </w:pPr>
          </w:p>
        </w:tc>
        <w:tc>
          <w:tcPr>
            <w:tcW w:w="577" w:type="pct"/>
            <w:vAlign w:val="center"/>
          </w:tcPr>
          <w:p>
            <w:pPr>
              <w:pStyle w:val="87"/>
              <w:rPr>
                <w:rFonts w:hint="eastAsia" w:ascii="宋体" w:hAnsi="宋体" w:eastAsia="宋体" w:cs="宋体"/>
              </w:rPr>
            </w:pPr>
          </w:p>
        </w:tc>
        <w:tc>
          <w:tcPr>
            <w:tcW w:w="894" w:type="pct"/>
            <w:vAlign w:val="center"/>
          </w:tcPr>
          <w:p>
            <w:pPr>
              <w:pStyle w:val="87"/>
              <w:rPr>
                <w:rFonts w:hint="eastAsia" w:ascii="宋体" w:hAnsi="宋体" w:eastAsia="宋体" w:cs="宋体"/>
              </w:rPr>
            </w:pPr>
          </w:p>
        </w:tc>
        <w:tc>
          <w:tcPr>
            <w:tcW w:w="802" w:type="pct"/>
            <w:vAlign w:val="center"/>
          </w:tcPr>
          <w:p>
            <w:pPr>
              <w:pStyle w:val="87"/>
              <w:rPr>
                <w:rFonts w:hint="eastAsia" w:ascii="宋体" w:hAnsi="宋体" w:eastAsia="宋体" w:cs="宋体"/>
              </w:rPr>
            </w:pPr>
          </w:p>
        </w:tc>
      </w:tr>
    </w:tbl>
    <w:p>
      <w:pPr>
        <w:pStyle w:val="83"/>
        <w:ind w:left="0" w:leftChars="0" w:firstLine="0" w:firstLineChars="0"/>
        <w:rPr>
          <w:rFonts w:hint="eastAsia" w:ascii="宋体" w:hAnsi="宋体" w:eastAsia="宋体" w:cs="宋体"/>
          <w:b/>
          <w:bCs/>
          <w:szCs w:val="21"/>
        </w:rPr>
      </w:pPr>
    </w:p>
    <w:p>
      <w:pPr>
        <w:pStyle w:val="83"/>
        <w:ind w:left="0" w:leftChars="0" w:firstLine="0" w:firstLineChars="0"/>
        <w:rPr>
          <w:rFonts w:hint="eastAsia" w:ascii="宋体" w:hAnsi="宋体" w:eastAsia="宋体" w:cs="宋体"/>
          <w:b/>
          <w:bCs/>
          <w:szCs w:val="21"/>
        </w:rPr>
      </w:pPr>
    </w:p>
    <w:p>
      <w:pPr>
        <w:pStyle w:val="83"/>
        <w:ind w:left="0" w:leftChars="0" w:firstLine="0" w:firstLineChars="0"/>
        <w:rPr>
          <w:rFonts w:hint="eastAsia" w:ascii="宋体" w:hAnsi="宋体" w:eastAsia="宋体" w:cs="宋体"/>
          <w:b/>
          <w:bCs/>
          <w:szCs w:val="21"/>
        </w:rPr>
      </w:pPr>
    </w:p>
    <w:p>
      <w:pPr>
        <w:pStyle w:val="83"/>
        <w:ind w:left="0" w:leftChars="0" w:firstLine="0" w:firstLineChars="0"/>
        <w:rPr>
          <w:rFonts w:hint="eastAsia" w:ascii="宋体" w:hAnsi="宋体" w:eastAsia="宋体" w:cs="宋体"/>
          <w:b/>
          <w:bCs/>
          <w:szCs w:val="21"/>
        </w:rPr>
      </w:pPr>
    </w:p>
    <w:p>
      <w:pPr>
        <w:pStyle w:val="83"/>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9"/>
        <w:ind w:firstLine="480"/>
        <w:rPr>
          <w:rFonts w:hint="eastAsia" w:ascii="宋体" w:hAnsi="宋体" w:eastAsia="宋体" w:cs="宋体"/>
          <w:highlight w:val="yellow"/>
        </w:rPr>
      </w:pPr>
      <w:bookmarkStart w:id="10" w:name="_Toc639008"/>
      <w:bookmarkStart w:id="11" w:name="_Toc353881017"/>
      <w:bookmarkStart w:id="12" w:name="_Toc26556"/>
      <w:r>
        <w:rPr>
          <w:rFonts w:hint="eastAsia" w:ascii="宋体" w:hAnsi="宋体" w:eastAsia="宋体" w:cs="宋体"/>
          <w:highlight w:val="yellow"/>
        </w:rPr>
        <w:t>附件</w:t>
      </w:r>
      <w:r>
        <w:rPr>
          <w:rFonts w:hint="eastAsia" w:ascii="宋体" w:hAnsi="宋体" w:eastAsia="宋体" w:cs="宋体"/>
          <w:highlight w:val="yellow"/>
          <w:lang w:val="en-US" w:eastAsia="zh-CN"/>
        </w:rPr>
        <w:t>8</w:t>
      </w:r>
      <w:r>
        <w:rPr>
          <w:rFonts w:hint="eastAsia" w:ascii="宋体" w:hAnsi="宋体" w:eastAsia="宋体" w:cs="宋体"/>
          <w:highlight w:val="yellow"/>
        </w:rPr>
        <w:t xml:space="preserve"> 投标报价明细表</w:t>
      </w:r>
      <w:bookmarkEnd w:id="10"/>
      <w:bookmarkEnd w:id="11"/>
      <w:bookmarkEnd w:id="12"/>
    </w:p>
    <w:p>
      <w:pPr>
        <w:pStyle w:val="83"/>
        <w:ind w:firstLine="480"/>
        <w:rPr>
          <w:rFonts w:hint="eastAsia" w:ascii="宋体" w:hAnsi="宋体" w:eastAsia="宋体" w:cs="宋体"/>
          <w:highlight w:val="yellow"/>
          <w:lang w:eastAsia="zh-CN"/>
        </w:rPr>
      </w:pPr>
      <w:r>
        <w:rPr>
          <w:rFonts w:hint="eastAsia" w:ascii="宋体" w:hAnsi="宋体" w:eastAsia="宋体" w:cs="宋体"/>
          <w:highlight w:val="yellow"/>
        </w:rPr>
        <w:t>项目名称：</w:t>
      </w:r>
      <w:r>
        <w:rPr>
          <w:rFonts w:hint="eastAsia" w:eastAsia="宋体" w:cs="宋体"/>
          <w:highlight w:val="yellow"/>
          <w:lang w:eastAsia="zh-CN"/>
        </w:rPr>
        <w:t>新能源产品试验检测中心试验家具采购项目</w:t>
      </w:r>
    </w:p>
    <w:tbl>
      <w:tblPr>
        <w:tblStyle w:val="37"/>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2124"/>
        <w:gridCol w:w="2043"/>
        <w:gridCol w:w="764"/>
        <w:gridCol w:w="1118"/>
        <w:gridCol w:w="1027"/>
        <w:gridCol w:w="1038"/>
        <w:gridCol w:w="5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规格（mm）</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计划采购</w:t>
            </w:r>
            <w:r>
              <w:rPr>
                <w:rFonts w:hint="eastAsia" w:ascii="宋体" w:hAnsi="宋体" w:eastAsia="宋体" w:cs="宋体"/>
                <w:b/>
                <w:bCs/>
                <w:i w:val="0"/>
                <w:iCs w:val="0"/>
                <w:color w:val="000000"/>
                <w:kern w:val="0"/>
                <w:sz w:val="22"/>
                <w:szCs w:val="22"/>
                <w:u w:val="none"/>
                <w:lang w:val="en-US" w:eastAsia="zh-CN" w:bidi="ar"/>
              </w:rPr>
              <w:t>数量</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未税单价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含税单价</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通风橱</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2000✕1000✕2350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PP药品柜</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900✕450✕1800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PP通风药品柜</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900✕450✕1800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不锈钢小推车</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800✕450✕900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PP万向排气罩</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原子吸收罩</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1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紧急沐浴洗眼器</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KC4不锈钢</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带吊柜全钢结构边台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带吊柜全钢结构边台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带吊柜全钢结构边台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带水柜全钢结构边台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1500✕750✕850（总长）</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带水柜全钢结构边台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1800✕750✕850（总长）</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2000✕600✕850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24</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2500✕1000✕850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25</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2800✕1000✕850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26</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全钢结构边台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4200✕1000✕850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27</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口字型钢工作台（放电脑用）</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28</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口字型钢工作台（放电脑用）</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29</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全钢结构中央台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1000✕1500✕850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30</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全钢结构中央台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2500✕1500✕850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31</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全钢天平台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900✕600✕850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32</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全钢高温台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1000✕800✕600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33</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全钢水柜</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1000✕750✕850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34</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移动岛台式工作台</w:t>
            </w:r>
          </w:p>
        </w:tc>
        <w:tc>
          <w:tcPr>
            <w:tcW w:w="11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1200✕600✕750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56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bl>
    <w:p>
      <w:pPr>
        <w:pStyle w:val="83"/>
        <w:ind w:left="0" w:leftChars="0" w:firstLine="0" w:firstLineChars="0"/>
        <w:rPr>
          <w:rFonts w:hint="eastAsia" w:ascii="宋体" w:hAnsi="宋体" w:eastAsia="宋体" w:cs="宋体"/>
          <w:b/>
        </w:rPr>
      </w:pPr>
    </w:p>
    <w:p>
      <w:pPr>
        <w:pStyle w:val="83"/>
        <w:ind w:left="0" w:leftChars="0" w:firstLine="0" w:firstLineChars="0"/>
        <w:rPr>
          <w:rFonts w:hint="eastAsia" w:ascii="宋体" w:hAnsi="宋体" w:eastAsia="宋体" w:cs="宋体"/>
          <w:b/>
        </w:rPr>
      </w:pPr>
    </w:p>
    <w:p>
      <w:pPr>
        <w:pStyle w:val="83"/>
        <w:ind w:firstLine="480"/>
        <w:rPr>
          <w:rFonts w:hint="eastAsia" w:ascii="宋体" w:hAnsi="宋体" w:eastAsia="宋体" w:cs="宋体"/>
          <w:b/>
        </w:rPr>
      </w:pPr>
      <w:r>
        <w:rPr>
          <w:rFonts w:hint="eastAsia" w:ascii="宋体" w:hAnsi="宋体" w:eastAsia="宋体" w:cs="宋体"/>
          <w:b/>
        </w:rPr>
        <w:t>注：</w:t>
      </w:r>
    </w:p>
    <w:p>
      <w:pPr>
        <w:pStyle w:val="83"/>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83"/>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83"/>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7"/>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rPr>
              <w:t>是否偏离</w:t>
            </w:r>
          </w:p>
          <w:p>
            <w:pPr>
              <w:pStyle w:val="87"/>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7"/>
              <w:jc w:val="left"/>
              <w:rPr>
                <w:rFonts w:hint="default" w:ascii="宋体" w:hAnsi="宋体" w:eastAsia="宋体" w:cs="宋体"/>
                <w:szCs w:val="21"/>
                <w:lang w:val="en-US" w:eastAsia="zh-CN"/>
              </w:rPr>
            </w:pPr>
            <w:r>
              <w:rPr>
                <w:rFonts w:hint="eastAsia" w:ascii="宋体" w:hAnsi="宋体" w:eastAsia="宋体" w:cs="宋体"/>
                <w:szCs w:val="21"/>
                <w:lang w:val="en-US" w:eastAsia="zh-CN"/>
              </w:rPr>
              <w:t>货物</w:t>
            </w:r>
            <w:r>
              <w:rPr>
                <w:rFonts w:hint="eastAsia" w:ascii="宋体" w:hAnsi="宋体" w:eastAsia="宋体" w:cs="宋体"/>
                <w:szCs w:val="21"/>
              </w:rPr>
              <w:t>到齐</w:t>
            </w:r>
            <w:r>
              <w:rPr>
                <w:rFonts w:hint="eastAsia" w:ascii="宋体" w:hAnsi="宋体" w:eastAsia="宋体" w:cs="宋体"/>
                <w:szCs w:val="21"/>
                <w:lang w:val="en-US" w:eastAsia="zh-CN"/>
              </w:rPr>
              <w:t>后</w:t>
            </w:r>
            <w:r>
              <w:rPr>
                <w:rFonts w:hint="eastAsia" w:ascii="宋体" w:hAnsi="宋体" w:eastAsia="宋体" w:cs="宋体"/>
                <w:szCs w:val="21"/>
              </w:rPr>
              <w:t>，经现场安装调试验收合格交付使用后，投标方提交金额为结算额90%的发票，经招标方依照财务制度审核无误后支付，结算额的10%作为质保金，待质保期结束后无息支付</w:t>
            </w:r>
            <w:r>
              <w:rPr>
                <w:rFonts w:hint="eastAsia" w:ascii="宋体" w:hAnsi="宋体" w:eastAsia="宋体" w:cs="宋体"/>
                <w:szCs w:val="21"/>
                <w:lang w:eastAsia="zh-CN"/>
              </w:rPr>
              <w:t>，</w:t>
            </w:r>
            <w:r>
              <w:rPr>
                <w:rFonts w:hint="eastAsia" w:ascii="宋体" w:hAnsi="宋体" w:eastAsia="宋体" w:cs="宋体"/>
                <w:szCs w:val="21"/>
                <w:lang w:val="en-US" w:eastAsia="zh-CN"/>
              </w:rPr>
              <w:t>付款比例90%/10%</w:t>
            </w:r>
          </w:p>
        </w:tc>
        <w:tc>
          <w:tcPr>
            <w:tcW w:w="1593" w:type="pct"/>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19"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lang w:val="en-US" w:eastAsia="zh-CN"/>
              </w:rPr>
              <w:t>供货</w:t>
            </w:r>
            <w:r>
              <w:rPr>
                <w:rFonts w:hint="eastAsia" w:ascii="宋体" w:hAnsi="宋体" w:eastAsia="宋体" w:cs="宋体"/>
              </w:rPr>
              <w:t>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7"/>
              <w:jc w:val="left"/>
              <w:rPr>
                <w:rFonts w:hint="eastAsia" w:ascii="宋体" w:hAnsi="宋体" w:eastAsia="宋体" w:cs="宋体"/>
                <w:szCs w:val="21"/>
              </w:rPr>
            </w:pPr>
            <w:r>
              <w:rPr>
                <w:rFonts w:hint="eastAsia" w:ascii="宋体" w:hAnsi="宋体" w:eastAsia="宋体" w:cs="宋体"/>
                <w:szCs w:val="21"/>
              </w:rPr>
              <w:t>1.自合同签订生效之日后，合同期内接甲方通知后40个日历日内供货到指定地点。</w:t>
            </w:r>
          </w:p>
          <w:p>
            <w:pPr>
              <w:pStyle w:val="87"/>
              <w:jc w:val="left"/>
              <w:rPr>
                <w:rFonts w:hint="eastAsia" w:ascii="宋体" w:hAnsi="宋体" w:eastAsia="宋体" w:cs="宋体"/>
                <w:szCs w:val="21"/>
              </w:rPr>
            </w:pPr>
            <w:r>
              <w:rPr>
                <w:rFonts w:hint="eastAsia" w:ascii="宋体" w:hAnsi="宋体" w:eastAsia="宋体" w:cs="宋体"/>
                <w:szCs w:val="21"/>
              </w:rPr>
              <w:t>2.接续15个日历日之内安装调试完毕。</w:t>
            </w:r>
          </w:p>
          <w:p>
            <w:pPr>
              <w:pStyle w:val="87"/>
              <w:jc w:val="left"/>
              <w:rPr>
                <w:rFonts w:hint="eastAsia" w:ascii="宋体" w:hAnsi="宋体" w:eastAsia="宋体" w:cs="宋体"/>
                <w:szCs w:val="21"/>
              </w:rPr>
            </w:pPr>
            <w:r>
              <w:rPr>
                <w:rFonts w:hint="eastAsia" w:ascii="宋体" w:hAnsi="宋体" w:eastAsia="宋体" w:cs="宋体"/>
                <w:szCs w:val="21"/>
              </w:rPr>
              <w:t>3.终验收在</w:t>
            </w:r>
            <w:r>
              <w:rPr>
                <w:rFonts w:hint="eastAsia" w:ascii="宋体" w:hAnsi="宋体" w:eastAsia="宋体" w:cs="宋体"/>
                <w:szCs w:val="21"/>
                <w:lang w:val="en-US" w:eastAsia="zh-CN"/>
              </w:rPr>
              <w:t>30</w:t>
            </w:r>
            <w:r>
              <w:rPr>
                <w:rFonts w:hint="eastAsia" w:ascii="宋体" w:hAnsi="宋体" w:eastAsia="宋体" w:cs="宋体"/>
                <w:szCs w:val="21"/>
              </w:rPr>
              <w:t>个日历日之内完成。</w:t>
            </w:r>
          </w:p>
          <w:p>
            <w:pPr>
              <w:pStyle w:val="87"/>
              <w:jc w:val="left"/>
              <w:rPr>
                <w:rFonts w:hint="eastAsia" w:ascii="宋体" w:hAnsi="宋体" w:eastAsia="宋体" w:cs="宋体"/>
                <w:szCs w:val="21"/>
                <w:lang w:eastAsia="zh-CN"/>
              </w:rPr>
            </w:pPr>
            <w:r>
              <w:rPr>
                <w:rFonts w:hint="eastAsia" w:ascii="宋体" w:hAnsi="宋体" w:eastAsia="宋体" w:cs="宋体"/>
                <w:szCs w:val="21"/>
              </w:rPr>
              <w:t>4.本次采购项目多批次供货</w:t>
            </w:r>
            <w:r>
              <w:rPr>
                <w:rFonts w:hint="eastAsia" w:ascii="宋体" w:hAnsi="宋体" w:eastAsia="宋体" w:cs="宋体"/>
                <w:szCs w:val="21"/>
                <w:lang w:eastAsia="zh-CN"/>
              </w:rPr>
              <w:t>。</w:t>
            </w:r>
          </w:p>
        </w:tc>
        <w:tc>
          <w:tcPr>
            <w:tcW w:w="1593"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rPr>
            </w:pPr>
          </w:p>
        </w:tc>
      </w:tr>
    </w:tbl>
    <w:p>
      <w:pPr>
        <w:pStyle w:val="83"/>
        <w:ind w:firstLine="480"/>
        <w:rPr>
          <w:rFonts w:hint="eastAsia" w:ascii="宋体" w:hAnsi="宋体" w:eastAsia="宋体" w:cs="宋体"/>
        </w:rPr>
      </w:pPr>
      <w:r>
        <w:rPr>
          <w:rFonts w:hint="eastAsia" w:ascii="宋体" w:hAnsi="宋体" w:eastAsia="宋体" w:cs="宋体"/>
        </w:rPr>
        <w:t>投标人名称：                   授权代表签字：            日期：</w:t>
      </w:r>
    </w:p>
    <w:p>
      <w:pPr>
        <w:pStyle w:val="83"/>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83"/>
        <w:ind w:firstLine="480"/>
        <w:rPr>
          <w:rFonts w:hint="eastAsia" w:ascii="宋体" w:hAnsi="宋体" w:eastAsia="宋体" w:cs="宋体"/>
        </w:rPr>
      </w:pPr>
      <w:r>
        <w:rPr>
          <w:rFonts w:hint="eastAsia" w:ascii="宋体" w:hAnsi="宋体" w:eastAsia="宋体" w:cs="宋体"/>
        </w:rPr>
        <w:t>投标人：（盖章）</w:t>
      </w:r>
    </w:p>
    <w:p>
      <w:pPr>
        <w:pStyle w:val="83"/>
        <w:ind w:firstLine="480"/>
        <w:rPr>
          <w:rFonts w:hint="eastAsia" w:ascii="宋体" w:hAnsi="宋体" w:eastAsia="宋体" w:cs="宋体"/>
        </w:rPr>
      </w:pPr>
      <w:r>
        <w:rPr>
          <w:rFonts w:hint="eastAsia" w:ascii="宋体" w:hAnsi="宋体" w:eastAsia="宋体" w:cs="宋体"/>
        </w:rPr>
        <w:t>法定代表人（委托代理人）：（签字）</w:t>
      </w:r>
    </w:p>
    <w:p>
      <w:pPr>
        <w:pStyle w:val="83"/>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9"/>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83"/>
        <w:ind w:firstLine="480"/>
        <w:rPr>
          <w:rFonts w:hint="eastAsia" w:ascii="宋体" w:hAnsi="宋体" w:eastAsia="宋体" w:cs="宋体"/>
        </w:rPr>
      </w:pPr>
      <w:r>
        <w:rPr>
          <w:rFonts w:hint="eastAsia" w:ascii="宋体" w:hAnsi="宋体" w:eastAsia="宋体" w:cs="宋体"/>
        </w:rPr>
        <w:t>封面格式：</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7"/>
              <w:rPr>
                <w:rFonts w:hint="eastAsia" w:ascii="宋体" w:hAnsi="宋体" w:eastAsia="宋体" w:cs="宋体"/>
              </w:rPr>
            </w:pPr>
          </w:p>
          <w:p>
            <w:pPr>
              <w:pStyle w:val="87"/>
              <w:rPr>
                <w:rFonts w:hint="eastAsia" w:ascii="宋体" w:hAnsi="宋体" w:eastAsia="宋体" w:cs="宋体"/>
                <w:sz w:val="30"/>
                <w:szCs w:val="30"/>
              </w:rPr>
            </w:pPr>
            <w:r>
              <w:rPr>
                <w:rFonts w:hint="eastAsia" w:ascii="宋体" w:hAnsi="宋体" w:eastAsia="宋体" w:cs="宋体"/>
                <w:sz w:val="30"/>
                <w:szCs w:val="30"/>
              </w:rPr>
              <w:t>投标文件</w:t>
            </w:r>
          </w:p>
          <w:p>
            <w:pPr>
              <w:pStyle w:val="87"/>
              <w:jc w:val="both"/>
              <w:rPr>
                <w:rFonts w:hint="eastAsia" w:ascii="宋体" w:hAnsi="宋体" w:eastAsia="宋体" w:cs="宋体"/>
                <w:sz w:val="30"/>
                <w:szCs w:val="30"/>
              </w:rPr>
            </w:pPr>
          </w:p>
          <w:p>
            <w:pPr>
              <w:pStyle w:val="87"/>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7"/>
              <w:rPr>
                <w:rFonts w:hint="eastAsia" w:ascii="宋体" w:hAnsi="宋体" w:eastAsia="宋体" w:cs="宋体"/>
              </w:rPr>
            </w:pPr>
          </w:p>
          <w:p>
            <w:pPr>
              <w:pStyle w:val="87"/>
              <w:rPr>
                <w:rFonts w:hint="eastAsia" w:ascii="宋体" w:hAnsi="宋体" w:eastAsia="宋体" w:cs="宋体"/>
              </w:rPr>
            </w:pPr>
          </w:p>
          <w:p>
            <w:pPr>
              <w:pStyle w:val="87"/>
              <w:rPr>
                <w:rFonts w:hint="eastAsia" w:ascii="宋体" w:hAnsi="宋体" w:eastAsia="宋体" w:cs="宋体"/>
              </w:rPr>
            </w:pPr>
            <w:r>
              <w:rPr>
                <w:rFonts w:hint="eastAsia" w:ascii="宋体" w:hAnsi="宋体" w:eastAsia="宋体" w:cs="宋体"/>
              </w:rPr>
              <w:t>项目名称：</w:t>
            </w:r>
          </w:p>
          <w:p>
            <w:pPr>
              <w:pStyle w:val="87"/>
              <w:rPr>
                <w:rFonts w:hint="eastAsia" w:ascii="宋体" w:hAnsi="宋体" w:eastAsia="宋体" w:cs="宋体"/>
              </w:rPr>
            </w:pPr>
            <w:r>
              <w:rPr>
                <w:rFonts w:hint="eastAsia" w:ascii="宋体" w:hAnsi="宋体" w:eastAsia="宋体" w:cs="宋体"/>
              </w:rPr>
              <w:t>投标人名称（公章）：</w:t>
            </w:r>
          </w:p>
          <w:p>
            <w:pPr>
              <w:pStyle w:val="87"/>
              <w:rPr>
                <w:rFonts w:hint="eastAsia" w:ascii="宋体" w:hAnsi="宋体" w:eastAsia="宋体" w:cs="宋体"/>
              </w:rPr>
            </w:pPr>
            <w:r>
              <w:rPr>
                <w:rFonts w:hint="eastAsia" w:ascii="宋体" w:hAnsi="宋体" w:eastAsia="宋体" w:cs="宋体"/>
              </w:rPr>
              <w:t>地址：</w:t>
            </w:r>
          </w:p>
          <w:p>
            <w:pPr>
              <w:pStyle w:val="87"/>
              <w:rPr>
                <w:rFonts w:hint="eastAsia" w:ascii="宋体" w:hAnsi="宋体" w:eastAsia="宋体" w:cs="宋体"/>
              </w:rPr>
            </w:pPr>
            <w:r>
              <w:rPr>
                <w:rFonts w:hint="eastAsia" w:ascii="宋体" w:hAnsi="宋体" w:eastAsia="宋体" w:cs="宋体"/>
              </w:rPr>
              <w:t>授权代表电话：</w:t>
            </w:r>
          </w:p>
          <w:p>
            <w:pPr>
              <w:pStyle w:val="87"/>
              <w:rPr>
                <w:rFonts w:hint="eastAsia" w:ascii="宋体" w:hAnsi="宋体" w:eastAsia="宋体" w:cs="宋体"/>
              </w:rPr>
            </w:pPr>
            <w:r>
              <w:rPr>
                <w:rFonts w:hint="eastAsia" w:ascii="宋体" w:hAnsi="宋体" w:eastAsia="宋体" w:cs="宋体"/>
              </w:rPr>
              <w:t>传真：</w:t>
            </w:r>
          </w:p>
          <w:p>
            <w:pPr>
              <w:pStyle w:val="87"/>
              <w:rPr>
                <w:rFonts w:hint="eastAsia" w:ascii="宋体" w:hAnsi="宋体" w:eastAsia="宋体" w:cs="宋体"/>
              </w:rPr>
            </w:pPr>
          </w:p>
          <w:p>
            <w:pPr>
              <w:pStyle w:val="87"/>
              <w:rPr>
                <w:rFonts w:hint="eastAsia" w:ascii="宋体" w:hAnsi="宋体" w:eastAsia="宋体" w:cs="宋体"/>
              </w:rPr>
            </w:pPr>
          </w:p>
        </w:tc>
      </w:tr>
    </w:tbl>
    <w:p>
      <w:pPr>
        <w:pStyle w:val="83"/>
        <w:ind w:firstLine="480"/>
        <w:rPr>
          <w:rFonts w:hint="eastAsia" w:ascii="宋体" w:hAnsi="宋体" w:eastAsia="宋体" w:cs="宋体"/>
        </w:rPr>
      </w:pPr>
      <w:r>
        <w:rPr>
          <w:rFonts w:hint="eastAsia" w:ascii="宋体" w:hAnsi="宋体" w:eastAsia="宋体" w:cs="宋体"/>
        </w:rPr>
        <w:t>投标人名称：                   授权代表签字：                  日期</w:t>
      </w:r>
    </w:p>
    <w:p>
      <w:pPr>
        <w:pStyle w:val="63"/>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7"/>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7"/>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7"/>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7"/>
        <w:numPr>
          <w:ilvl w:val="0"/>
          <w:numId w:val="8"/>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7"/>
        <w:widowControl w:val="0"/>
        <w:numPr>
          <w:ilvl w:val="0"/>
          <w:numId w:val="8"/>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7"/>
        <w:widowControl w:val="0"/>
        <w:numPr>
          <w:ilvl w:val="0"/>
          <w:numId w:val="8"/>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供货类别请选择：办公设施。</w:t>
      </w:r>
    </w:p>
    <w:p>
      <w:pPr>
        <w:pStyle w:val="17"/>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17"/>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p>
    <w:p>
      <w:pPr>
        <w:pStyle w:val="17"/>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43"/>
          <w:rFonts w:hint="eastAsia" w:ascii="宋体" w:hAnsi="宋体" w:eastAsia="宋体" w:cs="宋体"/>
          <w:sz w:val="24"/>
          <w:szCs w:val="24"/>
        </w:rPr>
        <w:t>http</w:t>
      </w:r>
      <w:r>
        <w:rPr>
          <w:rStyle w:val="43"/>
          <w:rFonts w:hint="eastAsia" w:ascii="宋体" w:hAnsi="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w:t>
      </w:r>
      <w:r>
        <w:rPr>
          <w:rFonts w:hint="eastAsia" w:ascii="宋体" w:hAnsi="宋体" w:eastAsia="宋体" w:cs="宋体"/>
          <w:szCs w:val="24"/>
          <w:lang w:val="en-US" w:eastAsia="zh-CN"/>
        </w:rPr>
        <w:t>分</w:t>
      </w:r>
      <w:r>
        <w:rPr>
          <w:rFonts w:hint="eastAsia" w:ascii="宋体" w:hAnsi="宋体" w:eastAsia="宋体" w:cs="宋体"/>
          <w:szCs w:val="24"/>
        </w:rPr>
        <w:t>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highlight w:val="yellow"/>
        </w:rPr>
      </w:pPr>
    </w:p>
    <w:tbl>
      <w:tblPr>
        <w:tblStyle w:val="37"/>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评价类型</w:t>
            </w:r>
          </w:p>
        </w:tc>
        <w:tc>
          <w:tcPr>
            <w:tcW w:w="574"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序号</w:t>
            </w:r>
          </w:p>
        </w:tc>
        <w:tc>
          <w:tcPr>
            <w:tcW w:w="1500"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内   容</w:t>
            </w:r>
          </w:p>
        </w:tc>
        <w:tc>
          <w:tcPr>
            <w:tcW w:w="87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标准分</w:t>
            </w:r>
          </w:p>
        </w:tc>
        <w:tc>
          <w:tcPr>
            <w:tcW w:w="560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825" w:type="dxa"/>
            <w:vMerge w:val="restart"/>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技术</w:t>
            </w:r>
          </w:p>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100分</w:t>
            </w:r>
          </w:p>
        </w:tc>
        <w:tc>
          <w:tcPr>
            <w:tcW w:w="574"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500" w:type="dxa"/>
            <w:vAlign w:val="center"/>
          </w:tcPr>
          <w:p>
            <w:pPr>
              <w:widowControl/>
              <w:shd w:val="clear" w:color="auto" w:fill="FFFFFF"/>
              <w:spacing w:line="300" w:lineRule="exact"/>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rPr>
              <w:t>项目实施整体思路</w:t>
            </w:r>
          </w:p>
        </w:tc>
        <w:tc>
          <w:tcPr>
            <w:tcW w:w="87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20</w:t>
            </w:r>
          </w:p>
        </w:tc>
        <w:tc>
          <w:tcPr>
            <w:tcW w:w="5605" w:type="dxa"/>
            <w:vAlign w:val="center"/>
          </w:tcPr>
          <w:p>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lang w:eastAsia="zh-CN"/>
              </w:rPr>
            </w:pPr>
            <w:r>
              <w:rPr>
                <w:rFonts w:hint="eastAsia" w:ascii="仿宋_GB2312" w:hAnsi="仿宋_GB2312" w:eastAsia="仿宋_GB2312" w:cs="仿宋_GB2312"/>
              </w:rPr>
              <w:t>对项目的总体实施思路进行阐述，详细阐述项目建设目标、实现思路和关键</w:t>
            </w:r>
            <w:r>
              <w:rPr>
                <w:rFonts w:hint="eastAsia" w:ascii="仿宋_GB2312" w:hAnsi="仿宋_GB2312" w:eastAsia="仿宋_GB2312" w:cs="仿宋_GB2312"/>
                <w:lang w:val="en-US" w:eastAsia="zh-CN"/>
              </w:rPr>
              <w:t>内容</w:t>
            </w:r>
            <w:r>
              <w:rPr>
                <w:rFonts w:hint="eastAsia" w:ascii="仿宋_GB2312" w:hAnsi="仿宋_GB2312" w:eastAsia="仿宋_GB2312" w:cs="仿宋_GB2312"/>
              </w:rPr>
              <w:t>的理解。为保证项目完成，对本项目的认识，</w:t>
            </w:r>
            <w:r>
              <w:rPr>
                <w:rFonts w:hint="eastAsia" w:ascii="仿宋_GB2312" w:hAnsi="仿宋_GB2312" w:eastAsia="仿宋_GB2312" w:cs="仿宋_GB2312"/>
                <w:lang w:eastAsia="zh-CN"/>
              </w:rPr>
              <w:t>从</w:t>
            </w:r>
            <w:r>
              <w:rPr>
                <w:rFonts w:hint="eastAsia" w:ascii="仿宋_GB2312" w:hAnsi="仿宋_GB2312" w:eastAsia="仿宋_GB2312" w:cs="仿宋_GB2312"/>
                <w:lang w:val="en-US" w:eastAsia="zh-CN"/>
              </w:rPr>
              <w:t>采购</w:t>
            </w:r>
            <w:r>
              <w:rPr>
                <w:rFonts w:hint="eastAsia" w:ascii="仿宋_GB2312" w:hAnsi="仿宋_GB2312" w:eastAsia="仿宋_GB2312" w:cs="仿宋_GB2312"/>
              </w:rPr>
              <w:t>、</w:t>
            </w:r>
            <w:r>
              <w:rPr>
                <w:rFonts w:hint="eastAsia" w:ascii="仿宋_GB2312" w:hAnsi="仿宋_GB2312" w:eastAsia="仿宋_GB2312" w:cs="仿宋_GB2312"/>
                <w:lang w:eastAsia="zh-CN"/>
              </w:rPr>
              <w:t>供货</w:t>
            </w:r>
            <w:r>
              <w:rPr>
                <w:rFonts w:hint="eastAsia" w:ascii="仿宋_GB2312" w:hAnsi="仿宋_GB2312" w:eastAsia="仿宋_GB2312" w:cs="仿宋_GB2312"/>
              </w:rPr>
              <w:t>、安装、调试、验收的实施方案</w:t>
            </w:r>
            <w:r>
              <w:rPr>
                <w:rFonts w:hint="eastAsia" w:ascii="仿宋_GB2312" w:hAnsi="仿宋_GB2312" w:eastAsia="仿宋_GB2312" w:cs="仿宋_GB2312"/>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优秀得15-20分；</w:t>
            </w:r>
          </w:p>
          <w:p>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符合得10-15分；</w:t>
            </w:r>
          </w:p>
          <w:p>
            <w:pPr>
              <w:pStyle w:val="36"/>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kern w:val="2"/>
                <w:sz w:val="21"/>
                <w:szCs w:val="20"/>
                <w:lang w:val="en-US" w:eastAsia="zh-CN" w:bidi="ar-SA"/>
              </w:rPr>
              <w:t>基本满足得0-10分。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500" w:type="dxa"/>
            <w:vAlign w:val="center"/>
          </w:tcPr>
          <w:p>
            <w:pPr>
              <w:widowControl/>
              <w:shd w:val="clear" w:color="auto" w:fill="FFFFFF"/>
              <w:spacing w:line="300" w:lineRule="exact"/>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lang w:val="en-US" w:eastAsia="zh-CN"/>
              </w:rPr>
              <w:t>投标</w:t>
            </w:r>
            <w:r>
              <w:rPr>
                <w:rFonts w:hint="eastAsia" w:ascii="仿宋_GB2312" w:hAnsi="仿宋_GB2312" w:eastAsia="仿宋_GB2312" w:cs="仿宋_GB2312"/>
              </w:rPr>
              <w:t>方案</w:t>
            </w:r>
            <w:r>
              <w:rPr>
                <w:rFonts w:hint="eastAsia" w:ascii="仿宋_GB2312" w:hAnsi="仿宋_GB2312" w:eastAsia="仿宋_GB2312" w:cs="仿宋_GB2312"/>
                <w:lang w:val="en-US" w:eastAsia="zh-CN"/>
              </w:rPr>
              <w:t>吻合程度</w:t>
            </w:r>
          </w:p>
        </w:tc>
        <w:tc>
          <w:tcPr>
            <w:tcW w:w="875"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3</w:t>
            </w:r>
            <w:r>
              <w:rPr>
                <w:rFonts w:hint="eastAsia" w:ascii="仿宋_GB2312" w:hAnsi="仿宋_GB2312" w:eastAsia="仿宋_GB2312" w:cs="仿宋_GB2312"/>
                <w:szCs w:val="21"/>
                <w:highlight w:val="none"/>
                <w:lang w:eastAsia="zh-CN"/>
              </w:rPr>
              <w:t>0</w:t>
            </w:r>
          </w:p>
        </w:tc>
        <w:tc>
          <w:tcPr>
            <w:tcW w:w="5605" w:type="dxa"/>
            <w:vAlign w:val="center"/>
          </w:tcPr>
          <w:p>
            <w:pPr>
              <w:widowControl/>
              <w:numPr>
                <w:ilvl w:val="0"/>
                <w:numId w:val="0"/>
              </w:numPr>
              <w:shd w:val="clear" w:color="auto" w:fill="FFFFFF"/>
              <w:spacing w:line="300" w:lineRule="exact"/>
              <w:ind w:leftChars="0"/>
              <w:rPr>
                <w:rFonts w:hint="eastAsia" w:ascii="仿宋_GB2312" w:hAnsi="仿宋_GB2312" w:eastAsia="仿宋_GB2312" w:cs="仿宋_GB2312"/>
              </w:rPr>
            </w:pPr>
            <w:r>
              <w:rPr>
                <w:rFonts w:hint="eastAsia" w:ascii="仿宋_GB2312" w:hAnsi="仿宋_GB2312" w:eastAsia="仿宋_GB2312" w:cs="仿宋_GB2312"/>
              </w:rPr>
              <w:t>整体的投标方案与</w:t>
            </w:r>
            <w:r>
              <w:rPr>
                <w:rFonts w:hint="eastAsia" w:ascii="仿宋_GB2312" w:hAnsi="仿宋_GB2312" w:eastAsia="仿宋_GB2312" w:cs="仿宋_GB2312"/>
                <w:lang w:val="en-US" w:eastAsia="zh-CN"/>
              </w:rPr>
              <w:t>招标方</w:t>
            </w:r>
            <w:r>
              <w:rPr>
                <w:rFonts w:hint="eastAsia" w:ascii="仿宋_GB2312" w:hAnsi="仿宋_GB2312" w:eastAsia="仿宋_GB2312" w:cs="仿宋_GB2312"/>
              </w:rPr>
              <w:t>需求的吻合程度</w:t>
            </w:r>
            <w:r>
              <w:rPr>
                <w:rFonts w:hint="eastAsia" w:ascii="仿宋_GB2312" w:hAnsi="仿宋_GB2312" w:eastAsia="仿宋_GB2312" w:cs="仿宋_GB2312"/>
                <w:lang w:eastAsia="zh-CN"/>
              </w:rPr>
              <w:t>，</w:t>
            </w:r>
            <w:r>
              <w:rPr>
                <w:rFonts w:hint="eastAsia" w:ascii="仿宋_GB2312" w:hAnsi="仿宋_GB2312" w:eastAsia="仿宋_GB2312" w:cs="仿宋_GB2312"/>
              </w:rPr>
              <w:t>包括方案的全面性、合理性、匹配性、可行性、先进性、经济性。</w:t>
            </w:r>
          </w:p>
          <w:p>
            <w:pPr>
              <w:widowControl/>
              <w:shd w:val="clear" w:color="auto" w:fill="FFFFFF"/>
              <w:spacing w:line="300" w:lineRule="exact"/>
              <w:rPr>
                <w:rFonts w:hint="eastAsia" w:ascii="仿宋_GB2312" w:hAnsi="仿宋_GB2312" w:eastAsia="仿宋_GB2312" w:cs="仿宋_GB2312"/>
              </w:rPr>
            </w:pPr>
            <w:r>
              <w:rPr>
                <w:rFonts w:hint="eastAsia" w:ascii="仿宋_GB2312" w:hAnsi="仿宋_GB2312" w:eastAsia="仿宋_GB2312" w:cs="仿宋_GB2312"/>
              </w:rPr>
              <w:t>优秀得</w:t>
            </w:r>
            <w:r>
              <w:rPr>
                <w:rFonts w:hint="eastAsia" w:ascii="仿宋_GB2312" w:hAnsi="仿宋_GB2312" w:eastAsia="仿宋_GB2312" w:cs="仿宋_GB2312"/>
                <w:lang w:val="en-US" w:eastAsia="zh-CN"/>
              </w:rPr>
              <w:t>20</w:t>
            </w:r>
            <w:r>
              <w:rPr>
                <w:rFonts w:hint="eastAsia" w:ascii="仿宋_GB2312" w:hAnsi="仿宋_GB2312" w:eastAsia="仿宋_GB2312" w:cs="仿宋_GB2312"/>
              </w:rPr>
              <w:t>-30分；</w:t>
            </w:r>
          </w:p>
          <w:p>
            <w:pPr>
              <w:widowControl/>
              <w:shd w:val="clear" w:color="auto" w:fill="FFFFFF"/>
              <w:spacing w:line="300" w:lineRule="exact"/>
              <w:rPr>
                <w:rFonts w:hint="eastAsia" w:ascii="仿宋_GB2312" w:hAnsi="仿宋_GB2312" w:eastAsia="仿宋_GB2312" w:cs="仿宋_GB2312"/>
              </w:rPr>
            </w:pPr>
            <w:r>
              <w:rPr>
                <w:rFonts w:hint="eastAsia" w:ascii="仿宋_GB2312" w:hAnsi="仿宋_GB2312" w:eastAsia="仿宋_GB2312" w:cs="仿宋_GB2312"/>
              </w:rPr>
              <w:t>符合得10-20分；</w:t>
            </w:r>
          </w:p>
          <w:p>
            <w:pPr>
              <w:widowControl/>
              <w:shd w:val="clear" w:color="auto" w:fill="FFFFFF"/>
              <w:spacing w:line="300" w:lineRule="exact"/>
              <w:rPr>
                <w:rFonts w:hint="eastAsia" w:ascii="仿宋_GB2312" w:hAnsi="仿宋_GB2312" w:eastAsia="仿宋_GB2312" w:cs="仿宋_GB2312"/>
                <w:highlight w:val="none"/>
                <w:lang w:val="en-US" w:eastAsia="zh-CN"/>
              </w:rPr>
            </w:pPr>
            <w:r>
              <w:rPr>
                <w:rFonts w:hint="eastAsia" w:ascii="仿宋_GB2312" w:hAnsi="仿宋_GB2312" w:eastAsia="仿宋_GB2312" w:cs="仿宋_GB2312"/>
              </w:rPr>
              <w:t>基本满足得0-10分。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3</w:t>
            </w:r>
          </w:p>
        </w:tc>
        <w:tc>
          <w:tcPr>
            <w:tcW w:w="1500" w:type="dxa"/>
            <w:vAlign w:val="center"/>
          </w:tcPr>
          <w:p>
            <w:pPr>
              <w:widowControl/>
              <w:shd w:val="clear" w:color="auto" w:fill="FFFFFF"/>
              <w:spacing w:line="300" w:lineRule="exact"/>
              <w:jc w:val="center"/>
              <w:rPr>
                <w:rFonts w:hint="eastAsia" w:ascii="仿宋_GB2312" w:hAnsi="仿宋_GB2312" w:eastAsia="仿宋_GB2312" w:cs="仿宋_GB2312"/>
                <w:color w:val="000000"/>
                <w:szCs w:val="21"/>
                <w:highlight w:val="none"/>
              </w:rPr>
            </w:pPr>
            <w:r>
              <w:rPr>
                <w:rFonts w:hint="eastAsia" w:ascii="仿宋_GB2312" w:hAnsi="仿宋_GB2312" w:eastAsia="仿宋_GB2312" w:cs="仿宋_GB2312"/>
                <w:lang w:val="en-US" w:eastAsia="zh-CN"/>
              </w:rPr>
              <w:t>项目</w:t>
            </w:r>
            <w:r>
              <w:rPr>
                <w:rFonts w:hint="eastAsia" w:ascii="仿宋_GB2312" w:hAnsi="仿宋_GB2312" w:eastAsia="仿宋_GB2312" w:cs="仿宋_GB2312"/>
              </w:rPr>
              <w:t>进度保证措施</w:t>
            </w:r>
          </w:p>
        </w:tc>
        <w:tc>
          <w:tcPr>
            <w:tcW w:w="875"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20</w:t>
            </w:r>
          </w:p>
        </w:tc>
        <w:tc>
          <w:tcPr>
            <w:tcW w:w="5605" w:type="dxa"/>
            <w:vAlign w:val="center"/>
          </w:tcPr>
          <w:p>
            <w:pPr>
              <w:widowControl/>
              <w:shd w:val="clear" w:color="auto" w:fill="FFFFFF"/>
              <w:spacing w:line="30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为完成本项目，制定合理的进度计划，从</w:t>
            </w:r>
            <w:r>
              <w:rPr>
                <w:rFonts w:hint="eastAsia" w:ascii="仿宋_GB2312" w:hAnsi="仿宋_GB2312" w:eastAsia="仿宋_GB2312" w:cs="仿宋_GB2312"/>
                <w:bCs/>
                <w:sz w:val="21"/>
                <w:szCs w:val="21"/>
                <w:lang w:val="en-US" w:eastAsia="zh-CN"/>
              </w:rPr>
              <w:t>试验家具采购</w:t>
            </w:r>
            <w:r>
              <w:rPr>
                <w:rFonts w:hint="eastAsia" w:ascii="仿宋_GB2312" w:hAnsi="仿宋_GB2312" w:eastAsia="仿宋_GB2312" w:cs="仿宋_GB2312"/>
                <w:bCs/>
                <w:sz w:val="21"/>
                <w:szCs w:val="21"/>
              </w:rPr>
              <w:t>、</w:t>
            </w:r>
            <w:r>
              <w:rPr>
                <w:rFonts w:hint="eastAsia" w:ascii="仿宋_GB2312" w:hAnsi="仿宋_GB2312" w:eastAsia="仿宋_GB2312" w:cs="仿宋_GB2312"/>
                <w:bCs/>
                <w:sz w:val="21"/>
                <w:szCs w:val="21"/>
                <w:lang w:val="en-US" w:eastAsia="zh-CN"/>
              </w:rPr>
              <w:t>组装</w:t>
            </w:r>
            <w:r>
              <w:rPr>
                <w:rFonts w:hint="eastAsia" w:ascii="仿宋_GB2312" w:hAnsi="仿宋_GB2312" w:eastAsia="仿宋_GB2312" w:cs="仿宋_GB2312"/>
                <w:bCs/>
                <w:sz w:val="21"/>
                <w:szCs w:val="21"/>
              </w:rPr>
              <w:t>、供货、安装等方面，</w:t>
            </w:r>
            <w:r>
              <w:rPr>
                <w:rFonts w:hint="eastAsia" w:ascii="仿宋_GB2312" w:hAnsi="仿宋_GB2312" w:eastAsia="仿宋_GB2312" w:cs="仿宋_GB2312"/>
                <w:sz w:val="21"/>
                <w:szCs w:val="21"/>
              </w:rPr>
              <w:t>在保证质量的前提下</w:t>
            </w:r>
            <w:r>
              <w:rPr>
                <w:rFonts w:hint="eastAsia" w:ascii="仿宋_GB2312" w:hAnsi="仿宋_GB2312" w:eastAsia="仿宋_GB2312" w:cs="仿宋_GB2312"/>
                <w:bCs/>
                <w:sz w:val="21"/>
                <w:szCs w:val="21"/>
              </w:rPr>
              <w:t>详细说明控制进度的保证措施。</w:t>
            </w:r>
          </w:p>
          <w:p>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优秀得15-20分；</w:t>
            </w:r>
          </w:p>
          <w:p>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符合得10-15分；</w:t>
            </w:r>
          </w:p>
          <w:p>
            <w:pPr>
              <w:widowControl/>
              <w:shd w:val="clear" w:color="auto" w:fill="FFFFFF"/>
              <w:spacing w:line="300" w:lineRule="exact"/>
              <w:jc w:val="left"/>
              <w:rPr>
                <w:rFonts w:hint="eastAsia" w:ascii="仿宋_GB2312" w:hAnsi="仿宋_GB2312" w:eastAsia="仿宋_GB2312" w:cs="仿宋_GB2312"/>
                <w:bCs/>
                <w:szCs w:val="21"/>
                <w:highlight w:val="none"/>
              </w:rPr>
            </w:pPr>
            <w:r>
              <w:rPr>
                <w:rFonts w:hint="eastAsia" w:ascii="仿宋_GB2312" w:hAnsi="仿宋_GB2312" w:eastAsia="仿宋_GB2312" w:cs="仿宋_GB2312"/>
                <w:kern w:val="2"/>
                <w:sz w:val="21"/>
                <w:szCs w:val="20"/>
                <w:lang w:val="en-US" w:eastAsia="zh-CN" w:bidi="ar-SA"/>
              </w:rPr>
              <w:t>基本满足得0-10分。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4</w:t>
            </w:r>
          </w:p>
        </w:tc>
        <w:tc>
          <w:tcPr>
            <w:tcW w:w="1500" w:type="dxa"/>
            <w:vAlign w:val="center"/>
          </w:tcPr>
          <w:p>
            <w:pPr>
              <w:widowControl/>
              <w:shd w:val="clear" w:color="auto" w:fill="FFFFFF"/>
              <w:spacing w:line="300" w:lineRule="exact"/>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质保期及</w:t>
            </w:r>
          </w:p>
          <w:p>
            <w:pPr>
              <w:widowControl/>
              <w:shd w:val="clear" w:color="auto" w:fill="FFFFFF"/>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highlight w:val="none"/>
              </w:rPr>
              <w:t>售后服务</w:t>
            </w:r>
          </w:p>
        </w:tc>
        <w:tc>
          <w:tcPr>
            <w:tcW w:w="875" w:type="dxa"/>
            <w:vAlign w:val="center"/>
          </w:tcPr>
          <w:p>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20</w:t>
            </w:r>
          </w:p>
        </w:tc>
        <w:tc>
          <w:tcPr>
            <w:tcW w:w="5605" w:type="dxa"/>
            <w:vAlign w:val="center"/>
          </w:tcPr>
          <w:p>
            <w:pPr>
              <w:keepNext w:val="0"/>
              <w:keepLines w:val="0"/>
              <w:pageBreakBefore w:val="0"/>
              <w:widowControl/>
              <w:shd w:val="clear" w:color="auto" w:fill="FFFFFF"/>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bCs/>
                <w:szCs w:val="21"/>
                <w:highlight w:val="none"/>
              </w:rPr>
            </w:pPr>
            <w:r>
              <w:rPr>
                <w:rFonts w:hint="eastAsia" w:ascii="仿宋_GB2312" w:hAnsi="仿宋_GB2312" w:eastAsia="仿宋_GB2312" w:cs="仿宋_GB2312"/>
              </w:rPr>
              <w:t>根据投标文件中关于质保期及售后服务部分的表述，应包含详细的售后服务保障措施，售后服务体系，项目所在地</w:t>
            </w:r>
            <w:r>
              <w:rPr>
                <w:rFonts w:hint="eastAsia" w:ascii="仿宋_GB2312" w:hAnsi="仿宋_GB2312" w:eastAsia="仿宋_GB2312" w:cs="仿宋_GB2312"/>
                <w:lang w:eastAsia="zh-CN"/>
              </w:rPr>
              <w:t>的服务力量等</w:t>
            </w:r>
            <w:r>
              <w:rPr>
                <w:rFonts w:hint="eastAsia" w:ascii="仿宋_GB2312" w:hAnsi="仿宋_GB2312" w:eastAsia="仿宋_GB2312" w:cs="仿宋_GB2312"/>
              </w:rPr>
              <w:t>，按照上述综合表述内容酌情得0-</w:t>
            </w:r>
            <w:r>
              <w:rPr>
                <w:rFonts w:hint="eastAsia" w:ascii="仿宋_GB2312" w:hAnsi="仿宋_GB2312" w:eastAsia="仿宋_GB2312" w:cs="仿宋_GB2312"/>
                <w:lang w:val="en-US" w:eastAsia="zh-CN"/>
              </w:rPr>
              <w:t>20</w:t>
            </w:r>
            <w:r>
              <w:rPr>
                <w:rFonts w:hint="eastAsia" w:ascii="仿宋_GB2312" w:hAnsi="仿宋_GB2312" w:eastAsia="仿宋_GB2312" w:cs="仿宋_GB2312"/>
              </w:rPr>
              <w:t>分，技术标书中未体现此内容不得分。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5</w:t>
            </w:r>
          </w:p>
        </w:tc>
        <w:tc>
          <w:tcPr>
            <w:tcW w:w="1500" w:type="dxa"/>
            <w:vAlign w:val="center"/>
          </w:tcPr>
          <w:p>
            <w:pPr>
              <w:widowControl/>
              <w:shd w:val="clear" w:color="auto" w:fill="FFFFFF"/>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lang w:eastAsia="zh-CN"/>
              </w:rPr>
              <w:t>业绩</w:t>
            </w:r>
          </w:p>
        </w:tc>
        <w:tc>
          <w:tcPr>
            <w:tcW w:w="875" w:type="dxa"/>
            <w:vAlign w:val="center"/>
          </w:tcPr>
          <w:p>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w:t>
            </w:r>
          </w:p>
        </w:tc>
        <w:tc>
          <w:tcPr>
            <w:tcW w:w="5605" w:type="dxa"/>
            <w:vAlign w:val="center"/>
          </w:tcPr>
          <w:p>
            <w:pPr>
              <w:keepNext w:val="0"/>
              <w:keepLines w:val="0"/>
              <w:pageBreakBefore w:val="0"/>
              <w:widowControl/>
              <w:shd w:val="clear" w:color="auto" w:fill="FFFFFF"/>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rPr>
              <w:t>投标人每有一项</w:t>
            </w:r>
            <w:r>
              <w:rPr>
                <w:rFonts w:hint="eastAsia" w:ascii="仿宋_GB2312" w:hAnsi="仿宋_GB2312" w:eastAsia="仿宋_GB2312" w:cs="仿宋_GB2312"/>
                <w:lang w:val="en-US" w:eastAsia="zh-CN"/>
              </w:rPr>
              <w:t>招标文件要求的</w:t>
            </w:r>
            <w:r>
              <w:rPr>
                <w:rFonts w:hint="eastAsia" w:ascii="仿宋_GB2312" w:hAnsi="仿宋_GB2312" w:eastAsia="仿宋_GB2312" w:cs="仿宋_GB2312"/>
              </w:rPr>
              <w:t>业绩得</w:t>
            </w:r>
            <w:r>
              <w:rPr>
                <w:rFonts w:hint="eastAsia" w:ascii="仿宋_GB2312" w:hAnsi="仿宋_GB2312" w:eastAsia="仿宋_GB2312" w:cs="仿宋_GB2312"/>
                <w:lang w:val="en-US" w:eastAsia="zh-CN"/>
              </w:rPr>
              <w:t>2</w:t>
            </w:r>
            <w:r>
              <w:rPr>
                <w:rFonts w:hint="eastAsia" w:ascii="仿宋_GB2312" w:hAnsi="仿宋_GB2312" w:eastAsia="仿宋_GB2312" w:cs="仿宋_GB2312"/>
              </w:rPr>
              <w:t>分，最多得</w:t>
            </w:r>
            <w:r>
              <w:rPr>
                <w:rFonts w:hint="eastAsia" w:ascii="仿宋_GB2312" w:hAnsi="仿宋_GB2312" w:eastAsia="仿宋_GB2312" w:cs="仿宋_GB2312"/>
                <w:lang w:val="en-US" w:eastAsia="zh-CN"/>
              </w:rPr>
              <w:t>10</w:t>
            </w:r>
            <w:r>
              <w:rPr>
                <w:rFonts w:hint="eastAsia" w:ascii="仿宋_GB2312" w:hAnsi="仿宋_GB2312" w:eastAsia="仿宋_GB2312" w:cs="仿宋_GB2312"/>
              </w:rPr>
              <w:t>分(必须提供合同原件</w:t>
            </w:r>
            <w:r>
              <w:rPr>
                <w:rFonts w:hint="eastAsia" w:ascii="仿宋_GB2312" w:hAnsi="仿宋_GB2312" w:eastAsia="仿宋_GB2312" w:cs="仿宋_GB2312"/>
                <w:lang w:eastAsia="zh-CN"/>
              </w:rPr>
              <w:t>扫描件及验收报告原件扫描件</w:t>
            </w:r>
            <w:r>
              <w:rPr>
                <w:rFonts w:hint="eastAsia" w:ascii="仿宋_GB2312" w:hAnsi="仿宋_GB2312" w:eastAsia="仿宋_GB2312" w:cs="仿宋_GB2312"/>
              </w:rPr>
              <w:t>,否则不得分)</w:t>
            </w:r>
          </w:p>
        </w:tc>
      </w:tr>
    </w:tbl>
    <w:p>
      <w:p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1、投标人技术标的最终得分为所有评委打分汇总后的算术平均值。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color w:val="000000"/>
          <w:sz w:val="24"/>
          <w:szCs w:val="24"/>
        </w:rPr>
        <w:t>2、技术标根据评分办法进行打分，技术标评标小组推荐至少3家技术得分</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0分（含）以上的投标人入围。技术入围投标人不足三家时，本次按废标处理，招标人有权根据招标采购管理流程重新组织招标。</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p>
    <w:bookmarkEnd w:id="21"/>
    <w:p>
      <w:pPr>
        <w:spacing w:beforeLines="0" w:afterLines="0" w:line="360" w:lineRule="auto"/>
        <w:jc w:val="center"/>
        <w:rPr>
          <w:rFonts w:hint="eastAsia" w:ascii="宋体" w:hAnsi="宋体" w:eastAsia="宋体" w:cs="宋体"/>
          <w:b/>
          <w:bCs/>
          <w:kern w:val="44"/>
          <w:sz w:val="30"/>
          <w:szCs w:val="30"/>
          <w:lang w:val="zh-CN" w:eastAsia="zh-CN" w:bidi="ar-SA"/>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5173345</wp:posOffset>
            </wp:positionH>
            <wp:positionV relativeFrom="paragraph">
              <wp:posOffset>581660</wp:posOffset>
            </wp:positionV>
            <wp:extent cx="635" cy="635"/>
            <wp:effectExtent l="0" t="0" r="0" b="0"/>
            <wp:wrapNone/>
            <wp:docPr id="4" name="墨迹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墨迹 10"/>
                    <pic:cNvPicPr>
                      <a:picLocks noGrp="1" noChangeAspect="1"/>
                    </pic:cNvPicPr>
                  </pic:nvPicPr>
                  <pic:blipFill>
                    <a:blip r:embed="rId26"/>
                    <a:stretch>
                      <a:fillRect/>
                    </a:stretch>
                  </pic:blipFill>
                  <pic:spPr>
                    <a:xfrm>
                      <a:off x="0" y="0"/>
                      <a:ext cx="635" cy="635"/>
                    </a:xfrm>
                    <a:prstGeom prst="rect">
                      <a:avLst/>
                    </a:prstGeom>
                    <a:noFill/>
                    <a:ln>
                      <a:noFill/>
                    </a:ln>
                  </pic:spPr>
                </pic:pic>
              </a:graphicData>
            </a:graphic>
          </wp:anchor>
        </w:drawing>
      </w:r>
      <w:bookmarkStart w:id="22" w:name="_Toc142724994"/>
      <w:r>
        <w:rPr>
          <w:rFonts w:hint="eastAsia" w:ascii="宋体" w:hAnsi="宋体" w:eastAsia="宋体" w:cs="宋体"/>
          <w:sz w:val="30"/>
          <w:szCs w:val="30"/>
        </w:rPr>
        <w:t>第二章  采购货物概况</w:t>
      </w:r>
      <w:bookmarkEnd w:id="22"/>
    </w:p>
    <w:p>
      <w:pPr>
        <w:keepNext/>
        <w:keepLines/>
        <w:widowControl w:val="0"/>
        <w:numPr>
          <w:ilvl w:val="0"/>
          <w:numId w:val="9"/>
        </w:numPr>
        <w:spacing w:before="260" w:beforeLines="0" w:after="260" w:afterLines="0" w:line="360" w:lineRule="auto"/>
        <w:ind w:left="1080" w:hanging="1080"/>
        <w:jc w:val="center"/>
        <w:outlineLvl w:val="1"/>
        <w:rPr>
          <w:rFonts w:hint="eastAsia" w:ascii="宋体" w:hAnsi="宋体" w:eastAsia="宋体" w:cs="宋体"/>
          <w:b/>
          <w:bCs/>
          <w:kern w:val="2"/>
          <w:sz w:val="24"/>
          <w:szCs w:val="24"/>
          <w:lang w:val="zh-CN" w:eastAsia="zh-CN" w:bidi="ar-SA"/>
        </w:rPr>
      </w:pPr>
      <w:r>
        <w:rPr>
          <w:rFonts w:hint="eastAsia" w:ascii="宋体" w:hAnsi="宋体" w:eastAsia="宋体" w:cs="宋体"/>
          <w:b/>
          <w:bCs/>
          <w:kern w:val="2"/>
          <w:sz w:val="24"/>
          <w:szCs w:val="24"/>
          <w:lang w:val="zh-CN" w:eastAsia="zh-CN" w:bidi="ar-SA"/>
        </w:rPr>
        <w:t>使用环境</w:t>
      </w:r>
    </w:p>
    <w:p>
      <w:pPr>
        <w:pStyle w:val="172"/>
        <w:spacing w:line="360" w:lineRule="auto"/>
        <w:ind w:firstLine="480" w:firstLineChars="200"/>
        <w:rPr>
          <w:rFonts w:hint="eastAsia" w:ascii="宋体" w:hAnsi="宋体" w:eastAsia="宋体" w:cs="宋体"/>
        </w:rPr>
      </w:pPr>
      <w:r>
        <w:rPr>
          <w:rFonts w:hint="eastAsia" w:ascii="宋体" w:hAnsi="宋体" w:eastAsia="宋体" w:cs="宋体"/>
        </w:rPr>
        <w:t>一、项目名称：新能源产品试验检测中心试验家具采购项目</w:t>
      </w:r>
    </w:p>
    <w:p>
      <w:pPr>
        <w:pStyle w:val="172"/>
        <w:spacing w:line="360" w:lineRule="auto"/>
        <w:ind w:firstLine="480" w:firstLineChars="200"/>
        <w:rPr>
          <w:rFonts w:hint="eastAsia" w:ascii="宋体" w:hAnsi="宋体" w:eastAsia="宋体" w:cs="宋体"/>
          <w:highlight w:val="none"/>
        </w:rPr>
      </w:pPr>
      <w:r>
        <w:rPr>
          <w:rFonts w:hint="eastAsia" w:ascii="宋体" w:hAnsi="宋体" w:eastAsia="宋体" w:cs="宋体"/>
        </w:rPr>
        <w:t>二、建设地点</w:t>
      </w:r>
      <w:r>
        <w:rPr>
          <w:rFonts w:hint="eastAsia" w:ascii="宋体" w:hAnsi="宋体" w:eastAsia="宋体" w:cs="宋体"/>
          <w:highlight w:val="none"/>
        </w:rPr>
        <w:t>：</w:t>
      </w:r>
      <w:ins w:id="0" w:author="LENOVO" w:date="2026-06-23T09:23:53Z">
        <w:r>
          <w:rPr>
            <w:rFonts w:hint="eastAsia" w:ascii="宋体" w:hAnsi="宋体" w:eastAsia="宋体" w:cs="宋体"/>
            <w:color w:val="auto"/>
            <w:sz w:val="24"/>
            <w:szCs w:val="20"/>
            <w:highlight w:val="none"/>
          </w:rPr>
          <w:t>济南市</w:t>
        </w:r>
      </w:ins>
      <w:ins w:id="1" w:author="LENOVO" w:date="2026-06-23T09:23:53Z">
        <w:r>
          <w:rPr>
            <w:rFonts w:hint="eastAsia" w:ascii="宋体" w:hAnsi="宋体" w:eastAsia="宋体" w:cs="宋体"/>
            <w:color w:val="auto"/>
            <w:sz w:val="24"/>
            <w:szCs w:val="20"/>
            <w:highlight w:val="none"/>
            <w:lang w:val="en-US" w:eastAsia="zh-CN"/>
          </w:rPr>
          <w:t>莱芜区莱城大道1188号</w:t>
        </w:r>
      </w:ins>
    </w:p>
    <w:p>
      <w:pPr>
        <w:pStyle w:val="172"/>
        <w:spacing w:line="360" w:lineRule="auto"/>
        <w:ind w:firstLine="480" w:firstLineChars="200"/>
        <w:rPr>
          <w:rFonts w:hint="eastAsia" w:ascii="宋体" w:hAnsi="宋体" w:eastAsia="宋体" w:cs="宋体"/>
          <w:highlight w:val="red"/>
        </w:rPr>
      </w:pPr>
      <w:r>
        <w:rPr>
          <w:rFonts w:hint="eastAsia" w:ascii="宋体" w:hAnsi="宋体" w:eastAsia="宋体" w:cs="宋体"/>
          <w:highlight w:val="none"/>
        </w:rPr>
        <w:t>三、使用地点：</w:t>
      </w:r>
      <w:ins w:id="2" w:author="LENOVO" w:date="2026-06-23T09:23:55Z">
        <w:r>
          <w:rPr>
            <w:rFonts w:hint="eastAsia" w:ascii="宋体" w:hAnsi="宋体" w:eastAsia="宋体" w:cs="宋体"/>
            <w:color w:val="auto"/>
            <w:sz w:val="24"/>
            <w:szCs w:val="20"/>
            <w:highlight w:val="none"/>
          </w:rPr>
          <w:t>济南市</w:t>
        </w:r>
      </w:ins>
      <w:ins w:id="3" w:author="LENOVO" w:date="2026-06-23T09:23:55Z">
        <w:r>
          <w:rPr>
            <w:rFonts w:hint="eastAsia" w:ascii="宋体" w:hAnsi="宋体" w:eastAsia="宋体" w:cs="宋体"/>
            <w:color w:val="auto"/>
            <w:sz w:val="24"/>
            <w:szCs w:val="20"/>
            <w:highlight w:val="none"/>
            <w:lang w:val="en-US" w:eastAsia="zh-CN"/>
          </w:rPr>
          <w:t>莱芜区莱城大道1188号</w:t>
        </w:r>
      </w:ins>
    </w:p>
    <w:p>
      <w:pPr>
        <w:pStyle w:val="172"/>
        <w:spacing w:line="360" w:lineRule="auto"/>
        <w:ind w:firstLine="480"/>
        <w:rPr>
          <w:rFonts w:hint="eastAsia" w:ascii="宋体" w:hAnsi="宋体" w:eastAsia="宋体" w:cs="宋体"/>
        </w:rPr>
      </w:pPr>
      <w:r>
        <w:rPr>
          <w:rFonts w:hint="eastAsia" w:ascii="宋体" w:hAnsi="宋体" w:eastAsia="宋体" w:cs="宋体"/>
        </w:rPr>
        <w:t>四、工作制度：全年工作</w:t>
      </w:r>
      <w:r>
        <w:rPr>
          <w:rFonts w:hint="eastAsia" w:ascii="宋体" w:hAnsi="宋体" w:eastAsia="宋体" w:cs="宋体"/>
          <w:u w:val="single"/>
        </w:rPr>
        <w:t xml:space="preserve"> 365  </w:t>
      </w:r>
      <w:r>
        <w:rPr>
          <w:rFonts w:hint="eastAsia" w:ascii="宋体" w:hAnsi="宋体" w:eastAsia="宋体" w:cs="宋体"/>
        </w:rPr>
        <w:t>天、年时基数</w:t>
      </w:r>
      <w:r>
        <w:rPr>
          <w:rFonts w:hint="eastAsia" w:ascii="宋体" w:hAnsi="宋体" w:eastAsia="宋体" w:cs="宋体"/>
          <w:u w:val="single"/>
        </w:rPr>
        <w:t xml:space="preserve"> 8760  </w:t>
      </w:r>
      <w:r>
        <w:rPr>
          <w:rFonts w:hint="eastAsia" w:ascii="宋体" w:hAnsi="宋体" w:eastAsia="宋体" w:cs="宋体"/>
        </w:rPr>
        <w:t>小时</w:t>
      </w:r>
    </w:p>
    <w:p>
      <w:pPr>
        <w:pStyle w:val="172"/>
        <w:spacing w:line="360" w:lineRule="auto"/>
        <w:ind w:firstLine="480"/>
        <w:rPr>
          <w:rFonts w:hint="eastAsia" w:ascii="宋体" w:hAnsi="宋体" w:eastAsia="宋体" w:cs="宋体"/>
        </w:rPr>
      </w:pPr>
      <w:r>
        <w:rPr>
          <w:rFonts w:hint="eastAsia" w:ascii="宋体" w:hAnsi="宋体" w:eastAsia="宋体" w:cs="宋体"/>
        </w:rPr>
        <w:t>五、使用地点区域自然环境：</w:t>
      </w:r>
    </w:p>
    <w:p>
      <w:pPr>
        <w:pStyle w:val="172"/>
        <w:numPr>
          <w:ilvl w:val="0"/>
          <w:numId w:val="10"/>
        </w:numPr>
        <w:spacing w:line="360" w:lineRule="auto"/>
        <w:ind w:left="1055" w:leftChars="0" w:hanging="425" w:firstLineChars="0"/>
        <w:rPr>
          <w:rFonts w:hint="eastAsia" w:ascii="宋体" w:hAnsi="宋体" w:eastAsia="宋体" w:cs="宋体"/>
        </w:rPr>
      </w:pPr>
      <w:r>
        <w:rPr>
          <w:rFonts w:hint="eastAsia" w:ascii="宋体" w:hAnsi="宋体" w:eastAsia="宋体" w:cs="宋体"/>
        </w:rPr>
        <w:t>海</w:t>
      </w:r>
      <w:r>
        <w:rPr>
          <w:rFonts w:hint="eastAsia" w:ascii="宋体" w:hAnsi="宋体" w:eastAsia="宋体" w:cs="宋体"/>
          <w:lang w:val="en-US" w:eastAsia="zh-CN"/>
        </w:rPr>
        <w:t>拔</w:t>
      </w:r>
      <w:r>
        <w:rPr>
          <w:rFonts w:hint="eastAsia" w:ascii="宋体" w:hAnsi="宋体" w:eastAsia="宋体" w:cs="宋体"/>
        </w:rPr>
        <w:t>高度：1000m以下</w:t>
      </w:r>
    </w:p>
    <w:p>
      <w:pPr>
        <w:pStyle w:val="172"/>
        <w:numPr>
          <w:ilvl w:val="0"/>
          <w:numId w:val="10"/>
        </w:numPr>
        <w:spacing w:line="360" w:lineRule="auto"/>
        <w:ind w:left="1055" w:leftChars="0" w:hanging="425" w:firstLineChars="0"/>
        <w:rPr>
          <w:rFonts w:hint="eastAsia" w:ascii="宋体" w:hAnsi="宋体" w:eastAsia="宋体" w:cs="宋体"/>
        </w:rPr>
      </w:pPr>
      <w:r>
        <w:rPr>
          <w:rFonts w:hint="eastAsia" w:ascii="宋体" w:hAnsi="宋体" w:eastAsia="宋体" w:cs="宋体"/>
        </w:rPr>
        <w:t>环境温度：室外极端最低温度-19.7℃、极端最高温度45℃，昼夜最大温差25℃；室内温度5～42℃。</w:t>
      </w:r>
    </w:p>
    <w:p>
      <w:pPr>
        <w:pStyle w:val="172"/>
        <w:numPr>
          <w:ilvl w:val="0"/>
          <w:numId w:val="10"/>
        </w:numPr>
        <w:spacing w:line="360" w:lineRule="auto"/>
        <w:ind w:left="1055" w:leftChars="0" w:hanging="425" w:firstLineChars="0"/>
        <w:rPr>
          <w:rFonts w:hint="eastAsia" w:ascii="宋体" w:hAnsi="宋体" w:eastAsia="宋体" w:cs="宋体"/>
        </w:rPr>
      </w:pPr>
      <w:r>
        <w:rPr>
          <w:rFonts w:hint="eastAsia" w:ascii="宋体" w:hAnsi="宋体" w:eastAsia="宋体" w:cs="宋体"/>
        </w:rPr>
        <w:t>相对湿度：年平均59%，最大95%、最小15%。</w:t>
      </w:r>
    </w:p>
    <w:p>
      <w:pPr>
        <w:pStyle w:val="172"/>
        <w:numPr>
          <w:ilvl w:val="0"/>
          <w:numId w:val="10"/>
        </w:numPr>
        <w:spacing w:line="360" w:lineRule="auto"/>
        <w:ind w:left="1055" w:leftChars="0" w:hanging="425" w:firstLineChars="0"/>
        <w:rPr>
          <w:rFonts w:hint="eastAsia" w:ascii="宋体" w:hAnsi="宋体" w:eastAsia="宋体" w:cs="宋体"/>
        </w:rPr>
      </w:pPr>
      <w:r>
        <w:rPr>
          <w:rFonts w:hint="eastAsia" w:ascii="宋体" w:hAnsi="宋体" w:eastAsia="宋体" w:cs="宋体"/>
        </w:rPr>
        <w:t>地震设防</w:t>
      </w:r>
      <w:r>
        <w:rPr>
          <w:rFonts w:hint="eastAsia" w:ascii="宋体" w:hAnsi="宋体" w:eastAsia="宋体" w:cs="宋体"/>
          <w:lang w:val="en-US" w:eastAsia="zh-CN"/>
        </w:rPr>
        <w:t>烈</w:t>
      </w:r>
      <w:r>
        <w:rPr>
          <w:rFonts w:hint="eastAsia" w:ascii="宋体" w:hAnsi="宋体" w:eastAsia="宋体" w:cs="宋体"/>
        </w:rPr>
        <w:t>度：七度。</w:t>
      </w:r>
    </w:p>
    <w:p>
      <w:pPr>
        <w:pStyle w:val="172"/>
        <w:spacing w:line="360" w:lineRule="auto"/>
        <w:ind w:firstLine="480"/>
        <w:rPr>
          <w:rFonts w:hint="eastAsia" w:ascii="宋体" w:hAnsi="宋体" w:eastAsia="宋体" w:cs="宋体"/>
        </w:rPr>
      </w:pPr>
      <w:r>
        <w:rPr>
          <w:rFonts w:hint="eastAsia" w:ascii="宋体" w:hAnsi="宋体" w:eastAsia="宋体" w:cs="宋体"/>
        </w:rPr>
        <w:t>六、能源环境：</w:t>
      </w:r>
    </w:p>
    <w:p>
      <w:pPr>
        <w:pStyle w:val="172"/>
        <w:numPr>
          <w:ilvl w:val="0"/>
          <w:numId w:val="11"/>
        </w:numPr>
        <w:spacing w:line="360" w:lineRule="auto"/>
        <w:ind w:left="1055" w:leftChars="0" w:hanging="425" w:firstLineChars="0"/>
        <w:rPr>
          <w:rFonts w:hint="eastAsia" w:ascii="宋体" w:hAnsi="宋体" w:eastAsia="宋体" w:cs="宋体"/>
        </w:rPr>
      </w:pPr>
      <w:r>
        <w:rPr>
          <w:rFonts w:hint="eastAsia" w:ascii="宋体" w:hAnsi="宋体" w:eastAsia="宋体" w:cs="宋体"/>
        </w:rPr>
        <w:t>电力：中国制式，供电电压380V±15%/220V±15%，供电频率50Hz±2%。</w:t>
      </w:r>
    </w:p>
    <w:p>
      <w:pPr>
        <w:pStyle w:val="172"/>
        <w:numPr>
          <w:ilvl w:val="0"/>
          <w:numId w:val="11"/>
        </w:numPr>
        <w:ind w:left="1055" w:leftChars="0" w:hanging="425" w:firstLineChars="0"/>
        <w:rPr>
          <w:rFonts w:hint="eastAsia" w:ascii="宋体" w:hAnsi="宋体" w:eastAsia="宋体" w:cs="宋体"/>
        </w:rPr>
      </w:pPr>
      <w:r>
        <w:rPr>
          <w:rFonts w:hint="eastAsia" w:ascii="宋体" w:hAnsi="宋体" w:eastAsia="宋体" w:cs="宋体"/>
        </w:rPr>
        <w:t>给水：市政自来水。</w:t>
      </w:r>
    </w:p>
    <w:p>
      <w:pPr>
        <w:spacing w:beforeLines="0" w:afterLines="0" w:line="360" w:lineRule="auto"/>
        <w:ind w:firstLine="480" w:firstLineChars="200"/>
        <w:rPr>
          <w:rFonts w:hint="eastAsia" w:ascii="宋体" w:hAnsi="宋体" w:eastAsia="宋体" w:cs="宋体"/>
          <w:color w:val="000000"/>
          <w:sz w:val="24"/>
          <w:szCs w:val="24"/>
        </w:rPr>
      </w:pPr>
    </w:p>
    <w:p>
      <w:pPr>
        <w:keepNext/>
        <w:keepLines/>
        <w:widowControl w:val="0"/>
        <w:numPr>
          <w:ilvl w:val="0"/>
          <w:numId w:val="9"/>
        </w:numPr>
        <w:spacing w:before="260" w:beforeLines="0" w:after="260" w:afterLines="0" w:line="360" w:lineRule="auto"/>
        <w:ind w:left="1080" w:hanging="1080"/>
        <w:jc w:val="center"/>
        <w:outlineLvl w:val="1"/>
        <w:rPr>
          <w:rFonts w:hint="eastAsia" w:ascii="宋体" w:hAnsi="宋体" w:eastAsia="宋体" w:cs="宋体"/>
          <w:b/>
          <w:bCs/>
          <w:kern w:val="2"/>
          <w:sz w:val="24"/>
          <w:szCs w:val="24"/>
          <w:lang w:val="zh-CN" w:eastAsia="zh-CN" w:bidi="ar-SA"/>
        </w:rPr>
      </w:pPr>
      <w:bookmarkStart w:id="23" w:name="_Toc465187640"/>
      <w:bookmarkStart w:id="24" w:name="_Toc142724996"/>
      <w:r>
        <w:rPr>
          <w:rFonts w:hint="eastAsia" w:ascii="宋体" w:hAnsi="宋体" w:eastAsia="宋体" w:cs="宋体"/>
          <w:b/>
          <w:bCs/>
          <w:kern w:val="2"/>
          <w:sz w:val="24"/>
          <w:szCs w:val="24"/>
          <w:lang w:val="zh-CN" w:eastAsia="zh-CN" w:bidi="ar-SA"/>
        </w:rPr>
        <w:t>供货内容概况</w:t>
      </w:r>
      <w:bookmarkEnd w:id="23"/>
      <w:bookmarkEnd w:id="24"/>
    </w:p>
    <w:p>
      <w:pPr>
        <w:spacing w:beforeLines="0" w:afterLines="0"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一、货物名称：</w:t>
      </w:r>
      <w:r>
        <w:rPr>
          <w:rFonts w:hint="eastAsia" w:ascii="宋体" w:hAnsi="宋体" w:cs="宋体"/>
          <w:color w:val="000000"/>
          <w:sz w:val="24"/>
          <w:szCs w:val="24"/>
          <w:lang w:val="en-US" w:eastAsia="zh-CN"/>
        </w:rPr>
        <w:t>试验家具</w:t>
      </w:r>
    </w:p>
    <w:p>
      <w:pPr>
        <w:spacing w:beforeLines="0" w:afterLines="0"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eastAsia="zh-CN"/>
        </w:rPr>
        <w:t>新能源产品试验检测中心试验家具采购项目</w:t>
      </w:r>
      <w:r>
        <w:rPr>
          <w:rFonts w:hint="eastAsia" w:ascii="宋体" w:hAnsi="宋体" w:eastAsia="宋体" w:cs="宋体"/>
          <w:color w:val="000000"/>
          <w:sz w:val="24"/>
          <w:szCs w:val="24"/>
          <w:highlight w:val="none"/>
        </w:rPr>
        <w:t>是</w:t>
      </w:r>
      <w:r>
        <w:rPr>
          <w:rFonts w:hint="eastAsia" w:ascii="宋体" w:hAnsi="宋体" w:eastAsia="宋体" w:cs="宋体"/>
          <w:color w:val="000000"/>
          <w:sz w:val="24"/>
          <w:szCs w:val="24"/>
          <w:highlight w:val="none"/>
          <w:lang w:val="en-US" w:eastAsia="zh-CN"/>
        </w:rPr>
        <w:t>为</w:t>
      </w:r>
      <w:r>
        <w:rPr>
          <w:rFonts w:hint="eastAsia" w:ascii="宋体" w:hAnsi="宋体" w:cs="宋体"/>
          <w:color w:val="000000"/>
          <w:sz w:val="24"/>
          <w:szCs w:val="24"/>
          <w:highlight w:val="none"/>
          <w:lang w:val="en-US" w:eastAsia="zh-CN"/>
        </w:rPr>
        <w:t>莱芜园区</w:t>
      </w:r>
      <w:r>
        <w:rPr>
          <w:rFonts w:hint="eastAsia" w:ascii="宋体" w:hAnsi="宋体" w:eastAsia="宋体" w:cs="宋体"/>
          <w:color w:val="000000"/>
          <w:sz w:val="24"/>
          <w:szCs w:val="24"/>
          <w:highlight w:val="none"/>
          <w:lang w:val="en-US" w:eastAsia="zh-CN"/>
        </w:rPr>
        <w:t>新建试验室园区采购各类</w:t>
      </w:r>
      <w:r>
        <w:rPr>
          <w:rFonts w:hint="eastAsia" w:ascii="宋体" w:hAnsi="宋体" w:cs="宋体"/>
          <w:color w:val="000000"/>
          <w:sz w:val="24"/>
          <w:szCs w:val="24"/>
          <w:highlight w:val="none"/>
          <w:lang w:val="en-US" w:eastAsia="zh-CN"/>
        </w:rPr>
        <w:t>试验家具</w:t>
      </w:r>
      <w:r>
        <w:rPr>
          <w:rFonts w:hint="eastAsia" w:ascii="宋体" w:hAnsi="宋体" w:eastAsia="宋体" w:cs="宋体"/>
          <w:color w:val="000000"/>
          <w:sz w:val="24"/>
          <w:szCs w:val="24"/>
          <w:highlight w:val="none"/>
          <w:lang w:val="en-US" w:eastAsia="zh-CN"/>
        </w:rPr>
        <w:t>，包括</w:t>
      </w:r>
      <w:r>
        <w:rPr>
          <w:rFonts w:hint="eastAsia" w:ascii="宋体" w:hAnsi="宋体" w:cs="宋体"/>
          <w:color w:val="000000"/>
          <w:sz w:val="24"/>
          <w:szCs w:val="24"/>
          <w:highlight w:val="none"/>
          <w:lang w:val="en-US" w:eastAsia="zh-CN"/>
        </w:rPr>
        <w:t>通风橱、药品柜、全钢结构边台、中央台、高温台、天平台</w:t>
      </w:r>
      <w:r>
        <w:rPr>
          <w:rFonts w:hint="eastAsia" w:ascii="宋体" w:hAnsi="宋体" w:eastAsia="宋体" w:cs="宋体"/>
          <w:color w:val="000000"/>
          <w:sz w:val="24"/>
          <w:szCs w:val="24"/>
          <w:highlight w:val="none"/>
          <w:lang w:val="en-US" w:eastAsia="zh-CN"/>
        </w:rPr>
        <w:t>等，本项目包含采购、运输、安装、调试</w:t>
      </w:r>
      <w:r>
        <w:rPr>
          <w:rFonts w:hint="eastAsia" w:ascii="宋体" w:hAnsi="宋体" w:cs="宋体"/>
          <w:color w:val="000000"/>
          <w:sz w:val="24"/>
          <w:szCs w:val="24"/>
          <w:highlight w:val="none"/>
          <w:lang w:val="en-US" w:eastAsia="zh-CN"/>
        </w:rPr>
        <w:t>、验收</w:t>
      </w:r>
      <w:r>
        <w:rPr>
          <w:rFonts w:hint="eastAsia" w:ascii="宋体" w:hAnsi="宋体" w:eastAsia="宋体" w:cs="宋体"/>
          <w:color w:val="000000"/>
          <w:sz w:val="24"/>
          <w:szCs w:val="24"/>
          <w:highlight w:val="none"/>
          <w:lang w:val="en-US" w:eastAsia="zh-CN"/>
        </w:rPr>
        <w:t>等服务的全过程。</w:t>
      </w:r>
    </w:p>
    <w:p>
      <w:pPr>
        <w:numPr>
          <w:ilvl w:val="0"/>
          <w:numId w:val="12"/>
        </w:numPr>
        <w:spacing w:beforeLines="0" w:afterLines="0"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货物/服务数量：一</w:t>
      </w:r>
      <w:r>
        <w:rPr>
          <w:rFonts w:hint="eastAsia" w:ascii="宋体" w:hAnsi="宋体" w:eastAsia="宋体" w:cs="宋体"/>
          <w:color w:val="000000"/>
          <w:sz w:val="24"/>
          <w:szCs w:val="24"/>
          <w:lang w:val="en-US" w:eastAsia="zh-CN"/>
        </w:rPr>
        <w:t>宗</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p>
    <w:p>
      <w:pPr>
        <w:numPr>
          <w:ilvl w:val="-1"/>
          <w:numId w:val="0"/>
        </w:numPr>
        <w:spacing w:beforeLines="0" w:afterLines="0" w:line="360" w:lineRule="auto"/>
        <w:ind w:firstLine="480" w:firstLineChars="200"/>
        <w:rPr>
          <w:rFonts w:hint="eastAsia" w:ascii="宋体" w:hAnsi="宋体" w:eastAsia="宋体" w:cs="宋体"/>
        </w:rPr>
      </w:pPr>
      <w:r>
        <w:rPr>
          <w:rFonts w:hint="eastAsia" w:ascii="宋体" w:hAnsi="宋体" w:eastAsia="宋体" w:cs="宋体"/>
          <w:color w:val="000000"/>
          <w:sz w:val="24"/>
          <w:szCs w:val="24"/>
        </w:rPr>
        <w:t>三、分投分中：不允许</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lang w:val="en-US"/>
        </w:rPr>
      </w:pPr>
      <w:r>
        <w:rPr>
          <w:rFonts w:hint="eastAsia" w:ascii="宋体" w:hAnsi="宋体" w:eastAsia="宋体" w:cs="宋体"/>
          <w:kern w:val="2"/>
          <w:sz w:val="24"/>
          <w:szCs w:val="24"/>
          <w:lang w:val="en-US" w:eastAsia="zh-CN" w:bidi="ar"/>
        </w:rPr>
        <w:t>采购货物主要构成一览表</w:t>
      </w:r>
    </w:p>
    <w:tbl>
      <w:tblPr>
        <w:tblStyle w:val="37"/>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5"/>
        <w:gridCol w:w="3375"/>
        <w:gridCol w:w="2793"/>
        <w:gridCol w:w="96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7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bookmarkStart w:id="25" w:name="_Toc142724999"/>
            <w:r>
              <w:rPr>
                <w:rFonts w:hint="eastAsia" w:ascii="宋体" w:hAnsi="宋体" w:eastAsia="宋体" w:cs="宋体"/>
                <w:b/>
                <w:bCs/>
                <w:i w:val="0"/>
                <w:iCs w:val="0"/>
                <w:color w:val="000000"/>
                <w:kern w:val="0"/>
                <w:sz w:val="24"/>
                <w:szCs w:val="24"/>
                <w:u w:val="none"/>
                <w:lang w:val="en-US" w:eastAsia="zh-CN" w:bidi="ar"/>
              </w:rPr>
              <w:t>序号</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279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规格（长宽高mm）</w:t>
            </w:r>
          </w:p>
        </w:tc>
        <w:tc>
          <w:tcPr>
            <w:tcW w:w="9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41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预估数量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通风橱</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2000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1000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2350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PP药品柜</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900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450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1800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PP通风药品柜</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900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450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1800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不锈钢小推车</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800✕450✕900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PP万向排气罩</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原子吸收罩</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紧急沐浴洗眼器</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KC4不锈钢</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带吊柜全钢结构边台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3000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带吊柜全钢结构边台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2000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带吊柜全钢结构边台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6500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带水柜全钢结构边台</w:t>
            </w:r>
          </w:p>
        </w:tc>
        <w:tc>
          <w:tcPr>
            <w:tcW w:w="279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1500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850（总长）</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带水柜全钢结构边台</w:t>
            </w:r>
          </w:p>
        </w:tc>
        <w:tc>
          <w:tcPr>
            <w:tcW w:w="279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1800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850（总长）</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1500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2000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3500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3800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4500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6000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6500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7000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4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8000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2000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1000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2000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600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2500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1000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2800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1000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全钢结构边台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4200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1000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口字型钢工作台（放电脑用）</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1500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口字型钢工作台（放电脑用）</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2000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全钢结构中央台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1000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1500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全钢结构中央台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2500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1500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全钢天平台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900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600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全钢高温台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1000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600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全钢水柜</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1000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850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33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移动岛台式工作台</w:t>
            </w:r>
          </w:p>
        </w:tc>
        <w:tc>
          <w:tcPr>
            <w:tcW w:w="279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3"/>
                <w:rFonts w:hint="eastAsia" w:ascii="宋体" w:hAnsi="宋体" w:eastAsia="宋体" w:cs="宋体"/>
                <w:sz w:val="24"/>
                <w:szCs w:val="24"/>
                <w:lang w:val="en-US" w:eastAsia="zh-CN" w:bidi="ar"/>
              </w:rPr>
              <w:t>1200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600</w:t>
            </w:r>
            <w:r>
              <w:rPr>
                <w:rStyle w:val="174"/>
                <w:rFonts w:hint="eastAsia" w:ascii="宋体" w:hAnsi="宋体" w:eastAsia="宋体" w:cs="宋体"/>
                <w:sz w:val="24"/>
                <w:szCs w:val="24"/>
                <w:lang w:val="en-US" w:eastAsia="zh-CN" w:bidi="ar"/>
              </w:rPr>
              <w:t>✕</w:t>
            </w:r>
            <w:r>
              <w:rPr>
                <w:rStyle w:val="173"/>
                <w:rFonts w:hint="eastAsia" w:ascii="宋体" w:hAnsi="宋体" w:eastAsia="宋体" w:cs="宋体"/>
                <w:sz w:val="24"/>
                <w:szCs w:val="24"/>
                <w:lang w:val="en-US" w:eastAsia="zh-CN" w:bidi="ar"/>
              </w:rPr>
              <w:t>750</w:t>
            </w:r>
          </w:p>
        </w:tc>
        <w:tc>
          <w:tcPr>
            <w:tcW w:w="96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bl>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lang w:val="en-US" w:eastAsia="zh-CN" w:bidi="ar"/>
        </w:rPr>
      </w:pPr>
    </w:p>
    <w:p>
      <w:pPr>
        <w:pStyle w:val="17"/>
        <w:rPr>
          <w:rFonts w:hint="eastAsia"/>
        </w:rPr>
      </w:pPr>
    </w:p>
    <w:p>
      <w:pPr>
        <w:rPr>
          <w:rFonts w:hint="eastAsia" w:ascii="宋体" w:hAnsi="宋体" w:cs="宋体"/>
          <w:b w:val="0"/>
          <w:bCs w:val="0"/>
          <w:sz w:val="30"/>
          <w:szCs w:val="30"/>
          <w:lang w:val="en-US" w:eastAsia="zh-CN"/>
        </w:rPr>
      </w:pPr>
      <w:r>
        <w:rPr>
          <w:rFonts w:hint="eastAsia" w:ascii="宋体" w:hAnsi="宋体" w:cs="宋体"/>
          <w:b w:val="0"/>
          <w:bCs w:val="0"/>
          <w:sz w:val="30"/>
          <w:szCs w:val="30"/>
          <w:lang w:val="en-US" w:eastAsia="zh-CN"/>
        </w:rPr>
        <w:br w:type="page"/>
      </w:r>
    </w:p>
    <w:p>
      <w:pPr>
        <w:pStyle w:val="2"/>
        <w:numPr>
          <w:ilvl w:val="0"/>
          <w:numId w:val="0"/>
        </w:numPr>
        <w:tabs>
          <w:tab w:val="left" w:pos="425"/>
        </w:tabs>
        <w:spacing w:beforeLines="0" w:afterLines="0" w:line="360" w:lineRule="auto"/>
        <w:ind w:leftChars="0"/>
        <w:jc w:val="center"/>
        <w:rPr>
          <w:rFonts w:hint="eastAsia" w:ascii="宋体" w:hAnsi="宋体" w:eastAsia="宋体" w:cs="宋体"/>
          <w:b w:val="0"/>
          <w:bCs w:val="0"/>
          <w:sz w:val="30"/>
          <w:szCs w:val="30"/>
        </w:rPr>
      </w:pPr>
      <w:r>
        <w:rPr>
          <w:rFonts w:hint="eastAsia" w:ascii="宋体" w:hAnsi="宋体" w:cs="宋体"/>
          <w:b w:val="0"/>
          <w:bCs w:val="0"/>
          <w:sz w:val="30"/>
          <w:szCs w:val="30"/>
          <w:lang w:val="en-US" w:eastAsia="zh-CN"/>
        </w:rPr>
        <w:t xml:space="preserve">第三章   </w:t>
      </w:r>
      <w:r>
        <w:rPr>
          <w:rFonts w:hint="eastAsia" w:ascii="宋体" w:hAnsi="宋体" w:eastAsia="宋体" w:cs="宋体"/>
          <w:b w:val="0"/>
          <w:bCs w:val="0"/>
          <w:sz w:val="30"/>
          <w:szCs w:val="30"/>
        </w:rPr>
        <w:t>技术要求</w:t>
      </w:r>
      <w:bookmarkEnd w:id="25"/>
    </w:p>
    <w:p>
      <w:pPr>
        <w:pStyle w:val="3"/>
        <w:numPr>
          <w:ilvl w:val="0"/>
          <w:numId w:val="13"/>
        </w:numPr>
        <w:tabs>
          <w:tab w:val="left" w:pos="1143"/>
        </w:tabs>
        <w:spacing w:beforeLines="0" w:afterLines="0" w:line="360" w:lineRule="auto"/>
        <w:ind w:left="0" w:firstLine="0"/>
        <w:jc w:val="center"/>
        <w:rPr>
          <w:rFonts w:hint="eastAsia" w:ascii="宋体" w:hAnsi="宋体" w:eastAsia="宋体" w:cs="宋体"/>
          <w:sz w:val="24"/>
          <w:szCs w:val="24"/>
        </w:rPr>
      </w:pPr>
      <w:bookmarkStart w:id="26" w:name="_Toc142725000"/>
      <w:r>
        <w:rPr>
          <w:rFonts w:hint="eastAsia" w:ascii="宋体" w:hAnsi="宋体" w:eastAsia="宋体" w:cs="宋体"/>
          <w:sz w:val="24"/>
          <w:szCs w:val="24"/>
        </w:rPr>
        <w:t>特别提示</w:t>
      </w:r>
      <w:bookmarkEnd w:id="26"/>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1.本章技术要求，仅对功能、设计、结构、性能、安装和试验检验等方面，提出了最低和一般性的技术要求，并未对一切技术细节作出规定。</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2.本技术要求所使用的标准、规范等，如与投标方所执行的标准、规范不一致时，应按高于本技术要求所列的标准、规范执行。</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3.投标方认为所供货物必需由招标方配备、解决或提供的其它要求，均应在投标文件“技术偏离”中予以充分说明。</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4.投标方应根据招标</w:t>
      </w:r>
      <w:r>
        <w:rPr>
          <w:rFonts w:hint="eastAsia" w:ascii="宋体" w:hAnsi="宋体" w:cs="宋体"/>
          <w:color w:val="000000"/>
          <w:sz w:val="24"/>
          <w:szCs w:val="24"/>
          <w:lang w:val="en-US" w:eastAsia="zh-CN"/>
        </w:rPr>
        <w:t>试验家具的</w:t>
      </w:r>
      <w:r>
        <w:rPr>
          <w:rFonts w:hint="eastAsia" w:ascii="宋体" w:hAnsi="宋体" w:eastAsia="宋体" w:cs="宋体"/>
          <w:color w:val="000000"/>
          <w:sz w:val="24"/>
          <w:szCs w:val="24"/>
        </w:rPr>
        <w:t>具体要求，提出对厂房、公用设施、消防、环保等超出招标文件、投标文件、答疑文件、技术交流文件、技术协议书和合同等规定的、有特殊需要的解释、说明和要求。</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5.无论是否有技术偏离，投标方均应在投标文件“技术偏离”中明确作出有无说明。若有异议，不管是多么微小，投标方必须予以明确和详细的说明或澄清。</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6.为避免投标方优势在招标评审时漏项，质保期</w:t>
      </w:r>
      <w:r>
        <w:rPr>
          <w:rFonts w:hint="eastAsia" w:ascii="宋体" w:hAnsi="宋体" w:cs="宋体"/>
          <w:color w:val="000000"/>
          <w:sz w:val="24"/>
          <w:szCs w:val="24"/>
          <w:lang w:val="en-US" w:eastAsia="zh-CN"/>
        </w:rPr>
        <w:t>高于</w:t>
      </w:r>
      <w:r>
        <w:rPr>
          <w:rFonts w:hint="eastAsia" w:ascii="宋体" w:hAnsi="宋体" w:eastAsia="宋体" w:cs="宋体"/>
          <w:color w:val="000000"/>
          <w:sz w:val="24"/>
          <w:szCs w:val="24"/>
        </w:rPr>
        <w:t>本技术标书要求的，应当在投标文件“技术偏离”中特别注明。</w:t>
      </w:r>
    </w:p>
    <w:p>
      <w:pPr>
        <w:pStyle w:val="3"/>
        <w:numPr>
          <w:ilvl w:val="0"/>
          <w:numId w:val="13"/>
        </w:numPr>
        <w:tabs>
          <w:tab w:val="left" w:pos="1143"/>
        </w:tabs>
        <w:spacing w:beforeLines="0" w:afterLines="0" w:line="360" w:lineRule="auto"/>
        <w:ind w:left="0" w:firstLine="0"/>
        <w:jc w:val="center"/>
        <w:rPr>
          <w:rFonts w:hint="eastAsia" w:ascii="宋体" w:hAnsi="宋体" w:eastAsia="宋体" w:cs="宋体"/>
          <w:sz w:val="24"/>
          <w:szCs w:val="24"/>
        </w:rPr>
      </w:pPr>
      <w:bookmarkStart w:id="27" w:name="_Toc142725001"/>
      <w:r>
        <w:rPr>
          <w:rFonts w:hint="eastAsia" w:ascii="宋体" w:hAnsi="宋体" w:eastAsia="宋体" w:cs="宋体"/>
          <w:sz w:val="24"/>
          <w:szCs w:val="24"/>
        </w:rPr>
        <w:t>基本要求</w:t>
      </w:r>
      <w:bookmarkEnd w:id="27"/>
    </w:p>
    <w:p>
      <w:pPr>
        <w:spacing w:beforeLines="0" w:afterLines="0"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1.投标方需具备丰富的</w:t>
      </w:r>
      <w:r>
        <w:rPr>
          <w:rFonts w:hint="eastAsia" w:ascii="宋体" w:hAnsi="宋体" w:cs="宋体"/>
          <w:color w:val="000000"/>
          <w:sz w:val="24"/>
          <w:szCs w:val="24"/>
          <w:lang w:val="en-US" w:eastAsia="zh-CN"/>
        </w:rPr>
        <w:t>试验家具采购、安装等服务经验</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none"/>
        </w:rPr>
        <w:t>公司注册资金不低于</w:t>
      </w:r>
      <w:r>
        <w:rPr>
          <w:rFonts w:hint="eastAsia" w:ascii="宋体" w:hAnsi="宋体" w:cs="宋体"/>
          <w:color w:val="auto"/>
          <w:sz w:val="24"/>
          <w:szCs w:val="24"/>
          <w:highlight w:val="none"/>
          <w:lang w:val="en-US" w:eastAsia="zh-CN"/>
        </w:rPr>
        <w:t>100万</w:t>
      </w:r>
      <w:r>
        <w:rPr>
          <w:rFonts w:hint="eastAsia" w:ascii="宋体" w:hAnsi="宋体" w:eastAsia="宋体" w:cs="宋体"/>
          <w:color w:val="auto"/>
          <w:sz w:val="24"/>
          <w:szCs w:val="24"/>
          <w:highlight w:val="none"/>
        </w:rPr>
        <w:t>人民币，并提供至少</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例三年内</w:t>
      </w:r>
      <w:r>
        <w:rPr>
          <w:rFonts w:hint="eastAsia" w:ascii="宋体" w:hAnsi="宋体" w:cs="宋体"/>
          <w:color w:val="auto"/>
          <w:sz w:val="24"/>
          <w:szCs w:val="24"/>
          <w:highlight w:val="none"/>
          <w:lang w:val="en-US" w:eastAsia="zh-CN"/>
        </w:rPr>
        <w:t>类似服务</w:t>
      </w:r>
      <w:r>
        <w:rPr>
          <w:rFonts w:hint="eastAsia" w:ascii="宋体" w:hAnsi="宋体" w:eastAsia="宋体" w:cs="宋体"/>
          <w:color w:val="auto"/>
          <w:sz w:val="24"/>
          <w:szCs w:val="24"/>
          <w:highlight w:val="none"/>
        </w:rPr>
        <w:t>项目案例。</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投标方所供的</w:t>
      </w:r>
      <w:r>
        <w:rPr>
          <w:rFonts w:hint="eastAsia" w:ascii="宋体" w:hAnsi="宋体" w:cs="宋体"/>
          <w:color w:val="000000"/>
          <w:sz w:val="24"/>
          <w:szCs w:val="24"/>
          <w:lang w:val="en-US" w:eastAsia="zh-CN"/>
        </w:rPr>
        <w:t>各类试验家具等</w:t>
      </w:r>
      <w:r>
        <w:rPr>
          <w:rFonts w:hint="eastAsia" w:ascii="宋体" w:hAnsi="宋体" w:eastAsia="宋体" w:cs="宋体"/>
          <w:color w:val="000000"/>
          <w:sz w:val="24"/>
          <w:szCs w:val="24"/>
        </w:rPr>
        <w:t>，必须符合中国最新版的法律、法规和相关标准、规范的要求，符合项目所在地政府有关特殊要求。</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投标方所供</w:t>
      </w:r>
      <w:r>
        <w:rPr>
          <w:rFonts w:hint="eastAsia" w:ascii="宋体" w:hAnsi="宋体" w:cs="宋体"/>
          <w:color w:val="000000"/>
          <w:sz w:val="24"/>
          <w:szCs w:val="24"/>
          <w:lang w:val="en-US" w:eastAsia="zh-CN"/>
        </w:rPr>
        <w:t>各类试验家具</w:t>
      </w:r>
      <w:r>
        <w:rPr>
          <w:rFonts w:hint="eastAsia" w:ascii="宋体" w:hAnsi="宋体" w:eastAsia="宋体" w:cs="宋体"/>
          <w:color w:val="000000"/>
          <w:sz w:val="24"/>
          <w:szCs w:val="24"/>
        </w:rPr>
        <w:t>等涉及的专利权技术以及知识产权保护的其它技术等，应保证招标方不因此受到任何侵权指控以及实际损失。</w:t>
      </w:r>
    </w:p>
    <w:p>
      <w:pPr>
        <w:spacing w:beforeLines="0" w:afterLines="0" w:line="360" w:lineRule="auto"/>
        <w:ind w:firstLine="480" w:firstLineChars="200"/>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eastAsia="宋体" w:cs="宋体"/>
          <w:color w:val="000000"/>
          <w:sz w:val="24"/>
          <w:szCs w:val="24"/>
          <w:highlight w:val="none"/>
        </w:rPr>
        <w:t>投标方负责</w:t>
      </w:r>
      <w:r>
        <w:rPr>
          <w:rFonts w:hint="eastAsia" w:ascii="宋体" w:hAnsi="宋体" w:cs="宋体"/>
          <w:color w:val="000000"/>
          <w:sz w:val="24"/>
          <w:szCs w:val="24"/>
          <w:highlight w:val="none"/>
          <w:lang w:val="en-US" w:eastAsia="zh-CN"/>
        </w:rPr>
        <w:t>本项目所需试验家具的采购、运输、安装、调试、验收等全过程</w:t>
      </w:r>
      <w:r>
        <w:rPr>
          <w:rFonts w:hint="eastAsia" w:ascii="宋体" w:hAnsi="宋体" w:eastAsia="宋体" w:cs="宋体"/>
          <w:color w:val="000000"/>
          <w:sz w:val="24"/>
          <w:szCs w:val="24"/>
          <w:highlight w:val="none"/>
        </w:rPr>
        <w:t>工作。</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投标方应满足招标方提出的各项技术要求，必要时应当免费提供技术承诺或担保。</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投标方应在招标方规定的日期内完成包括</w:t>
      </w:r>
      <w:r>
        <w:rPr>
          <w:rFonts w:hint="eastAsia" w:ascii="宋体" w:hAnsi="宋体" w:cs="宋体"/>
          <w:color w:val="000000"/>
          <w:sz w:val="24"/>
          <w:szCs w:val="24"/>
          <w:lang w:val="en-US" w:eastAsia="zh-CN"/>
        </w:rPr>
        <w:t>采购</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运输</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安装、调试等</w:t>
      </w:r>
      <w:r>
        <w:rPr>
          <w:rFonts w:hint="eastAsia" w:ascii="宋体" w:hAnsi="宋体" w:eastAsia="宋体" w:cs="宋体"/>
          <w:color w:val="000000"/>
          <w:sz w:val="24"/>
          <w:szCs w:val="24"/>
        </w:rPr>
        <w:t>的全部工作。</w:t>
      </w:r>
    </w:p>
    <w:p>
      <w:pPr>
        <w:spacing w:beforeLines="0" w:afterLines="0" w:line="360" w:lineRule="auto"/>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投标方应</w:t>
      </w:r>
      <w:r>
        <w:rPr>
          <w:rFonts w:hint="eastAsia" w:ascii="宋体" w:hAnsi="宋体" w:cs="宋体"/>
          <w:color w:val="000000"/>
          <w:sz w:val="24"/>
          <w:szCs w:val="24"/>
          <w:lang w:val="en-US" w:eastAsia="zh-CN"/>
        </w:rPr>
        <w:t>根据招标方要求进行桌面开孔及桌插、过线盒的安装工作。</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cs="宋体"/>
          <w:color w:val="000000"/>
          <w:sz w:val="24"/>
          <w:szCs w:val="24"/>
          <w:lang w:eastAsia="zh-CN"/>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rPr>
        <w:t>投标方应对招标方采购所涉及的技术、产能等信息负有保密义务，招标方拥有追究投标方泄密责任的权利；招标方如有需要，投标方应无条件签署保密协议</w:t>
      </w:r>
      <w:r>
        <w:rPr>
          <w:rFonts w:hint="eastAsia" w:ascii="宋体" w:hAnsi="宋体" w:cs="宋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.本次</w:t>
      </w:r>
      <w:r>
        <w:rPr>
          <w:rFonts w:hint="eastAsia" w:ascii="宋体" w:hAnsi="宋体" w:cs="宋体"/>
          <w:color w:val="auto"/>
          <w:sz w:val="24"/>
          <w:szCs w:val="24"/>
          <w:highlight w:val="none"/>
          <w:lang w:val="en-US" w:eastAsia="zh-CN"/>
        </w:rPr>
        <w:t>新能源产品试验检测中心试验家具采购项目</w:t>
      </w:r>
      <w:r>
        <w:rPr>
          <w:rFonts w:hint="eastAsia" w:ascii="宋体" w:hAnsi="宋体" w:eastAsia="宋体" w:cs="宋体"/>
          <w:color w:val="auto"/>
          <w:sz w:val="24"/>
          <w:szCs w:val="24"/>
          <w:highlight w:val="none"/>
        </w:rPr>
        <w:t>采用</w:t>
      </w:r>
      <w:r>
        <w:rPr>
          <w:rFonts w:hint="eastAsia" w:ascii="宋体" w:hAnsi="宋体" w:cs="宋体"/>
          <w:color w:val="auto"/>
          <w:sz w:val="24"/>
          <w:szCs w:val="24"/>
          <w:highlight w:val="none"/>
          <w:u w:val="single"/>
          <w:lang w:val="en-US" w:eastAsia="zh-CN"/>
        </w:rPr>
        <w:t>据实结算</w:t>
      </w:r>
      <w:r>
        <w:rPr>
          <w:rFonts w:hint="eastAsia" w:ascii="宋体" w:hAnsi="宋体" w:eastAsia="宋体" w:cs="宋体"/>
          <w:color w:val="auto"/>
          <w:sz w:val="24"/>
          <w:szCs w:val="24"/>
          <w:highlight w:val="none"/>
        </w:rPr>
        <w:t>的方式。</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10</w:t>
      </w:r>
      <w:r>
        <w:rPr>
          <w:rFonts w:hint="eastAsia" w:ascii="宋体" w:hAnsi="宋体" w:eastAsia="宋体" w:cs="宋体"/>
          <w:color w:val="000000"/>
          <w:sz w:val="24"/>
          <w:szCs w:val="24"/>
        </w:rPr>
        <w:t>.投标方应保证所供货物的先进性、可靠性、经济性和实用性。</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11.投标方应保证所供货物为中国政府指定或规定的主管部门公布的非淘汰货物</w:t>
      </w:r>
      <w:r>
        <w:rPr>
          <w:rFonts w:hint="eastAsia" w:ascii="宋体" w:hAnsi="宋体" w:cs="宋体"/>
          <w:color w:val="000000"/>
          <w:sz w:val="24"/>
          <w:szCs w:val="24"/>
          <w:lang w:eastAsia="zh-CN"/>
        </w:rPr>
        <w:t>，</w:t>
      </w:r>
      <w:r>
        <w:rPr>
          <w:rFonts w:hint="eastAsia" w:ascii="宋体" w:hAnsi="宋体" w:eastAsia="宋体" w:cs="宋体"/>
          <w:color w:val="000000"/>
          <w:sz w:val="24"/>
          <w:szCs w:val="24"/>
        </w:rPr>
        <w:t>并尽力提供中国政府指定或规定的主管部门认可的环保型和节能型货物。</w:t>
      </w:r>
    </w:p>
    <w:p>
      <w:pPr>
        <w:spacing w:beforeLines="0" w:afterLines="0" w:line="360" w:lineRule="auto"/>
        <w:ind w:firstLine="480" w:firstLineChars="200"/>
        <w:rPr>
          <w:rFonts w:hint="default"/>
          <w:lang w:val="en-US" w:eastAsia="zh-CN"/>
        </w:rPr>
      </w:pPr>
      <w:r>
        <w:rPr>
          <w:rFonts w:hint="eastAsia" w:ascii="宋体" w:hAnsi="宋体" w:eastAsia="宋体" w:cs="宋体"/>
          <w:b w:val="0"/>
          <w:bCs w:val="0"/>
          <w:color w:val="000000"/>
          <w:kern w:val="2"/>
          <w:sz w:val="24"/>
          <w:szCs w:val="24"/>
          <w:lang w:val="en-US" w:eastAsia="zh-CN" w:bidi="ar-SA"/>
        </w:rPr>
        <w:t>12.供货期对本项目是非常重要的评价指标，投标方需严格遵守，供货期需要明确至自然天数，</w:t>
      </w:r>
      <w:r>
        <w:rPr>
          <w:rFonts w:hint="eastAsia" w:ascii="宋体" w:hAnsi="宋体" w:eastAsia="宋体" w:cs="宋体"/>
          <w:b w:val="0"/>
          <w:bCs w:val="0"/>
          <w:color w:val="000000"/>
          <w:kern w:val="2"/>
          <w:sz w:val="24"/>
          <w:szCs w:val="24"/>
          <w:highlight w:val="none"/>
          <w:lang w:val="en-US" w:eastAsia="zh-CN" w:bidi="ar-SA"/>
        </w:rPr>
        <w:t>供货期起点为</w:t>
      </w:r>
      <w:r>
        <w:rPr>
          <w:rFonts w:hint="eastAsia" w:ascii="宋体" w:hAnsi="宋体" w:cs="宋体"/>
          <w:b w:val="0"/>
          <w:bCs w:val="0"/>
          <w:color w:val="000000"/>
          <w:kern w:val="2"/>
          <w:sz w:val="24"/>
          <w:szCs w:val="24"/>
          <w:highlight w:val="none"/>
          <w:lang w:val="en-US" w:eastAsia="zh-CN" w:bidi="ar-SA"/>
        </w:rPr>
        <w:t>合同签订</w:t>
      </w:r>
      <w:r>
        <w:rPr>
          <w:rFonts w:hint="eastAsia" w:ascii="宋体" w:hAnsi="宋体" w:eastAsia="宋体" w:cs="宋体"/>
          <w:b w:val="0"/>
          <w:bCs w:val="0"/>
          <w:color w:val="000000"/>
          <w:kern w:val="2"/>
          <w:sz w:val="24"/>
          <w:szCs w:val="24"/>
          <w:highlight w:val="none"/>
          <w:lang w:val="en-US" w:eastAsia="zh-CN" w:bidi="ar-SA"/>
        </w:rPr>
        <w:t>的日期算起</w:t>
      </w:r>
      <w:r>
        <w:rPr>
          <w:rFonts w:hint="eastAsia" w:ascii="宋体" w:hAnsi="宋体" w:eastAsia="宋体" w:cs="宋体"/>
          <w:b w:val="0"/>
          <w:bCs w:val="0"/>
          <w:color w:val="000000"/>
          <w:kern w:val="2"/>
          <w:sz w:val="24"/>
          <w:szCs w:val="24"/>
          <w:lang w:val="en-US" w:eastAsia="zh-CN" w:bidi="ar-SA"/>
        </w:rPr>
        <w:t>。</w:t>
      </w:r>
    </w:p>
    <w:p>
      <w:pPr>
        <w:pStyle w:val="3"/>
        <w:numPr>
          <w:ilvl w:val="0"/>
          <w:numId w:val="13"/>
        </w:numPr>
        <w:spacing w:beforeLines="0" w:afterLines="0" w:line="360" w:lineRule="auto"/>
        <w:ind w:left="0" w:firstLine="0"/>
        <w:jc w:val="center"/>
        <w:rPr>
          <w:rFonts w:hint="eastAsia" w:ascii="宋体" w:hAnsi="宋体" w:eastAsia="宋体" w:cs="宋体"/>
          <w:sz w:val="24"/>
          <w:szCs w:val="24"/>
          <w:highlight w:val="none"/>
        </w:rPr>
      </w:pPr>
      <w:bookmarkStart w:id="28" w:name="_Toc142725002"/>
      <w:r>
        <w:rPr>
          <w:rFonts w:hint="eastAsia" w:ascii="宋体" w:hAnsi="宋体" w:eastAsia="宋体" w:cs="宋体"/>
          <w:sz w:val="24"/>
          <w:szCs w:val="24"/>
          <w:highlight w:val="none"/>
        </w:rPr>
        <w:t>技术要求</w:t>
      </w:r>
      <w:bookmarkEnd w:id="28"/>
    </w:p>
    <w:p>
      <w:pPr>
        <w:widowControl/>
        <w:numPr>
          <w:ilvl w:val="0"/>
          <w:numId w:val="0"/>
        </w:numPr>
        <w:spacing w:line="360" w:lineRule="auto"/>
        <w:jc w:val="left"/>
        <w:rPr>
          <w:rFonts w:hint="eastAsia" w:ascii="宋体" w:hAnsi="宋体" w:eastAsia="宋体" w:cs="宋体"/>
          <w:b/>
          <w:bCs/>
          <w:color w:val="000000"/>
          <w:sz w:val="24"/>
          <w:szCs w:val="24"/>
          <w:lang w:val="en-US" w:eastAsia="zh-CN"/>
        </w:rPr>
      </w:pPr>
      <w:r>
        <w:rPr>
          <w:rFonts w:hint="eastAsia" w:ascii="宋体" w:hAnsi="宋体" w:eastAsia="宋体" w:cs="宋体"/>
          <w:b/>
          <w:bCs/>
          <w:iCs/>
          <w:color w:val="000000"/>
          <w:sz w:val="24"/>
          <w:lang w:val="en-US" w:eastAsia="zh-CN"/>
        </w:rPr>
        <w:t>1、</w:t>
      </w:r>
      <w:r>
        <w:rPr>
          <w:rFonts w:hint="eastAsia" w:ascii="宋体" w:hAnsi="宋体" w:eastAsia="宋体" w:cs="宋体"/>
          <w:b/>
          <w:bCs/>
          <w:iCs/>
          <w:color w:val="000000"/>
          <w:sz w:val="24"/>
        </w:rPr>
        <w:t>PP药品柜</w:t>
      </w:r>
      <w:r>
        <w:rPr>
          <w:rFonts w:hint="eastAsia" w:ascii="宋体" w:hAnsi="宋体" w:cs="宋体"/>
          <w:b/>
          <w:bCs/>
          <w:iCs/>
          <w:color w:val="000000"/>
          <w:sz w:val="24"/>
          <w:lang w:val="en-US" w:eastAsia="zh-CN"/>
        </w:rPr>
        <w:t>/</w:t>
      </w:r>
      <w:r>
        <w:rPr>
          <w:rFonts w:hint="eastAsia" w:ascii="宋体" w:hAnsi="宋体" w:eastAsia="宋体" w:cs="宋体"/>
          <w:b/>
          <w:bCs/>
          <w:iCs/>
          <w:color w:val="000000"/>
          <w:sz w:val="24"/>
        </w:rPr>
        <w:t>PP</w:t>
      </w:r>
      <w:r>
        <w:rPr>
          <w:rFonts w:hint="eastAsia" w:ascii="宋体" w:hAnsi="宋体" w:cs="宋体"/>
          <w:b/>
          <w:bCs/>
          <w:iCs/>
          <w:color w:val="000000"/>
          <w:sz w:val="24"/>
          <w:lang w:val="en-US" w:eastAsia="zh-CN"/>
        </w:rPr>
        <w:t>通风</w:t>
      </w:r>
      <w:r>
        <w:rPr>
          <w:rFonts w:hint="eastAsia" w:ascii="宋体" w:hAnsi="宋体" w:eastAsia="宋体" w:cs="宋体"/>
          <w:b/>
          <w:bCs/>
          <w:iCs/>
          <w:color w:val="000000"/>
          <w:sz w:val="24"/>
        </w:rPr>
        <w:t>药品柜</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1.1材质及工艺要求</w:t>
      </w:r>
    </w:p>
    <w:p>
      <w:pPr>
        <w:pStyle w:val="31"/>
        <w:keepNext w:val="0"/>
        <w:keepLines w:val="0"/>
        <w:pageBreakBefore w:val="0"/>
        <w:widowControl w:val="0"/>
        <w:numPr>
          <w:ilvl w:val="2"/>
          <w:numId w:val="14"/>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柜体板材：采用全新食品级瓷白色聚丙烯（PP）板材，无回收料、无杂质、无异味；侧板、顶板、底板板材厚度≥8mm，层板厚度≥6mm。</w:t>
      </w:r>
    </w:p>
    <w:p>
      <w:pPr>
        <w:pStyle w:val="31"/>
        <w:keepNext w:val="0"/>
        <w:keepLines w:val="0"/>
        <w:pageBreakBefore w:val="0"/>
        <w:widowControl w:val="0"/>
        <w:numPr>
          <w:ilvl w:val="2"/>
          <w:numId w:val="14"/>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焊接工艺：采用同质PP焊条热熔无缝焊接，焊缝平整牢固、无虚焊、无气孔、无开裂，整体结构强度高，长期使用不变形、不开裂。</w:t>
      </w:r>
    </w:p>
    <w:p>
      <w:pPr>
        <w:pStyle w:val="31"/>
        <w:keepNext w:val="0"/>
        <w:keepLines w:val="0"/>
        <w:pageBreakBefore w:val="0"/>
        <w:widowControl w:val="0"/>
        <w:numPr>
          <w:ilvl w:val="2"/>
          <w:numId w:val="14"/>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门板配置：上部为对开钢化玻璃门，玻璃厚度≥5mm，透明可视，便于观察内部药品；下部为对开PP实门，门板平整，关闭后密封性能良好。</w:t>
      </w:r>
    </w:p>
    <w:p>
      <w:pPr>
        <w:pStyle w:val="31"/>
        <w:keepNext w:val="0"/>
        <w:keepLines w:val="0"/>
        <w:pageBreakBefore w:val="0"/>
        <w:widowControl w:val="0"/>
        <w:numPr>
          <w:ilvl w:val="2"/>
          <w:numId w:val="14"/>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五金配件：铰链、拉手、门锁均采用同材质PP防腐配件，杜绝金属件锈蚀问题，启闭灵活，经久耐用。</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1.2结构与尺寸要求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1.2.1 外形尺寸：标准尺寸900mm（长）×450mm（宽）×1800mm（高），允许±20mm公差，可根据采购人场地进行非标调整。</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1.2.2内部结构：配备可调节PP层板，层板调节间距≤85mm，层板四周设置高度≥20mm挡液边，防止试剂倾倒渗漏；单层均布承重≥50kg。</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1.2.3通风系统：柜体顶部预留Φ100mm标准排风接口，门板设置回风槽，可直接接入实验室集中排风系统，保障柜内气体流通。</w:t>
      </w:r>
      <w:r>
        <w:rPr>
          <w:rFonts w:hint="eastAsia" w:ascii="宋体" w:hAnsi="宋体" w:cs="宋体"/>
          <w:sz w:val="24"/>
          <w:szCs w:val="24"/>
          <w:highlight w:val="none"/>
          <w:lang w:val="en-US" w:eastAsia="zh-CN"/>
        </w:rPr>
        <w:t>设备与主管之间的支管由投标方提供并安装。</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1.2.4防漏结构：柜体底部设置一体成型防泄漏托盘，托盘有效容积不小于柜体内部容积的25%，可承接泄漏试剂，防止污染扩散。</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1.2.5安全锁具：配置双人双锁防腐锁具，上下柜门独立管控，满足危化品双人管理要求，锁具开启顺畅、锁闭可靠。</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1.3性能及安全要求</w:t>
      </w:r>
    </w:p>
    <w:p>
      <w:pPr>
        <w:pStyle w:val="31"/>
        <w:keepNext w:val="0"/>
        <w:keepLines w:val="0"/>
        <w:pageBreakBefore w:val="0"/>
        <w:widowControl w:val="0"/>
        <w:numPr>
          <w:ilvl w:val="0"/>
          <w:numId w:val="15"/>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3.1耐腐蚀性能：柜体可长期存放盐酸、硫酸、硝酸、氢氧化钠等强腐蚀性试剂，常温下无溶胀、开裂、变色现象。</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1.3.2 适用环境：可在温度0～60℃、常规实验室湿度环境下稳定使用，具备良好抗老化性能。</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1.3.3标识要求：柜门外侧粘贴清晰规范的GHS化学品警示标识、存储类别标识，标识耐摩擦、不脱落。</w:t>
      </w:r>
    </w:p>
    <w:p>
      <w:pPr>
        <w:pStyle w:val="31"/>
        <w:jc w:val="left"/>
        <w:rPr>
          <w:rFonts w:hint="eastAsia"/>
          <w:lang w:val="en-US" w:eastAsia="zh-CN"/>
        </w:rPr>
      </w:pPr>
      <w:r>
        <w:rPr>
          <w:rFonts w:hint="eastAsia"/>
          <w:lang w:val="en-US" w:eastAsia="zh-CN"/>
        </w:rPr>
        <w:drawing>
          <wp:inline distT="0" distB="0" distL="114300" distR="114300">
            <wp:extent cx="2836545" cy="2179320"/>
            <wp:effectExtent l="0" t="0" r="1905" b="1905"/>
            <wp:docPr id="17" name="图片 17" descr="17e8470baa926c419d4128fd9c7ab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e8470baa926c419d4128fd9c7ab495"/>
                    <pic:cNvPicPr>
                      <a:picLocks noChangeAspect="1"/>
                    </pic:cNvPicPr>
                  </pic:nvPicPr>
                  <pic:blipFill>
                    <a:blip r:embed="rId27"/>
                    <a:srcRect b="23200"/>
                    <a:stretch>
                      <a:fillRect/>
                    </a:stretch>
                  </pic:blipFill>
                  <pic:spPr>
                    <a:xfrm>
                      <a:off x="0" y="0"/>
                      <a:ext cx="2836545" cy="2179320"/>
                    </a:xfrm>
                    <a:prstGeom prst="rect">
                      <a:avLst/>
                    </a:prstGeom>
                  </pic:spPr>
                </pic:pic>
              </a:graphicData>
            </a:graphic>
          </wp:inline>
        </w:drawing>
      </w:r>
      <w:r>
        <w:rPr>
          <w:rFonts w:hint="eastAsia"/>
          <w:lang w:val="en-US" w:eastAsia="zh-CN"/>
        </w:rPr>
        <w:drawing>
          <wp:inline distT="0" distB="0" distL="114300" distR="114300">
            <wp:extent cx="2838450" cy="2259330"/>
            <wp:effectExtent l="0" t="0" r="0" b="0"/>
            <wp:docPr id="34" name="图片 34" descr="e0c7cbdca88a7138e3eb76fec3c4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0c7cbdca88a7138e3eb76fec3c40ebc"/>
                    <pic:cNvPicPr>
                      <a:picLocks noChangeAspect="1"/>
                    </pic:cNvPicPr>
                  </pic:nvPicPr>
                  <pic:blipFill>
                    <a:blip r:embed="rId28"/>
                    <a:srcRect t="-2751" b="23167"/>
                    <a:stretch>
                      <a:fillRect/>
                    </a:stretch>
                  </pic:blipFill>
                  <pic:spPr>
                    <a:xfrm>
                      <a:off x="0" y="0"/>
                      <a:ext cx="2838450" cy="2259330"/>
                    </a:xfrm>
                    <a:prstGeom prst="rect">
                      <a:avLst/>
                    </a:prstGeom>
                  </pic:spPr>
                </pic:pic>
              </a:graphicData>
            </a:graphic>
          </wp:inline>
        </w:drawing>
      </w:r>
    </w:p>
    <w:p>
      <w:pPr>
        <w:pStyle w:val="31"/>
        <w:jc w:val="center"/>
        <w:rPr>
          <w:rFonts w:hint="eastAsia"/>
          <w:lang w:val="en-US" w:eastAsia="zh-CN"/>
        </w:rPr>
      </w:pPr>
    </w:p>
    <w:p>
      <w:pPr>
        <w:widowControl/>
        <w:numPr>
          <w:ilvl w:val="0"/>
          <w:numId w:val="0"/>
        </w:numPr>
        <w:spacing w:line="360" w:lineRule="auto"/>
        <w:jc w:val="left"/>
        <w:rPr>
          <w:rFonts w:hint="eastAsia" w:ascii="宋体" w:hAnsi="宋体" w:eastAsia="宋体" w:cs="宋体"/>
          <w:b/>
          <w:bCs/>
          <w:color w:val="000000"/>
          <w:sz w:val="24"/>
          <w:szCs w:val="24"/>
          <w:lang w:val="en-US" w:eastAsia="zh-CN"/>
        </w:rPr>
      </w:pPr>
      <w:r>
        <w:rPr>
          <w:rFonts w:hint="eastAsia" w:ascii="宋体" w:hAnsi="宋体" w:cs="宋体"/>
          <w:b/>
          <w:bCs/>
          <w:iCs/>
          <w:color w:val="000000"/>
          <w:sz w:val="24"/>
          <w:lang w:val="en-US" w:eastAsia="zh-CN"/>
        </w:rPr>
        <w:t>2</w:t>
      </w:r>
      <w:r>
        <w:rPr>
          <w:rFonts w:hint="eastAsia" w:ascii="宋体" w:hAnsi="宋体" w:eastAsia="宋体" w:cs="宋体"/>
          <w:b/>
          <w:bCs/>
          <w:iCs/>
          <w:color w:val="000000"/>
          <w:sz w:val="24"/>
          <w:lang w:val="en-US" w:eastAsia="zh-CN"/>
        </w:rPr>
        <w:t>、</w:t>
      </w:r>
      <w:r>
        <w:rPr>
          <w:rFonts w:hint="eastAsia" w:ascii="宋体" w:hAnsi="宋体" w:cs="宋体"/>
          <w:b/>
          <w:bCs/>
          <w:iCs/>
          <w:color w:val="000000"/>
          <w:sz w:val="24"/>
          <w:lang w:val="en-US" w:eastAsia="zh-CN"/>
        </w:rPr>
        <w:t>通风橱</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2.1材质及工艺要求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2.1.1.柜体外壳、通风内腔、导流板、储物柜门、置物层板全部采用≥8mm全新原生瓷白PP聚丙烯板，严禁使用回收再生板材。</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2.1.2 柜体拼接采用同质PP焊条全自动热熔满焊工艺，内腔焊缝打磨平整无凸起，无积废液死角；内腔禁止金属螺丝、铆钉穿透固定。</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2.1.3 柜门合页、拉手、门锁、层板卡扣全部为一体注塑PP防腐材质，不得使用铁质、普通不锈钢五金件。</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2.1.4 升降视窗框架全包PP防腐封边，配重钢丝绳外层包裹防腐胶套，滑轮为PP静音防腐轮。</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2.1.5操作台面采用≥12mm一体成型PP台面，耐氢氟酸、浓硝酸、强碱腐蚀；台面一体成型5mm加高防溢挡水边，防止液体外溢。</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2.1.6水路、气路配件采用PP/PTFE四氟材质，适配强腐蚀试剂操作环境。</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ascii="宋体" w:hAnsi="宋体" w:eastAsia="宋体" w:cs="宋体"/>
          <w:sz w:val="24"/>
          <w:szCs w:val="24"/>
          <w:lang w:val="en-US" w:eastAsia="zh-CN"/>
        </w:rPr>
        <w:t>2.1.7上下单元分体密封拼接，接缝处装配防腐密封胶条，避免腐蚀气体渗漏；内部电路全部隐藏布线，线路通道与操作内腔物理隔离，预留密封防腐检修口。</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2.2结构和尺寸要求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2.2.1.外形尺寸：标准尺寸长2000mm×宽1000mm×高2350mm，允许±20mm公差，可根据采购人场地进行非标调整。结构样式为上部通风操作区+下部四门封闭式PP储物柜体。</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2.2.2.顶部一体成型静压集气箱，标配Φ250mm标准圆形排风接口，可直接对接PP防腐风管、防腐离心风机。</w:t>
      </w:r>
      <w:r>
        <w:rPr>
          <w:rFonts w:hint="eastAsia" w:ascii="宋体" w:hAnsi="宋体" w:cs="宋体"/>
          <w:sz w:val="24"/>
          <w:szCs w:val="24"/>
          <w:highlight w:val="none"/>
          <w:lang w:val="en-US" w:eastAsia="zh-CN"/>
        </w:rPr>
        <w:t>设备与主管之间的支管由投标方提供并安装。</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2.2.3.前视窗采用5mm钢化安全玻璃，无段平衡配重升降，最大开启高度≥750mm，可在任意高度稳定悬停。</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2.2.4 通风内腔配置双层可拆卸PP导流板，内置1层可调高度PP置物层板；静压箱顶部设均衡散流百叶，保证内部气流均匀。</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2.2.5下部为四门独立密封储物柜，柜内配可调PP分层板；双侧立柱集成一体化数显控制面板、2组IP54防水防溅五孔插座、气体考克预留安装位。</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2.2.6升降玻璃配备上下缓冲防撞限位，内置钢丝绳断裂防坠落保护结构。</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2.2.7储物柜门配置双人双锁，满足危化试剂管控规范；柜体底部预留防潮离地间隙，避免地面积液侵蚀。</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2.2.8台面可配套PP防腐水槽、单联防腐水龙头（按需配置）。</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2.3性能及安全要求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2.3.1通风性能：视窗开启</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00mm标准操作高度，内腔平均面风速稳定0.4~0.6m/s，风速不均匀度≤15%；投标文件须附CMA第三方通风风速检测报告，现场烟雾测试无废气外溢、无气体倒灌。</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2.3.2 整机电气配备独立漏电保护装置，柜体可靠接地；内腔照明为防爆防腐LED灯，无电火花产生风险。</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2.3.3整机无外露铁质金属构件，所有接触酸碱蒸汽、废液的零部件均为耐强腐蚀PP/四氟材质，可长期操作氢氟酸、浓硝酸、强碱、强氧化剂。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2.3.4电控系统：一体化液晶控制面板，实时显示面风速、风机运行状态、内腔照明；具备风速过低声光报警、一键紧急强排风功能。</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2.3.5排风系统可适配24小时不间断持续运行，可选配电动变风量风阀，随视窗升降自动调节排风量，稳定维持安全风速</w:t>
      </w:r>
      <w:r>
        <w:rPr>
          <w:rFonts w:hint="eastAsia" w:ascii="宋体" w:hAnsi="宋体" w:cs="宋体"/>
          <w:sz w:val="24"/>
          <w:szCs w:val="24"/>
          <w:lang w:val="en-US" w:eastAsia="zh-CN"/>
        </w:rPr>
        <w:t>，要求面风速传感器采用优质品牌，质保2年</w:t>
      </w:r>
      <w:r>
        <w:rPr>
          <w:rFonts w:hint="eastAsia" w:ascii="宋体" w:hAnsi="宋体" w:eastAsia="宋体" w:cs="宋体"/>
          <w:sz w:val="24"/>
          <w:szCs w:val="24"/>
          <w:lang w:val="en-US" w:eastAsia="zh-CN"/>
        </w:rPr>
        <w:t>。</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2.3.6台面整体防渗漏，洒落液体可汇集导流，不会渗入下部储物柜体。</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2.3.7电路区域与腐蚀气体操作区完全隔离，线路做绝缘防腐包裹处理，杜绝酸碱蒸汽腐蚀线路造成短路故障。</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ascii="宋体" w:hAnsi="宋体" w:eastAsia="宋体" w:cs="宋体"/>
          <w:sz w:val="24"/>
          <w:szCs w:val="24"/>
          <w:lang w:val="en-US" w:eastAsia="zh-CN"/>
        </w:rPr>
        <w:t>2.3.8整机连续72小时满负荷运行无板材变形、焊缝开裂、五金卡顿等故障。</w:t>
      </w:r>
    </w:p>
    <w:p>
      <w:pPr>
        <w:pStyle w:val="13"/>
        <w:jc w:val="center"/>
        <w:rPr>
          <w:rFonts w:hint="default"/>
          <w:lang w:val="en-US" w:eastAsia="zh-CN"/>
        </w:rPr>
      </w:pPr>
      <w:r>
        <w:rPr>
          <w:rFonts w:hint="default"/>
          <w:lang w:val="en-US" w:eastAsia="zh-CN"/>
        </w:rPr>
        <w:drawing>
          <wp:inline distT="0" distB="0" distL="114300" distR="114300">
            <wp:extent cx="3507105" cy="3103880"/>
            <wp:effectExtent l="0" t="0" r="7620" b="1270"/>
            <wp:docPr id="43" name="图片 43" descr="d69c2042323bbbe0041af9073ab44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69c2042323bbbe0041af9073ab4411c"/>
                    <pic:cNvPicPr>
                      <a:picLocks noChangeAspect="1"/>
                    </pic:cNvPicPr>
                  </pic:nvPicPr>
                  <pic:blipFill>
                    <a:blip r:embed="rId29"/>
                    <a:srcRect t="6400" b="5098"/>
                    <a:stretch>
                      <a:fillRect/>
                    </a:stretch>
                  </pic:blipFill>
                  <pic:spPr>
                    <a:xfrm>
                      <a:off x="0" y="0"/>
                      <a:ext cx="3507105" cy="3103880"/>
                    </a:xfrm>
                    <a:prstGeom prst="rect">
                      <a:avLst/>
                    </a:prstGeom>
                  </pic:spPr>
                </pic:pic>
              </a:graphicData>
            </a:graphic>
          </wp:inline>
        </w:drawing>
      </w:r>
    </w:p>
    <w:p>
      <w:pPr>
        <w:widowControl/>
        <w:numPr>
          <w:ilvl w:val="0"/>
          <w:numId w:val="16"/>
        </w:numPr>
        <w:spacing w:line="360" w:lineRule="auto"/>
        <w:jc w:val="left"/>
        <w:rPr>
          <w:rFonts w:hint="eastAsia" w:ascii="宋体" w:hAnsi="宋体" w:cs="宋体"/>
          <w:b/>
          <w:bCs/>
          <w:iCs/>
          <w:color w:val="000000"/>
          <w:sz w:val="24"/>
          <w:lang w:val="en-US" w:eastAsia="zh-CN"/>
        </w:rPr>
      </w:pPr>
      <w:r>
        <w:rPr>
          <w:rFonts w:hint="eastAsia" w:ascii="宋体" w:hAnsi="宋体" w:cs="宋体"/>
          <w:b/>
          <w:bCs/>
          <w:iCs/>
          <w:color w:val="000000"/>
          <w:sz w:val="24"/>
          <w:lang w:val="en-US" w:eastAsia="zh-CN"/>
        </w:rPr>
        <w:t>不锈钢小推车</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3.1材质与工艺要求</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3.1.1主体材质：304不锈钢，板厚≥1.0mm；管材φ25mm、壁厚≥1.2mm；耐酸碱、耐腐蚀、易清洁。</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3.1.2工艺：整体满焊、打磨抛光、无毛刺、无锐角；表面拉丝处理、不留卫生死角。</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3.1.3层板边缘≥50mm加高护栏，防物品滑落。</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3.1.4扶手一体弯折成型、焊接牢固。</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3.2结构与尺寸要求</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3.2.1外形尺寸800×450×900mm；双层结构。</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3.2.2脚轮：4寸TPR静音万向轮，2个万向、2个带刹车；360°转向、静音耐磨、防缠绕。</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3.2.3 单层承重≥40kg，总承重≥80kg，底部加强筋防变形。</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3.3性能与安全要求</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 移动顺滑、静音、无卡顿；刹车可靠、定位稳固。</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 耐酸碱、耐腐蚀、易擦拭消毒；无锈蚀、无脱落。</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ascii="宋体" w:hAnsi="宋体" w:eastAsia="宋体" w:cs="宋体"/>
          <w:sz w:val="24"/>
          <w:szCs w:val="24"/>
          <w:lang w:val="en-US" w:eastAsia="zh-CN"/>
        </w:rPr>
        <w:t>3.3.3 整体结构稳固、无晃动、焊接牢固。</w:t>
      </w:r>
    </w:p>
    <w:p>
      <w:pPr>
        <w:pStyle w:val="13"/>
        <w:jc w:val="center"/>
        <w:rPr>
          <w:rFonts w:hint="eastAsia"/>
          <w:lang w:val="en-US" w:eastAsia="zh-CN"/>
        </w:rPr>
      </w:pPr>
      <w:r>
        <w:rPr>
          <w:rFonts w:hint="eastAsia"/>
          <w:lang w:val="en-US" w:eastAsia="zh-CN"/>
        </w:rPr>
        <w:drawing>
          <wp:inline distT="0" distB="0" distL="114300" distR="114300">
            <wp:extent cx="2890520" cy="2890520"/>
            <wp:effectExtent l="0" t="0" r="5080" b="5080"/>
            <wp:docPr id="44" name="图片 44" descr="8b28bffbae8c1f25d96ca1d058a14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b28bffbae8c1f25d96ca1d058a145ac"/>
                    <pic:cNvPicPr>
                      <a:picLocks noChangeAspect="1"/>
                    </pic:cNvPicPr>
                  </pic:nvPicPr>
                  <pic:blipFill>
                    <a:blip r:embed="rId30"/>
                    <a:stretch>
                      <a:fillRect/>
                    </a:stretch>
                  </pic:blipFill>
                  <pic:spPr>
                    <a:xfrm>
                      <a:off x="0" y="0"/>
                      <a:ext cx="2890520" cy="2890520"/>
                    </a:xfrm>
                    <a:prstGeom prst="rect">
                      <a:avLst/>
                    </a:prstGeom>
                  </pic:spPr>
                </pic:pic>
              </a:graphicData>
            </a:graphic>
          </wp:inline>
        </w:drawing>
      </w:r>
    </w:p>
    <w:p>
      <w:pPr>
        <w:widowControl/>
        <w:numPr>
          <w:ilvl w:val="0"/>
          <w:numId w:val="16"/>
        </w:numPr>
        <w:spacing w:line="360" w:lineRule="auto"/>
        <w:jc w:val="left"/>
        <w:rPr>
          <w:rFonts w:hint="eastAsia" w:ascii="宋体" w:hAnsi="宋体" w:cs="宋体"/>
          <w:b/>
          <w:bCs/>
          <w:iCs/>
          <w:color w:val="000000"/>
          <w:sz w:val="24"/>
          <w:lang w:val="en-US" w:eastAsia="zh-CN"/>
        </w:rPr>
      </w:pPr>
      <w:r>
        <w:rPr>
          <w:rFonts w:hint="eastAsia" w:ascii="宋体" w:hAnsi="宋体" w:eastAsia="宋体" w:cs="宋体"/>
          <w:b/>
          <w:bCs/>
          <w:sz w:val="24"/>
          <w:szCs w:val="24"/>
          <w:lang w:val="en-US" w:eastAsia="zh-CN"/>
        </w:rPr>
        <w:t>PP万向排气罩</w:t>
      </w:r>
      <w:r>
        <w:rPr>
          <w:rFonts w:hint="eastAsia" w:ascii="宋体" w:hAnsi="宋体" w:cs="宋体"/>
          <w:b/>
          <w:bCs/>
          <w:iCs/>
          <w:color w:val="000000"/>
          <w:sz w:val="24"/>
          <w:lang w:val="en-US" w:eastAsia="zh-CN"/>
        </w:rPr>
        <w:t>/</w:t>
      </w:r>
      <w:r>
        <w:rPr>
          <w:rFonts w:hint="eastAsia" w:ascii="宋体" w:hAnsi="宋体" w:eastAsia="宋体" w:cs="宋体"/>
          <w:b/>
          <w:bCs/>
          <w:sz w:val="24"/>
          <w:szCs w:val="24"/>
          <w:lang w:val="en-US" w:eastAsia="zh-CN"/>
        </w:rPr>
        <w:t>原子吸收罩</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4.1 </w:t>
      </w:r>
      <w:r>
        <w:rPr>
          <w:rFonts w:hint="eastAsia" w:ascii="宋体" w:hAnsi="宋体" w:eastAsia="宋体" w:cs="宋体"/>
          <w:sz w:val="24"/>
          <w:szCs w:val="24"/>
          <w:lang w:val="en-US" w:eastAsia="zh-CN"/>
        </w:rPr>
        <w:t>PP万向排气罩（三节万向抽气罩）</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4.1.1</w:t>
      </w:r>
      <w:r>
        <w:rPr>
          <w:rFonts w:hint="eastAsia" w:ascii="宋体" w:hAnsi="宋体" w:eastAsia="宋体" w:cs="宋体"/>
          <w:sz w:val="24"/>
          <w:szCs w:val="24"/>
          <w:lang w:val="en-US" w:eastAsia="zh-CN"/>
        </w:rPr>
        <w:t>材质及工艺要求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关节、管道、集气罩、吊顶底座全部采用全新原生PP聚丙烯材质，耐酸碱、有机溶剂腐蚀，禁止回收料。</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旋转关节内置硅胶密封垫圈，锁紧旋钮为防腐PP材质，长期使用不漏气、不打滑。</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管道一体挤出成型，无拼接缝隙，内壁光滑无积尘死角。</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外观配色：主管白色，关节锁紧件、集气罩为红色，注塑成型无毛刺。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有密封件采用耐老化硅橡胶，适配实验室酸碱蒸汽环境，不易硬化开裂。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4.1.2</w:t>
      </w:r>
      <w:r>
        <w:rPr>
          <w:rFonts w:hint="eastAsia" w:ascii="宋体" w:hAnsi="宋体" w:eastAsia="宋体" w:cs="宋体"/>
          <w:sz w:val="24"/>
          <w:szCs w:val="24"/>
          <w:highlight w:val="none"/>
          <w:lang w:val="en-US" w:eastAsia="zh-CN"/>
        </w:rPr>
        <w:t>结构和尺寸要求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三节可旋转伸缩结构，总拉伸长度≥1500mm，可360°任意旋转、定位悬停，无回弹偏移。</w:t>
      </w:r>
    </w:p>
    <w:p>
      <w:pPr>
        <w:pStyle w:val="3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吊顶圆形底座外径≥180mm，顶部标准Φ110mm排风接口，适配PP通风管道。</w:t>
      </w:r>
      <w:r>
        <w:rPr>
          <w:rFonts w:hint="eastAsia" w:ascii="宋体" w:hAnsi="宋体" w:cs="宋体"/>
          <w:sz w:val="24"/>
          <w:szCs w:val="24"/>
          <w:highlight w:val="none"/>
          <w:lang w:val="en-US" w:eastAsia="zh-CN"/>
        </w:rPr>
        <w:t>设备与主管之间的支管由投标方提供并安装。</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底部集气罩口径≥320mm，碗型集气结构，聚拢废气效果好。</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关节内置阻尼锁紧结构，单手即可调节角度、高度，调节后稳定不晃动。</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吊顶底座预留膨胀螺丝安装孔，适配实验室吊顶/顶板安装。</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4.1.3</w:t>
      </w:r>
      <w:r>
        <w:rPr>
          <w:rFonts w:hint="eastAsia" w:ascii="宋体" w:hAnsi="宋体" w:eastAsia="宋体" w:cs="宋体"/>
          <w:sz w:val="24"/>
          <w:szCs w:val="24"/>
          <w:lang w:val="en-US" w:eastAsia="zh-CN"/>
        </w:rPr>
        <w:t>性能及安全要求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气流密闭性：任意角度调节后，关节缝隙无废气泄漏，负压工况无倒灌。</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耐腐性能：可长期耐受浓酸、弱碱、有机试剂挥发气体，不老化变形、不开裂。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管道内壁光滑，风阻小，配套排风系统后无明显气流噪音。</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整体无金属外露件，杜绝酸碱蒸汽腐蚀生锈风险，易擦拭清洁消毒。</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承重稳定，完全伸展无下垂变形，使用寿命≥5年。</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4.2 </w:t>
      </w:r>
      <w:r>
        <w:rPr>
          <w:rFonts w:hint="eastAsia" w:ascii="宋体" w:hAnsi="宋体" w:eastAsia="宋体" w:cs="宋体"/>
          <w:sz w:val="24"/>
          <w:szCs w:val="24"/>
          <w:lang w:val="en-US" w:eastAsia="zh-CN"/>
        </w:rPr>
        <w:t>原子吸收罩</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4.2.1</w:t>
      </w:r>
      <w:r>
        <w:rPr>
          <w:rFonts w:hint="eastAsia" w:ascii="宋体" w:hAnsi="宋体" w:eastAsia="宋体" w:cs="宋体"/>
          <w:sz w:val="24"/>
          <w:szCs w:val="24"/>
          <w:lang w:val="en-US" w:eastAsia="zh-CN"/>
        </w:rPr>
        <w:t xml:space="preserve"> 材质及工艺要求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主管、集气方罩、法兰底座全部采用304不锈钢板材，板厚≥1.</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mm；禁止201不锈钢</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整体氩弧焊满焊，焊缝精细打磨拉丝抛光，无毛刺、无焊渣、无卫生死角。</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调节锁紧卡扣为304不锈钢材质，配套防腐锁紧螺栓。</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表面拉丝防锈处理，耐轻微酸碱、耐高温，适配原子吸收仪、马弗炉高温废气抽取。</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顶部法兰一体折弯成型，平整不变形，密封贴合风管无漏风。</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4.2.2</w:t>
      </w:r>
      <w:r>
        <w:rPr>
          <w:rFonts w:hint="eastAsia" w:ascii="宋体" w:hAnsi="宋体" w:eastAsia="宋体" w:cs="宋体"/>
          <w:sz w:val="24"/>
          <w:szCs w:val="24"/>
          <w:lang w:val="en-US" w:eastAsia="zh-CN"/>
        </w:rPr>
        <w:t xml:space="preserve"> 结构和尺寸要求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直管高度600mm</w:t>
      </w:r>
      <w:r>
        <w:rPr>
          <w:rFonts w:hint="eastAsia" w:ascii="宋体" w:hAnsi="宋体" w:cs="宋体"/>
          <w:sz w:val="24"/>
          <w:szCs w:val="24"/>
          <w:lang w:val="en-US" w:eastAsia="zh-CN"/>
        </w:rPr>
        <w:t>-1000mm</w:t>
      </w:r>
      <w:r>
        <w:rPr>
          <w:rFonts w:hint="eastAsia" w:ascii="宋体" w:hAnsi="宋体" w:eastAsia="宋体" w:cs="宋体"/>
          <w:sz w:val="24"/>
          <w:szCs w:val="24"/>
          <w:lang w:val="en-US" w:eastAsia="zh-CN"/>
        </w:rPr>
        <w:t>，顶部</w:t>
      </w:r>
      <w:r>
        <w:rPr>
          <w:rFonts w:hint="eastAsia" w:ascii="宋体" w:hAnsi="宋体" w:cs="宋体"/>
          <w:sz w:val="24"/>
          <w:szCs w:val="24"/>
          <w:lang w:val="en-US" w:eastAsia="zh-CN"/>
        </w:rPr>
        <w:t>带</w:t>
      </w:r>
      <w:r>
        <w:rPr>
          <w:rFonts w:hint="eastAsia" w:ascii="宋体" w:hAnsi="宋体" w:eastAsia="宋体" w:cs="宋体"/>
          <w:sz w:val="24"/>
          <w:szCs w:val="24"/>
          <w:lang w:val="en-US" w:eastAsia="zh-CN"/>
        </w:rPr>
        <w:t>侧风口</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底部集气方罩上口尺寸≥300×300mm，下口加宽聚拢结构，带风量调节拨片。</w:t>
      </w:r>
    </w:p>
    <w:p>
      <w:pPr>
        <w:pStyle w:val="31"/>
        <w:adjustRightInd w:val="0"/>
        <w:snapToGrid w:val="0"/>
        <w:spacing w:after="0"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顶部方形法兰底座≥1</w:t>
      </w:r>
      <w:r>
        <w:rPr>
          <w:rFonts w:hint="eastAsia" w:ascii="宋体" w:hAnsi="宋体" w:cs="宋体"/>
          <w:sz w:val="24"/>
          <w:szCs w:val="24"/>
          <w:highlight w:val="none"/>
          <w:lang w:val="en-US" w:eastAsia="zh-CN"/>
        </w:rPr>
        <w:t>25</w:t>
      </w: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25</w:t>
      </w:r>
      <w:r>
        <w:rPr>
          <w:rFonts w:hint="eastAsia" w:ascii="宋体" w:hAnsi="宋体" w:eastAsia="宋体" w:cs="宋体"/>
          <w:sz w:val="24"/>
          <w:szCs w:val="24"/>
          <w:highlight w:val="none"/>
          <w:lang w:val="en-US" w:eastAsia="zh-CN"/>
        </w:rPr>
        <w:t>mm，预留4处安装固定孔，标准Φ110mm排风主管。</w:t>
      </w:r>
      <w:r>
        <w:rPr>
          <w:rFonts w:hint="eastAsia" w:ascii="宋体" w:hAnsi="宋体" w:cs="宋体"/>
          <w:sz w:val="24"/>
          <w:szCs w:val="24"/>
          <w:highlight w:val="none"/>
          <w:lang w:val="en-US" w:eastAsia="zh-CN"/>
        </w:rPr>
        <w:t>设备与主管之间的支管由投标方提供并安装。</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直管可上下伸缩调节，调节范围≥300mm，锁紧卡扣固定高度不滑落。</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集气罩内置手动调风阀，可自由调节风量大小，适配不同设备废气量。</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4.2.3</w:t>
      </w:r>
      <w:r>
        <w:rPr>
          <w:rFonts w:hint="eastAsia" w:ascii="宋体" w:hAnsi="宋体" w:eastAsia="宋体" w:cs="宋体"/>
          <w:sz w:val="24"/>
          <w:szCs w:val="24"/>
          <w:lang w:val="en-US" w:eastAsia="zh-CN"/>
        </w:rPr>
        <w:t xml:space="preserve"> 性能及安全要求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耐高温：可长期耐受200℃以内高温废气，板材不变形、焊缝不开裂。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密闭性能：伸缩调节段、调风阀缝隙无漏气，负压运行无气体外溢。</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不锈钢一体成型结构，承重稳定，无共振噪音。</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表面抗油污、耐高温，清水+中性试剂即可擦拭清洁。</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适配原子吸收分光光度计、石墨炉、电热设备、小型加热炉废气收集。</w:t>
      </w:r>
    </w:p>
    <w:p>
      <w:pPr>
        <w:jc w:val="center"/>
        <w:rPr>
          <w:rFonts w:hint="eastAsia" w:eastAsia="宋体"/>
          <w:lang w:eastAsia="zh-CN"/>
        </w:rPr>
      </w:pPr>
      <w:r>
        <w:rPr>
          <w:rFonts w:hint="eastAsia" w:eastAsia="宋体"/>
          <w:lang w:eastAsia="zh-CN"/>
        </w:rPr>
        <w:drawing>
          <wp:inline distT="0" distB="0" distL="114300" distR="114300">
            <wp:extent cx="2168525" cy="2168525"/>
            <wp:effectExtent l="0" t="0" r="3175" b="3175"/>
            <wp:docPr id="45" name="图片 45" descr="181a6de0d27a794d4b63bf33f0fc0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81a6de0d27a794d4b63bf33f0fc07b9"/>
                    <pic:cNvPicPr>
                      <a:picLocks noChangeAspect="1"/>
                    </pic:cNvPicPr>
                  </pic:nvPicPr>
                  <pic:blipFill>
                    <a:blip r:embed="rId31"/>
                    <a:stretch>
                      <a:fillRect/>
                    </a:stretch>
                  </pic:blipFill>
                  <pic:spPr>
                    <a:xfrm>
                      <a:off x="0" y="0"/>
                      <a:ext cx="2168525" cy="2168525"/>
                    </a:xfrm>
                    <a:prstGeom prst="rect">
                      <a:avLst/>
                    </a:prstGeom>
                  </pic:spPr>
                </pic:pic>
              </a:graphicData>
            </a:graphic>
          </wp:inline>
        </w:drawing>
      </w:r>
      <w:r>
        <w:rPr>
          <w:rFonts w:hint="eastAsia" w:eastAsia="宋体"/>
          <w:lang w:eastAsia="zh-CN"/>
        </w:rPr>
        <w:drawing>
          <wp:inline distT="0" distB="0" distL="114300" distR="114300">
            <wp:extent cx="2126615" cy="2075180"/>
            <wp:effectExtent l="0" t="0" r="6985" b="1270"/>
            <wp:docPr id="46" name="图片 46" descr="4f1d1c7be77d1a930909a62132c82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f1d1c7be77d1a930909a62132c8225f"/>
                    <pic:cNvPicPr>
                      <a:picLocks noChangeAspect="1"/>
                    </pic:cNvPicPr>
                  </pic:nvPicPr>
                  <pic:blipFill>
                    <a:blip r:embed="rId32"/>
                    <a:srcRect t="12006" b="14817"/>
                    <a:stretch>
                      <a:fillRect/>
                    </a:stretch>
                  </pic:blipFill>
                  <pic:spPr>
                    <a:xfrm>
                      <a:off x="0" y="0"/>
                      <a:ext cx="2126615" cy="2075180"/>
                    </a:xfrm>
                    <a:prstGeom prst="rect">
                      <a:avLst/>
                    </a:prstGeom>
                  </pic:spPr>
                </pic:pic>
              </a:graphicData>
            </a:graphic>
          </wp:inline>
        </w:drawing>
      </w:r>
    </w:p>
    <w:p>
      <w:pPr>
        <w:widowControl/>
        <w:numPr>
          <w:ilvl w:val="0"/>
          <w:numId w:val="16"/>
        </w:numPr>
        <w:spacing w:line="360" w:lineRule="auto"/>
        <w:jc w:val="left"/>
        <w:rPr>
          <w:rFonts w:hint="eastAsia" w:ascii="宋体" w:hAnsi="宋体" w:cs="宋体"/>
          <w:b/>
          <w:bCs/>
          <w:iCs/>
          <w:color w:val="000000"/>
          <w:sz w:val="24"/>
          <w:lang w:val="en-US" w:eastAsia="zh-CN"/>
        </w:rPr>
      </w:pPr>
      <w:r>
        <w:rPr>
          <w:rFonts w:hint="eastAsia" w:ascii="宋体" w:hAnsi="宋体" w:eastAsia="宋体" w:cs="宋体"/>
          <w:b/>
          <w:bCs/>
          <w:sz w:val="24"/>
          <w:szCs w:val="24"/>
          <w:lang w:val="en-US" w:eastAsia="zh-CN"/>
        </w:rPr>
        <w:t>紧急沐浴洗眼器</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5.1材质及工艺要求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5.1.1 主体管路、喷淋头、洗眼盆、底座全部采用304不锈钢材质，管材壁厚≥1.2mm；黄色防腐款表层为环氧树脂静电喷涂，底层不锈钢基材为304，严禁201不锈钢。主体颜色由招标方指定。</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5.1.2焊接工艺：管路无缝一体成型，焊缝满焊抛光，无锈蚀缝隙；喷涂款涂层均匀无脱落、无针孔，耐酸碱溶剂腐蚀。</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5.1.3洗眼喷头内置医用食品级硅胶缓压滤水膜，无尖锐棱角，出水柔和不冲击眼球。</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5.1.4开关拉绳、操作阀门为304不锈钢材质，阀体内芯耐腐蚀PTFE四氟密封垫，长期使用不漏水、不卡滞。</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5.1.5 带防尘翻盖款洗眼盆配同材质翻盖，闲置时隔绝粉尘、酸碱蒸汽污染；配套黄色警示标识牌，耐水耐腐不褪色。</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5.1.6 底部排水底座一体冲压成型，带漏水格栅，避免积水浸泡设备底座。</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5.2结构和尺寸要求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5.2.1整体立式一体化结构，上部紧急喷淋系统+中部复合洗眼系统，落地法兰底座固定安装。</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5.2.2喷淋伞盖直径≥300mm，喷淋出水覆盖范围满足全身冲洗；洗眼盆口径≥250mm，双喷头同步出水。</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5.2.3 喷淋开关为下拉三角拉环，洗眼开关为脚踏/手推一体式阀门，可单独启动洗眼、同步启动全身喷淋。</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5.2.4管路高度适配：喷淋出水口离地高度2000mm-2300mm，洗眼盆离地高度1000mm-1100mm，符合GB 15057-2017标准人体操作高度。</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5.2.5底座预留4处膨胀螺栓安装孔，适配混凝土地面固定；管路预留DN15进水接口，标准自来水供水适配。</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5.3性能及安全要求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5.3.1出水性能：常压0.2-0.4MPa供水工况下，喷淋流量≥76L/min，双洗眼喷头总流量≥12L/min，持续稳定供水无断流。</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5.3.2安全防护：喷淋水呈伞状均匀扩散，洗眼水流柔和缓冲，无高压冲击损伤眼部；阀门开启响应时间≤1秒，关闭无滴漏。</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5.3.3 耐腐性能：可长期耐受实验室酸碱、有机试剂挥发侵蚀，不锈钢款防锈，喷涂款涂层无起皮开裂。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5.3.4执行标准：产品符合《GB 15057-2017化工企业洗眼器和冲淋设备》国家标准，投标须提供检测报告。</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5.3.5无尖锐金属边角，所有接触人体部件做圆弧钝化处理，避免划伤。连续运行稳定性：持续出水30分钟无管路变形、阀门渗漏、喷头堵塞现象。</w:t>
      </w:r>
    </w:p>
    <w:p>
      <w:pPr>
        <w:pStyle w:val="31"/>
        <w:jc w:val="center"/>
        <w:rPr>
          <w:rFonts w:hint="eastAsia"/>
          <w:lang w:eastAsia="zh-CN"/>
        </w:rPr>
      </w:pPr>
      <w:r>
        <w:rPr>
          <w:rFonts w:hint="eastAsia"/>
          <w:lang w:eastAsia="zh-CN"/>
        </w:rPr>
        <w:drawing>
          <wp:inline distT="0" distB="0" distL="114300" distR="114300">
            <wp:extent cx="2818765" cy="2818765"/>
            <wp:effectExtent l="0" t="0" r="635" b="635"/>
            <wp:docPr id="47" name="图片 47" descr="08d3e46f41bb3c005e6447e82cce9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8d3e46f41bb3c005e6447e82cce945f"/>
                    <pic:cNvPicPr>
                      <a:picLocks noChangeAspect="1"/>
                    </pic:cNvPicPr>
                  </pic:nvPicPr>
                  <pic:blipFill>
                    <a:blip r:embed="rId33"/>
                    <a:stretch>
                      <a:fillRect/>
                    </a:stretch>
                  </pic:blipFill>
                  <pic:spPr>
                    <a:xfrm>
                      <a:off x="0" y="0"/>
                      <a:ext cx="2818765" cy="2818765"/>
                    </a:xfrm>
                    <a:prstGeom prst="rect">
                      <a:avLst/>
                    </a:prstGeom>
                  </pic:spPr>
                </pic:pic>
              </a:graphicData>
            </a:graphic>
          </wp:inline>
        </w:drawing>
      </w:r>
    </w:p>
    <w:p>
      <w:pPr>
        <w:widowControl/>
        <w:numPr>
          <w:ilvl w:val="0"/>
          <w:numId w:val="16"/>
        </w:numPr>
        <w:spacing w:line="360" w:lineRule="auto"/>
        <w:jc w:val="left"/>
        <w:rPr>
          <w:rFonts w:hint="eastAsia" w:ascii="宋体" w:hAnsi="宋体" w:eastAsia="宋体" w:cs="宋体"/>
          <w:b/>
          <w:bCs/>
          <w:iCs/>
          <w:color w:val="000000"/>
          <w:sz w:val="24"/>
          <w:szCs w:val="24"/>
          <w:lang w:val="en-US" w:eastAsia="zh-CN"/>
        </w:rPr>
      </w:pPr>
      <w:r>
        <w:rPr>
          <w:rFonts w:hint="eastAsia" w:ascii="宋体" w:hAnsi="宋体" w:eastAsia="宋体" w:cs="宋体"/>
          <w:b/>
          <w:bCs/>
          <w:sz w:val="24"/>
          <w:szCs w:val="24"/>
          <w:lang w:val="en-US" w:eastAsia="zh-CN"/>
        </w:rPr>
        <w:t>全钢结构边台</w:t>
      </w:r>
      <w:r>
        <w:rPr>
          <w:rFonts w:hint="eastAsia" w:ascii="宋体" w:hAnsi="宋体" w:cs="宋体"/>
          <w:b/>
          <w:bCs/>
          <w:sz w:val="24"/>
          <w:szCs w:val="24"/>
          <w:lang w:val="en-US" w:eastAsia="zh-CN"/>
        </w:rPr>
        <w:t>/带吊柜全钢结构边台/带水柜全钢结构边台/全钢结构中央台</w:t>
      </w:r>
    </w:p>
    <w:p>
      <w:pPr>
        <w:pStyle w:val="31"/>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6.1材质及工艺要求</w:t>
      </w:r>
    </w:p>
    <w:p>
      <w:pPr>
        <w:pStyle w:val="31"/>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6.1.1柜体、抽屉、门板、支撑立柱、背板全部采用≥1.0mm厚优质冷轧钢板，禁止铁皮、薄料钢板；钢板表面经磷化、酸洗、静电环氧树脂高温喷涂处理，耐酸碱、有机溶剂腐蚀。颜色由招标方指定。</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6.1.2焊接工艺：框架整体二氧化碳满焊，焊口打磨平整无毛刺；所有板材折边≥20mm，双层加强折弯，承重不变形。</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6.1.3五金配件：铰链、导轨、锁具全部采用304不锈钢防腐材质；铰链承重≥80kg，导轨为三节静音防脱导轨，单抽屉承重≥40kg。</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6.1.4喷涂工艺：环氧树脂粉末高温固化喷涂，膜厚≥70μm，涂层附着力一级，耐刮擦、不脱落、不粉化。</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6.1.5地脚：配304不锈钢可调支撑脚，调节高度0~50mm，底部橡胶防滑减震垫，适配地面高低落差。</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6.1.6封边、开孔：所有金属开孔处加装防腐橡胶保护圈，无锋利金属切面，防止线缆、人员划伤。</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6.2结构和尺寸要求</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6.2.1外形尺寸根据现场要求定制，可分段拼接；整体落地全钢柜体结构，无木质、塑料承重构件。</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6.2.2台面标配实芯理化板，厚度≥12.7mm；台面下沿加厚金属支撑龙骨，防止台面塌陷。</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6.2.3柜体布局标准：边台合理配置对开门储物柜和试剂抽屉，柜体内部配可调式全钢层板，层板承重≥50kg/层。</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6.2.4水电配套结构：柜体后方预留通长走线槽，可预埋给排水管路、电路插座；台面合理配置五孔国标插座。</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6.2.5拼接结构：多台组合时配专用金属连接锁扣，拼接缝隙≤1mm，整体平整无高低差。</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6.3性能及安全要求</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6.3.1承重性能：台面均布荷载≥350kg，层板均布荷载≥50kg，长期放置仪器无弯曲变形。</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6.3.2防腐性能：整体通过酸碱盐雾测试，480小时无生锈、涂层鼓包脱落现象，适配化学实验室环境。</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6.3.3安全防护：柜体、门板所有边角圆弧R≥3mm钝化处理，无尖锐棱角；柜门配备安全限位，开启角度≤90°防磕碰。</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6.3.4静音性能：抽屉推拉顺滑无卡顿、无异响；柜门闭合带缓冲减震，撞击噪音≤45分贝。</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6.3.5防水防渗：柜体顶部配防水翻边，台面废液不会渗入柜体内部；背板预留通风散潮孔，避免试剂蒸汽积聚腐蚀柜体。</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6.3.6阻燃性能：金属基材不可燃，环氧树脂涂层具备阻燃特性，满足实验室防火规范。</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eastAsia" w:ascii="宋体" w:hAnsi="宋体" w:cs="宋体"/>
          <w:sz w:val="24"/>
          <w:szCs w:val="24"/>
          <w:lang w:val="en-US" w:eastAsia="zh-CN"/>
        </w:rPr>
        <w:t>4配套吊柜要求</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6.4.1可多段拼接，匹配全钢结构边台长度和宽度；悬挂式壁挂安装结构。 </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6.4.2悬挂承重：吊柜满载无变形、无下坠，支架无弯曲脱落风险。</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6.4.3防腐性能：整机480小时中性盐雾测试无锈点、涂层不起皮、不开裂，适配化学实验室酸碱环境。</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lang w:val="en-US" w:eastAsia="zh-CN"/>
        </w:rPr>
      </w:pPr>
      <w:r>
        <w:rPr>
          <w:rFonts w:hint="eastAsia" w:ascii="宋体" w:hAnsi="宋体" w:eastAsia="宋体" w:cs="宋体"/>
          <w:sz w:val="24"/>
          <w:szCs w:val="24"/>
          <w:lang w:val="en-US" w:eastAsia="zh-CN"/>
        </w:rPr>
        <w:t>6.4.4玻璃安全：钢化玻璃符合3C标准，破碎后呈颗粒状无尖锐碎片，无飞溅伤人风险。</w:t>
      </w:r>
    </w:p>
    <w:p>
      <w:pPr>
        <w:pStyle w:val="32"/>
        <w:jc w:val="center"/>
        <w:rPr>
          <w:rFonts w:hint="eastAsia" w:eastAsia="宋体"/>
          <w:lang w:eastAsia="zh-CN"/>
        </w:rPr>
      </w:pPr>
      <w:r>
        <w:drawing>
          <wp:inline distT="0" distB="0" distL="114300" distR="114300">
            <wp:extent cx="2934335" cy="1705610"/>
            <wp:effectExtent l="0" t="0" r="8890" b="889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34"/>
                    <a:stretch>
                      <a:fillRect/>
                    </a:stretch>
                  </pic:blipFill>
                  <pic:spPr>
                    <a:xfrm>
                      <a:off x="0" y="0"/>
                      <a:ext cx="2934335" cy="1705610"/>
                    </a:xfrm>
                    <a:prstGeom prst="rect">
                      <a:avLst/>
                    </a:prstGeom>
                    <a:noFill/>
                    <a:ln>
                      <a:noFill/>
                    </a:ln>
                  </pic:spPr>
                </pic:pic>
              </a:graphicData>
            </a:graphic>
          </wp:inline>
        </w:drawing>
      </w:r>
      <w:r>
        <w:drawing>
          <wp:inline distT="0" distB="0" distL="114300" distR="114300">
            <wp:extent cx="2762885" cy="1713230"/>
            <wp:effectExtent l="0" t="0" r="8890" b="127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35"/>
                    <a:stretch>
                      <a:fillRect/>
                    </a:stretch>
                  </pic:blipFill>
                  <pic:spPr>
                    <a:xfrm>
                      <a:off x="0" y="0"/>
                      <a:ext cx="2762885" cy="1713230"/>
                    </a:xfrm>
                    <a:prstGeom prst="rect">
                      <a:avLst/>
                    </a:prstGeom>
                    <a:noFill/>
                    <a:ln>
                      <a:noFill/>
                    </a:ln>
                  </pic:spPr>
                </pic:pic>
              </a:graphicData>
            </a:graphic>
          </wp:inline>
        </w:drawing>
      </w:r>
      <w:r>
        <w:rPr>
          <w:rFonts w:hint="eastAsia" w:eastAsia="宋体"/>
          <w:lang w:eastAsia="zh-CN"/>
        </w:rPr>
        <w:drawing>
          <wp:inline distT="0" distB="0" distL="114300" distR="114300">
            <wp:extent cx="3458210" cy="3458210"/>
            <wp:effectExtent l="0" t="0" r="8890" b="8890"/>
            <wp:docPr id="50" name="图片 50" descr="6d84fe4dfdeed273b21db96e02816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6d84fe4dfdeed273b21db96e02816a23"/>
                    <pic:cNvPicPr>
                      <a:picLocks noChangeAspect="1"/>
                    </pic:cNvPicPr>
                  </pic:nvPicPr>
                  <pic:blipFill>
                    <a:blip r:embed="rId36"/>
                    <a:stretch>
                      <a:fillRect/>
                    </a:stretch>
                  </pic:blipFill>
                  <pic:spPr>
                    <a:xfrm>
                      <a:off x="0" y="0"/>
                      <a:ext cx="3458210" cy="3458210"/>
                    </a:xfrm>
                    <a:prstGeom prst="rect">
                      <a:avLst/>
                    </a:prstGeom>
                  </pic:spPr>
                </pic:pic>
              </a:graphicData>
            </a:graphic>
          </wp:inline>
        </w:drawing>
      </w:r>
    </w:p>
    <w:p>
      <w:pPr>
        <w:widowControl/>
        <w:numPr>
          <w:ilvl w:val="0"/>
          <w:numId w:val="16"/>
        </w:numPr>
        <w:spacing w:line="360" w:lineRule="auto"/>
        <w:jc w:val="left"/>
        <w:rPr>
          <w:rFonts w:hint="eastAsia" w:ascii="宋体" w:hAnsi="宋体" w:eastAsia="宋体" w:cs="宋体"/>
          <w:b/>
          <w:bCs/>
          <w:iCs/>
          <w:color w:val="000000"/>
          <w:sz w:val="24"/>
          <w:szCs w:val="24"/>
          <w:lang w:val="en-US" w:eastAsia="zh-CN"/>
        </w:rPr>
      </w:pPr>
      <w:r>
        <w:rPr>
          <w:rFonts w:hint="eastAsia" w:ascii="宋体" w:hAnsi="宋体" w:cs="宋体"/>
          <w:b/>
          <w:bCs/>
          <w:sz w:val="24"/>
          <w:szCs w:val="24"/>
          <w:lang w:val="en-US" w:eastAsia="zh-CN"/>
        </w:rPr>
        <w:t>口字型钢工作台（放电脑用）</w:t>
      </w:r>
    </w:p>
    <w:p>
      <w:pPr>
        <w:pStyle w:val="31"/>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7.1材质及工艺要求</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7.1. 1支撑框架：采用加厚优质矩形钢管口字型一体框架，钢管壁厚≥1.2mm，整体酸洗磷化后静电环氧树脂高温喷涂，禁止薄铁皮、普通管材。</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7.1.2框架所有焊缝满焊打磨平整，边角全部R3圆弧钝化，无尖锐棱角，避免磕碰划伤。</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7.1.3台面：≥12.7mm实芯理化板，一体成型5mm高四周防溢挡水边，耐酸碱、有机溶剂、高温灼烧，板材提供原厂检测报告。</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7.1.4活动柜柜体、门板、抽屉板材≥1.0mm冷轧钢板，全套防腐喷涂，无锈蚀隐患。</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7.1.5活动柜底部配备4寸TPR静音万向脚轮，2轮带刹车，移动顺滑、定位牢固，脚轮支架为加厚钢板。</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7.1.6五金件：活动柜采用304不锈钢三节静音防脱导轨、缓冲铰链、防腐安全锁，禁止铁质易生锈配件。</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7.1.7喷涂工艺：环氧粉末涂层厚度≥70μm，附着力一级，耐刮擦、480小时中性盐雾测试无起皮、锈点。</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7.2结构和尺寸要求</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7.2.1 基础外形尺寸：长1500mm×宽750mm×总高850mm和长1500mm×宽750mm×总高850mm，采用一体式口字型落地钢框架结构。</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7.2.2台面完整平铺覆盖框架，底部加装横向加强承重龙骨，无悬空塌陷区域。</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7.2.3 配套独立可移动活动储物柜，结构为上抽屉+下对开门布局，内部设可调全钢层板；活动柜可自由推入台架下方收纳、拉出单独使用。</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7.2.4框架底部配备可调防滑支撑脚垫，调节范围0~50mm，适配地面高低落差；可按需加装脚轮。</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7.2.5口字型框架两侧预留通透空间，方便人员腿部活动，无封闭遮挡。</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7.2.6活动柜抽屉、柜门闭合贴合紧密，无明显缝隙，可加装安全锁管控实验耗材、试剂。</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7.2.7多台拼接可配专用连接卡扣，拼接缝隙≤1mm，整体台面平整无高低差。</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7.3性能及安全要求</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7.3.1 承重性能：台面均布静荷载≥250kg，口字型框架长期承重无弯曲、变形、焊缝开裂。</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7.3.2 防腐性能：框架、活动柜整体可耐受实验室常规酸碱、有机试剂泼溅，涂层不脱落、板材不生锈。</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7.3.3台面安全：实芯理化板阻燃、防水防渗，洒落液体不会渗透腐蚀下方钢架。</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7.3.4移动性能：活动柜脚轮推拉静音无卡顿，刹车锁止稳定，满载后无滑动偏移。</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7.3.5静音性能：抽屉推拉、柜门闭合无撞击异响，缓冲结构降低噪音。</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7.3.6防火安全：钢框架不可燃，理化板台面阻燃，符合实验室消防安全要求。</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7.3.7清洁维护：表面光滑致密，清水、中性清洁剂即可擦拭，无藏污死角。</w:t>
      </w:r>
    </w:p>
    <w:p>
      <w:pPr>
        <w:pStyle w:val="32"/>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7.3.8</w:t>
      </w:r>
      <w:r>
        <w:rPr>
          <w:rFonts w:hint="eastAsia" w:ascii="宋体" w:hAnsi="宋体" w:eastAsia="宋体" w:cs="宋体"/>
          <w:sz w:val="24"/>
          <w:szCs w:val="24"/>
          <w:lang w:val="en-US" w:eastAsia="zh-CN"/>
        </w:rPr>
        <w:t>水电配套结构：台面合理配置五孔国标插座</w:t>
      </w:r>
      <w:r>
        <w:rPr>
          <w:rFonts w:hint="eastAsia" w:ascii="宋体" w:hAnsi="宋体" w:cs="宋体"/>
          <w:sz w:val="24"/>
          <w:szCs w:val="24"/>
          <w:lang w:val="en-US" w:eastAsia="zh-CN"/>
        </w:rPr>
        <w:t>并预留穿线孔</w:t>
      </w:r>
      <w:r>
        <w:rPr>
          <w:rFonts w:hint="eastAsia" w:ascii="宋体" w:hAnsi="宋体" w:eastAsia="宋体" w:cs="宋体"/>
          <w:sz w:val="24"/>
          <w:szCs w:val="24"/>
          <w:lang w:val="en-US" w:eastAsia="zh-CN"/>
        </w:rPr>
        <w:t>。</w:t>
      </w:r>
    </w:p>
    <w:p>
      <w:pPr>
        <w:pStyle w:val="13"/>
        <w:rPr>
          <w:rFonts w:hint="eastAsia"/>
          <w:lang w:eastAsia="zh-CN"/>
        </w:rPr>
      </w:pPr>
    </w:p>
    <w:p>
      <w:pPr>
        <w:pStyle w:val="31"/>
        <w:jc w:val="center"/>
        <w:rPr>
          <w:rFonts w:hint="eastAsia" w:eastAsia="宋体"/>
          <w:lang w:eastAsia="zh-CN"/>
        </w:rPr>
      </w:pPr>
      <w:r>
        <w:drawing>
          <wp:inline distT="0" distB="0" distL="114300" distR="114300">
            <wp:extent cx="4169410" cy="2322195"/>
            <wp:effectExtent l="0" t="0" r="2540" b="190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37"/>
                    <a:stretch>
                      <a:fillRect/>
                    </a:stretch>
                  </pic:blipFill>
                  <pic:spPr>
                    <a:xfrm>
                      <a:off x="0" y="0"/>
                      <a:ext cx="4169410" cy="2322195"/>
                    </a:xfrm>
                    <a:prstGeom prst="rect">
                      <a:avLst/>
                    </a:prstGeom>
                    <a:noFill/>
                    <a:ln>
                      <a:noFill/>
                    </a:ln>
                  </pic:spPr>
                </pic:pic>
              </a:graphicData>
            </a:graphic>
          </wp:inline>
        </w:drawing>
      </w:r>
    </w:p>
    <w:p>
      <w:pPr>
        <w:pStyle w:val="13"/>
        <w:ind w:left="0" w:leftChars="0" w:firstLine="0" w:firstLineChars="0"/>
        <w:rPr>
          <w:rFonts w:hint="eastAsia"/>
          <w:lang w:eastAsia="zh-CN"/>
        </w:rPr>
      </w:pPr>
    </w:p>
    <w:p>
      <w:pPr>
        <w:pStyle w:val="14"/>
        <w:rPr>
          <w:rFonts w:hint="eastAsia"/>
          <w:lang w:eastAsia="zh-CN"/>
        </w:rPr>
      </w:pPr>
    </w:p>
    <w:p>
      <w:pPr>
        <w:widowControl/>
        <w:numPr>
          <w:ilvl w:val="0"/>
          <w:numId w:val="16"/>
        </w:numPr>
        <w:spacing w:line="360" w:lineRule="auto"/>
        <w:jc w:val="left"/>
        <w:rPr>
          <w:rFonts w:hint="eastAsia" w:ascii="宋体" w:hAnsi="宋体" w:eastAsia="宋体" w:cs="宋体"/>
          <w:b/>
          <w:bCs/>
          <w:iCs/>
          <w:color w:val="000000"/>
          <w:sz w:val="24"/>
          <w:szCs w:val="24"/>
          <w:lang w:val="en-US" w:eastAsia="zh-CN"/>
        </w:rPr>
      </w:pPr>
      <w:r>
        <w:rPr>
          <w:rFonts w:hint="eastAsia" w:ascii="宋体" w:hAnsi="宋体" w:cs="宋体"/>
          <w:b/>
          <w:bCs/>
          <w:sz w:val="24"/>
          <w:szCs w:val="24"/>
          <w:lang w:val="en-US" w:eastAsia="zh-CN"/>
        </w:rPr>
        <w:t>全钢天平台</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8.1材质及工艺要求</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8.1.1整体全钢材质，无木质板材；柜体采用1.2mm优质冷轧镀锌钢板，方管骨架加固，满焊折弯成型。</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8.1.2柜体表面酸洗磷化+环氧树脂静电喷塑，耐酸碱、耐腐蚀、防锈防静电。</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8.1.3台面分区：周边12.7mm实芯理化板；中心60mm整块黑色天然花岗岩减震台面。</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8.1.4配置高阻尼橡胶减震组件、国标防溅电源、金属可调水平地脚。</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8.2结构和尺寸要求</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8.2.1整体落地式，三级独立悬浮减震结构，花岗岩台面与柜体完全分离、无刚性连接。</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8.2.2标准尺寸：900*600*850mm（长宽高），尺寸误差≤5mm。</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8.2.3柜体封闭式全钢结构，边角圆弧倒角，外观整洁无外露螺丝。</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8.3性能及安全要求</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8.3.1满足十万分之一分析天平使用标准，隔绝地面、车流、人员走动震动，称量无共振。</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8.3.2整体承重≥500kg，结构稳固长期不变形。</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8.3.3全钢防火阻燃、绝缘防静电、耐腐蚀，实验室使用安全合规。</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8.3.4环保无异味，整体质保≥3年，提供产品合格证明。</w:t>
      </w:r>
    </w:p>
    <w:p>
      <w:pPr>
        <w:pStyle w:val="14"/>
        <w:jc w:val="center"/>
        <w:rPr>
          <w:rFonts w:hint="eastAsia"/>
          <w:lang w:eastAsia="zh-CN"/>
        </w:rPr>
      </w:pPr>
      <w:r>
        <w:rPr>
          <w:rFonts w:hint="eastAsia"/>
          <w:lang w:eastAsia="zh-CN"/>
        </w:rPr>
        <w:drawing>
          <wp:inline distT="0" distB="0" distL="114300" distR="114300">
            <wp:extent cx="2945765" cy="2945765"/>
            <wp:effectExtent l="0" t="0" r="6985" b="6985"/>
            <wp:docPr id="1" name="图片 1" descr="396be8ce2103f8389d9b7f5dd4e89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6be8ce2103f8389d9b7f5dd4e89a2f"/>
                    <pic:cNvPicPr>
                      <a:picLocks noChangeAspect="1"/>
                    </pic:cNvPicPr>
                  </pic:nvPicPr>
                  <pic:blipFill>
                    <a:blip r:embed="rId38"/>
                    <a:stretch>
                      <a:fillRect/>
                    </a:stretch>
                  </pic:blipFill>
                  <pic:spPr>
                    <a:xfrm>
                      <a:off x="0" y="0"/>
                      <a:ext cx="2945765" cy="2945765"/>
                    </a:xfrm>
                    <a:prstGeom prst="rect">
                      <a:avLst/>
                    </a:prstGeom>
                  </pic:spPr>
                </pic:pic>
              </a:graphicData>
            </a:graphic>
          </wp:inline>
        </w:drawing>
      </w:r>
    </w:p>
    <w:p>
      <w:pPr>
        <w:widowControl/>
        <w:numPr>
          <w:ilvl w:val="0"/>
          <w:numId w:val="16"/>
        </w:numPr>
        <w:spacing w:line="360" w:lineRule="auto"/>
        <w:jc w:val="left"/>
        <w:rPr>
          <w:rFonts w:hint="eastAsia" w:ascii="宋体" w:hAnsi="宋体" w:eastAsia="宋体" w:cs="宋体"/>
          <w:b/>
          <w:bCs/>
          <w:iCs/>
          <w:color w:val="000000"/>
          <w:sz w:val="24"/>
          <w:szCs w:val="24"/>
          <w:lang w:val="en-US" w:eastAsia="zh-CN"/>
        </w:rPr>
      </w:pPr>
      <w:r>
        <w:rPr>
          <w:rFonts w:hint="eastAsia" w:ascii="宋体" w:hAnsi="宋体" w:cs="宋体"/>
          <w:b/>
          <w:bCs/>
          <w:sz w:val="24"/>
          <w:szCs w:val="24"/>
          <w:lang w:val="en-US" w:eastAsia="zh-CN"/>
        </w:rPr>
        <w:t>全钢高温台</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9.1材质及工艺要求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9.1.1整体全钢落地结构，无木质板材；柜体≥1.2mm冷轧镀锌钢板，方管骨架加固，折弯满焊成型。</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9.1.2柜体酸洗磷化+环氧树脂静电高温喷塑，耐高温、耐酸碱、防锈防腐、抗老化。</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9.1.3台面：20mm厚天然大理石台面，耐高温、隔热阻燃、抗冲击、不变色开裂，适配电炉、马弗炉放置。</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9.1.4配金属防锈可调地脚、加厚承重横梁，五金防腐耐用。</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9.2结构和尺寸要求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9.2.1一体式加固承重结构，底部加装隔热垫板，阻隔高温传导柜体；圆弧倒角，无外露螺丝。</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9.2.2外形尺寸：1000*800*600mm（长宽高），尺寸误差≤5mm。</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9.2.3封闭式全钢柜体，承重加强设计，稳固不晃动。</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9.3性能及安全要求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9.3.1台面耐温≥600℃，长期放置加热设备不开裂、不变形、不渗污。</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9.3.2整体承重≥600kg，重载不变形，隔热防护，防止柜体高温老化。</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9.3.3 防火阻燃、耐腐蚀、防静电，适配实验室高温加热实验工况。</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lang w:eastAsia="zh-CN"/>
        </w:rPr>
      </w:pPr>
      <w:r>
        <w:rPr>
          <w:rFonts w:hint="eastAsia" w:ascii="宋体" w:hAnsi="宋体" w:cs="宋体"/>
          <w:sz w:val="24"/>
          <w:szCs w:val="24"/>
          <w:lang w:val="en-US" w:eastAsia="zh-CN"/>
        </w:rPr>
        <w:t>9.3.4环保无异味，结构安全，整体质保≥3年，提供产品合格证</w:t>
      </w:r>
    </w:p>
    <w:p>
      <w:pPr>
        <w:pStyle w:val="14"/>
        <w:jc w:val="center"/>
        <w:rPr>
          <w:rFonts w:hint="eastAsia"/>
          <w:lang w:eastAsia="zh-CN"/>
        </w:rPr>
      </w:pPr>
    </w:p>
    <w:p>
      <w:pPr>
        <w:pStyle w:val="14"/>
        <w:jc w:val="center"/>
        <w:rPr>
          <w:rFonts w:hint="eastAsia"/>
          <w:lang w:eastAsia="zh-CN"/>
        </w:rPr>
      </w:pPr>
      <w:r>
        <w:rPr>
          <w:rFonts w:hint="eastAsia"/>
          <w:lang w:eastAsia="zh-CN"/>
        </w:rPr>
        <w:drawing>
          <wp:inline distT="0" distB="0" distL="114300" distR="114300">
            <wp:extent cx="3010535" cy="2109470"/>
            <wp:effectExtent l="0" t="0" r="8890" b="5080"/>
            <wp:docPr id="2" name="图片 2" descr="8b2ee494fe2b23b1f38ddb109e97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2ee494fe2b23b1f38ddb109e971659"/>
                    <pic:cNvPicPr>
                      <a:picLocks noChangeAspect="1"/>
                    </pic:cNvPicPr>
                  </pic:nvPicPr>
                  <pic:blipFill>
                    <a:blip r:embed="rId39"/>
                    <a:srcRect t="13605" b="16326"/>
                    <a:stretch>
                      <a:fillRect/>
                    </a:stretch>
                  </pic:blipFill>
                  <pic:spPr>
                    <a:xfrm>
                      <a:off x="0" y="0"/>
                      <a:ext cx="3010535" cy="2109470"/>
                    </a:xfrm>
                    <a:prstGeom prst="rect">
                      <a:avLst/>
                    </a:prstGeom>
                  </pic:spPr>
                </pic:pic>
              </a:graphicData>
            </a:graphic>
          </wp:inline>
        </w:drawing>
      </w:r>
    </w:p>
    <w:p>
      <w:pPr>
        <w:widowControl/>
        <w:numPr>
          <w:ilvl w:val="0"/>
          <w:numId w:val="16"/>
        </w:numPr>
        <w:spacing w:line="360" w:lineRule="auto"/>
        <w:jc w:val="left"/>
        <w:rPr>
          <w:rFonts w:hint="eastAsia" w:ascii="宋体" w:hAnsi="宋体" w:eastAsia="宋体" w:cs="宋体"/>
          <w:b/>
          <w:bCs/>
          <w:iCs/>
          <w:color w:val="000000"/>
          <w:sz w:val="24"/>
          <w:szCs w:val="24"/>
          <w:lang w:val="en-US" w:eastAsia="zh-CN"/>
        </w:rPr>
      </w:pPr>
      <w:r>
        <w:rPr>
          <w:rFonts w:hint="eastAsia" w:ascii="宋体" w:hAnsi="宋体" w:cs="宋体"/>
          <w:b/>
          <w:bCs/>
          <w:sz w:val="24"/>
          <w:szCs w:val="24"/>
          <w:lang w:val="en-US" w:eastAsia="zh-CN"/>
        </w:rPr>
        <w:t>全钢水柜</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10.1材质及工艺要求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10.1.1整体一体全钢结构，无木质板材；柜体采用1.2mm冷轧镀锌钢板，折弯满焊加固，双层加筋。</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10.1.2 柜体经酸洗磷化+环氧静电喷塑工艺，耐酸碱、防水防潮、防锈防腐、耐实验室试剂腐蚀。</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10.1.3配置实验室专用PP防腐水盆、铜质加厚下水配件、防臭存水弯、冷热进水龙头。</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10.1.4五金铰链、拉手均为防腐防锈实验室专用五金，耐水汽不生锈。</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10.2结构和尺寸要求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10.2.1落地封闭式全钢柜体，防水背板设计，柜体密闭防潮，边角圆弧倒角，无外露螺丝。</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10.2.2底部加厚承重横梁，防水隔水设计，杜绝水汽侵蚀柜体。</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10.2.3外形尺寸：1000*750*850mm（长宽高），尺寸误差≤5mm。</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10.3性能及安全要求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10.3.1整体防水防渗、耐酸碱腐蚀，适配实验室清洗、试剂洗涤工况。</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10.3.2柜体承重强、抗形变，长期潮湿环境不发霉、不生锈、不开裂。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10.3.3龙头耐酸碱耐腐蚀，下水管道防堵防臭，安装牢固不渗漏。</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10.3.4防火环保、无异味，整体质保≥3年，提供产品合格证书。</w:t>
      </w:r>
    </w:p>
    <w:p>
      <w:pPr>
        <w:pStyle w:val="14"/>
        <w:jc w:val="center"/>
        <w:rPr>
          <w:rFonts w:hint="eastAsia"/>
          <w:lang w:eastAsia="zh-CN"/>
        </w:rPr>
      </w:pPr>
      <w:r>
        <w:rPr>
          <w:rFonts w:hint="eastAsia"/>
          <w:lang w:eastAsia="zh-CN"/>
        </w:rPr>
        <w:drawing>
          <wp:inline distT="0" distB="0" distL="114300" distR="114300">
            <wp:extent cx="2710180" cy="2710180"/>
            <wp:effectExtent l="0" t="0" r="4445" b="4445"/>
            <wp:docPr id="3" name="图片 3" descr="c444986563b52a402ea4e42c8caa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444986563b52a402ea4e42c8caa2557"/>
                    <pic:cNvPicPr>
                      <a:picLocks noChangeAspect="1"/>
                    </pic:cNvPicPr>
                  </pic:nvPicPr>
                  <pic:blipFill>
                    <a:blip r:embed="rId40"/>
                    <a:stretch>
                      <a:fillRect/>
                    </a:stretch>
                  </pic:blipFill>
                  <pic:spPr>
                    <a:xfrm>
                      <a:off x="0" y="0"/>
                      <a:ext cx="2710180" cy="2710180"/>
                    </a:xfrm>
                    <a:prstGeom prst="rect">
                      <a:avLst/>
                    </a:prstGeom>
                  </pic:spPr>
                </pic:pic>
              </a:graphicData>
            </a:graphic>
          </wp:inline>
        </w:drawing>
      </w:r>
    </w:p>
    <w:p>
      <w:pPr>
        <w:widowControl/>
        <w:numPr>
          <w:ilvl w:val="0"/>
          <w:numId w:val="16"/>
        </w:numPr>
        <w:spacing w:line="360" w:lineRule="auto"/>
        <w:jc w:val="left"/>
        <w:rPr>
          <w:rFonts w:hint="eastAsia" w:ascii="宋体" w:hAnsi="宋体" w:eastAsia="宋体" w:cs="宋体"/>
          <w:b/>
          <w:bCs/>
          <w:iCs/>
          <w:color w:val="000000"/>
          <w:sz w:val="24"/>
          <w:szCs w:val="24"/>
          <w:lang w:val="en-US" w:eastAsia="zh-CN"/>
        </w:rPr>
      </w:pPr>
      <w:r>
        <w:rPr>
          <w:rFonts w:hint="eastAsia" w:ascii="宋体" w:hAnsi="宋体" w:cs="宋体"/>
          <w:b/>
          <w:bCs/>
          <w:sz w:val="24"/>
          <w:szCs w:val="24"/>
          <w:lang w:val="en-US" w:eastAsia="zh-CN"/>
        </w:rPr>
        <w:t>移动岛台式工作台</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11.1材质及工艺要求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11.1.1 框架：工业4040/4080欧标铝型材，阳极氧化处理，拼接内置角件紧固，拆装灵活、承重不变形。</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11.1.2门板侧板：1.0mm冷轧钢板，酸洗磷化环氧喷塑，耐油污、耐腐蚀、不易生锈。</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11.1.3台面：2mm绿色防静电胶皮台面，底面高密度木板衬底，防静电、耐磨、耐酸碱、防滑缓冲。</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11.1.4配件：加厚金属合页、带锁柜门把手；静音PU万向脚轮，2只带刹车定位；侧边防滑推拉把手。</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11.2结构和尺寸要求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11.2.1整体封闭式柜体结构，单开门带安全锁具，内部可加装分层隔板，侧边配备推拉扶手方便转运。</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11.2.2底部四轮移动式设计，刹车轮锁定后柜体无滑动位移。</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11.2.3外形尺寸：1200×600×750mm（长×宽×高），尺寸误差≤±5mm。</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11.2.4型材框架无尖锐棱角，装配缝隙均匀，外观整洁。</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11.3性能及安全要求</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11.3.1防静电性能：台面表面电阻10⁶-10⁹Ω，可释放静电，保护电子元器件、精密仪器。</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11.3.2承重性能：整体静态承重≥300kg，转运、放置重型工具无变形。</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11.3.3移动安全：刹车轮锁止牢固，转运推行顺滑无卡顿；柜门锁具防盗，防止配件丢失。</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11.3.4 防火环保无异味，整体质保≥3年，提供产品合格证。</w:t>
      </w:r>
    </w:p>
    <w:p>
      <w:pPr>
        <w:pStyle w:val="14"/>
        <w:jc w:val="center"/>
        <w:rPr>
          <w:rFonts w:hint="eastAsia"/>
          <w:lang w:eastAsia="zh-CN"/>
        </w:rPr>
      </w:pPr>
      <w:r>
        <w:rPr>
          <w:rFonts w:hint="eastAsia"/>
          <w:lang w:eastAsia="zh-CN"/>
        </w:rPr>
        <w:drawing>
          <wp:inline distT="0" distB="0" distL="114300" distR="114300">
            <wp:extent cx="3242310" cy="3242310"/>
            <wp:effectExtent l="0" t="0" r="5715" b="5715"/>
            <wp:docPr id="5" name="图片 5" descr="75054e4d5ad5022f73b806154984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5054e4d5ad5022f73b8061549842787"/>
                    <pic:cNvPicPr>
                      <a:picLocks noChangeAspect="1"/>
                    </pic:cNvPicPr>
                  </pic:nvPicPr>
                  <pic:blipFill>
                    <a:blip r:embed="rId41"/>
                    <a:stretch>
                      <a:fillRect/>
                    </a:stretch>
                  </pic:blipFill>
                  <pic:spPr>
                    <a:xfrm>
                      <a:off x="0" y="0"/>
                      <a:ext cx="3242310" cy="3242310"/>
                    </a:xfrm>
                    <a:prstGeom prst="rect">
                      <a:avLst/>
                    </a:prstGeom>
                  </pic:spPr>
                </pic:pic>
              </a:graphicData>
            </a:graphic>
          </wp:inline>
        </w:drawing>
      </w:r>
    </w:p>
    <w:p>
      <w:pPr>
        <w:widowControl/>
        <w:numPr>
          <w:ilvl w:val="0"/>
          <w:numId w:val="16"/>
        </w:numPr>
        <w:spacing w:line="360" w:lineRule="auto"/>
        <w:jc w:val="left"/>
        <w:rPr>
          <w:rFonts w:hint="eastAsia" w:ascii="宋体" w:hAnsi="宋体" w:eastAsia="宋体" w:cs="宋体"/>
          <w:b/>
          <w:bCs/>
          <w:iCs/>
          <w:color w:val="000000"/>
          <w:sz w:val="24"/>
          <w:szCs w:val="24"/>
          <w:lang w:val="en-US" w:eastAsia="zh-CN"/>
        </w:rPr>
      </w:pPr>
      <w:r>
        <w:rPr>
          <w:rFonts w:hint="eastAsia" w:ascii="宋体" w:hAnsi="宋体" w:cs="宋体"/>
          <w:b/>
          <w:bCs/>
          <w:iCs/>
          <w:color w:val="000000"/>
          <w:sz w:val="24"/>
          <w:szCs w:val="24"/>
          <w:lang w:val="en-US" w:eastAsia="zh-CN"/>
        </w:rPr>
        <w:t>配套件要求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iCs/>
          <w:color w:val="000000"/>
          <w:sz w:val="24"/>
          <w:szCs w:val="24"/>
          <w:lang w:val="en-US" w:eastAsia="zh-CN"/>
        </w:rPr>
      </w:pPr>
      <w:r>
        <w:rPr>
          <w:rFonts w:hint="eastAsia" w:ascii="宋体" w:hAnsi="宋体" w:eastAsia="宋体" w:cs="宋体"/>
          <w:b/>
          <w:bCs/>
          <w:kern w:val="2"/>
          <w:sz w:val="24"/>
          <w:szCs w:val="24"/>
          <w:lang w:val="en-US" w:eastAsia="zh-CN" w:bidi="ar-SA"/>
        </w:rPr>
        <w:t>12.1水盆</w:t>
      </w:r>
      <w:r>
        <w:rPr>
          <w:rFonts w:hint="eastAsia" w:ascii="宋体" w:hAnsi="宋体" w:eastAsia="宋体" w:cs="宋体"/>
          <w:b w:val="0"/>
          <w:bCs/>
          <w:kern w:val="2"/>
          <w:sz w:val="24"/>
          <w:szCs w:val="24"/>
          <w:lang w:val="en-US" w:eastAsia="zh-CN" w:bidi="ar-SA"/>
        </w:rPr>
        <w:br w:type="textWrapping"/>
      </w:r>
      <w:r>
        <w:rPr>
          <w:rFonts w:hint="eastAsia" w:ascii="宋体" w:hAnsi="宋体" w:eastAsia="宋体" w:cs="宋体"/>
          <w:iCs/>
          <w:color w:val="000000"/>
          <w:sz w:val="24"/>
          <w:szCs w:val="24"/>
          <w:lang w:val="en-US" w:eastAsia="zh-CN"/>
        </w:rPr>
        <w:t>采用高密度PP新料注塑成型，耐腐蚀、耐酸碱和有机物，如王水等； 稳定性强，并具弹性、韧性，不易老化耐划。厚度：根据强度要求设计厚度为5mm-8mm。含阻水盖、PP提笼等附件。</w:t>
      </w:r>
    </w:p>
    <w:p>
      <w:pPr>
        <w:widowControl/>
        <w:numPr>
          <w:ilvl w:val="0"/>
          <w:numId w:val="0"/>
        </w:numPr>
        <w:spacing w:line="360" w:lineRule="auto"/>
        <w:ind w:leftChars="0"/>
        <w:jc w:val="center"/>
        <w:rPr>
          <w:rFonts w:hint="eastAsia" w:ascii="宋体" w:hAnsi="宋体" w:eastAsia="宋体" w:cs="宋体"/>
          <w:iCs/>
          <w:color w:val="000000"/>
          <w:sz w:val="24"/>
          <w:lang w:val="en-US" w:eastAsia="zh-CN"/>
        </w:rPr>
      </w:pPr>
      <w:r>
        <w:rPr>
          <w:rFonts w:hint="default" w:ascii="Cambria" w:hAnsi="Cambria" w:eastAsia="宋体" w:cs="Times New Roman"/>
          <w:b/>
          <w:bCs/>
          <w:kern w:val="2"/>
          <w:sz w:val="28"/>
          <w:szCs w:val="32"/>
          <w:lang w:val="en-US" w:eastAsia="zh-CN" w:bidi="ar-SA"/>
        </w:rPr>
        <w:drawing>
          <wp:inline distT="0" distB="0" distL="114300" distR="114300">
            <wp:extent cx="2296160" cy="1289050"/>
            <wp:effectExtent l="0" t="0" r="8890" b="6350"/>
            <wp:docPr id="6" name="图片 6" descr="168024284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80242840412"/>
                    <pic:cNvPicPr>
                      <a:picLocks noChangeAspect="1"/>
                    </pic:cNvPicPr>
                  </pic:nvPicPr>
                  <pic:blipFill>
                    <a:blip r:embed="rId42"/>
                    <a:stretch>
                      <a:fillRect/>
                    </a:stretch>
                  </pic:blipFill>
                  <pic:spPr>
                    <a:xfrm>
                      <a:off x="0" y="0"/>
                      <a:ext cx="2296160" cy="128905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12.2滴水架</w:t>
      </w:r>
    </w:p>
    <w:p>
      <w:pPr>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iCs/>
          <w:color w:val="000000"/>
          <w:sz w:val="24"/>
          <w:szCs w:val="24"/>
          <w:lang w:val="en-US" w:eastAsia="zh-CN"/>
        </w:rPr>
      </w:pPr>
      <w:r>
        <w:rPr>
          <w:rFonts w:hint="eastAsia" w:ascii="宋体" w:hAnsi="宋体" w:eastAsia="宋体" w:cs="宋体"/>
          <w:iCs/>
          <w:color w:val="000000"/>
          <w:sz w:val="24"/>
          <w:szCs w:val="24"/>
          <w:lang w:val="en-US" w:eastAsia="zh-CN"/>
        </w:rPr>
        <w:t>材质为高密度PP，单面，尺寸：630*450*120mm，滴水棒不少于50根， 分别配烧杯棒，长试管棒，小试管棒三种，可拆卸式滴水棒，方便实用。底部托盘中间设有排水孔，安装方式：壁挂式/台式。</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drawing>
          <wp:anchor distT="0" distB="0" distL="114300" distR="114300" simplePos="0" relativeHeight="251662336" behindDoc="0" locked="0" layoutInCell="1" allowOverlap="1">
            <wp:simplePos x="0" y="0"/>
            <wp:positionH relativeFrom="column">
              <wp:posOffset>2427605</wp:posOffset>
            </wp:positionH>
            <wp:positionV relativeFrom="paragraph">
              <wp:posOffset>169545</wp:posOffset>
            </wp:positionV>
            <wp:extent cx="1337945" cy="2092960"/>
            <wp:effectExtent l="0" t="0" r="5080" b="2540"/>
            <wp:wrapTopAndBottom/>
            <wp:docPr id="9" name="图片 9" descr="KD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KD8G"/>
                    <pic:cNvPicPr>
                      <a:picLocks noChangeAspect="1"/>
                    </pic:cNvPicPr>
                  </pic:nvPicPr>
                  <pic:blipFill>
                    <a:blip r:embed="rId43"/>
                    <a:stretch>
                      <a:fillRect/>
                    </a:stretch>
                  </pic:blipFill>
                  <pic:spPr>
                    <a:xfrm>
                      <a:off x="0" y="0"/>
                      <a:ext cx="1337945" cy="2092960"/>
                    </a:xfrm>
                    <a:prstGeom prst="rect">
                      <a:avLst/>
                    </a:prstGeom>
                  </pic:spPr>
                </pic:pic>
              </a:graphicData>
            </a:graphic>
          </wp:anchor>
        </w:drawing>
      </w:r>
      <w:r>
        <w:rPr>
          <w:rFonts w:hint="eastAsia" w:ascii="宋体" w:hAnsi="宋体" w:eastAsia="宋体" w:cs="宋体"/>
          <w:b/>
          <w:bCs/>
          <w:kern w:val="2"/>
          <w:sz w:val="24"/>
          <w:szCs w:val="24"/>
          <w:lang w:val="en-US" w:eastAsia="zh-CN" w:bidi="ar-SA"/>
        </w:rPr>
        <w:t>12.3水龙头</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iCs/>
          <w:color w:val="000000"/>
          <w:sz w:val="24"/>
          <w:szCs w:val="24"/>
          <w:lang w:val="en-US" w:eastAsia="zh-CN"/>
        </w:rPr>
      </w:pPr>
      <w:r>
        <w:rPr>
          <w:rFonts w:hint="eastAsia" w:ascii="宋体" w:hAnsi="宋体" w:eastAsia="宋体" w:cs="宋体"/>
          <w:iCs/>
          <w:color w:val="000000"/>
          <w:sz w:val="24"/>
          <w:szCs w:val="24"/>
          <w:lang w:val="en-US" w:eastAsia="zh-CN"/>
        </w:rPr>
        <w:t>12.3.1主体材料：直管：采用ø26*1.2mm管径的H63铜管制造。臂管：采用ø22*1.2mm 管径的H63铜管制造。鹅颈弯管：采用ø19 *1.0mm管径的H63铜管制造，可360°旋转。涂层: 高亮度环氧树脂涂层,耐腐蚀、耐热,防紫外线辐射</w:t>
      </w:r>
      <w:r>
        <w:rPr>
          <w:rFonts w:hint="eastAsia" w:ascii="宋体" w:hAnsi="宋体" w:eastAsia="宋体" w:cs="宋体"/>
          <w:iCs/>
          <w:color w:val="000000"/>
          <w:sz w:val="24"/>
          <w:szCs w:val="24"/>
          <w:lang w:val="en-US" w:eastAsia="zh-CN"/>
        </w:rPr>
        <w:br w:type="textWrapping"/>
      </w:r>
      <w:r>
        <w:rPr>
          <w:rFonts w:hint="eastAsia" w:ascii="宋体" w:hAnsi="宋体" w:eastAsia="宋体" w:cs="宋体"/>
          <w:iCs/>
          <w:color w:val="000000"/>
          <w:sz w:val="24"/>
          <w:szCs w:val="24"/>
          <w:lang w:val="en-US" w:eastAsia="zh-CN"/>
        </w:rPr>
        <w:t>12.3.2陶瓷阀芯: 90°旋转,使用寿命开关50万次,静态最大耐压10 bar，符合GB18145-2014标准，开关旋钮: 高密度PP,人体工学设计,手感舒适。</w:t>
      </w:r>
    </w:p>
    <w:p>
      <w:pPr>
        <w:pStyle w:val="14"/>
        <w:rPr>
          <w:rFonts w:hint="eastAsia"/>
          <w:lang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2361565</wp:posOffset>
            </wp:positionH>
            <wp:positionV relativeFrom="paragraph">
              <wp:posOffset>180975</wp:posOffset>
            </wp:positionV>
            <wp:extent cx="1665605" cy="2117725"/>
            <wp:effectExtent l="0" t="0" r="1270" b="6350"/>
            <wp:wrapTopAndBottom/>
            <wp:docPr id="8" name="图片 3" descr="C:\Users\Administrator\AppData\Roaming\Tencent\Users\35051548\QQ\WinTemp\RichOle\M$5J3T3AF8TPB7R(Q9[WC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Roaming\Tencent\Users\35051548\QQ\WinTemp\RichOle\M$5J3T3AF8TPB7R(Q9[WCTR.png"/>
                    <pic:cNvPicPr>
                      <a:picLocks noChangeAspect="1"/>
                    </pic:cNvPicPr>
                  </pic:nvPicPr>
                  <pic:blipFill>
                    <a:blip r:embed="rId44"/>
                    <a:stretch>
                      <a:fillRect/>
                    </a:stretch>
                  </pic:blipFill>
                  <pic:spPr>
                    <a:xfrm>
                      <a:off x="0" y="0"/>
                      <a:ext cx="1665605" cy="2117725"/>
                    </a:xfrm>
                    <a:prstGeom prst="rect">
                      <a:avLst/>
                    </a:prstGeom>
                    <a:noFill/>
                    <a:ln>
                      <a:noFill/>
                    </a:ln>
                  </pic:spPr>
                </pic:pic>
              </a:graphicData>
            </a:graphic>
          </wp:anchor>
        </w:drawing>
      </w:r>
    </w:p>
    <w:p>
      <w:pPr>
        <w:keepNext w:val="0"/>
        <w:keepLines w:val="0"/>
        <w:widowControl/>
        <w:numPr>
          <w:ilvl w:val="-1"/>
          <w:numId w:val="0"/>
        </w:numPr>
        <w:spacing w:before="0" w:after="0" w:line="240" w:lineRule="auto"/>
        <w:ind w:left="0" w:firstLine="0"/>
        <w:jc w:val="left"/>
        <w:outlineLvl w:val="9"/>
        <w:rPr>
          <w:ins w:id="4" w:author="LENOVO" w:date="2026-06-23T09:21:22Z"/>
          <w:rFonts w:ascii="宋体" w:hAnsi="宋体" w:eastAsia="宋体" w:cs="宋体"/>
          <w:b/>
          <w:bCs/>
          <w:kern w:val="2"/>
          <w:sz w:val="24"/>
          <w:szCs w:val="24"/>
          <w:lang w:val="en-US" w:eastAsia="zh-CN" w:bidi="ar-SA"/>
        </w:rPr>
      </w:pPr>
      <w:ins w:id="5" w:author="LENOVO" w:date="2026-06-23T09:21:22Z">
        <w:r>
          <w:rPr>
            <w:rFonts w:hint="eastAsia" w:ascii="宋体" w:hAnsi="宋体" w:eastAsia="宋体" w:cs="宋体"/>
            <w:b/>
            <w:bCs/>
            <w:kern w:val="2"/>
            <w:sz w:val="24"/>
            <w:szCs w:val="24"/>
            <w:lang w:val="en-US" w:eastAsia="zh-CN" w:bidi="ar-SA"/>
          </w:rPr>
          <w:br w:type="page"/>
        </w:r>
      </w:ins>
    </w:p>
    <w:p>
      <w:pPr>
        <w:keepNext/>
        <w:keepLines/>
        <w:widowControl w:val="0"/>
        <w:numPr>
          <w:ilvl w:val="0"/>
          <w:numId w:val="13"/>
        </w:numPr>
        <w:spacing w:before="260" w:after="260" w:line="360" w:lineRule="auto"/>
        <w:ind w:left="1080" w:hanging="1080"/>
        <w:jc w:val="center"/>
        <w:outlineLvl w:val="1"/>
        <w:rPr>
          <w:rFonts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w:t>
      </w:r>
      <w:r>
        <w:rPr>
          <w:rFonts w:hint="eastAsia" w:ascii="宋体" w:hAnsi="宋体" w:eastAsia="宋体" w:cs="宋体"/>
          <w:sz w:val="24"/>
          <w:szCs w:val="24"/>
          <w:lang w:eastAsia="zh-CN"/>
        </w:rPr>
        <w:t>。</w:t>
      </w:r>
      <w:r>
        <w:rPr>
          <w:rFonts w:hint="eastAsia" w:ascii="宋体" w:hAnsi="宋体" w:eastAsia="宋体" w:cs="宋体"/>
          <w:sz w:val="24"/>
          <w:szCs w:val="24"/>
        </w:rPr>
        <w:t>投标方应当在投标文件中认真予以填写、补充和修改完善。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2.投标方需要执行的标准，应当采用所供</w:t>
      </w:r>
      <w:r>
        <w:rPr>
          <w:rFonts w:hint="eastAsia" w:ascii="宋体" w:hAnsi="宋体" w:cs="宋体"/>
          <w:sz w:val="24"/>
          <w:szCs w:val="24"/>
          <w:lang w:val="en-US" w:eastAsia="zh-CN"/>
        </w:rPr>
        <w:t>试验家具</w:t>
      </w:r>
      <w:r>
        <w:rPr>
          <w:rFonts w:hint="eastAsia" w:ascii="宋体" w:hAnsi="宋体" w:eastAsia="宋体" w:cs="宋体"/>
          <w:sz w:val="24"/>
          <w:szCs w:val="24"/>
        </w:rPr>
        <w:t>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w:t>
      </w:r>
      <w:r>
        <w:rPr>
          <w:rFonts w:hint="eastAsia" w:ascii="宋体" w:hAnsi="宋体" w:cs="宋体"/>
          <w:sz w:val="24"/>
          <w:szCs w:val="24"/>
          <w:lang w:val="en-US" w:eastAsia="zh-CN"/>
        </w:rPr>
        <w:t>试验家具</w:t>
      </w:r>
      <w:r>
        <w:rPr>
          <w:rFonts w:hint="eastAsia" w:ascii="宋体" w:hAnsi="宋体" w:eastAsia="宋体" w:cs="宋体"/>
          <w:sz w:val="24"/>
          <w:szCs w:val="24"/>
        </w:rPr>
        <w:t>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w:t>
      </w:r>
      <w:r>
        <w:rPr>
          <w:rFonts w:hint="eastAsia" w:ascii="宋体" w:hAnsi="宋体" w:eastAsia="宋体" w:cs="宋体"/>
          <w:sz w:val="24"/>
          <w:szCs w:val="24"/>
          <w:lang w:val="en-US" w:eastAsia="zh-CN"/>
        </w:rPr>
        <w:t>的</w:t>
      </w:r>
      <w:r>
        <w:rPr>
          <w:rFonts w:hint="eastAsia" w:ascii="宋体" w:hAnsi="宋体" w:cs="宋体"/>
          <w:sz w:val="24"/>
          <w:szCs w:val="24"/>
          <w:lang w:val="en-US" w:eastAsia="zh-CN"/>
        </w:rPr>
        <w:t>试验家具</w:t>
      </w:r>
      <w:r>
        <w:rPr>
          <w:rFonts w:hint="eastAsia" w:ascii="宋体" w:hAnsi="宋体" w:eastAsia="宋体" w:cs="宋体"/>
          <w:sz w:val="24"/>
          <w:szCs w:val="24"/>
        </w:rPr>
        <w:t>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w:t>
      </w:r>
      <w:r>
        <w:rPr>
          <w:rFonts w:hint="eastAsia" w:ascii="宋体" w:hAnsi="宋体" w:eastAsia="宋体" w:cs="宋体"/>
          <w:sz w:val="24"/>
          <w:szCs w:val="24"/>
          <w:lang w:val="en-US" w:eastAsia="zh-CN"/>
        </w:rPr>
        <w:t>的</w:t>
      </w:r>
      <w:r>
        <w:rPr>
          <w:rFonts w:hint="eastAsia" w:ascii="宋体" w:hAnsi="宋体" w:cs="宋体"/>
          <w:sz w:val="24"/>
          <w:szCs w:val="24"/>
          <w:lang w:val="en-US" w:eastAsia="zh-CN"/>
        </w:rPr>
        <w:t>试验家具</w:t>
      </w:r>
      <w:r>
        <w:rPr>
          <w:rFonts w:hint="eastAsia" w:ascii="宋体" w:hAnsi="宋体" w:eastAsia="宋体" w:cs="宋体"/>
          <w:sz w:val="24"/>
          <w:szCs w:val="24"/>
        </w:rPr>
        <w:t>如果采用国际标准，其执行标准由投标方提供、招标方确认。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w:t>
      </w:r>
      <w:r>
        <w:rPr>
          <w:rFonts w:hint="eastAsia" w:ascii="宋体" w:hAnsi="宋体" w:cs="宋体"/>
          <w:sz w:val="24"/>
          <w:szCs w:val="24"/>
          <w:lang w:val="en-US" w:eastAsia="zh-CN"/>
        </w:rPr>
        <w:t>试验家具</w:t>
      </w:r>
      <w:r>
        <w:rPr>
          <w:rFonts w:hint="eastAsia" w:ascii="宋体" w:hAnsi="宋体" w:eastAsia="宋体" w:cs="宋体"/>
          <w:sz w:val="24"/>
          <w:szCs w:val="24"/>
        </w:rPr>
        <w:t>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4475"/>
        <w:gridCol w:w="2572"/>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shd w:val="clear" w:color="auto" w:fill="FFFFFF"/>
            <w:vAlign w:val="center"/>
          </w:tcPr>
          <w:p>
            <w:pPr>
              <w:spacing w:line="300" w:lineRule="auto"/>
              <w:jc w:val="center"/>
              <w:rPr>
                <w:rFonts w:ascii="宋体" w:hAnsi="宋体" w:eastAsia="宋体" w:cs="宋体"/>
                <w:b/>
                <w:color w:val="000000"/>
                <w:szCs w:val="21"/>
              </w:rPr>
            </w:pPr>
            <w:r>
              <w:rPr>
                <w:rFonts w:hint="eastAsia" w:ascii="宋体" w:hAnsi="宋体" w:eastAsia="宋体" w:cs="宋体"/>
                <w:b/>
                <w:color w:val="000000"/>
                <w:szCs w:val="21"/>
              </w:rPr>
              <w:t>序号</w:t>
            </w:r>
          </w:p>
        </w:tc>
        <w:tc>
          <w:tcPr>
            <w:tcW w:w="2408" w:type="pct"/>
            <w:tcBorders>
              <w:tl2br w:val="nil"/>
              <w:tr2bl w:val="nil"/>
            </w:tcBorders>
            <w:shd w:val="clear" w:color="auto" w:fill="FFFFFF"/>
            <w:vAlign w:val="center"/>
          </w:tcPr>
          <w:p>
            <w:pPr>
              <w:spacing w:line="300" w:lineRule="auto"/>
              <w:jc w:val="center"/>
              <w:rPr>
                <w:rFonts w:ascii="宋体" w:hAnsi="宋体" w:eastAsia="宋体" w:cs="宋体"/>
                <w:b/>
                <w:color w:val="000000"/>
                <w:szCs w:val="21"/>
              </w:rPr>
            </w:pPr>
            <w:r>
              <w:rPr>
                <w:rFonts w:hint="eastAsia" w:ascii="宋体" w:hAnsi="宋体" w:eastAsia="宋体" w:cs="宋体"/>
                <w:b/>
                <w:color w:val="000000"/>
                <w:szCs w:val="21"/>
              </w:rPr>
              <w:t>标准名称</w:t>
            </w:r>
          </w:p>
        </w:tc>
        <w:tc>
          <w:tcPr>
            <w:tcW w:w="1384" w:type="pct"/>
            <w:tcBorders>
              <w:tl2br w:val="nil"/>
              <w:tr2bl w:val="nil"/>
            </w:tcBorders>
            <w:shd w:val="clear" w:color="auto" w:fill="FFFFFF"/>
            <w:vAlign w:val="center"/>
          </w:tcPr>
          <w:p>
            <w:pPr>
              <w:spacing w:line="300" w:lineRule="auto"/>
              <w:jc w:val="center"/>
              <w:rPr>
                <w:rFonts w:ascii="宋体" w:hAnsi="宋体" w:eastAsia="宋体" w:cs="宋体"/>
                <w:b/>
                <w:color w:val="000000"/>
                <w:szCs w:val="21"/>
              </w:rPr>
            </w:pPr>
            <w:r>
              <w:rPr>
                <w:rFonts w:hint="eastAsia" w:ascii="宋体" w:hAnsi="宋体" w:eastAsia="宋体" w:cs="宋体"/>
                <w:b/>
                <w:color w:val="000000"/>
                <w:szCs w:val="21"/>
              </w:rPr>
              <w:t>标准编号</w:t>
            </w:r>
          </w:p>
        </w:tc>
        <w:tc>
          <w:tcPr>
            <w:tcW w:w="815" w:type="pct"/>
            <w:tcBorders>
              <w:tl2br w:val="nil"/>
              <w:tr2bl w:val="nil"/>
            </w:tcBorders>
            <w:shd w:val="clear" w:color="auto" w:fill="FFFFFF"/>
            <w:vAlign w:val="center"/>
          </w:tcPr>
          <w:p>
            <w:pPr>
              <w:spacing w:line="300" w:lineRule="auto"/>
              <w:jc w:val="center"/>
              <w:rPr>
                <w:rFonts w:ascii="宋体" w:hAnsi="宋体" w:eastAsia="宋体" w:cs="宋体"/>
                <w:b/>
                <w:color w:val="000000"/>
                <w:szCs w:val="21"/>
              </w:rPr>
            </w:pPr>
            <w:r>
              <w:rPr>
                <w:rFonts w:hint="eastAsia" w:ascii="宋体" w:hAnsi="宋体" w:eastAsia="宋体" w:cs="宋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vAlign w:val="center"/>
          </w:tcPr>
          <w:p>
            <w:pPr>
              <w:spacing w:line="300" w:lineRule="auto"/>
              <w:jc w:val="center"/>
              <w:rPr>
                <w:rFonts w:hint="eastAsia" w:ascii="宋体" w:hAnsi="宋体" w:eastAsia="宋体" w:cs="宋体"/>
                <w:szCs w:val="21"/>
                <w:lang w:val="en-US" w:eastAsia="zh-CN"/>
              </w:rPr>
            </w:pPr>
            <w:r>
              <w:rPr>
                <w:rFonts w:hint="eastAsia" w:ascii="宋体" w:hAnsi="宋体" w:cs="宋体"/>
                <w:szCs w:val="21"/>
                <w:lang w:val="en-US" w:eastAsia="zh-CN"/>
              </w:rPr>
              <w:t>1</w:t>
            </w:r>
          </w:p>
        </w:tc>
        <w:tc>
          <w:tcPr>
            <w:tcW w:w="2408"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实验室家具通用技术条件</w:t>
            </w:r>
          </w:p>
        </w:tc>
        <w:tc>
          <w:tcPr>
            <w:tcW w:w="1384"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GB/T24820-2024</w:t>
            </w:r>
          </w:p>
        </w:tc>
        <w:tc>
          <w:tcPr>
            <w:tcW w:w="815" w:type="pct"/>
            <w:tcBorders>
              <w:tl2br w:val="nil"/>
              <w:tr2bl w:val="nil"/>
            </w:tcBorders>
            <w:vAlign w:val="center"/>
          </w:tcPr>
          <w:p>
            <w:pPr>
              <w:spacing w:line="300"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vAlign w:val="center"/>
          </w:tcPr>
          <w:p>
            <w:pPr>
              <w:spacing w:line="300" w:lineRule="auto"/>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2408"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家具结构安全技术规范</w:t>
            </w:r>
          </w:p>
        </w:tc>
        <w:tc>
          <w:tcPr>
            <w:tcW w:w="1384"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GB 28008-2024</w:t>
            </w:r>
          </w:p>
        </w:tc>
        <w:tc>
          <w:tcPr>
            <w:tcW w:w="815" w:type="pct"/>
            <w:tcBorders>
              <w:tl2br w:val="nil"/>
              <w:tr2bl w:val="nil"/>
            </w:tcBorders>
            <w:vAlign w:val="center"/>
          </w:tcPr>
          <w:p>
            <w:pPr>
              <w:spacing w:line="300"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vAlign w:val="center"/>
          </w:tcPr>
          <w:p>
            <w:pPr>
              <w:spacing w:line="300"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2408" w:type="pct"/>
            <w:tcBorders>
              <w:tl2br w:val="nil"/>
              <w:tr2bl w:val="nil"/>
            </w:tcBorders>
            <w:vAlign w:val="center"/>
          </w:tcPr>
          <w:p>
            <w:pPr>
              <w:spacing w:line="300" w:lineRule="auto"/>
              <w:jc w:val="center"/>
              <w:rPr>
                <w:rFonts w:hint="default" w:ascii="宋体" w:hAnsi="宋体" w:cs="宋体"/>
                <w:szCs w:val="21"/>
                <w:lang w:val="en-US" w:eastAsia="zh-CN"/>
              </w:rPr>
            </w:pPr>
            <w:r>
              <w:rPr>
                <w:rFonts w:hint="eastAsia" w:ascii="宋体" w:hAnsi="宋体" w:cs="宋体"/>
                <w:szCs w:val="21"/>
                <w:lang w:val="en-US" w:eastAsia="zh-CN"/>
              </w:rPr>
              <w:t>家具中有害物质限量</w:t>
            </w:r>
          </w:p>
        </w:tc>
        <w:tc>
          <w:tcPr>
            <w:tcW w:w="1384"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GB 18587-2024</w:t>
            </w:r>
          </w:p>
        </w:tc>
        <w:tc>
          <w:tcPr>
            <w:tcW w:w="815" w:type="pct"/>
            <w:tcBorders>
              <w:tl2br w:val="nil"/>
              <w:tr2bl w:val="nil"/>
            </w:tcBorders>
            <w:vAlign w:val="center"/>
          </w:tcPr>
          <w:p>
            <w:pPr>
              <w:spacing w:line="300"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vAlign w:val="center"/>
          </w:tcPr>
          <w:p>
            <w:pPr>
              <w:spacing w:line="300" w:lineRule="auto"/>
              <w:jc w:val="center"/>
              <w:rPr>
                <w:rFonts w:hint="eastAsia" w:ascii="宋体" w:hAnsi="宋体" w:eastAsia="宋体" w:cs="宋体"/>
                <w:szCs w:val="21"/>
                <w:lang w:val="en-US" w:eastAsia="zh-CN"/>
              </w:rPr>
            </w:pPr>
            <w:bookmarkStart w:id="29" w:name="_Toc142725018"/>
            <w:r>
              <w:rPr>
                <w:rFonts w:hint="eastAsia" w:ascii="宋体" w:hAnsi="宋体" w:cs="宋体"/>
                <w:szCs w:val="21"/>
                <w:lang w:val="en-US" w:eastAsia="zh-CN"/>
              </w:rPr>
              <w:t>4</w:t>
            </w:r>
          </w:p>
        </w:tc>
        <w:tc>
          <w:tcPr>
            <w:tcW w:w="2408"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人造板及饰面人造板理化性能试验方法</w:t>
            </w:r>
          </w:p>
        </w:tc>
        <w:tc>
          <w:tcPr>
            <w:tcW w:w="1384"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GB/T 17657-2022</w:t>
            </w:r>
          </w:p>
        </w:tc>
        <w:tc>
          <w:tcPr>
            <w:tcW w:w="815" w:type="pct"/>
            <w:tcBorders>
              <w:tl2br w:val="nil"/>
              <w:tr2bl w:val="nil"/>
            </w:tcBorders>
            <w:vAlign w:val="center"/>
          </w:tcPr>
          <w:p>
            <w:pPr>
              <w:spacing w:line="300"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vAlign w:val="center"/>
          </w:tcPr>
          <w:p>
            <w:pPr>
              <w:spacing w:line="300" w:lineRule="auto"/>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2408"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塑料家具通用技术条件</w:t>
            </w:r>
          </w:p>
        </w:tc>
        <w:tc>
          <w:tcPr>
            <w:tcW w:w="1384"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GB/T 32487-2016</w:t>
            </w:r>
          </w:p>
        </w:tc>
        <w:tc>
          <w:tcPr>
            <w:tcW w:w="815" w:type="pct"/>
            <w:tcBorders>
              <w:tl2br w:val="nil"/>
              <w:tr2bl w:val="nil"/>
            </w:tcBorders>
            <w:vAlign w:val="center"/>
          </w:tcPr>
          <w:p>
            <w:pPr>
              <w:spacing w:line="300"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vAlign w:val="center"/>
          </w:tcPr>
          <w:p>
            <w:pPr>
              <w:spacing w:line="300" w:lineRule="auto"/>
              <w:jc w:val="center"/>
              <w:rPr>
                <w:rFonts w:hint="eastAsia" w:ascii="宋体" w:hAnsi="宋体" w:eastAsia="宋体" w:cs="宋体"/>
                <w:szCs w:val="21"/>
                <w:lang w:val="en-US" w:eastAsia="zh-CN"/>
              </w:rPr>
            </w:pPr>
            <w:r>
              <w:rPr>
                <w:rFonts w:hint="eastAsia" w:ascii="宋体" w:hAnsi="宋体" w:cs="宋体"/>
                <w:szCs w:val="21"/>
                <w:lang w:val="en-US" w:eastAsia="zh-CN"/>
              </w:rPr>
              <w:t>6</w:t>
            </w:r>
          </w:p>
        </w:tc>
        <w:tc>
          <w:tcPr>
            <w:tcW w:w="2408"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钢制家具通用技术条件</w:t>
            </w:r>
          </w:p>
        </w:tc>
        <w:tc>
          <w:tcPr>
            <w:tcW w:w="1384"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QB/T 3826-2019</w:t>
            </w:r>
          </w:p>
        </w:tc>
        <w:tc>
          <w:tcPr>
            <w:tcW w:w="815" w:type="pct"/>
            <w:tcBorders>
              <w:tl2br w:val="nil"/>
              <w:tr2bl w:val="nil"/>
            </w:tcBorders>
            <w:vAlign w:val="center"/>
          </w:tcPr>
          <w:p>
            <w:pPr>
              <w:spacing w:line="300"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vAlign w:val="center"/>
          </w:tcPr>
          <w:p>
            <w:pPr>
              <w:spacing w:line="300" w:lineRule="auto"/>
              <w:jc w:val="center"/>
              <w:rPr>
                <w:rFonts w:hint="eastAsia" w:ascii="宋体" w:hAnsi="宋体" w:eastAsia="宋体" w:cs="宋体"/>
                <w:szCs w:val="21"/>
                <w:lang w:val="en-US" w:eastAsia="zh-CN"/>
              </w:rPr>
            </w:pPr>
            <w:r>
              <w:rPr>
                <w:rFonts w:hint="eastAsia" w:ascii="宋体" w:hAnsi="宋体" w:cs="宋体"/>
                <w:szCs w:val="21"/>
                <w:lang w:val="en-US" w:eastAsia="zh-CN"/>
              </w:rPr>
              <w:t>7</w:t>
            </w:r>
          </w:p>
        </w:tc>
        <w:tc>
          <w:tcPr>
            <w:tcW w:w="2408"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绿色产品评价家具</w:t>
            </w:r>
          </w:p>
        </w:tc>
        <w:tc>
          <w:tcPr>
            <w:tcW w:w="1384" w:type="pct"/>
            <w:tcBorders>
              <w:tl2br w:val="nil"/>
              <w:tr2bl w:val="nil"/>
            </w:tcBorders>
            <w:vAlign w:val="center"/>
          </w:tcPr>
          <w:p>
            <w:pPr>
              <w:spacing w:line="300" w:lineRule="auto"/>
              <w:jc w:val="center"/>
              <w:rPr>
                <w:rFonts w:hint="eastAsia" w:ascii="宋体" w:hAnsi="宋体" w:cs="宋体"/>
                <w:szCs w:val="21"/>
                <w:lang w:val="en-US" w:eastAsia="zh-CN"/>
              </w:rPr>
            </w:pPr>
            <w:r>
              <w:rPr>
                <w:rFonts w:hint="eastAsia" w:ascii="宋体" w:hAnsi="宋体" w:cs="宋体"/>
                <w:szCs w:val="21"/>
                <w:lang w:val="en-US" w:eastAsia="zh-CN"/>
              </w:rPr>
              <w:t>GB/T 35607-2017</w:t>
            </w:r>
          </w:p>
        </w:tc>
        <w:tc>
          <w:tcPr>
            <w:tcW w:w="815" w:type="pct"/>
            <w:tcBorders>
              <w:tl2br w:val="nil"/>
              <w:tr2bl w:val="nil"/>
            </w:tcBorders>
            <w:vAlign w:val="center"/>
          </w:tcPr>
          <w:p>
            <w:pPr>
              <w:spacing w:line="300" w:lineRule="auto"/>
              <w:jc w:val="left"/>
              <w:rPr>
                <w:rFonts w:ascii="宋体" w:hAnsi="宋体" w:eastAsia="宋体" w:cs="宋体"/>
                <w:szCs w:val="21"/>
              </w:rPr>
            </w:pPr>
          </w:p>
        </w:tc>
      </w:tr>
    </w:tbl>
    <w:p>
      <w:pPr>
        <w:keepNext w:val="0"/>
        <w:keepLines w:val="0"/>
        <w:widowControl/>
        <w:numPr>
          <w:ilvl w:val="-1"/>
          <w:numId w:val="0"/>
        </w:numPr>
        <w:spacing w:before="0" w:after="0" w:line="240" w:lineRule="auto"/>
        <w:ind w:left="0" w:leftChars="0"/>
        <w:jc w:val="left"/>
        <w:outlineLvl w:val="9"/>
        <w:rPr>
          <w:ins w:id="6" w:author="LENOVO" w:date="2026-06-23T09:21:33Z"/>
          <w:rFonts w:hint="eastAsia" w:ascii="宋体" w:hAnsi="宋体" w:cs="宋体"/>
          <w:b w:val="0"/>
          <w:bCs w:val="0"/>
          <w:sz w:val="30"/>
          <w:szCs w:val="30"/>
          <w:lang w:val="en-US" w:eastAsia="zh-CN"/>
        </w:rPr>
      </w:pPr>
      <w:ins w:id="7" w:author="LENOVO" w:date="2026-06-23T09:21:33Z">
        <w:r>
          <w:rPr>
            <w:rFonts w:hint="eastAsia" w:ascii="宋体" w:hAnsi="宋体" w:cs="宋体"/>
            <w:b w:val="0"/>
            <w:bCs w:val="0"/>
            <w:sz w:val="30"/>
            <w:szCs w:val="30"/>
            <w:lang w:val="en-US" w:eastAsia="zh-CN"/>
          </w:rPr>
          <w:br w:type="page"/>
        </w:r>
      </w:ins>
    </w:p>
    <w:p>
      <w:pPr>
        <w:keepNext/>
        <w:keepLines/>
        <w:widowControl w:val="0"/>
        <w:numPr>
          <w:ilvl w:val="0"/>
          <w:numId w:val="0"/>
        </w:numPr>
        <w:tabs>
          <w:tab w:val="left" w:pos="425"/>
        </w:tabs>
        <w:spacing w:before="340" w:after="330" w:line="360" w:lineRule="auto"/>
        <w:ind w:left="0" w:leftChars="0"/>
        <w:jc w:val="center"/>
        <w:outlineLvl w:val="0"/>
        <w:rPr>
          <w:rFonts w:ascii="宋体" w:hAnsi="宋体" w:eastAsia="宋体" w:cs="宋体"/>
          <w:b/>
          <w:bCs/>
          <w:kern w:val="44"/>
          <w:sz w:val="24"/>
          <w:szCs w:val="24"/>
          <w:lang w:val="zh-CN" w:eastAsia="zh-CN" w:bidi="ar-SA"/>
        </w:rPr>
      </w:pPr>
      <w:r>
        <w:rPr>
          <w:rFonts w:hint="eastAsia" w:ascii="宋体" w:hAnsi="宋体" w:cs="宋体"/>
          <w:b w:val="0"/>
          <w:bCs w:val="0"/>
          <w:sz w:val="30"/>
          <w:szCs w:val="30"/>
          <w:lang w:val="en-US" w:eastAsia="zh-CN"/>
        </w:rPr>
        <w:t xml:space="preserve">第四章  </w:t>
      </w:r>
      <w:r>
        <w:rPr>
          <w:rFonts w:hint="eastAsia" w:ascii="宋体" w:hAnsi="宋体" w:eastAsia="宋体" w:cs="宋体"/>
          <w:b w:val="0"/>
          <w:bCs w:val="0"/>
          <w:kern w:val="44"/>
          <w:sz w:val="30"/>
          <w:szCs w:val="30"/>
          <w:lang w:val="zh-CN" w:eastAsia="zh-CN" w:bidi="ar-SA"/>
        </w:rPr>
        <w:t>服务范围及服务方式</w:t>
      </w:r>
      <w:bookmarkEnd w:id="29"/>
    </w:p>
    <w:p>
      <w:pPr>
        <w:keepNext/>
        <w:keepLines/>
        <w:widowControl w:val="0"/>
        <w:numPr>
          <w:ilvl w:val="0"/>
          <w:numId w:val="17"/>
        </w:numPr>
        <w:spacing w:before="260" w:after="260" w:line="360" w:lineRule="auto"/>
        <w:ind w:left="1080" w:hanging="1080"/>
        <w:jc w:val="center"/>
        <w:outlineLvl w:val="1"/>
        <w:rPr>
          <w:rFonts w:ascii="宋体" w:hAnsi="宋体" w:eastAsia="宋体" w:cs="宋体"/>
          <w:b/>
          <w:bCs/>
          <w:kern w:val="2"/>
          <w:sz w:val="24"/>
          <w:szCs w:val="24"/>
          <w:lang w:val="zh-CN" w:eastAsia="zh-CN" w:bidi="ar-SA"/>
        </w:rPr>
      </w:pPr>
      <w:bookmarkStart w:id="30" w:name="_Toc465187643"/>
      <w:bookmarkStart w:id="31" w:name="_Toc142725019"/>
      <w:r>
        <w:rPr>
          <w:rFonts w:hint="eastAsia" w:ascii="宋体" w:hAnsi="宋体" w:eastAsia="宋体" w:cs="宋体"/>
          <w:b/>
          <w:bCs/>
          <w:kern w:val="2"/>
          <w:sz w:val="24"/>
          <w:szCs w:val="24"/>
          <w:lang w:val="zh-CN" w:eastAsia="zh-CN" w:bidi="ar-SA"/>
        </w:rPr>
        <w:t>供货范围</w:t>
      </w:r>
      <w:bookmarkEnd w:id="30"/>
      <w:bookmarkEnd w:id="31"/>
    </w:p>
    <w:p>
      <w:pPr>
        <w:keepNext/>
        <w:keepLines/>
        <w:widowControl w:val="0"/>
        <w:tabs>
          <w:tab w:val="left" w:pos="709"/>
        </w:tabs>
        <w:spacing w:before="260" w:after="260" w:line="360" w:lineRule="auto"/>
        <w:jc w:val="left"/>
        <w:outlineLvl w:val="2"/>
        <w:rPr>
          <w:rFonts w:ascii="宋体" w:hAnsi="宋体" w:eastAsia="宋体" w:cs="宋体"/>
          <w:b/>
          <w:bCs/>
          <w:kern w:val="2"/>
          <w:sz w:val="24"/>
          <w:szCs w:val="20"/>
          <w:lang w:val="zh-CN" w:eastAsia="zh-CN" w:bidi="ar-SA"/>
        </w:rPr>
      </w:pPr>
      <w:bookmarkStart w:id="32" w:name="_Toc142725020"/>
      <w:r>
        <w:rPr>
          <w:rFonts w:hint="eastAsia" w:ascii="宋体" w:hAnsi="宋体" w:eastAsia="宋体" w:cs="宋体"/>
          <w:b/>
          <w:bCs/>
          <w:kern w:val="2"/>
          <w:sz w:val="24"/>
          <w:szCs w:val="20"/>
          <w:lang w:val="zh-CN" w:eastAsia="zh-CN" w:bidi="ar-SA"/>
        </w:rPr>
        <w:t>一、供货范围</w:t>
      </w:r>
      <w:bookmarkEnd w:id="32"/>
    </w:p>
    <w:p>
      <w:pPr>
        <w:spacing w:line="360" w:lineRule="auto"/>
        <w:ind w:firstLine="480"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1、包括本技术标书所列明的</w:t>
      </w:r>
      <w:r>
        <w:rPr>
          <w:rFonts w:hint="eastAsia" w:ascii="宋体" w:hAnsi="宋体" w:eastAsia="宋体" w:cs="宋体"/>
          <w:color w:val="000000"/>
          <w:sz w:val="24"/>
          <w:szCs w:val="24"/>
          <w:lang w:val="en-US" w:eastAsia="zh-CN"/>
        </w:rPr>
        <w:t>采购清单</w:t>
      </w:r>
      <w:r>
        <w:rPr>
          <w:rFonts w:hint="eastAsia" w:ascii="宋体" w:hAnsi="宋体" w:eastAsia="宋体" w:cs="宋体"/>
          <w:color w:val="000000"/>
          <w:sz w:val="24"/>
          <w:szCs w:val="24"/>
        </w:rPr>
        <w:t>以及</w:t>
      </w:r>
      <w:r>
        <w:rPr>
          <w:rFonts w:hint="eastAsia" w:ascii="宋体" w:hAnsi="宋体" w:cs="宋体"/>
          <w:color w:val="000000"/>
          <w:sz w:val="24"/>
          <w:szCs w:val="24"/>
          <w:lang w:val="en-US" w:eastAsia="zh-CN"/>
        </w:rPr>
        <w:t>试验家具</w:t>
      </w:r>
      <w:r>
        <w:rPr>
          <w:rFonts w:hint="eastAsia" w:ascii="宋体" w:hAnsi="宋体" w:eastAsia="宋体" w:cs="宋体"/>
          <w:color w:val="000000"/>
          <w:sz w:val="24"/>
          <w:szCs w:val="24"/>
          <w:lang w:val="en-US" w:eastAsia="zh-CN"/>
        </w:rPr>
        <w:t>正常使用</w:t>
      </w:r>
      <w:r>
        <w:rPr>
          <w:rFonts w:hint="eastAsia" w:ascii="宋体" w:hAnsi="宋体" w:eastAsia="宋体" w:cs="宋体"/>
          <w:color w:val="000000"/>
          <w:sz w:val="24"/>
          <w:szCs w:val="24"/>
        </w:rPr>
        <w:t>所必需的材料等。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2、包括为保证</w:t>
      </w:r>
      <w:r>
        <w:rPr>
          <w:rFonts w:hint="eastAsia" w:ascii="宋体" w:hAnsi="宋体" w:cs="宋体"/>
          <w:color w:val="000000"/>
          <w:sz w:val="24"/>
          <w:szCs w:val="24"/>
          <w:lang w:val="en-US" w:eastAsia="zh-CN"/>
        </w:rPr>
        <w:t>试验家具</w:t>
      </w:r>
      <w:r>
        <w:rPr>
          <w:rFonts w:hint="eastAsia" w:ascii="宋体" w:hAnsi="宋体" w:eastAsia="宋体" w:cs="宋体"/>
          <w:color w:val="000000"/>
          <w:sz w:val="24"/>
          <w:szCs w:val="24"/>
        </w:rPr>
        <w:t>正常使用所必需的整套配件、附件及材料等。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如果终验收完成后，卖方有需要收回的配件、附件、材料等，应当在投标文件的技术偏离条款中，予以详细说明；否则视同包括在供货范围之内。</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3、包括</w:t>
      </w:r>
      <w:r>
        <w:rPr>
          <w:rFonts w:hint="eastAsia" w:ascii="宋体" w:hAnsi="宋体" w:eastAsia="宋体" w:cs="宋体"/>
          <w:color w:val="000000"/>
          <w:sz w:val="24"/>
          <w:szCs w:val="24"/>
          <w:lang w:val="en-US" w:eastAsia="zh-CN"/>
        </w:rPr>
        <w:t>所供货的</w:t>
      </w:r>
      <w:r>
        <w:rPr>
          <w:rFonts w:hint="eastAsia" w:ascii="宋体" w:hAnsi="宋体" w:cs="宋体"/>
          <w:color w:val="000000"/>
          <w:sz w:val="24"/>
          <w:szCs w:val="24"/>
          <w:lang w:val="en-US" w:eastAsia="zh-CN"/>
        </w:rPr>
        <w:t>试验家具</w:t>
      </w:r>
      <w:r>
        <w:rPr>
          <w:rFonts w:hint="eastAsia" w:ascii="宋体" w:hAnsi="宋体" w:eastAsia="宋体" w:cs="宋体"/>
          <w:color w:val="000000"/>
          <w:sz w:val="24"/>
          <w:szCs w:val="24"/>
        </w:rPr>
        <w:t>为达到产品标准以及环保、消防和劳动安全卫生等国家法律、法规和标准、规范要求而必须配备但标书未明确提出的材料等。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b/>
          <w:color w:val="000000"/>
          <w:sz w:val="24"/>
          <w:szCs w:val="24"/>
        </w:rPr>
        <w:t>（二）供货范围边界界定</w:t>
      </w:r>
    </w:p>
    <w:p>
      <w:pPr>
        <w:spacing w:line="360" w:lineRule="auto"/>
        <w:ind w:firstLine="480" w:firstLineChars="200"/>
        <w:rPr>
          <w:rFonts w:ascii="Times New Roman" w:hAnsi="Times New Roman" w:eastAsia="宋体" w:cs="Times New Roman"/>
          <w:szCs w:val="20"/>
        </w:rPr>
      </w:pPr>
      <w:r>
        <w:rPr>
          <w:rFonts w:hint="eastAsia" w:ascii="宋体" w:hAnsi="宋体" w:eastAsia="宋体" w:cs="宋体"/>
          <w:sz w:val="24"/>
          <w:szCs w:val="24"/>
        </w:rPr>
        <w:t>1.招标方提供货物所需的建筑物（如厂房等）和构筑物（如混凝土池、砼基础等），投标方提供包含但不局限于采购货物一览表范围内容。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2.对于招标文件中无明确具体要求而投标方认为必须具备的其它货物，投标方必须将该部分货物/服务单独报价（该报价含运杂费及税费等其它费用，而且不再作为其它报价涉及的其它费用的计算基数）。</w:t>
      </w:r>
    </w:p>
    <w:p>
      <w:pPr>
        <w:keepNext/>
        <w:keepLines/>
        <w:widowControl w:val="0"/>
        <w:numPr>
          <w:ilvl w:val="0"/>
          <w:numId w:val="17"/>
        </w:numPr>
        <w:spacing w:before="260" w:after="260" w:line="360" w:lineRule="auto"/>
        <w:ind w:left="1080" w:hanging="1080"/>
        <w:jc w:val="center"/>
        <w:outlineLvl w:val="1"/>
        <w:rPr>
          <w:rFonts w:ascii="宋体" w:hAnsi="宋体" w:eastAsia="宋体" w:cs="宋体"/>
          <w:b/>
          <w:bCs/>
          <w:kern w:val="2"/>
          <w:sz w:val="24"/>
          <w:szCs w:val="24"/>
          <w:lang w:val="zh-CN" w:eastAsia="zh-CN" w:bidi="ar-SA"/>
        </w:rPr>
      </w:pPr>
      <w:bookmarkStart w:id="33" w:name="_Toc142725024"/>
      <w:bookmarkStart w:id="34" w:name="_Toc465187644"/>
      <w:r>
        <w:rPr>
          <w:rFonts w:hint="eastAsia" w:ascii="宋体" w:hAnsi="宋体" w:eastAsia="宋体" w:cs="宋体"/>
          <w:b/>
          <w:bCs/>
          <w:kern w:val="2"/>
          <w:sz w:val="24"/>
          <w:szCs w:val="24"/>
          <w:lang w:val="zh-CN" w:eastAsia="zh-CN" w:bidi="ar-SA"/>
        </w:rPr>
        <w:t>供货方式</w:t>
      </w:r>
      <w:bookmarkEnd w:id="33"/>
      <w:bookmarkEnd w:id="34"/>
    </w:p>
    <w:p>
      <w:pPr>
        <w:keepNext/>
        <w:keepLines/>
        <w:widowControl w:val="0"/>
        <w:tabs>
          <w:tab w:val="left" w:pos="709"/>
        </w:tabs>
        <w:spacing w:before="260" w:after="260" w:line="360" w:lineRule="auto"/>
        <w:jc w:val="left"/>
        <w:outlineLvl w:val="2"/>
        <w:rPr>
          <w:rFonts w:ascii="宋体" w:hAnsi="宋体" w:eastAsia="宋体" w:cs="宋体"/>
          <w:b/>
          <w:bCs/>
          <w:kern w:val="2"/>
          <w:sz w:val="24"/>
          <w:szCs w:val="20"/>
          <w:lang w:val="zh-CN" w:eastAsia="zh-CN" w:bidi="ar-SA"/>
        </w:rPr>
      </w:pPr>
      <w:bookmarkStart w:id="35" w:name="_Toc142725025"/>
      <w:r>
        <w:rPr>
          <w:rFonts w:hint="eastAsia" w:ascii="宋体" w:hAnsi="宋体" w:eastAsia="宋体" w:cs="宋体"/>
          <w:b/>
          <w:bCs/>
          <w:kern w:val="2"/>
          <w:sz w:val="24"/>
          <w:szCs w:val="20"/>
          <w:lang w:val="zh-CN" w:eastAsia="zh-CN" w:bidi="ar-SA"/>
        </w:rPr>
        <w:t>一、供货方式</w:t>
      </w:r>
      <w:bookmarkEnd w:id="35"/>
    </w:p>
    <w:p>
      <w:pPr>
        <w:keepNext/>
        <w:keepLines/>
        <w:widowControl w:val="0"/>
        <w:tabs>
          <w:tab w:val="left" w:pos="709"/>
        </w:tabs>
        <w:spacing w:before="0" w:after="0" w:line="360" w:lineRule="auto"/>
        <w:ind w:firstLine="480" w:firstLineChars="200"/>
        <w:jc w:val="left"/>
        <w:outlineLvl w:val="2"/>
        <w:rPr>
          <w:rFonts w:ascii="宋体" w:hAnsi="宋体" w:eastAsia="宋体" w:cs="宋体"/>
          <w:b w:val="0"/>
          <w:bCs w:val="0"/>
          <w:color w:val="000000"/>
          <w:kern w:val="2"/>
          <w:sz w:val="24"/>
          <w:szCs w:val="24"/>
          <w:lang w:val="en-US" w:eastAsia="zh-CN" w:bidi="ar-SA"/>
        </w:rPr>
      </w:pPr>
      <w:bookmarkStart w:id="36" w:name="_Toc142725026"/>
      <w:r>
        <w:rPr>
          <w:rFonts w:hint="eastAsia" w:ascii="宋体" w:hAnsi="宋体" w:eastAsia="宋体" w:cs="宋体"/>
          <w:b w:val="0"/>
          <w:bCs w:val="0"/>
          <w:color w:val="000000"/>
          <w:kern w:val="2"/>
          <w:sz w:val="24"/>
          <w:szCs w:val="24"/>
          <w:lang w:val="en-US" w:eastAsia="zh-CN" w:bidi="ar-SA"/>
        </w:rPr>
        <w:t>完全交钥匙方式，即本次采购招标至少包括以下服务：货物采购，至交货地点的运输（含定点装卸），安装，调试，买方安装地竣工验收服务等全流程范围。</w:t>
      </w:r>
    </w:p>
    <w:p>
      <w:pPr>
        <w:keepNext/>
        <w:keepLines/>
        <w:widowControl w:val="0"/>
        <w:tabs>
          <w:tab w:val="left" w:pos="709"/>
        </w:tabs>
        <w:spacing w:before="260" w:after="260" w:line="360" w:lineRule="auto"/>
        <w:jc w:val="left"/>
        <w:outlineLvl w:val="2"/>
        <w:rPr>
          <w:rFonts w:ascii="宋体" w:hAnsi="宋体" w:eastAsia="宋体" w:cs="宋体"/>
          <w:b/>
          <w:bCs/>
          <w:kern w:val="2"/>
          <w:sz w:val="24"/>
          <w:szCs w:val="20"/>
          <w:lang w:val="zh-CN" w:eastAsia="zh-CN" w:bidi="ar-SA"/>
        </w:rPr>
      </w:pPr>
      <w:r>
        <w:rPr>
          <w:rFonts w:hint="eastAsia" w:ascii="宋体" w:hAnsi="宋体" w:eastAsia="宋体" w:cs="宋体"/>
          <w:b/>
          <w:bCs/>
          <w:kern w:val="2"/>
          <w:sz w:val="24"/>
          <w:szCs w:val="20"/>
          <w:lang w:val="zh-CN" w:eastAsia="zh-CN" w:bidi="ar-SA"/>
        </w:rPr>
        <w:t>二、供货地点</w:t>
      </w:r>
      <w:bookmarkEnd w:id="36"/>
    </w:p>
    <w:p>
      <w:pPr>
        <w:spacing w:line="360" w:lineRule="auto"/>
        <w:ind w:firstLine="480" w:firstLineChars="200"/>
        <w:rPr>
          <w:rFonts w:hint="eastAsia" w:ascii="宋体" w:hAnsi="宋体" w:eastAsia="宋体" w:cs="宋体"/>
          <w:color w:val="000000"/>
          <w:sz w:val="24"/>
          <w:szCs w:val="24"/>
          <w:highlight w:val="none"/>
          <w:lang w:eastAsia="zh-CN"/>
        </w:rPr>
      </w:pPr>
      <w:bookmarkStart w:id="37" w:name="_Toc142725027"/>
      <w:r>
        <w:rPr>
          <w:rFonts w:hint="eastAsia" w:ascii="宋体" w:hAnsi="宋体" w:cs="宋体"/>
          <w:color w:val="000000"/>
          <w:sz w:val="24"/>
          <w:szCs w:val="24"/>
          <w:highlight w:val="none"/>
          <w:lang w:val="en-US" w:eastAsia="zh-CN"/>
        </w:rPr>
        <w:t>山东省</w:t>
      </w:r>
      <w:r>
        <w:rPr>
          <w:rFonts w:hint="eastAsia" w:ascii="宋体" w:hAnsi="宋体" w:eastAsia="宋体" w:cs="宋体"/>
          <w:color w:val="000000"/>
          <w:sz w:val="24"/>
          <w:szCs w:val="24"/>
          <w:highlight w:val="none"/>
        </w:rPr>
        <w:t>济南市</w:t>
      </w:r>
      <w:r>
        <w:rPr>
          <w:rFonts w:hint="eastAsia" w:ascii="宋体" w:hAnsi="宋体" w:eastAsia="宋体" w:cs="宋体"/>
          <w:color w:val="000000"/>
          <w:sz w:val="24"/>
          <w:szCs w:val="24"/>
          <w:highlight w:val="none"/>
          <w:lang w:val="en-US" w:eastAsia="zh-CN"/>
        </w:rPr>
        <w:t>莱芜区莱城大道1188号</w:t>
      </w:r>
    </w:p>
    <w:p>
      <w:pPr>
        <w:keepNext/>
        <w:keepLines/>
        <w:widowControl w:val="0"/>
        <w:tabs>
          <w:tab w:val="left" w:pos="709"/>
        </w:tabs>
        <w:spacing w:before="260" w:after="260" w:line="360" w:lineRule="auto"/>
        <w:jc w:val="left"/>
        <w:outlineLvl w:val="2"/>
        <w:rPr>
          <w:rFonts w:ascii="宋体" w:hAnsi="宋体" w:eastAsia="宋体" w:cs="宋体"/>
          <w:b/>
          <w:bCs/>
          <w:kern w:val="2"/>
          <w:sz w:val="24"/>
          <w:szCs w:val="20"/>
          <w:lang w:val="zh-CN" w:eastAsia="zh-CN" w:bidi="ar-SA"/>
        </w:rPr>
      </w:pPr>
      <w:r>
        <w:rPr>
          <w:rFonts w:hint="eastAsia" w:ascii="宋体" w:hAnsi="宋体" w:eastAsia="宋体" w:cs="宋体"/>
          <w:b/>
          <w:bCs/>
          <w:kern w:val="2"/>
          <w:sz w:val="24"/>
          <w:szCs w:val="20"/>
          <w:lang w:val="zh-CN" w:eastAsia="zh-CN" w:bidi="ar-SA"/>
        </w:rPr>
        <w:t>三、供货时间</w:t>
      </w:r>
      <w:bookmarkEnd w:id="37"/>
    </w:p>
    <w:p>
      <w:pPr>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1.自合同签订生效之日后，合同期内</w:t>
      </w:r>
      <w:r>
        <w:rPr>
          <w:rFonts w:hint="eastAsia" w:ascii="宋体" w:hAnsi="宋体" w:cs="宋体"/>
          <w:color w:val="000000"/>
          <w:sz w:val="24"/>
          <w:szCs w:val="24"/>
          <w:lang w:val="en-US" w:eastAsia="zh-CN"/>
        </w:rPr>
        <w:t>接</w:t>
      </w:r>
      <w:r>
        <w:rPr>
          <w:rFonts w:hint="eastAsia" w:ascii="宋体" w:hAnsi="宋体" w:eastAsia="宋体" w:cs="宋体"/>
          <w:color w:val="000000"/>
          <w:sz w:val="24"/>
          <w:szCs w:val="24"/>
        </w:rPr>
        <w:t>甲方通知</w:t>
      </w:r>
      <w:r>
        <w:rPr>
          <w:rFonts w:hint="eastAsia" w:ascii="宋体" w:hAnsi="宋体" w:cs="宋体"/>
          <w:color w:val="000000"/>
          <w:sz w:val="24"/>
          <w:szCs w:val="24"/>
          <w:lang w:val="en-US" w:eastAsia="zh-CN"/>
        </w:rPr>
        <w:t>后</w:t>
      </w:r>
      <w:r>
        <w:rPr>
          <w:rFonts w:hint="eastAsia" w:ascii="宋体" w:hAnsi="宋体" w:eastAsia="宋体" w:cs="宋体"/>
          <w:color w:val="000000"/>
          <w:sz w:val="24"/>
          <w:szCs w:val="24"/>
        </w:rPr>
        <w:t>40个日历日内供货到指定地点。</w:t>
      </w:r>
    </w:p>
    <w:p>
      <w:pPr>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2.接续</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rPr>
        <w:t>个日历日之内安装调试完毕。</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3.终验收在</w:t>
      </w:r>
      <w:r>
        <w:rPr>
          <w:rFonts w:hint="eastAsia" w:ascii="宋体" w:hAnsi="宋体" w:cs="宋体"/>
          <w:color w:val="000000"/>
          <w:sz w:val="24"/>
          <w:szCs w:val="24"/>
          <w:lang w:val="en-US" w:eastAsia="zh-CN"/>
        </w:rPr>
        <w:t>30</w:t>
      </w:r>
      <w:r>
        <w:rPr>
          <w:rFonts w:hint="eastAsia" w:ascii="宋体" w:hAnsi="宋体" w:eastAsia="宋体" w:cs="宋体"/>
          <w:color w:val="000000"/>
          <w:sz w:val="24"/>
          <w:szCs w:val="24"/>
        </w:rPr>
        <w:t>个日历日之内完成。</w:t>
      </w:r>
    </w:p>
    <w:p>
      <w:pPr>
        <w:spacing w:line="360" w:lineRule="auto"/>
        <w:ind w:firstLine="480" w:firstLineChars="200"/>
        <w:jc w:val="lef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4.本</w:t>
      </w:r>
      <w:r>
        <w:rPr>
          <w:rFonts w:hint="eastAsia" w:ascii="宋体" w:hAnsi="宋体" w:cs="宋体"/>
          <w:color w:val="000000"/>
          <w:sz w:val="24"/>
          <w:szCs w:val="24"/>
          <w:lang w:val="en-US" w:eastAsia="zh-CN"/>
        </w:rPr>
        <w:t>次采购</w:t>
      </w:r>
      <w:r>
        <w:rPr>
          <w:rFonts w:hint="eastAsia" w:ascii="宋体" w:hAnsi="宋体" w:eastAsia="宋体" w:cs="宋体"/>
          <w:color w:val="000000"/>
          <w:sz w:val="24"/>
          <w:szCs w:val="24"/>
          <w:lang w:val="en-US" w:eastAsia="zh-CN"/>
        </w:rPr>
        <w:t>项目多批次供货</w:t>
      </w:r>
      <w:r>
        <w:rPr>
          <w:rFonts w:hint="eastAsia" w:ascii="宋体" w:hAnsi="宋体" w:cs="宋体"/>
          <w:color w:val="000000"/>
          <w:sz w:val="24"/>
          <w:szCs w:val="24"/>
          <w:lang w:val="en-US" w:eastAsia="zh-CN"/>
        </w:rPr>
        <w:t>。</w:t>
      </w:r>
    </w:p>
    <w:p>
      <w:pPr>
        <w:keepNext/>
        <w:keepLines/>
        <w:widowControl w:val="0"/>
        <w:tabs>
          <w:tab w:val="left" w:pos="709"/>
        </w:tabs>
        <w:spacing w:before="260" w:after="260" w:line="360" w:lineRule="auto"/>
        <w:jc w:val="left"/>
        <w:outlineLvl w:val="2"/>
        <w:rPr>
          <w:rFonts w:ascii="宋体" w:hAnsi="宋体" w:eastAsia="宋体" w:cs="宋体"/>
          <w:b/>
          <w:bCs/>
          <w:kern w:val="2"/>
          <w:sz w:val="24"/>
          <w:szCs w:val="20"/>
          <w:lang w:val="zh-CN" w:eastAsia="zh-CN" w:bidi="ar-SA"/>
        </w:rPr>
      </w:pPr>
      <w:bookmarkStart w:id="38" w:name="_Toc142725028"/>
      <w:r>
        <w:rPr>
          <w:rFonts w:hint="eastAsia" w:ascii="宋体" w:hAnsi="宋体" w:eastAsia="宋体" w:cs="宋体"/>
          <w:b/>
          <w:bCs/>
          <w:kern w:val="2"/>
          <w:sz w:val="24"/>
          <w:szCs w:val="20"/>
          <w:lang w:val="zh-CN" w:eastAsia="zh-CN" w:bidi="ar-SA"/>
        </w:rPr>
        <w:t>四、包装</w:t>
      </w:r>
      <w:bookmarkEnd w:id="38"/>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1.所提供货物的包装，应遵照国家标准和有关包装、包皮的技术条件，或按照最好的商业惯例进行包装。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3.所提供货物的包装，应能防止其一般性被窃或受外力破坏；一般不得采用有大缝隙的板条包装。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5.每个包装件应有装箱单，并至少标明名称、型号规格、数量、净重和毛重、投标方（或供货商）名称和制造日期等相关内容。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8.包装箱应连续编号，不应出现重复编号。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9.在不受到外界破坏情况下，包装应保证自交货日起一年内货物完好无损。</w:t>
      </w:r>
    </w:p>
    <w:p>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b/>
          <w:color w:val="000000"/>
          <w:sz w:val="24"/>
          <w:szCs w:val="24"/>
        </w:rPr>
        <w:t>五、运输</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1.投标方应负责将货物运到目的地，并必须做到货物在任何运输过程中不受损坏和遗失。</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2.同批货物应统一包装、编号运输。</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4.在每批货物发出后，应立即通知招标方；通知中应指明：合同号、货运单号、件数、重量和货物发出日期等相关内容。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5.货物运抵交货地点后，应负责货物的卸货、搬运、保管等事宜；或按照合同约定。</w:t>
      </w:r>
    </w:p>
    <w:p>
      <w:pPr>
        <w:keepNext w:val="0"/>
        <w:keepLines w:val="0"/>
        <w:widowControl/>
        <w:numPr>
          <w:ilvl w:val="-1"/>
          <w:numId w:val="0"/>
        </w:numPr>
        <w:spacing w:before="0" w:after="0" w:line="240" w:lineRule="auto"/>
        <w:ind w:left="0" w:leftChars="0"/>
        <w:jc w:val="left"/>
        <w:outlineLvl w:val="9"/>
        <w:rPr>
          <w:ins w:id="8" w:author="LENOVO" w:date="2026-06-23T09:22:02Z"/>
          <w:rFonts w:hint="eastAsia" w:ascii="宋体" w:hAnsi="宋体" w:cs="宋体"/>
          <w:b w:val="0"/>
          <w:bCs w:val="0"/>
          <w:sz w:val="30"/>
          <w:szCs w:val="30"/>
          <w:lang w:val="en-US" w:eastAsia="zh-CN"/>
        </w:rPr>
      </w:pPr>
      <w:ins w:id="9" w:author="LENOVO" w:date="2026-06-23T09:22:02Z">
        <w:bookmarkStart w:id="39" w:name="_Toc142725029"/>
        <w:r>
          <w:rPr>
            <w:rFonts w:hint="eastAsia" w:ascii="宋体" w:hAnsi="宋体" w:cs="宋体"/>
            <w:b w:val="0"/>
            <w:bCs w:val="0"/>
            <w:sz w:val="30"/>
            <w:szCs w:val="30"/>
            <w:lang w:val="en-US" w:eastAsia="zh-CN"/>
          </w:rPr>
          <w:br w:type="page"/>
        </w:r>
      </w:ins>
    </w:p>
    <w:p>
      <w:pPr>
        <w:keepNext/>
        <w:keepLines/>
        <w:widowControl w:val="0"/>
        <w:numPr>
          <w:ilvl w:val="0"/>
          <w:numId w:val="0"/>
        </w:numPr>
        <w:tabs>
          <w:tab w:val="left" w:pos="425"/>
        </w:tabs>
        <w:spacing w:before="340" w:after="330" w:line="360" w:lineRule="auto"/>
        <w:ind w:left="3150" w:leftChars="0"/>
        <w:jc w:val="both"/>
        <w:outlineLvl w:val="0"/>
        <w:rPr>
          <w:rFonts w:ascii="宋体" w:hAnsi="宋体" w:eastAsia="宋体" w:cs="宋体"/>
          <w:b/>
          <w:bCs/>
          <w:kern w:val="44"/>
          <w:sz w:val="24"/>
          <w:szCs w:val="24"/>
          <w:lang w:val="zh-CN" w:eastAsia="zh-CN" w:bidi="ar-SA"/>
        </w:rPr>
      </w:pPr>
      <w:r>
        <w:rPr>
          <w:rFonts w:hint="eastAsia" w:ascii="宋体" w:hAnsi="宋体" w:cs="宋体"/>
          <w:b w:val="0"/>
          <w:bCs w:val="0"/>
          <w:sz w:val="30"/>
          <w:szCs w:val="30"/>
          <w:lang w:val="en-US" w:eastAsia="zh-CN"/>
        </w:rPr>
        <w:t xml:space="preserve">第五章   </w:t>
      </w:r>
      <w:r>
        <w:rPr>
          <w:rFonts w:hint="eastAsia" w:ascii="宋体" w:hAnsi="宋体" w:eastAsia="宋体" w:cs="宋体"/>
          <w:b w:val="0"/>
          <w:bCs w:val="0"/>
          <w:kern w:val="44"/>
          <w:sz w:val="30"/>
          <w:szCs w:val="30"/>
          <w:lang w:val="zh-CN" w:eastAsia="zh-CN" w:bidi="ar-SA"/>
        </w:rPr>
        <w:t>质保期及售后服务</w:t>
      </w:r>
      <w:bookmarkEnd w:id="39"/>
    </w:p>
    <w:p>
      <w:pPr>
        <w:keepNext/>
        <w:keepLines/>
        <w:widowControl w:val="0"/>
        <w:numPr>
          <w:ilvl w:val="0"/>
          <w:numId w:val="18"/>
        </w:numPr>
        <w:spacing w:before="260" w:after="260" w:line="360" w:lineRule="auto"/>
        <w:ind w:left="1080" w:hanging="1080"/>
        <w:jc w:val="center"/>
        <w:outlineLvl w:val="1"/>
        <w:rPr>
          <w:rFonts w:ascii="宋体" w:hAnsi="宋体" w:eastAsia="宋体" w:cs="宋体"/>
          <w:b/>
          <w:bCs/>
          <w:kern w:val="2"/>
          <w:sz w:val="24"/>
          <w:szCs w:val="24"/>
          <w:lang w:val="zh-CN" w:eastAsia="zh-CN" w:bidi="ar-SA"/>
        </w:rPr>
      </w:pPr>
      <w:bookmarkStart w:id="40" w:name="_Toc142725030"/>
      <w:r>
        <w:rPr>
          <w:rFonts w:hint="eastAsia" w:ascii="宋体" w:hAnsi="宋体" w:eastAsia="宋体" w:cs="宋体"/>
          <w:b/>
          <w:bCs/>
          <w:kern w:val="2"/>
          <w:sz w:val="24"/>
          <w:szCs w:val="24"/>
          <w:lang w:val="zh-CN" w:eastAsia="zh-CN" w:bidi="ar-SA"/>
        </w:rPr>
        <w:t>质保期及质保要求</w:t>
      </w:r>
      <w:bookmarkEnd w:id="40"/>
    </w:p>
    <w:p>
      <w:pPr>
        <w:spacing w:line="420" w:lineRule="exact"/>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1.全部供货范围内的</w:t>
      </w:r>
      <w:r>
        <w:rPr>
          <w:rFonts w:hint="eastAsia" w:ascii="宋体" w:hAnsi="宋体" w:cs="宋体"/>
          <w:color w:val="000000"/>
          <w:sz w:val="24"/>
          <w:szCs w:val="24"/>
          <w:lang w:val="en-US" w:eastAsia="zh-CN"/>
        </w:rPr>
        <w:t>试验家具</w:t>
      </w:r>
      <w:r>
        <w:rPr>
          <w:rFonts w:hint="eastAsia" w:ascii="宋体" w:hAnsi="宋体" w:eastAsia="宋体" w:cs="宋体"/>
          <w:color w:val="000000"/>
          <w:sz w:val="24"/>
          <w:szCs w:val="24"/>
        </w:rPr>
        <w:t>，除合同特别约定外，其质保期均自验收签字生效之日起</w:t>
      </w:r>
      <w:r>
        <w:rPr>
          <w:rFonts w:hint="eastAsia" w:ascii="宋体" w:hAnsi="宋体" w:eastAsia="宋体" w:cs="宋体"/>
          <w:color w:val="000000"/>
          <w:sz w:val="24"/>
          <w:szCs w:val="24"/>
          <w:u w:val="single"/>
          <w:shd w:val="pct10" w:color="auto" w:fill="FFFFFF"/>
        </w:rPr>
        <w:t>12</w:t>
      </w:r>
      <w:r>
        <w:rPr>
          <w:rFonts w:hint="eastAsia" w:ascii="宋体" w:hAnsi="宋体" w:eastAsia="宋体" w:cs="宋体"/>
          <w:color w:val="000000"/>
          <w:sz w:val="24"/>
          <w:szCs w:val="24"/>
        </w:rPr>
        <w:t>个月。</w:t>
      </w:r>
    </w:p>
    <w:p>
      <w:pPr>
        <w:spacing w:line="420" w:lineRule="exact"/>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投标货物如果有更长时间质保期，允许更改并说明，此将有利于投标方。</w:t>
      </w:r>
    </w:p>
    <w:p>
      <w:pPr>
        <w:spacing w:line="420" w:lineRule="exact"/>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设计使用寿命短于质保期的易损件除外，但属于易损件的，应当有明确说明。</w:t>
      </w:r>
    </w:p>
    <w:p>
      <w:pPr>
        <w:spacing w:line="420" w:lineRule="exact"/>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2.质保期之内，如果出现</w:t>
      </w:r>
      <w:r>
        <w:rPr>
          <w:rFonts w:hint="eastAsia" w:ascii="宋体" w:hAnsi="宋体" w:eastAsia="宋体" w:cs="宋体"/>
          <w:color w:val="000000"/>
          <w:sz w:val="24"/>
          <w:szCs w:val="24"/>
          <w:lang w:val="en-US" w:eastAsia="zh-CN"/>
        </w:rPr>
        <w:t>主体</w:t>
      </w:r>
      <w:r>
        <w:rPr>
          <w:rFonts w:hint="eastAsia" w:ascii="宋体" w:hAnsi="宋体" w:eastAsia="宋体" w:cs="宋体"/>
          <w:color w:val="000000"/>
          <w:sz w:val="24"/>
          <w:szCs w:val="24"/>
        </w:rPr>
        <w:t>、关键零部件或者多处一般零部件的二次以上的更换或维修行为，则质保期自更换或维修行为结束、货物重新正常运行使用之日起重新计算。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3.质保期内免费提供零部件和及时有效的服务。质保期内因货物本身缺陷造成的各种故障，投标方应负责免费维修和服务。</w:t>
      </w:r>
    </w:p>
    <w:p>
      <w:pPr>
        <w:spacing w:line="420" w:lineRule="exact"/>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4.质保期终止之日起一年内重复出现的质保期之内出现的故障，仍属质保范围而且应当免费。</w:t>
      </w:r>
    </w:p>
    <w:p>
      <w:pPr>
        <w:spacing w:line="420" w:lineRule="exact"/>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5.质量保证期满后，投标方保证向招标方提供及时的、质优的、价格优惠的技术服务和备品备件供应。</w:t>
      </w:r>
    </w:p>
    <w:p>
      <w:pPr>
        <w:adjustRightInd w:val="0"/>
        <w:snapToGrid w:val="0"/>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6.质量保证期满后，如出现质量问题，投标方也应及时修复和更换，且只收取成本费，费用由招标方承担</w:t>
      </w:r>
      <w:bookmarkStart w:id="41" w:name="_Toc24632443"/>
      <w:bookmarkStart w:id="42" w:name="_Toc19879482"/>
      <w:bookmarkStart w:id="43" w:name="_Toc19880441"/>
      <w:bookmarkStart w:id="44" w:name="_Toc19879387"/>
      <w:r>
        <w:rPr>
          <w:rFonts w:hint="eastAsia" w:ascii="宋体" w:hAnsi="宋体" w:eastAsia="宋体" w:cs="宋体"/>
          <w:color w:val="000000"/>
          <w:sz w:val="24"/>
          <w:szCs w:val="24"/>
        </w:rPr>
        <w:t>。</w:t>
      </w:r>
    </w:p>
    <w:p>
      <w:pPr>
        <w:adjustRightInd w:val="0"/>
        <w:snapToGrid w:val="0"/>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7.质量保证：</w:t>
      </w:r>
      <w:bookmarkEnd w:id="41"/>
      <w:bookmarkEnd w:id="42"/>
      <w:bookmarkEnd w:id="43"/>
      <w:bookmarkEnd w:id="44"/>
    </w:p>
    <w:p>
      <w:pPr>
        <w:widowControl w:val="0"/>
        <w:adjustRightInd w:val="0"/>
        <w:snapToGrid w:val="0"/>
        <w:spacing w:line="420" w:lineRule="exact"/>
        <w:ind w:firstLine="480" w:firstLineChars="200"/>
        <w:jc w:val="left"/>
        <w:rPr>
          <w:rFonts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7.1严格按照合同要求，向招标方提供符合设计标准、质量合格的工程。</w:t>
      </w:r>
      <w:bookmarkStart w:id="45" w:name="_Toc322595517"/>
      <w:bookmarkStart w:id="46" w:name="_Toc322614008"/>
      <w:bookmarkStart w:id="47" w:name="_Toc322596892"/>
      <w:bookmarkStart w:id="48" w:name="_Toc450569856"/>
      <w:r>
        <w:rPr>
          <w:rFonts w:hint="eastAsia" w:ascii="宋体" w:hAnsi="宋体" w:eastAsia="宋体" w:cs="宋体"/>
          <w:color w:val="000000"/>
          <w:kern w:val="2"/>
          <w:sz w:val="24"/>
          <w:szCs w:val="24"/>
          <w:lang w:val="en-US" w:eastAsia="zh-CN" w:bidi="ar-SA"/>
        </w:rPr>
        <w:t>质量保证期不含投标方对其设备的排故时间，即在质量保证期内由投标方原因导致的故障，质量保证期顺延；重要部件在质量保证期间因发生故障进行更换，则此部件从更换时间重新开始计算质保期。</w:t>
      </w:r>
      <w:bookmarkEnd w:id="45"/>
      <w:bookmarkEnd w:id="46"/>
      <w:bookmarkEnd w:id="47"/>
      <w:bookmarkEnd w:id="48"/>
    </w:p>
    <w:p>
      <w:pPr>
        <w:widowControl w:val="0"/>
        <w:adjustRightInd w:val="0"/>
        <w:snapToGrid w:val="0"/>
        <w:spacing w:line="420" w:lineRule="exact"/>
        <w:ind w:firstLine="480" w:firstLineChars="200"/>
        <w:jc w:val="left"/>
        <w:rPr>
          <w:rFonts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7.2严格检查和控制用于加工的材料质量。投标方提供的所有材料均应为符合国家有关</w:t>
      </w:r>
      <w:r>
        <w:rPr>
          <w:rFonts w:ascii="Calibri" w:hAnsi="Calibri" w:eastAsia="宋体" w:cs="Times New Roman"/>
          <w:kern w:val="2"/>
          <w:sz w:val="21"/>
          <w:szCs w:val="22"/>
          <w:lang w:val="en-US" w:eastAsia="zh-CN" w:bidi="ar-SA"/>
        </w:rPr>
        <w:fldChar w:fldCharType="begin"/>
      </w:r>
      <w:r>
        <w:rPr>
          <w:rFonts w:ascii="Calibri" w:hAnsi="Calibri" w:eastAsia="宋体" w:cs="Times New Roman"/>
          <w:kern w:val="2"/>
          <w:sz w:val="21"/>
          <w:szCs w:val="22"/>
          <w:lang w:val="en-US" w:eastAsia="zh-CN" w:bidi="ar-SA"/>
        </w:rPr>
        <w:instrText xml:space="preserve"> HYPERLINK "http://www.so.com/s?q=%E8%B4%A8%E9%87%8F%E6%A0%87%E5%87%86&amp;ie=utf-8&amp;src=wenda_link" \t "_blank" </w:instrText>
      </w:r>
      <w:r>
        <w:rPr>
          <w:rFonts w:ascii="Calibri" w:hAnsi="Calibri" w:eastAsia="宋体" w:cs="Times New Roman"/>
          <w:kern w:val="2"/>
          <w:sz w:val="21"/>
          <w:szCs w:val="22"/>
          <w:lang w:val="en-US" w:eastAsia="zh-CN" w:bidi="ar-SA"/>
        </w:rPr>
        <w:fldChar w:fldCharType="separate"/>
      </w:r>
      <w:r>
        <w:rPr>
          <w:rFonts w:hint="eastAsia" w:ascii="宋体" w:hAnsi="宋体" w:eastAsia="宋体" w:cs="宋体"/>
          <w:color w:val="000000"/>
          <w:kern w:val="2"/>
          <w:sz w:val="24"/>
          <w:szCs w:val="24"/>
          <w:lang w:val="en-US" w:eastAsia="zh-CN" w:bidi="ar-SA"/>
        </w:rPr>
        <w:t>质量标准</w:t>
      </w:r>
      <w:r>
        <w:rPr>
          <w:rFonts w:hint="eastAsia" w:ascii="宋体" w:hAnsi="宋体" w:eastAsia="宋体" w:cs="宋体"/>
          <w:color w:val="000000"/>
          <w:kern w:val="2"/>
          <w:sz w:val="24"/>
          <w:szCs w:val="24"/>
          <w:lang w:val="en-US" w:eastAsia="zh-CN" w:bidi="ar-SA"/>
        </w:rPr>
        <w:fldChar w:fldCharType="end"/>
      </w:r>
      <w:r>
        <w:rPr>
          <w:rFonts w:hint="eastAsia" w:ascii="宋体" w:hAnsi="宋体" w:eastAsia="宋体" w:cs="宋体"/>
          <w:color w:val="000000"/>
          <w:kern w:val="2"/>
          <w:sz w:val="24"/>
          <w:szCs w:val="24"/>
          <w:lang w:val="en-US" w:eastAsia="zh-CN" w:bidi="ar-SA"/>
        </w:rPr>
        <w:t>的产品，并经招标方认可。</w:t>
      </w:r>
    </w:p>
    <w:p>
      <w:pPr>
        <w:pStyle w:val="3"/>
        <w:numPr>
          <w:ilvl w:val="0"/>
          <w:numId w:val="18"/>
        </w:numPr>
        <w:spacing w:line="360" w:lineRule="auto"/>
        <w:ind w:left="0" w:firstLine="0"/>
        <w:jc w:val="center"/>
        <w:rPr>
          <w:rFonts w:ascii="宋体" w:hAnsi="宋体" w:eastAsia="宋体" w:cs="宋体"/>
          <w:sz w:val="24"/>
          <w:szCs w:val="24"/>
        </w:rPr>
      </w:pPr>
      <w:bookmarkStart w:id="49" w:name="_Toc142725033"/>
      <w:r>
        <w:rPr>
          <w:rFonts w:hint="eastAsia" w:ascii="宋体" w:hAnsi="宋体" w:eastAsia="宋体" w:cs="宋体"/>
          <w:sz w:val="24"/>
          <w:szCs w:val="24"/>
        </w:rPr>
        <w:t>售后服务</w:t>
      </w:r>
      <w:bookmarkEnd w:id="49"/>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1.投标方提供的货物涉及的所有售后服务均由投标方负责。如果发生问题并且收到通知，投标方应当在2小时内予以答复。</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2.如发现所提供的</w:t>
      </w:r>
      <w:r>
        <w:rPr>
          <w:rFonts w:hint="eastAsia" w:ascii="宋体" w:hAnsi="宋体" w:cs="宋体"/>
          <w:color w:val="000000"/>
          <w:sz w:val="24"/>
          <w:szCs w:val="24"/>
          <w:lang w:val="en-US" w:eastAsia="zh-CN"/>
        </w:rPr>
        <w:t>货物</w:t>
      </w:r>
      <w:r>
        <w:rPr>
          <w:rFonts w:hint="eastAsia" w:ascii="宋体" w:hAnsi="宋体" w:cs="宋体"/>
          <w:color w:val="000000"/>
          <w:sz w:val="24"/>
          <w:szCs w:val="24"/>
        </w:rPr>
        <w:t>存在问题，需要投标方解决或配合解决时：在质保期之内，应在接到通知后24小时内上门提供免费技术支持</w:t>
      </w:r>
      <w:r>
        <w:rPr>
          <w:rFonts w:hint="eastAsia" w:ascii="宋体" w:hAnsi="宋体" w:cs="宋体"/>
          <w:color w:val="000000"/>
          <w:sz w:val="24"/>
          <w:szCs w:val="24"/>
          <w:lang w:eastAsia="zh-CN"/>
        </w:rPr>
        <w:t>；</w:t>
      </w:r>
      <w:r>
        <w:rPr>
          <w:rFonts w:hint="eastAsia" w:ascii="宋体" w:hAnsi="宋体" w:cs="宋体"/>
          <w:color w:val="000000"/>
          <w:sz w:val="24"/>
          <w:szCs w:val="24"/>
        </w:rPr>
        <w:t>在质保期之外，应在接到通知后48小时内上门提供免费技术支持。</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3.投标方派往招标方使用现场的人员，应具有较高的业务素质；现场解决问题时，不得无故拖延或推迟，应为招标方提供最佳的服务。</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4.投标方及时向招标方提供按合同规定的全部技术资料和图纸 ,无条件配合招标方的相关检查、验收工作。</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5.严格执行供需双方就有关问题召开会议的纪要或签订的协议。 </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6.质量保证期内所有保修服务方式均为上门保修，即由投标方派人员到用户使用现场维修。由此产生的一切费用均由投标方承担。</w:t>
      </w:r>
    </w:p>
    <w:p>
      <w:pPr>
        <w:pStyle w:val="3"/>
        <w:numPr>
          <w:ilvl w:val="0"/>
          <w:numId w:val="18"/>
        </w:numPr>
        <w:spacing w:line="360" w:lineRule="auto"/>
        <w:ind w:left="0" w:firstLine="0"/>
        <w:jc w:val="center"/>
        <w:rPr>
          <w:rFonts w:ascii="宋体" w:hAnsi="宋体" w:eastAsia="宋体" w:cs="宋体"/>
          <w:sz w:val="24"/>
          <w:szCs w:val="24"/>
        </w:rPr>
      </w:pPr>
      <w:bookmarkStart w:id="50" w:name="_Toc142725034"/>
      <w:r>
        <w:rPr>
          <w:rFonts w:hint="eastAsia" w:ascii="宋体" w:hAnsi="宋体" w:eastAsia="宋体" w:cs="宋体"/>
          <w:sz w:val="24"/>
          <w:szCs w:val="24"/>
        </w:rPr>
        <w:t>其它服务</w:t>
      </w:r>
      <w:bookmarkEnd w:id="50"/>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1、若投标方所提供材料有需要进口的，投标方一般应自行、自费办理；必要时，双方共同办理。</w:t>
      </w:r>
    </w:p>
    <w:p>
      <w:pPr>
        <w:spacing w:line="360" w:lineRule="auto"/>
        <w:ind w:firstLine="480" w:firstLineChars="200"/>
        <w:rPr>
          <w:rFonts w:hint="eastAsia" w:ascii="宋体" w:hAnsi="宋体" w:cs="宋体"/>
          <w:color w:val="000000"/>
          <w:sz w:val="24"/>
          <w:szCs w:val="24"/>
          <w:lang w:eastAsia="zh-CN"/>
        </w:rPr>
      </w:pPr>
      <w:r>
        <w:rPr>
          <w:rFonts w:hint="eastAsia" w:ascii="宋体" w:hAnsi="宋体" w:cs="宋体"/>
          <w:color w:val="000000"/>
          <w:sz w:val="24"/>
          <w:szCs w:val="24"/>
        </w:rPr>
        <w:t>2、除招标文件、投标文件、答疑文件、技术协议、合同等约定之外，投标方应免费负责必要的或强制性的检验、试验、化验等直接费用</w:t>
      </w:r>
      <w:r>
        <w:rPr>
          <w:rFonts w:hint="eastAsia" w:ascii="宋体" w:hAnsi="宋体" w:cs="宋体"/>
          <w:color w:val="000000"/>
          <w:sz w:val="24"/>
          <w:szCs w:val="24"/>
          <w:lang w:eastAsia="zh-CN"/>
        </w:rPr>
        <w:t>。</w:t>
      </w:r>
    </w:p>
    <w:p>
      <w:pPr>
        <w:numPr>
          <w:ilvl w:val="0"/>
          <w:numId w:val="0"/>
        </w:numPr>
        <w:spacing w:line="360" w:lineRule="auto"/>
        <w:ind w:left="3150" w:leftChars="0"/>
        <w:rPr>
          <w:ins w:id="10" w:author="LENOVO" w:date="2026-06-23T09:22:12Z"/>
          <w:rFonts w:hint="eastAsia" w:ascii="宋体" w:hAnsi="宋体" w:cs="宋体"/>
          <w:b w:val="0"/>
          <w:bCs w:val="0"/>
          <w:sz w:val="30"/>
          <w:szCs w:val="30"/>
          <w:lang w:val="en-US" w:eastAsia="zh-CN"/>
        </w:rPr>
      </w:pPr>
      <w:ins w:id="11" w:author="LENOVO" w:date="2026-06-23T09:22:12Z">
        <w:bookmarkStart w:id="51" w:name="_Toc142725035"/>
        <w:r>
          <w:rPr>
            <w:rFonts w:hint="eastAsia" w:ascii="宋体" w:hAnsi="宋体" w:cs="宋体"/>
            <w:b w:val="0"/>
            <w:bCs w:val="0"/>
            <w:sz w:val="30"/>
            <w:szCs w:val="30"/>
            <w:lang w:val="en-US" w:eastAsia="zh-CN"/>
          </w:rPr>
          <w:br w:type="page"/>
        </w:r>
      </w:ins>
    </w:p>
    <w:p>
      <w:pPr>
        <w:pStyle w:val="2"/>
        <w:numPr>
          <w:ilvl w:val="0"/>
          <w:numId w:val="0"/>
        </w:numPr>
        <w:tabs>
          <w:tab w:val="left" w:pos="425"/>
        </w:tabs>
        <w:spacing w:line="360" w:lineRule="auto"/>
        <w:ind w:left="3150" w:leftChars="0"/>
        <w:rPr>
          <w:rFonts w:hint="eastAsia" w:ascii="宋体" w:hAnsi="宋体" w:eastAsia="宋体" w:cs="宋体"/>
          <w:color w:val="000000"/>
          <w:sz w:val="24"/>
          <w:szCs w:val="24"/>
          <w:lang w:eastAsia="zh-CN"/>
        </w:rPr>
      </w:pPr>
      <w:r>
        <w:rPr>
          <w:rFonts w:hint="eastAsia" w:ascii="宋体" w:hAnsi="宋体" w:cs="宋体"/>
          <w:b w:val="0"/>
          <w:bCs w:val="0"/>
          <w:sz w:val="30"/>
          <w:szCs w:val="30"/>
          <w:lang w:val="en-US" w:eastAsia="zh-CN"/>
        </w:rPr>
        <w:t xml:space="preserve">第六章   </w:t>
      </w:r>
      <w:r>
        <w:rPr>
          <w:rFonts w:hint="eastAsia" w:ascii="宋体" w:hAnsi="宋体" w:cs="宋体"/>
          <w:b w:val="0"/>
          <w:bCs w:val="0"/>
          <w:sz w:val="30"/>
          <w:szCs w:val="30"/>
        </w:rPr>
        <w:t>验收</w:t>
      </w:r>
      <w:bookmarkEnd w:id="51"/>
    </w:p>
    <w:p>
      <w:pPr>
        <w:pStyle w:val="3"/>
        <w:numPr>
          <w:ilvl w:val="0"/>
          <w:numId w:val="19"/>
        </w:numPr>
        <w:spacing w:line="360" w:lineRule="auto"/>
        <w:ind w:left="0" w:firstLine="0"/>
        <w:jc w:val="center"/>
        <w:rPr>
          <w:rFonts w:ascii="宋体" w:hAnsi="宋体" w:eastAsia="宋体" w:cs="宋体"/>
          <w:color w:val="000000"/>
          <w:sz w:val="24"/>
        </w:rPr>
      </w:pPr>
      <w:bookmarkStart w:id="52" w:name="_Toc142725038"/>
      <w:r>
        <w:rPr>
          <w:rFonts w:hint="eastAsia" w:ascii="宋体" w:hAnsi="宋体" w:eastAsia="宋体" w:cs="宋体"/>
          <w:sz w:val="24"/>
          <w:szCs w:val="24"/>
        </w:rPr>
        <w:t>验收基本条件</w:t>
      </w:r>
      <w:bookmarkEnd w:id="52"/>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双方按照合同约定执行了合同，</w:t>
      </w:r>
      <w:r>
        <w:rPr>
          <w:rFonts w:hint="eastAsia" w:ascii="宋体" w:hAnsi="宋体" w:cs="宋体"/>
          <w:color w:val="000000"/>
          <w:sz w:val="24"/>
          <w:szCs w:val="24"/>
          <w:lang w:val="en-US" w:eastAsia="zh-CN"/>
        </w:rPr>
        <w:t>同时试验家具</w:t>
      </w:r>
      <w:r>
        <w:rPr>
          <w:rFonts w:hint="eastAsia" w:ascii="宋体" w:hAnsi="宋体" w:cs="宋体"/>
          <w:color w:val="000000"/>
          <w:sz w:val="24"/>
          <w:szCs w:val="24"/>
        </w:rPr>
        <w:t>正常使用并经检验合格，则具备验收条件。</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1.验收一般条件</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1.1投标方已经按照要求提供了验收资料，并且资料齐全、完整和有效。</w:t>
      </w:r>
    </w:p>
    <w:p>
      <w:pPr>
        <w:adjustRightInd w:val="0"/>
        <w:snapToGrid w:val="0"/>
        <w:spacing w:line="360" w:lineRule="auto"/>
        <w:ind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rPr>
        <w:t>1.2所采购的</w:t>
      </w:r>
      <w:r>
        <w:rPr>
          <w:rFonts w:hint="eastAsia" w:ascii="宋体" w:hAnsi="宋体" w:cs="宋体"/>
          <w:color w:val="000000"/>
          <w:sz w:val="24"/>
          <w:szCs w:val="24"/>
          <w:lang w:val="en-US" w:eastAsia="zh-CN"/>
        </w:rPr>
        <w:t>试验家具</w:t>
      </w:r>
      <w:r>
        <w:rPr>
          <w:rFonts w:hint="eastAsia" w:ascii="宋体" w:hAnsi="宋体" w:cs="宋体"/>
          <w:color w:val="000000"/>
          <w:sz w:val="24"/>
          <w:szCs w:val="24"/>
        </w:rPr>
        <w:t>应完整且所有的零部件应该安装牢固，外观无损伤</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无磕碰。</w:t>
      </w:r>
    </w:p>
    <w:p>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1.3</w:t>
      </w:r>
      <w:r>
        <w:rPr>
          <w:rFonts w:hint="eastAsia" w:ascii="宋体" w:hAnsi="宋体" w:cs="宋体"/>
          <w:color w:val="000000"/>
          <w:sz w:val="24"/>
          <w:szCs w:val="24"/>
        </w:rPr>
        <w:t>所采购的</w:t>
      </w:r>
      <w:r>
        <w:rPr>
          <w:rFonts w:hint="eastAsia" w:ascii="宋体" w:hAnsi="宋体" w:cs="宋体"/>
          <w:color w:val="000000"/>
          <w:sz w:val="24"/>
          <w:szCs w:val="24"/>
          <w:lang w:val="en-US" w:eastAsia="zh-CN"/>
        </w:rPr>
        <w:t>试验家具的所有五金链接件及钢制配件等</w:t>
      </w:r>
      <w:r>
        <w:rPr>
          <w:rFonts w:hint="eastAsia" w:ascii="宋体" w:hAnsi="宋体" w:cs="宋体"/>
          <w:color w:val="000000"/>
          <w:sz w:val="24"/>
          <w:szCs w:val="24"/>
        </w:rPr>
        <w:t>焊缝饱满、无残渣</w:t>
      </w:r>
      <w:r>
        <w:rPr>
          <w:rFonts w:hint="eastAsia" w:ascii="宋体" w:hAnsi="宋体" w:cs="宋体"/>
          <w:color w:val="000000"/>
          <w:sz w:val="24"/>
          <w:szCs w:val="24"/>
          <w:lang w:eastAsia="zh-CN"/>
        </w:rPr>
        <w:t>。</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sz w:val="24"/>
          <w:szCs w:val="24"/>
          <w:lang w:val="en-US" w:eastAsia="zh-CN"/>
        </w:rPr>
        <w:t>4</w:t>
      </w:r>
      <w:r>
        <w:rPr>
          <w:rFonts w:hint="eastAsia" w:ascii="宋体" w:hAnsi="宋体" w:cs="宋体"/>
          <w:color w:val="000000"/>
          <w:sz w:val="24"/>
          <w:szCs w:val="24"/>
        </w:rPr>
        <w:t>所采购的</w:t>
      </w:r>
      <w:r>
        <w:rPr>
          <w:rFonts w:hint="eastAsia" w:ascii="宋体" w:hAnsi="宋体" w:cs="宋体"/>
          <w:color w:val="000000"/>
          <w:sz w:val="24"/>
          <w:szCs w:val="24"/>
          <w:lang w:val="en-US" w:eastAsia="zh-CN"/>
        </w:rPr>
        <w:t>试验家具</w:t>
      </w:r>
      <w:r>
        <w:rPr>
          <w:rFonts w:hint="eastAsia" w:ascii="宋体" w:hAnsi="宋体" w:cs="宋体"/>
          <w:color w:val="000000"/>
          <w:sz w:val="24"/>
          <w:szCs w:val="24"/>
        </w:rPr>
        <w:t>的</w:t>
      </w:r>
      <w:r>
        <w:rPr>
          <w:rFonts w:hint="eastAsia" w:ascii="宋体" w:hAnsi="宋体" w:cs="宋体"/>
          <w:color w:val="000000"/>
          <w:sz w:val="24"/>
          <w:szCs w:val="24"/>
          <w:lang w:val="en-US" w:eastAsia="zh-CN"/>
        </w:rPr>
        <w:t>漆面</w:t>
      </w:r>
      <w:r>
        <w:rPr>
          <w:rFonts w:hint="eastAsia" w:ascii="宋体" w:hAnsi="宋体" w:cs="宋体"/>
          <w:color w:val="000000"/>
          <w:sz w:val="24"/>
          <w:szCs w:val="24"/>
        </w:rPr>
        <w:t>应饱满、有光泽，无掉漆、无色差、无“桔皮”等不良现象。</w:t>
      </w:r>
    </w:p>
    <w:p>
      <w:pPr>
        <w:adjustRightInd w:val="0"/>
        <w:snapToGrid w:val="0"/>
        <w:spacing w:line="360" w:lineRule="auto"/>
        <w:ind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1.5所采购的试验家具的各类封边应严密、平整、无胶痕，无蹦茬。</w:t>
      </w:r>
    </w:p>
    <w:p>
      <w:pPr>
        <w:adjustRightInd w:val="0"/>
        <w:snapToGrid w:val="0"/>
        <w:spacing w:line="360" w:lineRule="auto"/>
        <w:ind w:firstLine="480" w:firstLineChars="200"/>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1.6所采购的试验家具的技术参数及规格必须符合技术标书要求。</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sz w:val="24"/>
          <w:szCs w:val="24"/>
          <w:lang w:val="en-US" w:eastAsia="zh-CN"/>
        </w:rPr>
        <w:t>7</w:t>
      </w:r>
      <w:r>
        <w:rPr>
          <w:rFonts w:hint="eastAsia" w:ascii="宋体" w:hAnsi="宋体" w:cs="宋体"/>
          <w:color w:val="000000"/>
          <w:sz w:val="24"/>
          <w:szCs w:val="24"/>
        </w:rPr>
        <w:t>所采购的</w:t>
      </w:r>
      <w:r>
        <w:rPr>
          <w:rFonts w:hint="eastAsia" w:ascii="宋体" w:hAnsi="宋体" w:cs="宋体"/>
          <w:color w:val="000000"/>
          <w:sz w:val="24"/>
          <w:szCs w:val="24"/>
          <w:lang w:val="en-US" w:eastAsia="zh-CN"/>
        </w:rPr>
        <w:t>试验家具</w:t>
      </w:r>
      <w:r>
        <w:rPr>
          <w:rFonts w:hint="eastAsia" w:ascii="宋体" w:hAnsi="宋体" w:cs="宋体"/>
          <w:color w:val="000000"/>
          <w:sz w:val="24"/>
          <w:szCs w:val="24"/>
        </w:rPr>
        <w:t>的</w:t>
      </w:r>
      <w:r>
        <w:rPr>
          <w:rFonts w:hint="eastAsia" w:ascii="宋体" w:hAnsi="宋体" w:cs="宋体"/>
          <w:color w:val="000000"/>
          <w:sz w:val="24"/>
          <w:szCs w:val="24"/>
          <w:lang w:val="en-US" w:eastAsia="zh-CN"/>
        </w:rPr>
        <w:t>各类标准</w:t>
      </w:r>
      <w:r>
        <w:rPr>
          <w:rFonts w:hint="eastAsia" w:ascii="宋体" w:hAnsi="宋体" w:cs="宋体"/>
          <w:color w:val="000000"/>
          <w:sz w:val="24"/>
          <w:szCs w:val="24"/>
        </w:rPr>
        <w:t>要求符合中国最新的相关法律、法规、标准和规范以及合同要求。</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sz w:val="24"/>
          <w:szCs w:val="24"/>
          <w:lang w:val="en-US" w:eastAsia="zh-CN"/>
        </w:rPr>
        <w:t>8</w:t>
      </w:r>
      <w:r>
        <w:rPr>
          <w:rFonts w:hint="eastAsia" w:ascii="宋体" w:hAnsi="宋体" w:cs="宋体"/>
          <w:color w:val="000000"/>
          <w:sz w:val="24"/>
          <w:szCs w:val="24"/>
        </w:rPr>
        <w:t>所采购的</w:t>
      </w:r>
      <w:r>
        <w:rPr>
          <w:rFonts w:hint="eastAsia" w:ascii="宋体" w:hAnsi="宋体" w:cs="宋体"/>
          <w:color w:val="000000"/>
          <w:sz w:val="24"/>
          <w:szCs w:val="24"/>
          <w:lang w:val="en-US" w:eastAsia="zh-CN"/>
        </w:rPr>
        <w:t>试验家具</w:t>
      </w:r>
      <w:r>
        <w:rPr>
          <w:rFonts w:hint="eastAsia" w:ascii="宋体" w:hAnsi="宋体" w:cs="宋体"/>
          <w:color w:val="000000"/>
          <w:sz w:val="24"/>
          <w:szCs w:val="24"/>
        </w:rPr>
        <w:t>安装完毕，</w:t>
      </w:r>
      <w:r>
        <w:rPr>
          <w:rFonts w:hint="eastAsia" w:ascii="宋体" w:hAnsi="宋体" w:cs="宋体"/>
          <w:color w:val="000000"/>
          <w:sz w:val="24"/>
          <w:szCs w:val="24"/>
          <w:lang w:val="en-US" w:eastAsia="zh-CN"/>
        </w:rPr>
        <w:t>试用</w:t>
      </w:r>
      <w:r>
        <w:rPr>
          <w:rFonts w:hint="eastAsia" w:ascii="宋体" w:hAnsi="宋体" w:cs="宋体"/>
          <w:color w:val="000000"/>
          <w:sz w:val="24"/>
          <w:szCs w:val="24"/>
        </w:rPr>
        <w:t>期间或之后无维修、调整等行为（特殊情况除外）。</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sz w:val="24"/>
          <w:szCs w:val="24"/>
          <w:lang w:val="en-US" w:eastAsia="zh-CN"/>
        </w:rPr>
        <w:t>9</w:t>
      </w:r>
      <w:r>
        <w:rPr>
          <w:rFonts w:hint="eastAsia" w:ascii="宋体" w:hAnsi="宋体" w:cs="宋体"/>
          <w:color w:val="000000"/>
          <w:sz w:val="24"/>
          <w:szCs w:val="24"/>
        </w:rPr>
        <w:t>所采购的</w:t>
      </w:r>
      <w:r>
        <w:rPr>
          <w:rFonts w:hint="eastAsia" w:ascii="宋体" w:hAnsi="宋体" w:cs="宋体"/>
          <w:color w:val="000000"/>
          <w:sz w:val="24"/>
          <w:szCs w:val="24"/>
          <w:lang w:val="en-US" w:eastAsia="zh-CN"/>
        </w:rPr>
        <w:t>试验家具</w:t>
      </w:r>
      <w:r>
        <w:rPr>
          <w:rFonts w:hint="eastAsia" w:ascii="宋体" w:hAnsi="宋体" w:cs="宋体"/>
          <w:color w:val="000000"/>
          <w:sz w:val="24"/>
          <w:szCs w:val="24"/>
        </w:rPr>
        <w:t>的质量、技术</w:t>
      </w:r>
      <w:r>
        <w:rPr>
          <w:rFonts w:hint="eastAsia" w:ascii="宋体" w:hAnsi="宋体" w:cs="宋体"/>
          <w:color w:val="000000"/>
          <w:sz w:val="24"/>
          <w:szCs w:val="24"/>
          <w:lang w:val="en-US" w:eastAsia="zh-CN"/>
        </w:rPr>
        <w:t>参数、规格要求</w:t>
      </w:r>
      <w:r>
        <w:rPr>
          <w:rFonts w:hint="eastAsia" w:ascii="宋体" w:hAnsi="宋体" w:cs="宋体"/>
          <w:color w:val="000000"/>
          <w:sz w:val="24"/>
          <w:szCs w:val="24"/>
        </w:rPr>
        <w:t>等，达到签定的技术协议书和合同规定的验收标准。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2.验收基本要求</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2.1出现下列问题之一，视作验收失败：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2.1.1在整个验收过程中发生关键零部件损坏或重大故障；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2.1.2一般性故障超过</w:t>
      </w:r>
      <w:r>
        <w:rPr>
          <w:rFonts w:hint="eastAsia" w:ascii="宋体" w:hAnsi="宋体" w:cs="宋体"/>
          <w:color w:val="000000"/>
          <w:sz w:val="24"/>
          <w:szCs w:val="24"/>
          <w:u w:val="single"/>
        </w:rPr>
        <w:t>2</w:t>
      </w:r>
      <w:r>
        <w:rPr>
          <w:rFonts w:hint="eastAsia" w:ascii="宋体" w:hAnsi="宋体" w:cs="宋体"/>
          <w:color w:val="000000"/>
          <w:sz w:val="24"/>
          <w:szCs w:val="24"/>
        </w:rPr>
        <w:t>次；</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2.1.3更换的零部件货值超过总货值的</w:t>
      </w:r>
      <w:r>
        <w:rPr>
          <w:rFonts w:hint="eastAsia" w:ascii="宋体" w:hAnsi="宋体" w:cs="宋体"/>
          <w:color w:val="000000"/>
          <w:sz w:val="24"/>
          <w:szCs w:val="24"/>
          <w:u w:val="single"/>
        </w:rPr>
        <w:t>3</w:t>
      </w:r>
      <w:r>
        <w:rPr>
          <w:rFonts w:hint="eastAsia" w:ascii="宋体" w:hAnsi="宋体" w:cs="宋体"/>
          <w:color w:val="000000"/>
          <w:sz w:val="24"/>
          <w:szCs w:val="24"/>
        </w:rPr>
        <w:t>%。</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2.2验收原则上要求一次完成。若一次验收不成功，最多允许两次；如果出现第三次验收失败，重新作价或退货；</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2.3验收通过后双方共同签署验收报告，并移交、核对全部供货范围内物品。</w:t>
      </w:r>
    </w:p>
    <w:p>
      <w:pPr>
        <w:pStyle w:val="2"/>
        <w:numPr>
          <w:ilvl w:val="0"/>
          <w:numId w:val="0"/>
        </w:numPr>
        <w:tabs>
          <w:tab w:val="left" w:pos="425"/>
        </w:tabs>
        <w:spacing w:line="360" w:lineRule="auto"/>
        <w:ind w:left="3150" w:leftChars="0"/>
        <w:rPr>
          <w:rFonts w:ascii="宋体" w:hAnsi="宋体" w:cs="宋体"/>
          <w:sz w:val="24"/>
          <w:szCs w:val="24"/>
          <w:lang w:val="en-US"/>
        </w:rPr>
      </w:pPr>
      <w:r>
        <w:rPr>
          <w:rFonts w:hint="eastAsia" w:ascii="宋体" w:hAnsi="宋体" w:cs="宋体"/>
          <w:b w:val="0"/>
          <w:bCs w:val="0"/>
          <w:sz w:val="30"/>
          <w:szCs w:val="30"/>
          <w:lang w:val="en-US" w:eastAsia="zh-CN"/>
        </w:rPr>
        <w:t xml:space="preserve">第七章  </w:t>
      </w:r>
      <w:r>
        <w:rPr>
          <w:rFonts w:hint="eastAsia" w:ascii="宋体" w:hAnsi="宋体" w:cs="宋体"/>
          <w:b w:val="0"/>
          <w:bCs w:val="0"/>
          <w:sz w:val="30"/>
          <w:szCs w:val="30"/>
          <w:lang w:val="en-US"/>
        </w:rPr>
        <w:t>其他说明</w:t>
      </w:r>
    </w:p>
    <w:p>
      <w:pPr>
        <w:pStyle w:val="3"/>
        <w:numPr>
          <w:ilvl w:val="0"/>
          <w:numId w:val="20"/>
        </w:numPr>
        <w:spacing w:line="360" w:lineRule="auto"/>
        <w:ind w:left="0" w:firstLine="0"/>
        <w:jc w:val="center"/>
        <w:rPr>
          <w:rFonts w:ascii="宋体" w:hAnsi="宋体" w:eastAsia="宋体" w:cs="宋体"/>
          <w:sz w:val="24"/>
          <w:szCs w:val="24"/>
          <w:lang w:val="en-US"/>
        </w:rPr>
      </w:pPr>
      <w:r>
        <w:rPr>
          <w:rFonts w:hint="eastAsia" w:ascii="宋体" w:hAnsi="宋体" w:eastAsia="宋体" w:cs="宋体"/>
          <w:sz w:val="24"/>
          <w:szCs w:val="24"/>
          <w:lang w:val="en-US"/>
        </w:rPr>
        <w:t>技术文件一般内容要求</w:t>
      </w:r>
    </w:p>
    <w:p>
      <w:pPr>
        <w:spacing w:line="360" w:lineRule="auto"/>
        <w:ind w:firstLine="480" w:firstLineChars="200"/>
        <w:rPr>
          <w:rFonts w:ascii="宋体" w:hAnsi="宋体" w:cs="宋体"/>
          <w:sz w:val="24"/>
          <w:szCs w:val="24"/>
        </w:rPr>
      </w:pPr>
      <w:r>
        <w:rPr>
          <w:rFonts w:hint="eastAsia" w:ascii="宋体" w:hAnsi="宋体" w:cs="宋体"/>
          <w:sz w:val="24"/>
          <w:szCs w:val="24"/>
        </w:rPr>
        <w:t>1.投标方应认真阅读招标文件和本技术标书，并按要求编写投标技术文件。</w:t>
      </w:r>
    </w:p>
    <w:p>
      <w:pPr>
        <w:spacing w:line="360" w:lineRule="auto"/>
        <w:ind w:firstLine="480" w:firstLineChars="200"/>
        <w:rPr>
          <w:rFonts w:ascii="宋体" w:hAnsi="宋体" w:cs="宋体"/>
          <w:sz w:val="24"/>
          <w:szCs w:val="24"/>
        </w:rPr>
      </w:pPr>
      <w:r>
        <w:rPr>
          <w:rFonts w:hint="eastAsia" w:ascii="宋体" w:hAnsi="宋体" w:cs="宋体"/>
          <w:sz w:val="24"/>
          <w:szCs w:val="24"/>
        </w:rPr>
        <w:t>2.投标技术文件至少应对投标</w:t>
      </w:r>
      <w:r>
        <w:rPr>
          <w:rFonts w:hint="eastAsia" w:ascii="宋体" w:hAnsi="宋体" w:cs="宋体"/>
          <w:color w:val="000000"/>
          <w:sz w:val="24"/>
          <w:szCs w:val="24"/>
        </w:rPr>
        <w:t>采购的</w:t>
      </w:r>
      <w:r>
        <w:rPr>
          <w:rFonts w:hint="eastAsia" w:ascii="宋体" w:hAnsi="宋体" w:cs="宋体"/>
          <w:color w:val="000000"/>
          <w:sz w:val="24"/>
          <w:szCs w:val="24"/>
          <w:lang w:val="en-US" w:eastAsia="zh-CN"/>
        </w:rPr>
        <w:t>试验家具</w:t>
      </w:r>
      <w:r>
        <w:rPr>
          <w:rFonts w:hint="eastAsia" w:ascii="宋体" w:hAnsi="宋体" w:cs="宋体"/>
          <w:sz w:val="24"/>
          <w:szCs w:val="24"/>
        </w:rPr>
        <w:t>的功能用途、技术性能、质量标准、技术参数等作出详细说明。</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.投标技术文件至少应按照招标文件要求（或投标方建议）列明备品备件、易损件和专用耗材明细。</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.投标方应当而且必须分别说明所列备品备件、易损件和专用耗材的使用寿命（以有效工作小时数说明）。</w:t>
      </w:r>
    </w:p>
    <w:p>
      <w:pPr>
        <w:pStyle w:val="3"/>
        <w:numPr>
          <w:ilvl w:val="0"/>
          <w:numId w:val="20"/>
        </w:numPr>
        <w:spacing w:line="360" w:lineRule="auto"/>
        <w:ind w:left="0" w:firstLine="0"/>
        <w:jc w:val="center"/>
        <w:rPr>
          <w:rFonts w:ascii="宋体" w:hAnsi="宋体" w:eastAsia="宋体" w:cs="宋体"/>
          <w:sz w:val="24"/>
          <w:szCs w:val="24"/>
          <w:lang w:val="en-US"/>
        </w:rPr>
      </w:pPr>
      <w:r>
        <w:rPr>
          <w:rFonts w:hint="eastAsia" w:ascii="宋体" w:hAnsi="宋体" w:eastAsia="宋体" w:cs="宋体"/>
          <w:sz w:val="24"/>
          <w:szCs w:val="24"/>
          <w:lang w:val="en-US"/>
        </w:rPr>
        <w:t>其他要求</w:t>
      </w:r>
    </w:p>
    <w:p>
      <w:pPr>
        <w:spacing w:line="360" w:lineRule="auto"/>
        <w:ind w:firstLine="480" w:firstLineChars="200"/>
        <w:rPr>
          <w:rFonts w:ascii="宋体" w:hAnsi="宋体" w:cs="宋体"/>
          <w:sz w:val="24"/>
          <w:szCs w:val="24"/>
        </w:rPr>
      </w:pPr>
      <w:r>
        <w:rPr>
          <w:rFonts w:hint="eastAsia" w:ascii="宋体" w:hAnsi="宋体" w:cs="宋体"/>
          <w:sz w:val="24"/>
          <w:szCs w:val="24"/>
        </w:rPr>
        <w:t>为保证本技术标书所列采购</w:t>
      </w:r>
      <w:r>
        <w:rPr>
          <w:rFonts w:hint="eastAsia" w:ascii="宋体" w:hAnsi="宋体" w:cs="宋体"/>
          <w:sz w:val="24"/>
          <w:szCs w:val="24"/>
          <w:lang w:val="en-US" w:eastAsia="zh-CN"/>
        </w:rPr>
        <w:t>试验家具</w:t>
      </w:r>
      <w:r>
        <w:rPr>
          <w:rFonts w:hint="eastAsia" w:ascii="宋体" w:hAnsi="宋体" w:cs="宋体"/>
          <w:sz w:val="24"/>
          <w:szCs w:val="24"/>
        </w:rPr>
        <w:t>的质量以及先进性、可靠性、经济性和实用性，要求投标方在投标文件中，至少应具备以下资格证明文件或资料：</w:t>
      </w:r>
    </w:p>
    <w:p>
      <w:pPr>
        <w:spacing w:line="360" w:lineRule="auto"/>
        <w:ind w:firstLine="480" w:firstLineChars="200"/>
        <w:rPr>
          <w:rFonts w:ascii="宋体" w:hAnsi="宋体" w:cs="宋体"/>
          <w:sz w:val="24"/>
          <w:szCs w:val="24"/>
        </w:rPr>
      </w:pPr>
      <w:r>
        <w:rPr>
          <w:rFonts w:hint="eastAsia" w:ascii="宋体" w:hAnsi="宋体" w:cs="宋体"/>
          <w:sz w:val="24"/>
          <w:szCs w:val="24"/>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80" w:firstLineChars="200"/>
        <w:rPr>
          <w:rFonts w:ascii="宋体" w:hAnsi="宋体" w:cs="宋体"/>
          <w:sz w:val="24"/>
          <w:szCs w:val="24"/>
        </w:rPr>
      </w:pPr>
      <w:r>
        <w:rPr>
          <w:rFonts w:hint="eastAsia" w:ascii="宋体" w:hAnsi="宋体" w:cs="宋体"/>
          <w:sz w:val="24"/>
          <w:szCs w:val="24"/>
        </w:rPr>
        <w:t>2.投标方应当是通过有关资格认证的法人。应当在投标文件中提供有效期内的资格认证证书，如：ISO9001、VDA6.1、QS9000等。</w:t>
      </w:r>
    </w:p>
    <w:p>
      <w:pPr>
        <w:spacing w:line="360" w:lineRule="auto"/>
        <w:ind w:firstLine="480" w:firstLineChars="200"/>
        <w:rPr>
          <w:rFonts w:ascii="宋体" w:hAnsi="宋体" w:cs="宋体"/>
          <w:sz w:val="24"/>
          <w:szCs w:val="24"/>
        </w:rPr>
      </w:pPr>
      <w:r>
        <w:rPr>
          <w:rFonts w:hint="eastAsia" w:ascii="宋体" w:hAnsi="宋体" w:cs="宋体"/>
          <w:sz w:val="24"/>
          <w:szCs w:val="24"/>
        </w:rPr>
        <w:t>3.应附有其它与投标单位、采购货物有关的荣誉证书或资料。</w:t>
      </w:r>
    </w:p>
    <w:p>
      <w:pPr>
        <w:pStyle w:val="3"/>
        <w:numPr>
          <w:ilvl w:val="0"/>
          <w:numId w:val="20"/>
        </w:numPr>
        <w:spacing w:line="360" w:lineRule="auto"/>
        <w:ind w:left="0" w:firstLine="0"/>
        <w:jc w:val="center"/>
        <w:rPr>
          <w:rFonts w:ascii="宋体" w:hAnsi="宋体" w:eastAsia="宋体" w:cs="宋体"/>
          <w:sz w:val="24"/>
          <w:szCs w:val="24"/>
          <w:lang w:val="en-US"/>
        </w:rPr>
      </w:pPr>
      <w:r>
        <w:rPr>
          <w:rFonts w:hint="eastAsia" w:ascii="宋体" w:hAnsi="宋体" w:eastAsia="宋体" w:cs="宋体"/>
          <w:sz w:val="24"/>
          <w:szCs w:val="24"/>
          <w:lang w:val="en-US"/>
        </w:rPr>
        <w:t>其他说明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1.投标方可以根据自身的技术、经验等优势以及对招标文件和本技术标书的理解，写明对招标方所采购</w:t>
      </w:r>
      <w:r>
        <w:rPr>
          <w:rFonts w:hint="eastAsia" w:ascii="宋体" w:hAnsi="宋体" w:cs="宋体"/>
          <w:color w:val="000000"/>
          <w:sz w:val="24"/>
          <w:szCs w:val="24"/>
          <w:lang w:val="en-US" w:eastAsia="zh-CN"/>
        </w:rPr>
        <w:t>试验家具</w:t>
      </w:r>
      <w:r>
        <w:rPr>
          <w:rFonts w:hint="eastAsia" w:ascii="宋体" w:hAnsi="宋体" w:cs="宋体"/>
          <w:color w:val="000000"/>
          <w:sz w:val="24"/>
          <w:szCs w:val="24"/>
        </w:rPr>
        <w:t>的优化方案或建议意见。投标方的这些努力，投标方表示感谢，并将有助于投标方优先胜出。</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3.招标文件、投标文件、答疑文件、技术交流文件、技术协议书等，在采购过程全部为有效文件，如有差异，以对招标方最有利的条款为准。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4.为避免歧异，本技术标书涉及招投标环节的条款，均将潜在的卖方称为投标方、将买方称为招标方；定标后合同签署环节以及后续的合同执行环节条款，招标方称为买方、投标方中的中标方称为卖方。</w:t>
      </w:r>
    </w:p>
    <w:p>
      <w:pPr>
        <w:pStyle w:val="17"/>
        <w:rPr>
          <w:rFonts w:hint="eastAsia"/>
          <w:lang w:val="en-US" w:eastAsia="zh-CN"/>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52"/>
    <w:family w:val="auto"/>
    <w:pitch w:val="default"/>
    <w:sig w:usb0="00000000" w:usb1="00000000" w:usb2="00000000"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微软雅黑">
    <w:altName w:val="汉仪旗黑KW 55S"/>
    <w:panose1 w:val="020B0503020204020204"/>
    <w:charset w:val="86"/>
    <w:family w:val="auto"/>
    <w:pitch w:val="default"/>
    <w:sig w:usb0="00000000" w:usb1="00000000" w:usb2="00000010" w:usb3="00000000" w:csb0="0004001F"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DejaVu Sans">
    <w:panose1 w:val="020B0606030804020204"/>
    <w:charset w:val="00"/>
    <w:family w:val="auto"/>
    <w:pitch w:val="default"/>
    <w:sig w:usb0="E7006EFF" w:usb1="D200FDFF" w:usb2="0A246029" w:usb3="0400200C" w:csb0="600001FF" w:csb1="DFFF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w:t>
    </w:r>
    <w:r>
      <w:t xml:space="preserve"> 2 -</w:t>
    </w:r>
    <w:r>
      <w:fldChar w:fldCharType="end"/>
    </w:r>
  </w:p>
  <w:p>
    <w:pPr>
      <w:pStyle w:val="22"/>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w:t>
    </w:r>
    <w:r>
      <w:t xml:space="preserve"> 1 -</w:t>
    </w:r>
    <w:r>
      <w:fldChar w:fldCharType="end"/>
    </w:r>
  </w:p>
  <w:p>
    <w:pPr>
      <w:pStyle w:val="22"/>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D7A17C"/>
    <w:multiLevelType w:val="multilevel"/>
    <w:tmpl w:val="A5D7A17C"/>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
    <w:nsid w:val="A8084627"/>
    <w:multiLevelType w:val="singleLevel"/>
    <w:tmpl w:val="A8084627"/>
    <w:lvl w:ilvl="0" w:tentative="0">
      <w:start w:val="3"/>
      <w:numFmt w:val="decimal"/>
      <w:suff w:val="nothing"/>
      <w:lvlText w:val="%1、"/>
      <w:lvlJc w:val="left"/>
    </w:lvl>
  </w:abstractNum>
  <w:abstractNum w:abstractNumId="2">
    <w:nsid w:val="AFD326CF"/>
    <w:multiLevelType w:val="singleLevel"/>
    <w:tmpl w:val="AFD326CF"/>
    <w:lvl w:ilvl="0" w:tentative="0">
      <w:start w:val="1"/>
      <w:numFmt w:val="decimal"/>
      <w:lvlText w:val="%1."/>
      <w:lvlJc w:val="left"/>
      <w:pPr>
        <w:tabs>
          <w:tab w:val="left" w:pos="312"/>
        </w:tabs>
      </w:pPr>
    </w:lvl>
  </w:abstractNum>
  <w:abstractNum w:abstractNumId="3">
    <w:nsid w:val="BAD1B268"/>
    <w:multiLevelType w:val="singleLevel"/>
    <w:tmpl w:val="BAD1B268"/>
    <w:lvl w:ilvl="0" w:tentative="0">
      <w:start w:val="2"/>
      <w:numFmt w:val="decimal"/>
      <w:suff w:val="nothing"/>
      <w:lvlText w:val="（%1）"/>
      <w:lvlJc w:val="left"/>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DEF660EE"/>
    <w:multiLevelType w:val="multilevel"/>
    <w:tmpl w:val="DEF660EE"/>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E5792F19"/>
    <w:multiLevelType w:val="singleLevel"/>
    <w:tmpl w:val="E5792F19"/>
    <w:lvl w:ilvl="0" w:tentative="0">
      <w:start w:val="1"/>
      <w:numFmt w:val="decimal"/>
      <w:lvlText w:val="%1."/>
      <w:lvlJc w:val="left"/>
      <w:pPr>
        <w:ind w:left="1055" w:hanging="425"/>
      </w:pPr>
      <w:rPr>
        <w:rFonts w:hint="default"/>
      </w:rPr>
    </w:lvl>
  </w:abstractNum>
  <w:abstractNum w:abstractNumId="7">
    <w:nsid w:val="004038EB"/>
    <w:multiLevelType w:val="multilevel"/>
    <w:tmpl w:val="004038EB"/>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8">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9">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0AEC23D6"/>
    <w:multiLevelType w:val="multilevel"/>
    <w:tmpl w:val="0AEC23D6"/>
    <w:lvl w:ilvl="0" w:tentative="0">
      <w:start w:val="1"/>
      <w:numFmt w:val="japaneseCounting"/>
      <w:lvlText w:val="第%1节、"/>
      <w:lvlJc w:val="left"/>
      <w:pPr>
        <w:ind w:left="1080" w:hanging="1080"/>
      </w:pPr>
      <w:rPr>
        <w:rFonts w:hint="default"/>
        <w:u w:val="none" w:color="auto"/>
      </w:rPr>
    </w:lvl>
    <w:lvl w:ilvl="1" w:tentative="0">
      <w:start w:val="1"/>
      <w:numFmt w:val="lowerLetter"/>
      <w:lvlText w:val="%2)"/>
      <w:lvlJc w:val="left"/>
      <w:pPr>
        <w:ind w:left="840" w:hanging="420"/>
      </w:pPr>
      <w:rPr>
        <w:rFonts w:hint="default"/>
        <w:u w:val="none" w:color="auto"/>
      </w:rPr>
    </w:lvl>
    <w:lvl w:ilvl="2" w:tentative="0">
      <w:start w:val="1"/>
      <w:numFmt w:val="lowerRoman"/>
      <w:lvlText w:val="%3."/>
      <w:lvlJc w:val="right"/>
      <w:pPr>
        <w:ind w:left="1260" w:hanging="420"/>
      </w:pPr>
      <w:rPr>
        <w:rFonts w:hint="default"/>
        <w:u w:val="none" w:color="auto"/>
      </w:rPr>
    </w:lvl>
    <w:lvl w:ilvl="3" w:tentative="0">
      <w:start w:val="1"/>
      <w:numFmt w:val="decimal"/>
      <w:lvlText w:val="%4."/>
      <w:lvlJc w:val="left"/>
      <w:pPr>
        <w:ind w:left="1680" w:hanging="420"/>
      </w:pPr>
      <w:rPr>
        <w:rFonts w:hint="default"/>
        <w:u w:val="none" w:color="auto"/>
      </w:rPr>
    </w:lvl>
    <w:lvl w:ilvl="4" w:tentative="0">
      <w:start w:val="1"/>
      <w:numFmt w:val="lowerLetter"/>
      <w:lvlText w:val="%5)"/>
      <w:lvlJc w:val="left"/>
      <w:pPr>
        <w:ind w:left="2100" w:hanging="420"/>
      </w:pPr>
      <w:rPr>
        <w:rFonts w:hint="default"/>
        <w:u w:val="none" w:color="auto"/>
      </w:rPr>
    </w:lvl>
    <w:lvl w:ilvl="5" w:tentative="0">
      <w:start w:val="1"/>
      <w:numFmt w:val="lowerRoman"/>
      <w:lvlText w:val="%6."/>
      <w:lvlJc w:val="right"/>
      <w:pPr>
        <w:ind w:left="2520" w:hanging="420"/>
      </w:pPr>
      <w:rPr>
        <w:rFonts w:hint="default"/>
        <w:u w:val="none" w:color="auto"/>
      </w:rPr>
    </w:lvl>
    <w:lvl w:ilvl="6" w:tentative="0">
      <w:start w:val="1"/>
      <w:numFmt w:val="decimal"/>
      <w:lvlText w:val="%7."/>
      <w:lvlJc w:val="left"/>
      <w:pPr>
        <w:ind w:left="2940" w:hanging="420"/>
      </w:pPr>
      <w:rPr>
        <w:rFonts w:hint="default"/>
        <w:u w:val="none" w:color="auto"/>
      </w:rPr>
    </w:lvl>
    <w:lvl w:ilvl="7" w:tentative="0">
      <w:start w:val="1"/>
      <w:numFmt w:val="lowerLetter"/>
      <w:lvlText w:val="%8)"/>
      <w:lvlJc w:val="left"/>
      <w:pPr>
        <w:ind w:left="3360" w:hanging="420"/>
      </w:pPr>
      <w:rPr>
        <w:rFonts w:hint="default"/>
        <w:u w:val="none" w:color="auto"/>
      </w:rPr>
    </w:lvl>
    <w:lvl w:ilvl="8" w:tentative="0">
      <w:start w:val="1"/>
      <w:numFmt w:val="lowerRoman"/>
      <w:lvlText w:val="%9."/>
      <w:lvlJc w:val="right"/>
      <w:pPr>
        <w:ind w:left="3780" w:hanging="420"/>
      </w:pPr>
      <w:rPr>
        <w:rFonts w:hint="default"/>
        <w:u w:val="none" w:color="auto"/>
      </w:rPr>
    </w:lvl>
  </w:abstractNum>
  <w:abstractNum w:abstractNumId="11">
    <w:nsid w:val="0FBFD675"/>
    <w:multiLevelType w:val="singleLevel"/>
    <w:tmpl w:val="0FBFD675"/>
    <w:lvl w:ilvl="0" w:tentative="0">
      <w:start w:val="1"/>
      <w:numFmt w:val="decimal"/>
      <w:lvlText w:val="%1."/>
      <w:lvlJc w:val="left"/>
      <w:pPr>
        <w:ind w:left="1055" w:hanging="425"/>
      </w:pPr>
      <w:rPr>
        <w:rFonts w:hint="default"/>
      </w:rPr>
    </w:lvl>
  </w:abstractNum>
  <w:abstractNum w:abstractNumId="1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3">
    <w:nsid w:val="42DA5A67"/>
    <w:multiLevelType w:val="multilevel"/>
    <w:tmpl w:val="42DA5A67"/>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5">
    <w:nsid w:val="487EA719"/>
    <w:multiLevelType w:val="singleLevel"/>
    <w:tmpl w:val="487EA719"/>
    <w:lvl w:ilvl="0" w:tentative="0">
      <w:start w:val="2"/>
      <w:numFmt w:val="chineseCounting"/>
      <w:suff w:val="nothing"/>
      <w:lvlText w:val="%1、"/>
      <w:lvlJc w:val="left"/>
      <w:rPr>
        <w:rFonts w:hint="eastAsia"/>
      </w:rPr>
    </w:lvl>
  </w:abstractNum>
  <w:abstractNum w:abstractNumId="16">
    <w:nsid w:val="4CD41338"/>
    <w:multiLevelType w:val="multilevel"/>
    <w:tmpl w:val="4CD41338"/>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5EE15BC4"/>
    <w:multiLevelType w:val="singleLevel"/>
    <w:tmpl w:val="5EE15BC4"/>
    <w:lvl w:ilvl="0" w:tentative="0">
      <w:start w:val="1"/>
      <w:numFmt w:val="decimal"/>
      <w:suff w:val="space"/>
      <w:lvlText w:val="%1."/>
      <w:lvlJc w:val="left"/>
    </w:lvl>
  </w:abstractNum>
  <w:abstractNum w:abstractNumId="19">
    <w:nsid w:val="795456BA"/>
    <w:multiLevelType w:val="multilevel"/>
    <w:tmpl w:val="795456BA"/>
    <w:lvl w:ilvl="0" w:tentative="0">
      <w:start w:val="1"/>
      <w:numFmt w:val="japaneseCounting"/>
      <w:lvlText w:val="第%1节、"/>
      <w:lvlJc w:val="left"/>
      <w:pPr>
        <w:ind w:left="1080" w:hanging="1080"/>
      </w:pPr>
      <w:rPr>
        <w:rFonts w:hint="default"/>
        <w:u w:val="none" w:color="auto"/>
      </w:rPr>
    </w:lvl>
    <w:lvl w:ilvl="1" w:tentative="0">
      <w:start w:val="1"/>
      <w:numFmt w:val="lowerLetter"/>
      <w:lvlText w:val="%2)"/>
      <w:lvlJc w:val="left"/>
      <w:pPr>
        <w:ind w:left="840" w:hanging="420"/>
      </w:pPr>
      <w:rPr>
        <w:rFonts w:hint="default"/>
        <w:u w:val="none" w:color="auto"/>
      </w:rPr>
    </w:lvl>
    <w:lvl w:ilvl="2" w:tentative="0">
      <w:start w:val="1"/>
      <w:numFmt w:val="lowerRoman"/>
      <w:lvlText w:val="%3."/>
      <w:lvlJc w:val="right"/>
      <w:pPr>
        <w:ind w:left="1260" w:hanging="420"/>
      </w:pPr>
      <w:rPr>
        <w:rFonts w:hint="default"/>
        <w:u w:val="none" w:color="auto"/>
      </w:rPr>
    </w:lvl>
    <w:lvl w:ilvl="3" w:tentative="0">
      <w:start w:val="1"/>
      <w:numFmt w:val="decimal"/>
      <w:lvlText w:val="%4."/>
      <w:lvlJc w:val="left"/>
      <w:pPr>
        <w:ind w:left="1680" w:hanging="420"/>
      </w:pPr>
      <w:rPr>
        <w:rFonts w:hint="default"/>
        <w:u w:val="none" w:color="auto"/>
      </w:rPr>
    </w:lvl>
    <w:lvl w:ilvl="4" w:tentative="0">
      <w:start w:val="1"/>
      <w:numFmt w:val="lowerLetter"/>
      <w:lvlText w:val="%5)"/>
      <w:lvlJc w:val="left"/>
      <w:pPr>
        <w:ind w:left="2100" w:hanging="420"/>
      </w:pPr>
      <w:rPr>
        <w:rFonts w:hint="default"/>
        <w:u w:val="none" w:color="auto"/>
      </w:rPr>
    </w:lvl>
    <w:lvl w:ilvl="5" w:tentative="0">
      <w:start w:val="1"/>
      <w:numFmt w:val="lowerRoman"/>
      <w:lvlText w:val="%6."/>
      <w:lvlJc w:val="right"/>
      <w:pPr>
        <w:ind w:left="2520" w:hanging="420"/>
      </w:pPr>
      <w:rPr>
        <w:rFonts w:hint="default"/>
        <w:u w:val="none" w:color="auto"/>
      </w:rPr>
    </w:lvl>
    <w:lvl w:ilvl="6" w:tentative="0">
      <w:start w:val="1"/>
      <w:numFmt w:val="decimal"/>
      <w:lvlText w:val="%7."/>
      <w:lvlJc w:val="left"/>
      <w:pPr>
        <w:ind w:left="2940" w:hanging="420"/>
      </w:pPr>
      <w:rPr>
        <w:rFonts w:hint="default"/>
        <w:u w:val="none" w:color="auto"/>
      </w:rPr>
    </w:lvl>
    <w:lvl w:ilvl="7" w:tentative="0">
      <w:start w:val="1"/>
      <w:numFmt w:val="lowerLetter"/>
      <w:lvlText w:val="%8)"/>
      <w:lvlJc w:val="left"/>
      <w:pPr>
        <w:ind w:left="3360" w:hanging="420"/>
      </w:pPr>
      <w:rPr>
        <w:rFonts w:hint="default"/>
        <w:u w:val="none" w:color="auto"/>
      </w:rPr>
    </w:lvl>
    <w:lvl w:ilvl="8" w:tentative="0">
      <w:start w:val="1"/>
      <w:numFmt w:val="lowerRoman"/>
      <w:lvlText w:val="%9."/>
      <w:lvlJc w:val="right"/>
      <w:pPr>
        <w:ind w:left="3780" w:hanging="420"/>
      </w:pPr>
      <w:rPr>
        <w:rFonts w:hint="default"/>
        <w:u w:val="none" w:color="auto"/>
      </w:rPr>
    </w:lvl>
  </w:abstractNum>
  <w:num w:numId="1">
    <w:abstractNumId w:val="17"/>
  </w:num>
  <w:num w:numId="2">
    <w:abstractNumId w:val="3"/>
  </w:num>
  <w:num w:numId="3">
    <w:abstractNumId w:val="9"/>
  </w:num>
  <w:num w:numId="4">
    <w:abstractNumId w:val="8"/>
  </w:num>
  <w:num w:numId="5">
    <w:abstractNumId w:val="14"/>
  </w:num>
  <w:num w:numId="6">
    <w:abstractNumId w:val="4"/>
  </w:num>
  <w:num w:numId="7">
    <w:abstractNumId w:val="12"/>
  </w:num>
  <w:num w:numId="8">
    <w:abstractNumId w:val="2"/>
  </w:num>
  <w:num w:numId="9">
    <w:abstractNumId w:val="10"/>
  </w:num>
  <w:num w:numId="10">
    <w:abstractNumId w:val="6"/>
  </w:num>
  <w:num w:numId="11">
    <w:abstractNumId w:val="11"/>
  </w:num>
  <w:num w:numId="12">
    <w:abstractNumId w:val="15"/>
  </w:num>
  <w:num w:numId="13">
    <w:abstractNumId w:val="19"/>
  </w:num>
  <w:num w:numId="14">
    <w:abstractNumId w:val="5"/>
  </w:num>
  <w:num w:numId="15">
    <w:abstractNumId w:val="18"/>
  </w:num>
  <w:num w:numId="16">
    <w:abstractNumId w:val="1"/>
  </w:num>
  <w:num w:numId="17">
    <w:abstractNumId w:val="16"/>
  </w:num>
  <w:num w:numId="18">
    <w:abstractNumId w:val="7"/>
  </w:num>
  <w:num w:numId="19">
    <w:abstractNumId w:val="13"/>
  </w:num>
  <w:num w:numId="2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FkZGFkZjlkOWFlOTlhNWExODU4ODk5OWNmZDEyYTQ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501EE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133C5"/>
    <w:rsid w:val="00F204CA"/>
    <w:rsid w:val="00F47F06"/>
    <w:rsid w:val="00F702D9"/>
    <w:rsid w:val="00F71910"/>
    <w:rsid w:val="00F94AA9"/>
    <w:rsid w:val="0122795F"/>
    <w:rsid w:val="01395070"/>
    <w:rsid w:val="013D4B60"/>
    <w:rsid w:val="01A77925"/>
    <w:rsid w:val="02390453"/>
    <w:rsid w:val="02F94168"/>
    <w:rsid w:val="034D0622"/>
    <w:rsid w:val="036106CF"/>
    <w:rsid w:val="03C926DB"/>
    <w:rsid w:val="03FA6ED5"/>
    <w:rsid w:val="04536448"/>
    <w:rsid w:val="047E2524"/>
    <w:rsid w:val="04A83611"/>
    <w:rsid w:val="04E5637F"/>
    <w:rsid w:val="0648365F"/>
    <w:rsid w:val="066465EF"/>
    <w:rsid w:val="06874187"/>
    <w:rsid w:val="07366F70"/>
    <w:rsid w:val="083D5445"/>
    <w:rsid w:val="085D4452"/>
    <w:rsid w:val="08E41D65"/>
    <w:rsid w:val="09921B84"/>
    <w:rsid w:val="099512B1"/>
    <w:rsid w:val="09AD4237"/>
    <w:rsid w:val="09ED2E9B"/>
    <w:rsid w:val="09F63AFE"/>
    <w:rsid w:val="09FA7D2A"/>
    <w:rsid w:val="0A067077"/>
    <w:rsid w:val="0A481841"/>
    <w:rsid w:val="0B0C10FF"/>
    <w:rsid w:val="0B6E5904"/>
    <w:rsid w:val="0B77495B"/>
    <w:rsid w:val="0B895A85"/>
    <w:rsid w:val="0CB54C63"/>
    <w:rsid w:val="0CFD1647"/>
    <w:rsid w:val="0D200E92"/>
    <w:rsid w:val="0D350DE1"/>
    <w:rsid w:val="0D412A91"/>
    <w:rsid w:val="0D5D42FF"/>
    <w:rsid w:val="0DED346A"/>
    <w:rsid w:val="0E9E4764"/>
    <w:rsid w:val="0EBE6BB4"/>
    <w:rsid w:val="0ED31B8B"/>
    <w:rsid w:val="0EE41165"/>
    <w:rsid w:val="0F6E2388"/>
    <w:rsid w:val="10B14C22"/>
    <w:rsid w:val="10C77FA2"/>
    <w:rsid w:val="10D14AD3"/>
    <w:rsid w:val="11575DFA"/>
    <w:rsid w:val="118B17C0"/>
    <w:rsid w:val="11D64C17"/>
    <w:rsid w:val="11FA6155"/>
    <w:rsid w:val="12C248F7"/>
    <w:rsid w:val="13160D6D"/>
    <w:rsid w:val="13471DF0"/>
    <w:rsid w:val="140E4594"/>
    <w:rsid w:val="146124BC"/>
    <w:rsid w:val="14A15C19"/>
    <w:rsid w:val="1559452A"/>
    <w:rsid w:val="159E63D7"/>
    <w:rsid w:val="161F262E"/>
    <w:rsid w:val="16D301F3"/>
    <w:rsid w:val="17133A30"/>
    <w:rsid w:val="1719707D"/>
    <w:rsid w:val="17907396"/>
    <w:rsid w:val="17EC378B"/>
    <w:rsid w:val="17F51899"/>
    <w:rsid w:val="17FE3C37"/>
    <w:rsid w:val="1894085E"/>
    <w:rsid w:val="18EE2250"/>
    <w:rsid w:val="19102702"/>
    <w:rsid w:val="19D76D7C"/>
    <w:rsid w:val="1A6F12F2"/>
    <w:rsid w:val="1AE22093"/>
    <w:rsid w:val="1AF50D1F"/>
    <w:rsid w:val="1AFA4BF4"/>
    <w:rsid w:val="1B7927E1"/>
    <w:rsid w:val="1B7C5E2D"/>
    <w:rsid w:val="1BFC051D"/>
    <w:rsid w:val="1BFE5601"/>
    <w:rsid w:val="1C454A56"/>
    <w:rsid w:val="1C5823F6"/>
    <w:rsid w:val="1C6A3ED7"/>
    <w:rsid w:val="1D507571"/>
    <w:rsid w:val="1E03430E"/>
    <w:rsid w:val="1E6E4153"/>
    <w:rsid w:val="1EA821B8"/>
    <w:rsid w:val="1EAD74D5"/>
    <w:rsid w:val="1ECB3353"/>
    <w:rsid w:val="1EDA5344"/>
    <w:rsid w:val="1EFA59E6"/>
    <w:rsid w:val="1F3B6A3A"/>
    <w:rsid w:val="1F6A2B6C"/>
    <w:rsid w:val="1F742887"/>
    <w:rsid w:val="20482782"/>
    <w:rsid w:val="206D21E8"/>
    <w:rsid w:val="20B561E4"/>
    <w:rsid w:val="20DB1848"/>
    <w:rsid w:val="21085780"/>
    <w:rsid w:val="216B6728"/>
    <w:rsid w:val="21933ED0"/>
    <w:rsid w:val="21E374A2"/>
    <w:rsid w:val="22574EFE"/>
    <w:rsid w:val="22D24584"/>
    <w:rsid w:val="23496F3C"/>
    <w:rsid w:val="234E4979"/>
    <w:rsid w:val="235A7FBB"/>
    <w:rsid w:val="238732C6"/>
    <w:rsid w:val="246211B3"/>
    <w:rsid w:val="249B646D"/>
    <w:rsid w:val="24A7403F"/>
    <w:rsid w:val="24DB1379"/>
    <w:rsid w:val="24EC5DD1"/>
    <w:rsid w:val="25160213"/>
    <w:rsid w:val="253F4153"/>
    <w:rsid w:val="254A48EC"/>
    <w:rsid w:val="25E92311"/>
    <w:rsid w:val="26373975"/>
    <w:rsid w:val="264E7B1E"/>
    <w:rsid w:val="26710D70"/>
    <w:rsid w:val="268564DD"/>
    <w:rsid w:val="26AB1249"/>
    <w:rsid w:val="26DD00C8"/>
    <w:rsid w:val="26EA00EF"/>
    <w:rsid w:val="275611F6"/>
    <w:rsid w:val="27F05BD9"/>
    <w:rsid w:val="289742A6"/>
    <w:rsid w:val="28A32C4B"/>
    <w:rsid w:val="298447A5"/>
    <w:rsid w:val="2991078C"/>
    <w:rsid w:val="29B80978"/>
    <w:rsid w:val="29EC6874"/>
    <w:rsid w:val="2A5524E8"/>
    <w:rsid w:val="2A64640A"/>
    <w:rsid w:val="2A7D3AEC"/>
    <w:rsid w:val="2AAB5DE7"/>
    <w:rsid w:val="2B2160A9"/>
    <w:rsid w:val="2BD80E5D"/>
    <w:rsid w:val="2BE31190"/>
    <w:rsid w:val="2C575628"/>
    <w:rsid w:val="2CBE6618"/>
    <w:rsid w:val="2CC15D95"/>
    <w:rsid w:val="2D9C2B7A"/>
    <w:rsid w:val="2DA4087E"/>
    <w:rsid w:val="2DAC4350"/>
    <w:rsid w:val="2DB96A6D"/>
    <w:rsid w:val="2E352597"/>
    <w:rsid w:val="2E47051C"/>
    <w:rsid w:val="2E642E7C"/>
    <w:rsid w:val="2E9C43C4"/>
    <w:rsid w:val="2EB771D0"/>
    <w:rsid w:val="2ECE479A"/>
    <w:rsid w:val="2F25260C"/>
    <w:rsid w:val="2F8F3D61"/>
    <w:rsid w:val="2FC2620D"/>
    <w:rsid w:val="3018383F"/>
    <w:rsid w:val="30354AD0"/>
    <w:rsid w:val="312D1C4B"/>
    <w:rsid w:val="32144BB9"/>
    <w:rsid w:val="32566F80"/>
    <w:rsid w:val="32C62839"/>
    <w:rsid w:val="32D57EA5"/>
    <w:rsid w:val="33574D5E"/>
    <w:rsid w:val="337413A2"/>
    <w:rsid w:val="33A53D1B"/>
    <w:rsid w:val="33AF6948"/>
    <w:rsid w:val="33B2468A"/>
    <w:rsid w:val="345D45F6"/>
    <w:rsid w:val="347E0C7B"/>
    <w:rsid w:val="348200E2"/>
    <w:rsid w:val="34F7633C"/>
    <w:rsid w:val="351476F8"/>
    <w:rsid w:val="351B34FD"/>
    <w:rsid w:val="35862DE3"/>
    <w:rsid w:val="3599165E"/>
    <w:rsid w:val="35BD1A47"/>
    <w:rsid w:val="363D5FAB"/>
    <w:rsid w:val="365E28A7"/>
    <w:rsid w:val="373D070E"/>
    <w:rsid w:val="374D4675"/>
    <w:rsid w:val="378F520B"/>
    <w:rsid w:val="37DC1CD5"/>
    <w:rsid w:val="37F4701F"/>
    <w:rsid w:val="381B2C1B"/>
    <w:rsid w:val="38AA5930"/>
    <w:rsid w:val="38D86941"/>
    <w:rsid w:val="3A84207C"/>
    <w:rsid w:val="3A9C3D5F"/>
    <w:rsid w:val="3A9C574C"/>
    <w:rsid w:val="3AAD7959"/>
    <w:rsid w:val="3B1F232A"/>
    <w:rsid w:val="3B573A98"/>
    <w:rsid w:val="3BA42B0A"/>
    <w:rsid w:val="3BEE61FC"/>
    <w:rsid w:val="3D526E32"/>
    <w:rsid w:val="3DB37034"/>
    <w:rsid w:val="3E2B12C1"/>
    <w:rsid w:val="3E5201AC"/>
    <w:rsid w:val="3E6D7B2B"/>
    <w:rsid w:val="3E7964D0"/>
    <w:rsid w:val="3EE002FD"/>
    <w:rsid w:val="3EE11CA2"/>
    <w:rsid w:val="3FC90D91"/>
    <w:rsid w:val="400242A3"/>
    <w:rsid w:val="41151DB4"/>
    <w:rsid w:val="41CA7043"/>
    <w:rsid w:val="42AF4C5E"/>
    <w:rsid w:val="4379477C"/>
    <w:rsid w:val="437C611B"/>
    <w:rsid w:val="44167D0E"/>
    <w:rsid w:val="442D5104"/>
    <w:rsid w:val="44352E99"/>
    <w:rsid w:val="457354A1"/>
    <w:rsid w:val="457C7883"/>
    <w:rsid w:val="460F14C8"/>
    <w:rsid w:val="46881E0E"/>
    <w:rsid w:val="46F74436"/>
    <w:rsid w:val="46F91F10"/>
    <w:rsid w:val="473E2065"/>
    <w:rsid w:val="474F4272"/>
    <w:rsid w:val="477912EF"/>
    <w:rsid w:val="477A330D"/>
    <w:rsid w:val="478B1022"/>
    <w:rsid w:val="47CA1B4A"/>
    <w:rsid w:val="482A2BCD"/>
    <w:rsid w:val="487250BE"/>
    <w:rsid w:val="48BD520B"/>
    <w:rsid w:val="48F36E7F"/>
    <w:rsid w:val="48FB5D34"/>
    <w:rsid w:val="4AD54A8E"/>
    <w:rsid w:val="4B0B04B0"/>
    <w:rsid w:val="4BF61160"/>
    <w:rsid w:val="4C237A7B"/>
    <w:rsid w:val="4C2D36B6"/>
    <w:rsid w:val="4C3A530E"/>
    <w:rsid w:val="4CBD7ED0"/>
    <w:rsid w:val="4D75724F"/>
    <w:rsid w:val="4DD03C33"/>
    <w:rsid w:val="4DDE00FE"/>
    <w:rsid w:val="4E2A376D"/>
    <w:rsid w:val="4E564138"/>
    <w:rsid w:val="4E6D4BFE"/>
    <w:rsid w:val="4EB14C0F"/>
    <w:rsid w:val="4EC12C58"/>
    <w:rsid w:val="4F813436"/>
    <w:rsid w:val="4F9401A7"/>
    <w:rsid w:val="4FB77541"/>
    <w:rsid w:val="50322079"/>
    <w:rsid w:val="505E72D4"/>
    <w:rsid w:val="507534D0"/>
    <w:rsid w:val="507C14E9"/>
    <w:rsid w:val="520D3BC4"/>
    <w:rsid w:val="52173BDE"/>
    <w:rsid w:val="525E180D"/>
    <w:rsid w:val="527B6B0A"/>
    <w:rsid w:val="52950FA7"/>
    <w:rsid w:val="52B0193D"/>
    <w:rsid w:val="52BF03A6"/>
    <w:rsid w:val="538330B6"/>
    <w:rsid w:val="53962AE8"/>
    <w:rsid w:val="539B439B"/>
    <w:rsid w:val="53EC109A"/>
    <w:rsid w:val="53F1045F"/>
    <w:rsid w:val="540006A2"/>
    <w:rsid w:val="54507A5C"/>
    <w:rsid w:val="54BF319C"/>
    <w:rsid w:val="55012924"/>
    <w:rsid w:val="56BD287A"/>
    <w:rsid w:val="57192580"/>
    <w:rsid w:val="58657C62"/>
    <w:rsid w:val="586E02D0"/>
    <w:rsid w:val="5875340D"/>
    <w:rsid w:val="58EF1411"/>
    <w:rsid w:val="591B25EF"/>
    <w:rsid w:val="5943350B"/>
    <w:rsid w:val="59700A5F"/>
    <w:rsid w:val="59A1230A"/>
    <w:rsid w:val="5A1A3D88"/>
    <w:rsid w:val="5A581238"/>
    <w:rsid w:val="5A696FA1"/>
    <w:rsid w:val="5A7871E4"/>
    <w:rsid w:val="5AE35625"/>
    <w:rsid w:val="5B5B72AF"/>
    <w:rsid w:val="5B835E40"/>
    <w:rsid w:val="5BE63D32"/>
    <w:rsid w:val="5C654D27"/>
    <w:rsid w:val="5C6C6C7F"/>
    <w:rsid w:val="5C7659A5"/>
    <w:rsid w:val="5C7A5495"/>
    <w:rsid w:val="5C9A5B38"/>
    <w:rsid w:val="5D9A56C3"/>
    <w:rsid w:val="5DF644AB"/>
    <w:rsid w:val="5E606AC4"/>
    <w:rsid w:val="5E8963CB"/>
    <w:rsid w:val="5EEE698F"/>
    <w:rsid w:val="5EF332DD"/>
    <w:rsid w:val="5F1020E1"/>
    <w:rsid w:val="5F8A1E93"/>
    <w:rsid w:val="5F9F5213"/>
    <w:rsid w:val="604858AA"/>
    <w:rsid w:val="606F72DB"/>
    <w:rsid w:val="60AE53F2"/>
    <w:rsid w:val="60E27AAD"/>
    <w:rsid w:val="61277C32"/>
    <w:rsid w:val="616404C2"/>
    <w:rsid w:val="617821BF"/>
    <w:rsid w:val="61CD5CC5"/>
    <w:rsid w:val="62173786"/>
    <w:rsid w:val="622C2E8F"/>
    <w:rsid w:val="62983CC2"/>
    <w:rsid w:val="62C64E38"/>
    <w:rsid w:val="62F97210"/>
    <w:rsid w:val="631A1780"/>
    <w:rsid w:val="636F4F70"/>
    <w:rsid w:val="63D54FB6"/>
    <w:rsid w:val="63F80A35"/>
    <w:rsid w:val="63FF7B61"/>
    <w:rsid w:val="644017A3"/>
    <w:rsid w:val="6483706A"/>
    <w:rsid w:val="650C334B"/>
    <w:rsid w:val="65AD6236"/>
    <w:rsid w:val="66173D55"/>
    <w:rsid w:val="663743F7"/>
    <w:rsid w:val="66391F1D"/>
    <w:rsid w:val="66602608"/>
    <w:rsid w:val="66AF21DF"/>
    <w:rsid w:val="673E3563"/>
    <w:rsid w:val="6793565D"/>
    <w:rsid w:val="67E030E6"/>
    <w:rsid w:val="682555E2"/>
    <w:rsid w:val="68AF296B"/>
    <w:rsid w:val="68D128E1"/>
    <w:rsid w:val="68EA5751"/>
    <w:rsid w:val="6949691B"/>
    <w:rsid w:val="695B664F"/>
    <w:rsid w:val="699A3928"/>
    <w:rsid w:val="69D7211C"/>
    <w:rsid w:val="6A1B7B8C"/>
    <w:rsid w:val="6A2C3B47"/>
    <w:rsid w:val="6A9C2E19"/>
    <w:rsid w:val="6AA23E4A"/>
    <w:rsid w:val="6AAF0A00"/>
    <w:rsid w:val="6B4A1898"/>
    <w:rsid w:val="6B6F63E1"/>
    <w:rsid w:val="6B7F7CF4"/>
    <w:rsid w:val="6C9C3206"/>
    <w:rsid w:val="6D592EA5"/>
    <w:rsid w:val="6D6E5F9A"/>
    <w:rsid w:val="6D745D1B"/>
    <w:rsid w:val="6D7B4623"/>
    <w:rsid w:val="6DEA61F3"/>
    <w:rsid w:val="6E9D3265"/>
    <w:rsid w:val="6EF56BFD"/>
    <w:rsid w:val="6F1C23DC"/>
    <w:rsid w:val="6F4B2CC1"/>
    <w:rsid w:val="6F9CDB41"/>
    <w:rsid w:val="6FC8499E"/>
    <w:rsid w:val="70916390"/>
    <w:rsid w:val="709D4353"/>
    <w:rsid w:val="70A22DB5"/>
    <w:rsid w:val="70D263F9"/>
    <w:rsid w:val="71B132B0"/>
    <w:rsid w:val="720E4873"/>
    <w:rsid w:val="72135D18"/>
    <w:rsid w:val="73134EC7"/>
    <w:rsid w:val="73CB617F"/>
    <w:rsid w:val="74AE2BAB"/>
    <w:rsid w:val="750D6EB1"/>
    <w:rsid w:val="755074D5"/>
    <w:rsid w:val="75554187"/>
    <w:rsid w:val="75662603"/>
    <w:rsid w:val="75866EBF"/>
    <w:rsid w:val="75AB479D"/>
    <w:rsid w:val="75FA2D4B"/>
    <w:rsid w:val="760065B4"/>
    <w:rsid w:val="764B35A7"/>
    <w:rsid w:val="76665714"/>
    <w:rsid w:val="768F4812"/>
    <w:rsid w:val="76C9753D"/>
    <w:rsid w:val="77543C13"/>
    <w:rsid w:val="77677682"/>
    <w:rsid w:val="77B67D6C"/>
    <w:rsid w:val="77EF6C01"/>
    <w:rsid w:val="78A82F32"/>
    <w:rsid w:val="79167E9C"/>
    <w:rsid w:val="79C1605A"/>
    <w:rsid w:val="7AD718AD"/>
    <w:rsid w:val="7B492674"/>
    <w:rsid w:val="7B7D2454"/>
    <w:rsid w:val="7BD723C1"/>
    <w:rsid w:val="7BD9715F"/>
    <w:rsid w:val="7C0B3F04"/>
    <w:rsid w:val="7CEC7892"/>
    <w:rsid w:val="7CF92E67"/>
    <w:rsid w:val="7D3B4375"/>
    <w:rsid w:val="7D3B6123"/>
    <w:rsid w:val="7D4635F6"/>
    <w:rsid w:val="7DA939D5"/>
    <w:rsid w:val="7E060918"/>
    <w:rsid w:val="7E7044F2"/>
    <w:rsid w:val="7EAC6D02"/>
    <w:rsid w:val="7F855D7C"/>
    <w:rsid w:val="7FA95FBA"/>
    <w:rsid w:val="7FC00B62"/>
    <w:rsid w:val="7FCE7ECF"/>
    <w:rsid w:val="CFFE952E"/>
    <w:rsid w:val="F66F084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5"/>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6"/>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7"/>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9"/>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4"/>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52"/>
    <w:unhideWhenUsed/>
    <w:qFormat/>
    <w:uiPriority w:val="0"/>
    <w:pPr>
      <w:jc w:val="left"/>
    </w:pPr>
  </w:style>
  <w:style w:type="paragraph" w:styleId="11">
    <w:name w:val="Body Text"/>
    <w:basedOn w:val="1"/>
    <w:next w:val="12"/>
    <w:link w:val="103"/>
    <w:qFormat/>
    <w:uiPriority w:val="0"/>
    <w:rPr>
      <w:rFonts w:ascii="仿宋_GB2312" w:eastAsia="仿宋_GB2312"/>
      <w:sz w:val="32"/>
      <w:lang w:val="zh-CN" w:eastAsia="zh-CN"/>
    </w:rPr>
  </w:style>
  <w:style w:type="paragraph" w:styleId="12">
    <w:name w:val="index 4"/>
    <w:basedOn w:val="1"/>
    <w:next w:val="1"/>
    <w:qFormat/>
    <w:uiPriority w:val="0"/>
    <w:pPr>
      <w:ind w:left="600" w:leftChars="600"/>
    </w:pPr>
  </w:style>
  <w:style w:type="paragraph" w:styleId="13">
    <w:name w:val="Body Text Indent"/>
    <w:basedOn w:val="1"/>
    <w:next w:val="14"/>
    <w:link w:val="95"/>
    <w:qFormat/>
    <w:uiPriority w:val="0"/>
    <w:pPr>
      <w:spacing w:after="120"/>
      <w:ind w:left="420" w:leftChars="200"/>
    </w:pPr>
    <w:rPr>
      <w:lang w:val="zh-CN" w:eastAsia="zh-CN"/>
    </w:rPr>
  </w:style>
  <w:style w:type="paragraph" w:styleId="14">
    <w:name w:val="Body Text 2"/>
    <w:basedOn w:val="1"/>
    <w:qFormat/>
    <w:uiPriority w:val="0"/>
    <w:pPr>
      <w:tabs>
        <w:tab w:val="left" w:pos="0"/>
        <w:tab w:val="left" w:pos="720"/>
        <w:tab w:val="left" w:pos="1440"/>
        <w:tab w:val="left" w:pos="2160"/>
        <w:tab w:val="left" w:pos="2880"/>
        <w:tab w:val="left" w:pos="3600"/>
        <w:tab w:val="left" w:pos="4320"/>
      </w:tabs>
      <w:autoSpaceDE w:val="0"/>
      <w:autoSpaceDN w:val="0"/>
      <w:adjustRightInd w:val="0"/>
      <w:spacing w:line="240" w:lineRule="atLeast"/>
    </w:pPr>
    <w:rPr>
      <w:sz w:val="24"/>
    </w:rPr>
  </w:style>
  <w:style w:type="paragraph" w:styleId="15">
    <w:name w:val="toc 5"/>
    <w:basedOn w:val="1"/>
    <w:next w:val="1"/>
    <w:qFormat/>
    <w:uiPriority w:val="0"/>
    <w:pPr>
      <w:ind w:left="960"/>
      <w:jc w:val="left"/>
    </w:pPr>
    <w:rPr>
      <w:sz w:val="18"/>
      <w:szCs w:val="18"/>
    </w:rPr>
  </w:style>
  <w:style w:type="paragraph" w:styleId="16">
    <w:name w:val="toc 3"/>
    <w:basedOn w:val="1"/>
    <w:next w:val="1"/>
    <w:qFormat/>
    <w:uiPriority w:val="0"/>
    <w:pPr>
      <w:ind w:left="480"/>
      <w:jc w:val="left"/>
    </w:pPr>
    <w:rPr>
      <w:i/>
      <w:iCs/>
      <w:sz w:val="20"/>
    </w:rPr>
  </w:style>
  <w:style w:type="paragraph" w:styleId="17">
    <w:name w:val="Plain Text"/>
    <w:basedOn w:val="1"/>
    <w:link w:val="66"/>
    <w:qFormat/>
    <w:uiPriority w:val="0"/>
    <w:rPr>
      <w:rFonts w:ascii="宋体" w:hAnsi="Courier New" w:cstheme="minorBidi"/>
      <w:szCs w:val="22"/>
    </w:rPr>
  </w:style>
  <w:style w:type="paragraph" w:styleId="18">
    <w:name w:val="toc 8"/>
    <w:basedOn w:val="1"/>
    <w:next w:val="1"/>
    <w:qFormat/>
    <w:uiPriority w:val="0"/>
    <w:pPr>
      <w:ind w:left="1680"/>
      <w:jc w:val="left"/>
    </w:pPr>
    <w:rPr>
      <w:sz w:val="18"/>
      <w:szCs w:val="18"/>
    </w:rPr>
  </w:style>
  <w:style w:type="paragraph" w:styleId="19">
    <w:name w:val="Date"/>
    <w:basedOn w:val="1"/>
    <w:next w:val="1"/>
    <w:link w:val="71"/>
    <w:qFormat/>
    <w:uiPriority w:val="0"/>
    <w:pPr>
      <w:ind w:left="100" w:leftChars="2500"/>
    </w:pPr>
    <w:rPr>
      <w:rFonts w:asciiTheme="minorHAnsi" w:hAnsiTheme="minorHAnsi" w:eastAsiaTheme="minorEastAsia" w:cstheme="minorBidi"/>
      <w:sz w:val="24"/>
      <w:szCs w:val="24"/>
    </w:rPr>
  </w:style>
  <w:style w:type="paragraph" w:styleId="20">
    <w:name w:val="Body Text Indent 2"/>
    <w:basedOn w:val="1"/>
    <w:link w:val="57"/>
    <w:qFormat/>
    <w:uiPriority w:val="0"/>
    <w:pPr>
      <w:spacing w:after="120" w:line="480" w:lineRule="auto"/>
      <w:ind w:left="420" w:leftChars="200"/>
    </w:pPr>
    <w:rPr>
      <w:rFonts w:asciiTheme="minorHAnsi" w:hAnsiTheme="minorHAnsi" w:eastAsiaTheme="minorEastAsia" w:cstheme="minorBidi"/>
      <w:szCs w:val="22"/>
    </w:rPr>
  </w:style>
  <w:style w:type="paragraph" w:styleId="21">
    <w:name w:val="Balloon Text"/>
    <w:basedOn w:val="1"/>
    <w:link w:val="74"/>
    <w:qFormat/>
    <w:uiPriority w:val="0"/>
    <w:rPr>
      <w:rFonts w:asciiTheme="minorHAnsi" w:hAnsiTheme="minorHAnsi" w:eastAsiaTheme="minorEastAsia" w:cstheme="minorBidi"/>
      <w:sz w:val="18"/>
      <w:szCs w:val="18"/>
    </w:rPr>
  </w:style>
  <w:style w:type="paragraph" w:styleId="22">
    <w:name w:val="footer"/>
    <w:basedOn w:val="1"/>
    <w:link w:val="60"/>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3">
    <w:name w:val="header"/>
    <w:basedOn w:val="1"/>
    <w:link w:val="68"/>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4">
    <w:name w:val="toc 1"/>
    <w:basedOn w:val="1"/>
    <w:next w:val="1"/>
    <w:qFormat/>
    <w:uiPriority w:val="0"/>
    <w:pPr>
      <w:spacing w:line="360" w:lineRule="auto"/>
      <w:jc w:val="left"/>
    </w:pPr>
    <w:rPr>
      <w:rFonts w:ascii="宋体" w:hAnsi="宋体"/>
      <w:b/>
      <w:caps/>
      <w:color w:val="FF0000"/>
      <w:szCs w:val="21"/>
    </w:rPr>
  </w:style>
  <w:style w:type="paragraph" w:styleId="25">
    <w:name w:val="toc 4"/>
    <w:basedOn w:val="1"/>
    <w:next w:val="1"/>
    <w:qFormat/>
    <w:uiPriority w:val="0"/>
    <w:pPr>
      <w:ind w:left="720"/>
      <w:jc w:val="left"/>
    </w:pPr>
    <w:rPr>
      <w:sz w:val="18"/>
      <w:szCs w:val="18"/>
    </w:rPr>
  </w:style>
  <w:style w:type="paragraph" w:styleId="26">
    <w:name w:val="List"/>
    <w:basedOn w:val="1"/>
    <w:qFormat/>
    <w:uiPriority w:val="0"/>
    <w:pPr>
      <w:ind w:left="420" w:hanging="420"/>
    </w:pPr>
  </w:style>
  <w:style w:type="paragraph" w:styleId="27">
    <w:name w:val="toc 6"/>
    <w:basedOn w:val="1"/>
    <w:next w:val="1"/>
    <w:qFormat/>
    <w:uiPriority w:val="0"/>
    <w:pPr>
      <w:ind w:left="1200"/>
      <w:jc w:val="left"/>
    </w:pPr>
    <w:rPr>
      <w:sz w:val="18"/>
      <w:szCs w:val="18"/>
    </w:rPr>
  </w:style>
  <w:style w:type="paragraph" w:styleId="28">
    <w:name w:val="Body Text Indent 3"/>
    <w:basedOn w:val="1"/>
    <w:link w:val="55"/>
    <w:qFormat/>
    <w:uiPriority w:val="0"/>
    <w:pPr>
      <w:spacing w:after="120"/>
      <w:ind w:left="420" w:leftChars="200"/>
    </w:pPr>
    <w:rPr>
      <w:rFonts w:asciiTheme="minorHAnsi" w:hAnsiTheme="minorHAnsi" w:eastAsiaTheme="minorEastAsia" w:cstheme="minorBidi"/>
      <w:sz w:val="16"/>
      <w:szCs w:val="16"/>
    </w:rPr>
  </w:style>
  <w:style w:type="paragraph" w:styleId="29">
    <w:name w:val="toc 2"/>
    <w:basedOn w:val="1"/>
    <w:next w:val="1"/>
    <w:unhideWhenUsed/>
    <w:qFormat/>
    <w:uiPriority w:val="0"/>
    <w:pPr>
      <w:ind w:left="420" w:leftChars="200"/>
    </w:pPr>
  </w:style>
  <w:style w:type="paragraph" w:styleId="30">
    <w:name w:val="toc 9"/>
    <w:basedOn w:val="1"/>
    <w:next w:val="1"/>
    <w:qFormat/>
    <w:uiPriority w:val="0"/>
    <w:pPr>
      <w:ind w:left="1920"/>
      <w:jc w:val="left"/>
    </w:pPr>
    <w:rPr>
      <w:sz w:val="18"/>
      <w:szCs w:val="18"/>
    </w:rPr>
  </w:style>
  <w:style w:type="paragraph" w:styleId="31">
    <w:name w:val="HTML Preformatted"/>
    <w:basedOn w:val="1"/>
    <w:next w:val="32"/>
    <w:semiHidden/>
    <w:qFormat/>
    <w:uiPriority w:val="0"/>
    <w:pPr>
      <w:spacing w:after="200" w:line="276" w:lineRule="auto"/>
      <w:jc w:val="left"/>
    </w:pPr>
    <w:rPr>
      <w:rFonts w:ascii="Courier New" w:hAnsi="Courier New"/>
      <w:kern w:val="0"/>
      <w:sz w:val="20"/>
      <w:szCs w:val="20"/>
    </w:rPr>
  </w:style>
  <w:style w:type="paragraph" w:styleId="32">
    <w:name w:val="Normal (Web)"/>
    <w:basedOn w:val="1"/>
    <w:next w:val="13"/>
    <w:qFormat/>
    <w:uiPriority w:val="0"/>
    <w:pPr>
      <w:spacing w:before="100" w:beforeAutospacing="1" w:after="100" w:afterAutospacing="1"/>
      <w:jc w:val="left"/>
    </w:pPr>
    <w:rPr>
      <w:kern w:val="0"/>
      <w:sz w:val="24"/>
    </w:rPr>
  </w:style>
  <w:style w:type="paragraph" w:styleId="33">
    <w:name w:val="index 1"/>
    <w:basedOn w:val="1"/>
    <w:next w:val="1"/>
    <w:qFormat/>
    <w:uiPriority w:val="0"/>
    <w:rPr>
      <w:sz w:val="24"/>
      <w:szCs w:val="24"/>
    </w:rPr>
  </w:style>
  <w:style w:type="paragraph" w:styleId="34">
    <w:name w:val="Title"/>
    <w:basedOn w:val="1"/>
    <w:next w:val="1"/>
    <w:link w:val="76"/>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5">
    <w:name w:val="annotation subject"/>
    <w:basedOn w:val="10"/>
    <w:next w:val="10"/>
    <w:link w:val="51"/>
    <w:qFormat/>
    <w:uiPriority w:val="0"/>
    <w:rPr>
      <w:rFonts w:asciiTheme="minorHAnsi" w:hAnsiTheme="minorHAnsi" w:eastAsiaTheme="minorEastAsia" w:cstheme="minorBidi"/>
      <w:b/>
      <w:bCs/>
      <w:szCs w:val="22"/>
    </w:rPr>
  </w:style>
  <w:style w:type="paragraph" w:styleId="36">
    <w:name w:val="Body Text First Indent 2"/>
    <w:basedOn w:val="13"/>
    <w:next w:val="29"/>
    <w:qFormat/>
    <w:uiPriority w:val="0"/>
    <w:pPr>
      <w:spacing w:after="120" w:line="276" w:lineRule="auto"/>
      <w:ind w:left="200" w:leftChars="200" w:firstLine="200" w:firstLineChars="200"/>
      <w:jc w:val="left"/>
    </w:pPr>
  </w:style>
  <w:style w:type="table" w:styleId="38">
    <w:name w:val="Table Grid"/>
    <w:basedOn w:val="37"/>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rPr>
  </w:style>
  <w:style w:type="character" w:styleId="41">
    <w:name w:val="page number"/>
    <w:basedOn w:val="39"/>
    <w:qFormat/>
    <w:uiPriority w:val="0"/>
  </w:style>
  <w:style w:type="character" w:styleId="42">
    <w:name w:val="FollowedHyperlink"/>
    <w:qFormat/>
    <w:uiPriority w:val="99"/>
    <w:rPr>
      <w:color w:val="800080"/>
      <w:u w:val="single"/>
    </w:rPr>
  </w:style>
  <w:style w:type="character" w:styleId="43">
    <w:name w:val="Hyperlink"/>
    <w:basedOn w:val="39"/>
    <w:qFormat/>
    <w:uiPriority w:val="0"/>
    <w:rPr>
      <w:rFonts w:cs="Times New Roman"/>
      <w:color w:val="1F4F88"/>
      <w:u w:val="none"/>
    </w:rPr>
  </w:style>
  <w:style w:type="character" w:styleId="44">
    <w:name w:val="annotation reference"/>
    <w:qFormat/>
    <w:uiPriority w:val="0"/>
    <w:rPr>
      <w:sz w:val="21"/>
      <w:szCs w:val="21"/>
    </w:rPr>
  </w:style>
  <w:style w:type="character" w:customStyle="1" w:styleId="45">
    <w:name w:val="标题 1 字符"/>
    <w:basedOn w:val="39"/>
    <w:link w:val="2"/>
    <w:qFormat/>
    <w:uiPriority w:val="0"/>
    <w:rPr>
      <w:rFonts w:ascii="Times New Roman" w:hAnsi="Times New Roman" w:eastAsia="宋体" w:cs="Times New Roman"/>
      <w:b/>
      <w:bCs/>
      <w:kern w:val="44"/>
      <w:sz w:val="44"/>
      <w:szCs w:val="44"/>
      <w:lang w:val="zh-CN" w:eastAsia="zh-CN"/>
    </w:rPr>
  </w:style>
  <w:style w:type="character" w:customStyle="1" w:styleId="46">
    <w:name w:val="标题 2 字符"/>
    <w:basedOn w:val="39"/>
    <w:link w:val="3"/>
    <w:qFormat/>
    <w:uiPriority w:val="0"/>
    <w:rPr>
      <w:rFonts w:ascii="Arial" w:hAnsi="Arial" w:eastAsia="黑体" w:cs="Times New Roman"/>
      <w:b/>
      <w:bCs/>
      <w:sz w:val="32"/>
      <w:szCs w:val="32"/>
      <w:lang w:val="zh-CN" w:eastAsia="zh-CN"/>
    </w:rPr>
  </w:style>
  <w:style w:type="character" w:customStyle="1" w:styleId="47">
    <w:name w:val="标题 3 字符"/>
    <w:basedOn w:val="39"/>
    <w:link w:val="4"/>
    <w:qFormat/>
    <w:uiPriority w:val="0"/>
    <w:rPr>
      <w:rFonts w:ascii="Times New Roman" w:hAnsi="Times New Roman" w:eastAsia="宋体" w:cs="Times New Roman"/>
      <w:b/>
      <w:bCs/>
      <w:sz w:val="32"/>
      <w:szCs w:val="32"/>
      <w:lang w:val="zh-CN" w:eastAsia="zh-CN"/>
    </w:rPr>
  </w:style>
  <w:style w:type="character" w:customStyle="1" w:styleId="48">
    <w:name w:val="标题 4 字符"/>
    <w:basedOn w:val="39"/>
    <w:semiHidden/>
    <w:qFormat/>
    <w:uiPriority w:val="9"/>
    <w:rPr>
      <w:rFonts w:asciiTheme="majorHAnsi" w:hAnsiTheme="majorHAnsi" w:eastAsiaTheme="majorEastAsia" w:cstheme="majorBidi"/>
      <w:b/>
      <w:bCs/>
      <w:sz w:val="28"/>
      <w:szCs w:val="28"/>
    </w:rPr>
  </w:style>
  <w:style w:type="character" w:customStyle="1" w:styleId="49">
    <w:name w:val="标题 4 字符1"/>
    <w:link w:val="5"/>
    <w:semiHidden/>
    <w:qFormat/>
    <w:uiPriority w:val="0"/>
    <w:rPr>
      <w:rFonts w:ascii="Cambria" w:hAnsi="Cambria" w:eastAsia="宋体" w:cs="Times New Roman"/>
      <w:b/>
      <w:bCs/>
      <w:sz w:val="28"/>
      <w:szCs w:val="28"/>
      <w:lang w:val="zh-CN" w:eastAsia="zh-CN"/>
    </w:rPr>
  </w:style>
  <w:style w:type="character" w:customStyle="1" w:styleId="50">
    <w:name w:val="纯文本 Char"/>
    <w:qFormat/>
    <w:uiPriority w:val="0"/>
    <w:rPr>
      <w:rFonts w:ascii="宋体" w:hAnsi="Courier New" w:eastAsia="宋体"/>
      <w:kern w:val="2"/>
      <w:sz w:val="21"/>
      <w:lang w:val="en-US" w:eastAsia="zh-CN" w:bidi="ar-SA"/>
    </w:rPr>
  </w:style>
  <w:style w:type="character" w:customStyle="1" w:styleId="51">
    <w:name w:val="批注主题 字符"/>
    <w:link w:val="35"/>
    <w:qFormat/>
    <w:uiPriority w:val="0"/>
    <w:rPr>
      <w:b/>
      <w:bCs/>
    </w:rPr>
  </w:style>
  <w:style w:type="character" w:customStyle="1" w:styleId="52">
    <w:name w:val="批注文字 字符"/>
    <w:basedOn w:val="39"/>
    <w:link w:val="10"/>
    <w:qFormat/>
    <w:uiPriority w:val="0"/>
    <w:rPr>
      <w:rFonts w:ascii="Times New Roman" w:hAnsi="Times New Roman" w:eastAsia="宋体" w:cs="Times New Roman"/>
      <w:szCs w:val="20"/>
    </w:rPr>
  </w:style>
  <w:style w:type="character" w:customStyle="1" w:styleId="53">
    <w:name w:val="批注主题 字符1"/>
    <w:basedOn w:val="52"/>
    <w:semiHidden/>
    <w:qFormat/>
    <w:uiPriority w:val="99"/>
    <w:rPr>
      <w:rFonts w:ascii="Times New Roman" w:hAnsi="Times New Roman" w:eastAsia="宋体" w:cs="Times New Roman"/>
      <w:b/>
      <w:bCs/>
      <w:szCs w:val="20"/>
    </w:rPr>
  </w:style>
  <w:style w:type="character" w:customStyle="1" w:styleId="54">
    <w:name w:val="批注文字 字符1"/>
    <w:qFormat/>
    <w:uiPriority w:val="0"/>
    <w:rPr>
      <w:kern w:val="2"/>
      <w:sz w:val="21"/>
    </w:rPr>
  </w:style>
  <w:style w:type="character" w:customStyle="1" w:styleId="55">
    <w:name w:val="正文文本缩进 3 字符"/>
    <w:link w:val="28"/>
    <w:qFormat/>
    <w:uiPriority w:val="0"/>
    <w:rPr>
      <w:sz w:val="16"/>
      <w:szCs w:val="16"/>
    </w:rPr>
  </w:style>
  <w:style w:type="character" w:customStyle="1" w:styleId="56">
    <w:name w:val="正文文本缩进 3 字符1"/>
    <w:basedOn w:val="39"/>
    <w:semiHidden/>
    <w:qFormat/>
    <w:uiPriority w:val="99"/>
    <w:rPr>
      <w:rFonts w:ascii="Times New Roman" w:hAnsi="Times New Roman" w:eastAsia="宋体" w:cs="Times New Roman"/>
      <w:sz w:val="16"/>
      <w:szCs w:val="16"/>
    </w:rPr>
  </w:style>
  <w:style w:type="character" w:customStyle="1" w:styleId="57">
    <w:name w:val="正文文本缩进 2 字符"/>
    <w:link w:val="20"/>
    <w:qFormat/>
    <w:uiPriority w:val="0"/>
  </w:style>
  <w:style w:type="character" w:customStyle="1" w:styleId="58">
    <w:name w:val="正文文本缩进 2 字符1"/>
    <w:basedOn w:val="39"/>
    <w:semiHidden/>
    <w:qFormat/>
    <w:uiPriority w:val="99"/>
    <w:rPr>
      <w:rFonts w:ascii="Times New Roman" w:hAnsi="Times New Roman" w:eastAsia="宋体" w:cs="Times New Roman"/>
      <w:szCs w:val="20"/>
    </w:rPr>
  </w:style>
  <w:style w:type="character" w:customStyle="1" w:styleId="59">
    <w:name w:val="Char Char3"/>
    <w:qFormat/>
    <w:uiPriority w:val="0"/>
    <w:rPr>
      <w:rFonts w:ascii="宋体" w:hAnsi="Courier New" w:eastAsia="宋体"/>
      <w:kern w:val="2"/>
      <w:sz w:val="21"/>
      <w:lang w:val="en-US" w:eastAsia="zh-CN" w:bidi="ar-SA"/>
    </w:rPr>
  </w:style>
  <w:style w:type="character" w:customStyle="1" w:styleId="60">
    <w:name w:val="页脚 字符"/>
    <w:link w:val="22"/>
    <w:qFormat/>
    <w:uiPriority w:val="0"/>
    <w:rPr>
      <w:sz w:val="18"/>
      <w:szCs w:val="18"/>
    </w:rPr>
  </w:style>
  <w:style w:type="character" w:customStyle="1" w:styleId="61">
    <w:name w:val="页脚 字符1"/>
    <w:basedOn w:val="39"/>
    <w:semiHidden/>
    <w:qFormat/>
    <w:uiPriority w:val="99"/>
    <w:rPr>
      <w:rFonts w:ascii="Times New Roman" w:hAnsi="Times New Roman" w:eastAsia="宋体" w:cs="Times New Roman"/>
      <w:sz w:val="18"/>
      <w:szCs w:val="18"/>
    </w:rPr>
  </w:style>
  <w:style w:type="character" w:customStyle="1" w:styleId="62">
    <w:name w:val="标书一级标题 字符"/>
    <w:link w:val="63"/>
    <w:qFormat/>
    <w:uiPriority w:val="0"/>
    <w:rPr>
      <w:rFonts w:eastAsia="黑体"/>
      <w:bCs/>
      <w:color w:val="000000"/>
      <w:kern w:val="44"/>
      <w:sz w:val="30"/>
      <w:szCs w:val="24"/>
    </w:rPr>
  </w:style>
  <w:style w:type="paragraph" w:customStyle="1" w:styleId="63">
    <w:name w:val="标书一级标题"/>
    <w:basedOn w:val="2"/>
    <w:link w:val="62"/>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4">
    <w:name w:val="文档结构图 字符"/>
    <w:link w:val="8"/>
    <w:qFormat/>
    <w:uiPriority w:val="0"/>
    <w:rPr>
      <w:sz w:val="24"/>
      <w:szCs w:val="24"/>
      <w:shd w:val="clear" w:color="auto" w:fill="000080"/>
    </w:rPr>
  </w:style>
  <w:style w:type="character" w:customStyle="1" w:styleId="65">
    <w:name w:val="文档结构图 字符1"/>
    <w:basedOn w:val="39"/>
    <w:semiHidden/>
    <w:qFormat/>
    <w:uiPriority w:val="99"/>
    <w:rPr>
      <w:rFonts w:ascii="Microsoft YaHei UI" w:hAnsi="Times New Roman" w:eastAsia="Microsoft YaHei UI" w:cs="Times New Roman"/>
      <w:sz w:val="18"/>
      <w:szCs w:val="18"/>
    </w:rPr>
  </w:style>
  <w:style w:type="character" w:customStyle="1" w:styleId="66">
    <w:name w:val="纯文本 字符1"/>
    <w:link w:val="17"/>
    <w:qFormat/>
    <w:uiPriority w:val="0"/>
    <w:rPr>
      <w:rFonts w:ascii="宋体" w:hAnsi="Courier New" w:eastAsia="宋体"/>
    </w:rPr>
  </w:style>
  <w:style w:type="character" w:customStyle="1" w:styleId="67">
    <w:name w:val="纯文本 字符"/>
    <w:basedOn w:val="39"/>
    <w:qFormat/>
    <w:uiPriority w:val="0"/>
    <w:rPr>
      <w:rFonts w:hAnsi="Courier New" w:cs="Courier New" w:asciiTheme="minorEastAsia"/>
      <w:szCs w:val="20"/>
    </w:rPr>
  </w:style>
  <w:style w:type="character" w:customStyle="1" w:styleId="68">
    <w:name w:val="页眉 字符"/>
    <w:link w:val="23"/>
    <w:qFormat/>
    <w:uiPriority w:val="0"/>
    <w:rPr>
      <w:rFonts w:eastAsia="宋体"/>
      <w:sz w:val="18"/>
      <w:szCs w:val="18"/>
    </w:rPr>
  </w:style>
  <w:style w:type="character" w:customStyle="1" w:styleId="69">
    <w:name w:val="页眉 字符1"/>
    <w:basedOn w:val="39"/>
    <w:semiHidden/>
    <w:qFormat/>
    <w:uiPriority w:val="99"/>
    <w:rPr>
      <w:rFonts w:ascii="Times New Roman" w:hAnsi="Times New Roman" w:eastAsia="宋体" w:cs="Times New Roman"/>
      <w:sz w:val="18"/>
      <w:szCs w:val="18"/>
    </w:rPr>
  </w:style>
  <w:style w:type="character" w:customStyle="1" w:styleId="70">
    <w:name w:val="apple-converted-space"/>
    <w:basedOn w:val="39"/>
    <w:qFormat/>
    <w:uiPriority w:val="0"/>
  </w:style>
  <w:style w:type="character" w:customStyle="1" w:styleId="71">
    <w:name w:val="日期 字符"/>
    <w:link w:val="19"/>
    <w:qFormat/>
    <w:uiPriority w:val="0"/>
    <w:rPr>
      <w:sz w:val="24"/>
      <w:szCs w:val="24"/>
    </w:rPr>
  </w:style>
  <w:style w:type="character" w:customStyle="1" w:styleId="72">
    <w:name w:val="日期 字符1"/>
    <w:basedOn w:val="39"/>
    <w:semiHidden/>
    <w:qFormat/>
    <w:uiPriority w:val="99"/>
    <w:rPr>
      <w:rFonts w:ascii="Times New Roman" w:hAnsi="Times New Roman" w:eastAsia="宋体" w:cs="Times New Roman"/>
      <w:szCs w:val="20"/>
    </w:rPr>
  </w:style>
  <w:style w:type="character" w:customStyle="1" w:styleId="73">
    <w:name w:val="Char Char2"/>
    <w:qFormat/>
    <w:uiPriority w:val="0"/>
    <w:rPr>
      <w:rFonts w:ascii="宋体" w:hAnsi="Courier New" w:cs="宋体"/>
      <w:kern w:val="2"/>
      <w:sz w:val="21"/>
      <w:szCs w:val="21"/>
    </w:rPr>
  </w:style>
  <w:style w:type="character" w:customStyle="1" w:styleId="74">
    <w:name w:val="批注框文本 字符"/>
    <w:link w:val="21"/>
    <w:qFormat/>
    <w:uiPriority w:val="0"/>
    <w:rPr>
      <w:sz w:val="18"/>
      <w:szCs w:val="18"/>
    </w:rPr>
  </w:style>
  <w:style w:type="character" w:customStyle="1" w:styleId="75">
    <w:name w:val="批注框文本 字符1"/>
    <w:basedOn w:val="39"/>
    <w:semiHidden/>
    <w:qFormat/>
    <w:uiPriority w:val="99"/>
    <w:rPr>
      <w:rFonts w:ascii="Times New Roman" w:hAnsi="Times New Roman" w:eastAsia="宋体" w:cs="Times New Roman"/>
      <w:sz w:val="18"/>
      <w:szCs w:val="18"/>
    </w:rPr>
  </w:style>
  <w:style w:type="character" w:customStyle="1" w:styleId="76">
    <w:name w:val="标题 字符"/>
    <w:link w:val="34"/>
    <w:qFormat/>
    <w:uiPriority w:val="0"/>
    <w:rPr>
      <w:rFonts w:ascii="Arial" w:hAnsi="Arial" w:cs="Arial"/>
      <w:b/>
      <w:bCs/>
      <w:sz w:val="32"/>
      <w:szCs w:val="32"/>
    </w:rPr>
  </w:style>
  <w:style w:type="character" w:customStyle="1" w:styleId="77">
    <w:name w:val="标题 字符1"/>
    <w:basedOn w:val="39"/>
    <w:qFormat/>
    <w:uiPriority w:val="10"/>
    <w:rPr>
      <w:rFonts w:asciiTheme="majorHAnsi" w:hAnsiTheme="majorHAnsi" w:eastAsiaTheme="majorEastAsia" w:cstheme="majorBidi"/>
      <w:b/>
      <w:bCs/>
      <w:sz w:val="32"/>
      <w:szCs w:val="32"/>
    </w:rPr>
  </w:style>
  <w:style w:type="character" w:customStyle="1" w:styleId="78">
    <w:name w:val="BODY TEXT Char"/>
    <w:link w:val="79"/>
    <w:qFormat/>
    <w:uiPriority w:val="0"/>
    <w:rPr>
      <w:rFonts w:eastAsia="新宋体"/>
      <w:szCs w:val="21"/>
    </w:rPr>
  </w:style>
  <w:style w:type="paragraph" w:customStyle="1" w:styleId="79">
    <w:name w:val="正文文本1"/>
    <w:basedOn w:val="1"/>
    <w:link w:val="78"/>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80">
    <w:name w:val="HTML Markup"/>
    <w:qFormat/>
    <w:uiPriority w:val="0"/>
    <w:rPr>
      <w:vanish/>
      <w:color w:val="FF0000"/>
    </w:rPr>
  </w:style>
  <w:style w:type="character" w:customStyle="1" w:styleId="81">
    <w:name w:val="Char Char5"/>
    <w:qFormat/>
    <w:uiPriority w:val="0"/>
    <w:rPr>
      <w:rFonts w:ascii="宋体" w:hAnsi="Courier New" w:eastAsia="宋体"/>
      <w:kern w:val="2"/>
      <w:sz w:val="21"/>
      <w:lang w:val="en-US" w:eastAsia="zh-CN" w:bidi="ar-SA"/>
    </w:rPr>
  </w:style>
  <w:style w:type="character" w:customStyle="1" w:styleId="82">
    <w:name w:val="标书正文格式 字符"/>
    <w:link w:val="83"/>
    <w:qFormat/>
    <w:uiPriority w:val="0"/>
    <w:rPr>
      <w:rFonts w:ascii="宋体" w:hAnsi="宋体"/>
      <w:color w:val="000000"/>
      <w:sz w:val="24"/>
      <w:szCs w:val="24"/>
    </w:rPr>
  </w:style>
  <w:style w:type="paragraph" w:customStyle="1" w:styleId="83">
    <w:name w:val="标书正文格式"/>
    <w:basedOn w:val="17"/>
    <w:link w:val="82"/>
    <w:qFormat/>
    <w:uiPriority w:val="0"/>
    <w:pPr>
      <w:spacing w:line="360" w:lineRule="auto"/>
      <w:ind w:firstLine="200" w:firstLineChars="200"/>
    </w:pPr>
    <w:rPr>
      <w:rFonts w:hAnsi="宋体" w:eastAsiaTheme="minorEastAsia"/>
      <w:color w:val="000000"/>
      <w:sz w:val="24"/>
      <w:szCs w:val="24"/>
    </w:rPr>
  </w:style>
  <w:style w:type="character" w:customStyle="1" w:styleId="84">
    <w:name w:val="标书二级标题 字符"/>
    <w:link w:val="85"/>
    <w:qFormat/>
    <w:uiPriority w:val="0"/>
    <w:rPr>
      <w:rFonts w:ascii="宋体" w:hAnsi="宋体" w:eastAsia="黑体"/>
      <w:bCs/>
      <w:sz w:val="28"/>
      <w:szCs w:val="30"/>
    </w:rPr>
  </w:style>
  <w:style w:type="paragraph" w:customStyle="1" w:styleId="85">
    <w:name w:val="标书二级标题"/>
    <w:basedOn w:val="3"/>
    <w:link w:val="84"/>
    <w:qFormat/>
    <w:uiPriority w:val="0"/>
    <w:pPr>
      <w:spacing w:before="0" w:after="0" w:line="240" w:lineRule="auto"/>
      <w:jc w:val="left"/>
    </w:pPr>
    <w:rPr>
      <w:rFonts w:ascii="宋体" w:hAnsi="宋体" w:cstheme="minorBidi"/>
      <w:b w:val="0"/>
      <w:sz w:val="28"/>
      <w:szCs w:val="30"/>
      <w:lang w:val="en-US" w:eastAsia="zh-CN"/>
    </w:rPr>
  </w:style>
  <w:style w:type="character" w:customStyle="1" w:styleId="86">
    <w:name w:val="标书表格 字符"/>
    <w:link w:val="87"/>
    <w:qFormat/>
    <w:uiPriority w:val="0"/>
    <w:rPr>
      <w:b/>
    </w:rPr>
  </w:style>
  <w:style w:type="paragraph" w:customStyle="1" w:styleId="87">
    <w:name w:val="标书表格"/>
    <w:basedOn w:val="1"/>
    <w:link w:val="86"/>
    <w:qFormat/>
    <w:uiPriority w:val="0"/>
    <w:pPr>
      <w:jc w:val="center"/>
    </w:pPr>
    <w:rPr>
      <w:rFonts w:asciiTheme="minorHAnsi" w:hAnsiTheme="minorHAnsi" w:eastAsiaTheme="minorEastAsia" w:cstheme="minorBidi"/>
      <w:b/>
      <w:szCs w:val="22"/>
    </w:rPr>
  </w:style>
  <w:style w:type="character" w:customStyle="1" w:styleId="88">
    <w:name w:val="标书三级标题 字符"/>
    <w:link w:val="89"/>
    <w:qFormat/>
    <w:uiPriority w:val="0"/>
    <w:rPr>
      <w:b/>
      <w:bCs/>
      <w:color w:val="000000"/>
      <w:sz w:val="24"/>
      <w:szCs w:val="24"/>
    </w:rPr>
  </w:style>
  <w:style w:type="paragraph" w:customStyle="1" w:styleId="89">
    <w:name w:val="标书三级标题"/>
    <w:basedOn w:val="4"/>
    <w:next w:val="83"/>
    <w:link w:val="88"/>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90">
    <w:name w:val="标正文 字符"/>
    <w:link w:val="91"/>
    <w:qFormat/>
    <w:uiPriority w:val="0"/>
    <w:rPr>
      <w:rFonts w:ascii="宋体" w:hAnsi="宋体"/>
      <w:color w:val="000000"/>
      <w:sz w:val="24"/>
      <w:szCs w:val="24"/>
    </w:rPr>
  </w:style>
  <w:style w:type="paragraph" w:customStyle="1" w:styleId="91">
    <w:name w:val="标正文"/>
    <w:basedOn w:val="83"/>
    <w:link w:val="90"/>
    <w:qFormat/>
    <w:uiPriority w:val="0"/>
  </w:style>
  <w:style w:type="character" w:customStyle="1" w:styleId="92">
    <w:name w:val="标三级标题 字符"/>
    <w:link w:val="93"/>
    <w:qFormat/>
    <w:uiPriority w:val="0"/>
    <w:rPr>
      <w:b/>
      <w:bCs/>
      <w:color w:val="000000"/>
      <w:sz w:val="24"/>
      <w:szCs w:val="24"/>
    </w:rPr>
  </w:style>
  <w:style w:type="paragraph" w:customStyle="1" w:styleId="93">
    <w:name w:val="标三级标题"/>
    <w:basedOn w:val="89"/>
    <w:link w:val="92"/>
    <w:qFormat/>
    <w:uiPriority w:val="0"/>
  </w:style>
  <w:style w:type="character" w:customStyle="1" w:styleId="94">
    <w:name w:val="正文文本缩进 字符"/>
    <w:basedOn w:val="39"/>
    <w:semiHidden/>
    <w:qFormat/>
    <w:uiPriority w:val="99"/>
    <w:rPr>
      <w:rFonts w:ascii="Times New Roman" w:hAnsi="Times New Roman" w:eastAsia="宋体" w:cs="Times New Roman"/>
      <w:szCs w:val="20"/>
    </w:rPr>
  </w:style>
  <w:style w:type="character" w:customStyle="1" w:styleId="95">
    <w:name w:val="正文文本缩进 字符1"/>
    <w:link w:val="13"/>
    <w:qFormat/>
    <w:uiPriority w:val="0"/>
    <w:rPr>
      <w:rFonts w:ascii="Times New Roman" w:hAnsi="Times New Roman" w:eastAsia="宋体" w:cs="Times New Roman"/>
      <w:szCs w:val="20"/>
      <w:lang w:val="zh-CN" w:eastAsia="zh-CN"/>
    </w:rPr>
  </w:style>
  <w:style w:type="paragraph" w:customStyle="1" w:styleId="9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7">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8">
    <w:name w:val="列表段落1"/>
    <w:basedOn w:val="1"/>
    <w:qFormat/>
    <w:uiPriority w:val="0"/>
    <w:pPr>
      <w:ind w:firstLine="420" w:firstLineChars="200"/>
    </w:pPr>
    <w:rPr>
      <w:rFonts w:ascii="Calibri" w:hAnsi="Calibri"/>
      <w:szCs w:val="22"/>
    </w:rPr>
  </w:style>
  <w:style w:type="paragraph" w:styleId="99">
    <w:name w:val="List Paragraph"/>
    <w:basedOn w:val="1"/>
    <w:qFormat/>
    <w:uiPriority w:val="34"/>
    <w:pPr>
      <w:ind w:firstLine="420" w:firstLineChars="200"/>
    </w:pPr>
    <w:rPr>
      <w:rFonts w:ascii="Calibri" w:hAnsi="Calibri"/>
      <w:szCs w:val="22"/>
    </w:rPr>
  </w:style>
  <w:style w:type="paragraph" w:customStyle="1" w:styleId="10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01">
    <w:name w:val="1列"/>
    <w:basedOn w:val="1"/>
    <w:qFormat/>
    <w:uiPriority w:val="0"/>
    <w:pPr>
      <w:spacing w:line="360" w:lineRule="auto"/>
      <w:ind w:left="401" w:hanging="401" w:hangingChars="191"/>
    </w:pPr>
    <w:rPr>
      <w:szCs w:val="24"/>
    </w:rPr>
  </w:style>
  <w:style w:type="character" w:customStyle="1" w:styleId="102">
    <w:name w:val="正文文本 字符"/>
    <w:basedOn w:val="39"/>
    <w:semiHidden/>
    <w:qFormat/>
    <w:uiPriority w:val="99"/>
    <w:rPr>
      <w:rFonts w:ascii="Times New Roman" w:hAnsi="Times New Roman" w:eastAsia="宋体" w:cs="Times New Roman"/>
      <w:szCs w:val="20"/>
    </w:rPr>
  </w:style>
  <w:style w:type="character" w:customStyle="1" w:styleId="103">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4">
    <w:name w:val="Char Char Char Char Char Char Char"/>
    <w:basedOn w:val="1"/>
    <w:qFormat/>
    <w:uiPriority w:val="0"/>
    <w:rPr>
      <w:rFonts w:ascii="Verdana" w:hAnsi="Verdana"/>
      <w:kern w:val="0"/>
      <w:sz w:val="20"/>
      <w:lang w:eastAsia="en-US"/>
    </w:rPr>
  </w:style>
  <w:style w:type="paragraph" w:customStyle="1" w:styleId="105">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6">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8">
    <w:name w:val="二级列表 Char"/>
    <w:basedOn w:val="1"/>
    <w:qFormat/>
    <w:uiPriority w:val="0"/>
    <w:rPr>
      <w:rFonts w:ascii="Calibri" w:hAnsi="Calibri"/>
    </w:rPr>
  </w:style>
  <w:style w:type="paragraph" w:customStyle="1" w:styleId="109">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10">
    <w:name w:val="纯文本 Char2"/>
    <w:qFormat/>
    <w:uiPriority w:val="0"/>
    <w:rPr>
      <w:rFonts w:ascii="宋体" w:hAnsi="Courier New" w:eastAsia="宋体"/>
      <w:kern w:val="2"/>
      <w:sz w:val="21"/>
      <w:lang w:val="en-US" w:eastAsia="zh-CN" w:bidi="ar-SA"/>
    </w:rPr>
  </w:style>
  <w:style w:type="character" w:customStyle="1" w:styleId="111">
    <w:name w:val="HR正文 Char1"/>
    <w:link w:val="112"/>
    <w:qFormat/>
    <w:uiPriority w:val="0"/>
    <w:rPr>
      <w:sz w:val="24"/>
      <w:szCs w:val="24"/>
    </w:rPr>
  </w:style>
  <w:style w:type="paragraph" w:customStyle="1" w:styleId="112">
    <w:name w:val="HR正文"/>
    <w:basedOn w:val="1"/>
    <w:link w:val="111"/>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13">
    <w:name w:val="纯文本 Char1"/>
    <w:qFormat/>
    <w:uiPriority w:val="0"/>
    <w:rPr>
      <w:rFonts w:ascii="宋体" w:hAnsi="Courier New"/>
      <w:kern w:val="2"/>
      <w:sz w:val="21"/>
    </w:rPr>
  </w:style>
  <w:style w:type="paragraph" w:customStyle="1" w:styleId="114">
    <w:name w:val="标题4"/>
    <w:basedOn w:val="5"/>
    <w:qFormat/>
    <w:uiPriority w:val="0"/>
    <w:pPr>
      <w:keepLines w:val="0"/>
      <w:spacing w:before="240" w:after="60" w:line="240" w:lineRule="auto"/>
    </w:pPr>
    <w:rPr>
      <w:rFonts w:ascii="Times New Roman" w:hAnsi="Times New Roman"/>
    </w:rPr>
  </w:style>
  <w:style w:type="character" w:customStyle="1" w:styleId="115">
    <w:name w:val="页脚 Char1"/>
    <w:qFormat/>
    <w:uiPriority w:val="0"/>
    <w:rPr>
      <w:rFonts w:hint="default" w:ascii="Times New Roman" w:hAnsi="Times New Roman" w:eastAsia="宋体" w:cs="Times New Roman"/>
      <w:sz w:val="18"/>
      <w:szCs w:val="18"/>
    </w:rPr>
  </w:style>
  <w:style w:type="character" w:customStyle="1" w:styleId="116">
    <w:name w:val="页眉 Char1"/>
    <w:qFormat/>
    <w:uiPriority w:val="0"/>
    <w:rPr>
      <w:rFonts w:hint="default" w:ascii="Times New Roman" w:hAnsi="Times New Roman" w:eastAsia="宋体" w:cs="Times New Roman"/>
      <w:sz w:val="18"/>
      <w:szCs w:val="18"/>
    </w:rPr>
  </w:style>
  <w:style w:type="paragraph" w:customStyle="1" w:styleId="117">
    <w:name w:val="列出段落1"/>
    <w:basedOn w:val="1"/>
    <w:qFormat/>
    <w:uiPriority w:val="99"/>
    <w:pPr>
      <w:ind w:firstLine="420" w:firstLineChars="200"/>
    </w:pPr>
    <w:rPr>
      <w:rFonts w:ascii="Calibri" w:hAnsi="Calibri"/>
      <w:szCs w:val="22"/>
    </w:rPr>
  </w:style>
  <w:style w:type="paragraph" w:customStyle="1" w:styleId="118">
    <w:name w:val="List Paragraph1"/>
    <w:basedOn w:val="1"/>
    <w:qFormat/>
    <w:uiPriority w:val="99"/>
    <w:pPr>
      <w:ind w:firstLine="420" w:firstLineChars="200"/>
    </w:pPr>
    <w:rPr>
      <w:szCs w:val="24"/>
    </w:rPr>
  </w:style>
  <w:style w:type="character" w:customStyle="1" w:styleId="119">
    <w:name w:val="font51"/>
    <w:qFormat/>
    <w:uiPriority w:val="0"/>
    <w:rPr>
      <w:rFonts w:hint="eastAsia" w:ascii="宋体" w:hAnsi="宋体" w:eastAsia="宋体"/>
      <w:color w:val="000000"/>
      <w:sz w:val="18"/>
      <w:szCs w:val="18"/>
      <w:u w:val="none"/>
    </w:rPr>
  </w:style>
  <w:style w:type="character" w:customStyle="1" w:styleId="120">
    <w:name w:val="font111"/>
    <w:qFormat/>
    <w:uiPriority w:val="0"/>
    <w:rPr>
      <w:rFonts w:hint="default" w:ascii="Times New Roman" w:hAnsi="Times New Roman" w:cs="Times New Roman"/>
      <w:color w:val="000000"/>
      <w:sz w:val="18"/>
      <w:szCs w:val="18"/>
      <w:u w:val="none"/>
    </w:rPr>
  </w:style>
  <w:style w:type="character" w:customStyle="1" w:styleId="121">
    <w:name w:val="font101"/>
    <w:qFormat/>
    <w:uiPriority w:val="0"/>
    <w:rPr>
      <w:rFonts w:hint="eastAsia" w:ascii="宋体" w:hAnsi="宋体" w:eastAsia="宋体"/>
      <w:color w:val="000000"/>
      <w:sz w:val="18"/>
      <w:szCs w:val="18"/>
      <w:u w:val="none"/>
    </w:rPr>
  </w:style>
  <w:style w:type="character" w:customStyle="1" w:styleId="122">
    <w:name w:val="font61"/>
    <w:qFormat/>
    <w:uiPriority w:val="0"/>
    <w:rPr>
      <w:rFonts w:hint="eastAsia" w:ascii="宋体" w:hAnsi="宋体" w:eastAsia="宋体"/>
      <w:color w:val="000000"/>
      <w:sz w:val="18"/>
      <w:szCs w:val="18"/>
      <w:u w:val="none"/>
    </w:rPr>
  </w:style>
  <w:style w:type="character" w:customStyle="1" w:styleId="123">
    <w:name w:val="font121"/>
    <w:qFormat/>
    <w:uiPriority w:val="0"/>
    <w:rPr>
      <w:rFonts w:hint="default" w:ascii="Times New Roman" w:hAnsi="Times New Roman" w:cs="Times New Roman"/>
      <w:color w:val="000000"/>
      <w:sz w:val="18"/>
      <w:szCs w:val="18"/>
      <w:u w:val="none"/>
    </w:rPr>
  </w:style>
  <w:style w:type="character" w:customStyle="1" w:styleId="124">
    <w:name w:val="标题 1 Char"/>
    <w:qFormat/>
    <w:uiPriority w:val="9"/>
    <w:rPr>
      <w:b/>
      <w:bCs/>
      <w:kern w:val="44"/>
      <w:sz w:val="44"/>
      <w:szCs w:val="44"/>
    </w:rPr>
  </w:style>
  <w:style w:type="character" w:customStyle="1" w:styleId="125">
    <w:name w:val="标题 Char"/>
    <w:qFormat/>
    <w:uiPriority w:val="10"/>
    <w:rPr>
      <w:rFonts w:ascii="Cambria" w:hAnsi="Cambria" w:cs="Times New Roman"/>
      <w:b/>
      <w:bCs/>
      <w:kern w:val="2"/>
      <w:sz w:val="32"/>
      <w:szCs w:val="32"/>
    </w:rPr>
  </w:style>
  <w:style w:type="character" w:customStyle="1" w:styleId="126">
    <w:name w:val="font81"/>
    <w:qFormat/>
    <w:uiPriority w:val="0"/>
    <w:rPr>
      <w:rFonts w:hint="eastAsia" w:ascii="宋体" w:hAnsi="宋体" w:eastAsia="宋体"/>
      <w:color w:val="000000"/>
      <w:sz w:val="18"/>
      <w:szCs w:val="18"/>
      <w:u w:val="none"/>
    </w:rPr>
  </w:style>
  <w:style w:type="character" w:customStyle="1" w:styleId="127">
    <w:name w:val="font21"/>
    <w:qFormat/>
    <w:uiPriority w:val="0"/>
    <w:rPr>
      <w:rFonts w:hint="default" w:ascii="Times New Roman" w:hAnsi="Times New Roman" w:cs="Times New Roman"/>
      <w:color w:val="000000"/>
      <w:sz w:val="18"/>
      <w:szCs w:val="18"/>
      <w:u w:val="none"/>
    </w:rPr>
  </w:style>
  <w:style w:type="character" w:customStyle="1" w:styleId="128">
    <w:name w:val="font11"/>
    <w:qFormat/>
    <w:uiPriority w:val="0"/>
    <w:rPr>
      <w:rFonts w:hint="eastAsia" w:ascii="宋体" w:hAnsi="宋体" w:eastAsia="宋体"/>
      <w:color w:val="000000"/>
      <w:sz w:val="18"/>
      <w:szCs w:val="18"/>
      <w:u w:val="none"/>
    </w:rPr>
  </w:style>
  <w:style w:type="character" w:customStyle="1" w:styleId="129">
    <w:name w:val="font91"/>
    <w:qFormat/>
    <w:uiPriority w:val="0"/>
    <w:rPr>
      <w:rFonts w:hint="eastAsia" w:ascii="宋体" w:hAnsi="宋体" w:eastAsia="宋体"/>
      <w:color w:val="000000"/>
      <w:sz w:val="18"/>
      <w:szCs w:val="18"/>
      <w:u w:val="none"/>
    </w:rPr>
  </w:style>
  <w:style w:type="character" w:customStyle="1" w:styleId="130">
    <w:name w:val="font71"/>
    <w:qFormat/>
    <w:uiPriority w:val="0"/>
    <w:rPr>
      <w:rFonts w:hint="eastAsia" w:ascii="宋体" w:hAnsi="宋体" w:eastAsia="宋体"/>
      <w:color w:val="000000"/>
      <w:sz w:val="18"/>
      <w:szCs w:val="18"/>
      <w:u w:val="none"/>
    </w:rPr>
  </w:style>
  <w:style w:type="paragraph" w:customStyle="1" w:styleId="131">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2">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3">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4">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5">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6">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7">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8">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9">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40">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1">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2">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4">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5">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6">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7">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9">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0">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53">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4">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5">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9">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0">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1">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2">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4">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5">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7">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8">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9">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70">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71">
    <w:name w:val="horibazhengwen"/>
    <w:unhideWhenUsed/>
    <w:qFormat/>
    <w:uiPriority w:val="0"/>
    <w:pPr>
      <w:widowControl/>
      <w:spacing w:after="120" w:line="360" w:lineRule="auto"/>
      <w:jc w:val="left"/>
    </w:pPr>
    <w:rPr>
      <w:rFonts w:ascii="Arial" w:hAnsi="Arial" w:eastAsia="宋体" w:cs="Times New Roman"/>
      <w:kern w:val="0"/>
      <w:sz w:val="20"/>
      <w:lang w:val="en-US" w:eastAsia="de-DE" w:bidi="ar-SA"/>
    </w:rPr>
  </w:style>
  <w:style w:type="paragraph" w:customStyle="1" w:styleId="172">
    <w:name w:val="dingdocnormal"/>
    <w:qFormat/>
    <w:uiPriority w:val="0"/>
    <w:rPr>
      <w:rFonts w:asciiTheme="minorHAnsi" w:hAnsiTheme="minorHAnsi" w:eastAsiaTheme="minorEastAsia" w:cstheme="minorBidi"/>
      <w:kern w:val="2"/>
      <w:sz w:val="24"/>
      <w:lang w:val="en-US" w:eastAsia="zh-CN" w:bidi="ar-SA"/>
    </w:rPr>
  </w:style>
  <w:style w:type="character" w:customStyle="1" w:styleId="173">
    <w:name w:val="font31"/>
    <w:basedOn w:val="39"/>
    <w:qFormat/>
    <w:uiPriority w:val="0"/>
    <w:rPr>
      <w:rFonts w:hint="eastAsia" w:ascii="微软雅黑" w:hAnsi="微软雅黑" w:eastAsia="微软雅黑" w:cs="微软雅黑"/>
      <w:color w:val="000000"/>
      <w:sz w:val="22"/>
      <w:szCs w:val="22"/>
      <w:u w:val="none"/>
    </w:rPr>
  </w:style>
  <w:style w:type="character" w:customStyle="1" w:styleId="174">
    <w:name w:val="font41"/>
    <w:basedOn w:val="3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8" Type="http://schemas.microsoft.com/office/2011/relationships/people" Target="people.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1.png"/><Relationship Id="rId43" Type="http://schemas.openxmlformats.org/officeDocument/2006/relationships/image" Target="media/image30.jpeg"/><Relationship Id="rId42" Type="http://schemas.openxmlformats.org/officeDocument/2006/relationships/image" Target="media/image29.pn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png"/><Relationship Id="rId36" Type="http://schemas.openxmlformats.org/officeDocument/2006/relationships/image" Target="media/image23.jpe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60</Pages>
  <Words>10576</Words>
  <Characters>11282</Characters>
  <Lines>247</Lines>
  <Paragraphs>69</Paragraphs>
  <TotalTime>0</TotalTime>
  <ScaleCrop>false</ScaleCrop>
  <LinksUpToDate>false</LinksUpToDate>
  <CharactersWithSpaces>15577</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2021-12-10T23:38:00Z</dcterms:created>
  <dc:creator>JonMMx 2000</dc:creator>
  <cp:lastModifiedBy>JonMMx 2000</cp:lastModifiedBy>
  <dcterms:modified xsi:type="dcterms:W3CDTF">2026-06-30T17:50:22Z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3BD35EC9D1E4495EBEF364759698A2DC_13</vt:lpwstr>
  </property>
  <property fmtid="{D5CDD505-2E9C-101B-9397-08002B2CF9AE}" pid="4" name="KSOTemplateDocerSaveRecord">
    <vt:lpwstr>eyJoZGlkIjoiN2ZiZjhjZjUxYjg2N2Y1ZjY0NTc5ZGMxYTcwNjRmNWYiLCJ1c2VySWQiOiIxNzY1OTg3MzI2In0=</vt:lpwstr>
  </property>
</Properties>
</file>