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6"/>
        <w:adjustRightInd w:val="0"/>
        <w:snapToGrid w:val="0"/>
        <w:spacing w:line="360" w:lineRule="auto"/>
        <w:jc w:val="left"/>
        <w:rPr>
          <w:rFonts w:hint="default"/>
          <w:sz w:val="24"/>
          <w:szCs w:val="24"/>
          <w:lang w:val="en-US"/>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r>
        <w:rPr>
          <w:rFonts w:hint="eastAsia"/>
          <w:sz w:val="24"/>
          <w:szCs w:val="24"/>
          <w:lang w:val="en-US" w:eastAsia="zh-CN"/>
        </w:rPr>
        <w:t>00</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废水废气在线监测设备运维</w:t>
      </w:r>
      <w:r>
        <w:rPr>
          <w:rFonts w:hint="eastAsia" w:ascii="宋体" w:hAnsi="宋体"/>
          <w:sz w:val="44"/>
          <w:szCs w:val="24"/>
        </w:rPr>
        <w:t>项目</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pPr>
        <w:adjustRightInd w:val="0"/>
        <w:snapToGrid w:val="0"/>
        <w:spacing w:line="360" w:lineRule="auto"/>
        <w:jc w:val="center"/>
        <w:rPr>
          <w:rFonts w:ascii="宋体" w:hAnsi="宋体"/>
          <w:sz w:val="44"/>
          <w:szCs w:val="24"/>
        </w:rPr>
      </w:pPr>
    </w:p>
    <w:p>
      <w:pPr>
        <w:adjustRightInd w:val="0"/>
        <w:snapToGrid w:val="0"/>
        <w:spacing w:line="360" w:lineRule="auto"/>
        <w:jc w:val="center"/>
        <w:rPr>
          <w:rFonts w:ascii="宋体" w:hAnsi="宋体"/>
          <w:sz w:val="36"/>
          <w:szCs w:val="24"/>
        </w:rPr>
      </w:pPr>
    </w:p>
    <w:p>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pPr>
        <w:adjustRightInd w:val="0"/>
        <w:snapToGrid w:val="0"/>
        <w:spacing w:line="360" w:lineRule="auto"/>
        <w:jc w:val="center"/>
        <w:rPr>
          <w:rFonts w:ascii="宋体" w:hAnsi="宋体"/>
          <w:sz w:val="36"/>
          <w:szCs w:val="24"/>
        </w:rPr>
      </w:pP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pPr>
        <w:adjustRightInd w:val="0"/>
        <w:snapToGrid w:val="0"/>
        <w:spacing w:line="360" w:lineRule="auto"/>
        <w:jc w:val="center"/>
        <w:rPr>
          <w:rFonts w:ascii="宋体" w:hAnsi="宋体"/>
          <w:sz w:val="32"/>
          <w:szCs w:val="24"/>
        </w:rPr>
      </w:pPr>
    </w:p>
    <w:p>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4</w:t>
      </w:r>
      <w:r>
        <w:rPr>
          <w:rFonts w:hint="eastAsia" w:ascii="宋体" w:hAnsi="宋体"/>
          <w:sz w:val="32"/>
          <w:szCs w:val="24"/>
          <w:u w:val="single"/>
        </w:rPr>
        <w:t>月</w:t>
      </w:r>
    </w:p>
    <w:p>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pPr>
            <w:pStyle w:val="70"/>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pPr>
            <w:pStyle w:val="22"/>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pPr>
            <w:pStyle w:val="22"/>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pPr>
            <w:pStyle w:val="22"/>
            <w:adjustRightInd w:val="0"/>
            <w:snapToGrid w:val="0"/>
            <w:spacing w:line="360" w:lineRule="auto"/>
            <w:rPr>
              <w:sz w:val="24"/>
              <w:szCs w:val="24"/>
            </w:rPr>
          </w:pPr>
          <w:r>
            <w:rPr>
              <w:rFonts w:hint="eastAsia"/>
              <w:bCs/>
              <w:kern w:val="44"/>
              <w:sz w:val="24"/>
              <w:szCs w:val="24"/>
            </w:rPr>
            <w:fldChar w:fldCharType="end"/>
          </w:r>
        </w:p>
      </w:sdtContent>
    </w:sdt>
    <w:p>
      <w:pPr>
        <w:pStyle w:val="16"/>
        <w:tabs>
          <w:tab w:val="left" w:pos="2940"/>
        </w:tabs>
        <w:adjustRightInd w:val="0"/>
        <w:snapToGrid w:val="0"/>
        <w:spacing w:line="360" w:lineRule="auto"/>
        <w:jc w:val="left"/>
        <w:rPr>
          <w:rFonts w:hAnsi="宋体"/>
          <w:sz w:val="24"/>
          <w:szCs w:val="24"/>
        </w:rPr>
      </w:pPr>
      <w:r>
        <w:rPr>
          <w:rFonts w:hAnsi="宋体"/>
          <w:sz w:val="24"/>
          <w:szCs w:val="24"/>
        </w:rPr>
        <w:tab/>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pPr>
        <w:pStyle w:val="73"/>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pPr>
        <w:pStyle w:val="74"/>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pPr>
        <w:pStyle w:val="78"/>
        <w:numPr>
          <w:ilvl w:val="0"/>
          <w:numId w:val="9"/>
        </w:numPr>
        <w:adjustRightInd w:val="0"/>
        <w:snapToGrid w:val="0"/>
        <w:rPr>
          <w:rFonts w:hint="eastAsia" w:hAnsi="宋体"/>
          <w:sz w:val="24"/>
          <w:szCs w:val="24"/>
        </w:rPr>
      </w:pPr>
      <w:r>
        <w:rPr>
          <w:rFonts w:hint="eastAsia" w:hAnsi="宋体"/>
          <w:sz w:val="24"/>
          <w:szCs w:val="24"/>
        </w:rPr>
        <w:t>项目名称：</w:t>
      </w:r>
      <w:r>
        <w:rPr>
          <w:rFonts w:hint="eastAsia" w:hAnsi="宋体"/>
          <w:sz w:val="24"/>
          <w:szCs w:val="24"/>
          <w:lang w:val="en-US" w:eastAsia="zh-CN"/>
        </w:rPr>
        <w:t>废水废气在线监测设备运维</w:t>
      </w:r>
    </w:p>
    <w:p>
      <w:pPr>
        <w:pStyle w:val="78"/>
        <w:numPr>
          <w:ilvl w:val="0"/>
          <w:numId w:val="9"/>
        </w:numPr>
        <w:adjustRightInd w:val="0"/>
        <w:snapToGrid w:val="0"/>
        <w:rPr>
          <w:rFonts w:hAnsi="宋体"/>
          <w:sz w:val="24"/>
          <w:szCs w:val="24"/>
        </w:rPr>
      </w:pPr>
      <w:r>
        <w:rPr>
          <w:rFonts w:hint="eastAsia" w:hAnsi="宋体"/>
          <w:sz w:val="24"/>
          <w:szCs w:val="24"/>
        </w:rPr>
        <w:t>项目编号：</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招标形式：</w:t>
      </w:r>
      <w:bookmarkStart w:id="3" w:name="_Toc47112482"/>
      <w:r>
        <w:rPr>
          <w:rFonts w:hint="eastAsia" w:hAnsi="宋体" w:cs="Times New Roman"/>
          <w:sz w:val="24"/>
          <w:szCs w:val="24"/>
        </w:rPr>
        <w:t>公开招标</w:t>
      </w:r>
    </w:p>
    <w:p>
      <w:pPr>
        <w:pStyle w:val="78"/>
        <w:numPr>
          <w:ilvl w:val="0"/>
          <w:numId w:val="9"/>
        </w:numPr>
        <w:adjustRightInd w:val="0"/>
        <w:snapToGrid w:val="0"/>
        <w:jc w:val="left"/>
        <w:rPr>
          <w:rFonts w:hint="eastAsia" w:hAnsi="宋体" w:cs="Times New Roman"/>
          <w:sz w:val="24"/>
          <w:szCs w:val="24"/>
        </w:rPr>
      </w:pPr>
      <w:r>
        <w:rPr>
          <w:rFonts w:hint="eastAsia" w:hAnsi="宋体" w:cs="Times New Roman"/>
          <w:sz w:val="24"/>
          <w:szCs w:val="24"/>
        </w:rPr>
        <w:t>项目概况：</w:t>
      </w:r>
      <w:r>
        <w:rPr>
          <w:rFonts w:hint="eastAsia" w:hAnsi="宋体" w:cs="Times New Roman"/>
          <w:sz w:val="24"/>
          <w:szCs w:val="24"/>
          <w:lang w:val="en-US" w:eastAsia="zh-CN"/>
        </w:rPr>
        <w:t>重汽（重庆）轻型汽车有限公司位于重庆市江津区双福生产基地在进行生产经营活动中，需对生产经营中的</w:t>
      </w:r>
      <w:r>
        <w:rPr>
          <w:rFonts w:hint="eastAsia" w:hAnsi="宋体"/>
          <w:sz w:val="24"/>
          <w:szCs w:val="24"/>
          <w:lang w:val="en-US" w:eastAsia="zh-CN"/>
        </w:rPr>
        <w:t>废水废气在线监测设备运维</w:t>
      </w:r>
      <w:r>
        <w:rPr>
          <w:rFonts w:hint="eastAsia" w:hAnsi="宋体" w:cs="Times New Roman"/>
          <w:sz w:val="24"/>
          <w:szCs w:val="24"/>
          <w:lang w:val="en-US" w:eastAsia="zh-CN"/>
        </w:rPr>
        <w:t>进行采购。</w:t>
      </w:r>
    </w:p>
    <w:p>
      <w:pPr>
        <w:pStyle w:val="78"/>
        <w:numPr>
          <w:ilvl w:val="0"/>
          <w:numId w:val="9"/>
        </w:numPr>
        <w:adjustRightInd w:val="0"/>
        <w:snapToGrid w:val="0"/>
        <w:rPr>
          <w:rFonts w:hint="eastAsia" w:hAnsi="宋体" w:cs="Times New Roman"/>
          <w:sz w:val="24"/>
          <w:szCs w:val="24"/>
        </w:rPr>
      </w:pPr>
      <w:r>
        <w:rPr>
          <w:rFonts w:hint="eastAsia" w:hAnsi="宋体" w:cs="Times New Roman"/>
          <w:sz w:val="24"/>
          <w:szCs w:val="24"/>
        </w:rPr>
        <w:t>招标内容具体要求详见《技术标书》。</w:t>
      </w:r>
    </w:p>
    <w:p>
      <w:pPr>
        <w:pStyle w:val="78"/>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pPr>
        <w:pStyle w:val="78"/>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35.8</w:t>
      </w:r>
      <w:r>
        <w:rPr>
          <w:rFonts w:hint="eastAsia" w:hAnsi="宋体" w:cs="仿宋_GB2312"/>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cs="仿宋_GB2312"/>
          <w:bCs/>
          <w:color w:val="000000" w:themeColor="text1"/>
          <w:sz w:val="24"/>
          <w:szCs w:val="24"/>
          <w14:textFill>
            <w14:solidFill>
              <w14:schemeClr w14:val="tx1"/>
            </w14:solidFill>
          </w14:textFill>
        </w:rPr>
        <w:t>（未税）</w:t>
      </w:r>
      <w:r>
        <w:rPr>
          <w:rFonts w:hint="eastAsia" w:hAnsi="宋体"/>
          <w:sz w:val="24"/>
          <w:szCs w:val="24"/>
        </w:rPr>
        <w:t>。</w:t>
      </w:r>
    </w:p>
    <w:p>
      <w:pPr>
        <w:pStyle w:val="78"/>
        <w:numPr>
          <w:ilvl w:val="0"/>
          <w:numId w:val="9"/>
        </w:numPr>
        <w:adjustRightInd w:val="0"/>
        <w:snapToGrid w:val="0"/>
        <w:rPr>
          <w:rFonts w:hAnsi="宋体"/>
          <w:sz w:val="24"/>
          <w:szCs w:val="24"/>
        </w:rPr>
      </w:pPr>
      <w:r>
        <w:rPr>
          <w:rFonts w:hint="eastAsia" w:hAnsi="宋体"/>
          <w:sz w:val="24"/>
          <w:szCs w:val="24"/>
        </w:rPr>
        <w:t>合同有效期：两年</w:t>
      </w:r>
    </w:p>
    <w:p>
      <w:pPr>
        <w:pStyle w:val="78"/>
        <w:numPr>
          <w:ilvl w:val="0"/>
          <w:numId w:val="9"/>
        </w:numPr>
        <w:adjustRightInd w:val="0"/>
        <w:snapToGrid w:val="0"/>
        <w:rPr>
          <w:rFonts w:hAnsi="宋体"/>
          <w:sz w:val="24"/>
          <w:szCs w:val="24"/>
        </w:rPr>
      </w:pPr>
      <w:r>
        <w:rPr>
          <w:rFonts w:hAnsi="宋体"/>
          <w:sz w:val="24"/>
          <w:szCs w:val="24"/>
        </w:rPr>
        <w:t>资金来源：企业自筹，已落实。</w:t>
      </w:r>
    </w:p>
    <w:p>
      <w:pPr>
        <w:pStyle w:val="78"/>
        <w:numPr>
          <w:ilvl w:val="0"/>
          <w:numId w:val="9"/>
        </w:numPr>
        <w:adjustRightInd w:val="0"/>
        <w:snapToGrid w:val="0"/>
        <w:rPr>
          <w:rFonts w:hAnsi="宋体"/>
          <w:sz w:val="24"/>
          <w:szCs w:val="24"/>
        </w:rPr>
      </w:pPr>
      <w:r>
        <w:rPr>
          <w:rFonts w:hint="eastAsia" w:hAnsi="宋体"/>
          <w:sz w:val="24"/>
          <w:szCs w:val="24"/>
        </w:rPr>
        <w:t>招标人信息：</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周老师、张义金</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电话：18523358811</w:t>
      </w:r>
      <w:r>
        <w:rPr>
          <w:rFonts w:hint="eastAsia" w:ascii="宋体" w:hAnsi="宋体"/>
          <w:sz w:val="24"/>
          <w:szCs w:val="24"/>
          <w:lang w:eastAsia="zh-CN"/>
        </w:rPr>
        <w:t>、</w:t>
      </w:r>
      <w:r>
        <w:rPr>
          <w:rFonts w:hint="eastAsia" w:ascii="宋体" w:hAnsi="宋体"/>
          <w:sz w:val="24"/>
          <w:szCs w:val="24"/>
        </w:rPr>
        <w:t>13677683722</w:t>
      </w:r>
    </w:p>
    <w:p>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邮箱：zhouying1@sinotruk.com</w:t>
      </w:r>
      <w:r>
        <w:rPr>
          <w:rFonts w:hint="eastAsia" w:ascii="宋体" w:hAnsi="宋体"/>
          <w:sz w:val="24"/>
          <w:szCs w:val="24"/>
          <w:lang w:eastAsia="zh-CN"/>
        </w:rPr>
        <w:t>、</w:t>
      </w:r>
      <w:r>
        <w:rPr>
          <w:rFonts w:hint="eastAsia" w:ascii="宋体" w:hAnsi="宋体"/>
          <w:sz w:val="24"/>
          <w:szCs w:val="24"/>
        </w:rPr>
        <w:t>zhangyijin@sinotruk.com</w:t>
      </w:r>
    </w:p>
    <w:bookmarkEnd w:id="3"/>
    <w:p>
      <w:pPr>
        <w:pStyle w:val="74"/>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1.满足《中华人民共和国政府采购法》第二十二条规定，未被“信用中国”（www.creditchina.gov.cn)、中国政府采购网（www.ccgp.gov.cn）列入失信被执行人、重大税收违法案件当事人名单、政府采购严重违法失信行为记录名单。</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2.具有有效营业执照，注册资本不低于100万元人民币（或等值其他货币）。</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3.</w:t>
      </w:r>
      <w:r>
        <w:rPr>
          <w:rFonts w:hint="eastAsia" w:ascii="宋体" w:hAnsi="宋体" w:eastAsia="宋体" w:cs="Times New Roman"/>
          <w:kern w:val="2"/>
          <w:sz w:val="24"/>
          <w:szCs w:val="24"/>
          <w:lang w:val="en-US" w:eastAsia="zh-CN" w:bidi="ar-SA"/>
        </w:rPr>
        <w:t>满足招标人售后服务要求，处置问题需4小时内到现场处理。</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4.</w:t>
      </w:r>
      <w:r>
        <w:rPr>
          <w:rFonts w:hint="eastAsia" w:ascii="宋体" w:hAnsi="宋体" w:eastAsia="宋体" w:cs="Times New Roman"/>
          <w:kern w:val="2"/>
          <w:sz w:val="24"/>
          <w:szCs w:val="24"/>
          <w:lang w:val="en-US" w:eastAsia="zh-CN" w:bidi="ar-SA"/>
        </w:rPr>
        <w:t>3年内执行废水废气在线监测设备运维项目3个及以上。</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5.</w:t>
      </w:r>
      <w:r>
        <w:rPr>
          <w:rFonts w:hint="eastAsia" w:ascii="宋体" w:hAnsi="宋体" w:eastAsia="宋体" w:cs="Times New Roman"/>
          <w:kern w:val="2"/>
          <w:sz w:val="24"/>
          <w:szCs w:val="24"/>
          <w:lang w:val="en-US" w:eastAsia="zh-CN" w:bidi="ar-SA"/>
        </w:rPr>
        <w:t>具备重庆市环境保护产业协会所颁发的重庆市污染治理设施运行服务能力评价证书自动连续监测（水、气）</w:t>
      </w:r>
      <w:r>
        <w:rPr>
          <w:rFonts w:hint="eastAsia" w:ascii="宋体" w:hAnsi="宋体" w:cs="Times New Roman"/>
          <w:kern w:val="2"/>
          <w:sz w:val="24"/>
          <w:szCs w:val="24"/>
          <w:lang w:val="en-US" w:eastAsia="zh-CN" w:bidi="ar-SA"/>
        </w:rPr>
        <w:t>三</w:t>
      </w:r>
      <w:r>
        <w:rPr>
          <w:rFonts w:hint="eastAsia" w:ascii="宋体" w:hAnsi="宋体" w:eastAsia="宋体" w:cs="Times New Roman"/>
          <w:kern w:val="2"/>
          <w:sz w:val="24"/>
          <w:szCs w:val="24"/>
          <w:lang w:val="en-US" w:eastAsia="zh-CN" w:bidi="ar-SA"/>
        </w:rPr>
        <w:t>级及其以上证书。</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6.</w:t>
      </w:r>
      <w:r>
        <w:rPr>
          <w:rFonts w:hint="eastAsia" w:ascii="宋体" w:hAnsi="宋体" w:eastAsia="宋体" w:cs="Times New Roman"/>
          <w:kern w:val="2"/>
          <w:sz w:val="24"/>
          <w:szCs w:val="24"/>
          <w:lang w:val="en-US" w:eastAsia="zh-CN" w:bidi="ar-SA"/>
        </w:rPr>
        <w:t>运维服务人员持有重庆市环境保护产业协会所颁发的自动连续监测水、气类证书。</w:t>
      </w:r>
    </w:p>
    <w:p>
      <w:pPr>
        <w:pStyle w:val="64"/>
        <w:numPr>
          <w:ilvl w:val="0"/>
          <w:numId w:val="0"/>
        </w:numPr>
        <w:tabs>
          <w:tab w:val="left" w:pos="454"/>
        </w:tabs>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ascii="宋体" w:hAnsi="宋体" w:cs="Times New Roman"/>
          <w:kern w:val="2"/>
          <w:sz w:val="24"/>
          <w:szCs w:val="24"/>
          <w:lang w:val="en-US" w:eastAsia="zh-CN" w:bidi="ar-SA"/>
        </w:rPr>
        <w:t>7.</w:t>
      </w:r>
      <w:r>
        <w:rPr>
          <w:rFonts w:hint="eastAsia" w:ascii="宋体" w:hAnsi="宋体" w:eastAsia="宋体" w:cs="Times New Roman"/>
          <w:kern w:val="2"/>
          <w:sz w:val="24"/>
          <w:szCs w:val="24"/>
          <w:lang w:val="en-US" w:eastAsia="zh-CN" w:bidi="ar-SA"/>
        </w:rPr>
        <w:t>无招标违规、谎报年度报告信息、提供虚假资质资料等行为或其他行政处罚记录。</w:t>
      </w:r>
    </w:p>
    <w:p>
      <w:pPr>
        <w:adjustRightInd w:val="0"/>
        <w:snapToGrid w:val="0"/>
        <w:spacing w:line="360" w:lineRule="auto"/>
        <w:jc w:val="left"/>
        <w:rPr>
          <w:rFonts w:hint="eastAsia" w:ascii="宋体" w:hAnsi="宋体" w:cs="Times New Roman"/>
          <w:sz w:val="24"/>
          <w:szCs w:val="24"/>
          <w:lang w:val="en-US" w:eastAsia="zh-CN"/>
        </w:rPr>
      </w:pPr>
      <w:r>
        <w:rPr>
          <w:rFonts w:hint="eastAsia" w:ascii="宋体" w:hAnsi="宋体" w:cs="Times New Roman"/>
          <w:sz w:val="24"/>
          <w:szCs w:val="24"/>
          <w:lang w:val="en-US" w:eastAsia="zh-CN"/>
        </w:rPr>
        <w:t>8.投标方的直接或间接股东、法定代表人、董事、监事、高管非重汽员工及其亲属。</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9.没有被中国重汽集团列入黑名单。</w:t>
      </w:r>
    </w:p>
    <w:p>
      <w:pPr>
        <w:adjustRightInd w:val="0"/>
        <w:snapToGrid w:val="0"/>
        <w:spacing w:line="360" w:lineRule="auto"/>
        <w:jc w:val="left"/>
        <w:rPr>
          <w:rFonts w:hint="default" w:ascii="宋体" w:hAnsi="宋体" w:cs="Times New Roman"/>
          <w:sz w:val="24"/>
          <w:szCs w:val="24"/>
          <w:lang w:val="en-US" w:eastAsia="zh-CN"/>
        </w:rPr>
      </w:pPr>
      <w:r>
        <w:rPr>
          <w:rFonts w:hint="eastAsia" w:ascii="宋体" w:hAnsi="宋体" w:cs="Times New Roman"/>
          <w:sz w:val="24"/>
          <w:szCs w:val="24"/>
          <w:lang w:val="en-US" w:eastAsia="zh-CN"/>
        </w:rPr>
        <w:t>10.法律法规对合格投标方的其他要求、规定。</w:t>
      </w:r>
    </w:p>
    <w:p>
      <w:pPr>
        <w:adjustRightInd w:val="0"/>
        <w:snapToGrid w:val="0"/>
        <w:spacing w:line="360" w:lineRule="auto"/>
        <w:jc w:val="left"/>
        <w:rPr>
          <w:rFonts w:ascii="宋体" w:hAnsi="宋体"/>
          <w:sz w:val="24"/>
          <w:szCs w:val="24"/>
        </w:rPr>
      </w:pPr>
      <w:r>
        <w:rPr>
          <w:rFonts w:hint="eastAsia" w:ascii="宋体" w:hAnsi="宋体" w:cs="Times New Roman"/>
          <w:sz w:val="24"/>
          <w:szCs w:val="24"/>
          <w:lang w:val="en-US" w:eastAsia="zh-CN"/>
        </w:rPr>
        <w:t>11.不接受联合体投标。</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pPr>
        <w:pStyle w:val="78"/>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4月20</w:t>
      </w:r>
      <w:r>
        <w:rPr>
          <w:rFonts w:hint="eastAsia" w:hAnsi="宋体"/>
          <w:sz w:val="24"/>
          <w:szCs w:val="24"/>
          <w:u w:val="single"/>
        </w:rPr>
        <w:t>日；</w:t>
      </w:r>
    </w:p>
    <w:p>
      <w:pPr>
        <w:pStyle w:val="78"/>
        <w:numPr>
          <w:ilvl w:val="0"/>
          <w:numId w:val="10"/>
        </w:numPr>
        <w:adjustRightInd w:val="0"/>
        <w:snapToGrid w:val="0"/>
        <w:rPr>
          <w:rFonts w:hAnsi="宋体"/>
          <w:sz w:val="24"/>
          <w:szCs w:val="24"/>
        </w:rPr>
      </w:pPr>
      <w:r>
        <w:rPr>
          <w:rFonts w:hint="eastAsia" w:hAnsi="宋体"/>
          <w:sz w:val="24"/>
          <w:szCs w:val="24"/>
        </w:rPr>
        <w:t>投标报名</w:t>
      </w:r>
    </w:p>
    <w:p>
      <w:pPr>
        <w:pStyle w:val="78"/>
        <w:numPr>
          <w:ilvl w:val="0"/>
          <w:numId w:val="11"/>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4</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25</w:t>
      </w:r>
      <w:r>
        <w:rPr>
          <w:rFonts w:hint="eastAsia" w:hAnsi="宋体" w:cs="宋体"/>
          <w:sz w:val="24"/>
          <w:szCs w:val="24"/>
          <w:highlight w:val="none"/>
          <w:u w:val="single"/>
        </w:rPr>
        <w:t>日17:00:00（北京时间）</w:t>
      </w:r>
      <w:r>
        <w:rPr>
          <w:rFonts w:hint="eastAsia" w:hAnsi="宋体"/>
          <w:sz w:val="24"/>
          <w:szCs w:val="24"/>
          <w:u w:val="single"/>
        </w:rPr>
        <w:t>；</w:t>
      </w:r>
    </w:p>
    <w:p>
      <w:pPr>
        <w:pStyle w:val="78"/>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pPr>
        <w:pStyle w:val="78"/>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pPr>
        <w:pStyle w:val="78"/>
        <w:numPr>
          <w:ilvl w:val="0"/>
          <w:numId w:val="10"/>
        </w:numPr>
        <w:adjustRightInd w:val="0"/>
        <w:snapToGrid w:val="0"/>
        <w:rPr>
          <w:rFonts w:hAnsi="宋体"/>
          <w:sz w:val="24"/>
          <w:szCs w:val="24"/>
        </w:rPr>
      </w:pPr>
      <w:r>
        <w:rPr>
          <w:rFonts w:hint="eastAsia" w:hAnsi="宋体"/>
          <w:sz w:val="24"/>
          <w:szCs w:val="24"/>
        </w:rPr>
        <w:t>招标文件获取</w:t>
      </w:r>
    </w:p>
    <w:p>
      <w:pPr>
        <w:pStyle w:val="78"/>
        <w:numPr>
          <w:ilvl w:val="1"/>
          <w:numId w:val="12"/>
        </w:numPr>
        <w:adjustRightInd w:val="0"/>
        <w:snapToGrid w:val="0"/>
        <w:ind w:left="420"/>
        <w:rPr>
          <w:rFonts w:hAnsi="宋体"/>
          <w:sz w:val="24"/>
          <w:szCs w:val="24"/>
        </w:rPr>
      </w:pPr>
      <w:r>
        <w:rPr>
          <w:rFonts w:hint="eastAsia" w:hAnsi="宋体"/>
          <w:sz w:val="24"/>
          <w:szCs w:val="24"/>
        </w:rPr>
        <w:t>获取时间：报名成功后；</w:t>
      </w:r>
    </w:p>
    <w:p>
      <w:pPr>
        <w:pStyle w:val="78"/>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pPr>
        <w:pStyle w:val="78"/>
        <w:numPr>
          <w:ilvl w:val="0"/>
          <w:numId w:val="10"/>
        </w:numPr>
        <w:adjustRightInd w:val="0"/>
        <w:snapToGrid w:val="0"/>
        <w:rPr>
          <w:rFonts w:hAnsi="宋体"/>
          <w:sz w:val="24"/>
          <w:szCs w:val="24"/>
        </w:rPr>
      </w:pPr>
      <w:r>
        <w:rPr>
          <w:rFonts w:hint="eastAsia" w:hAnsi="宋体"/>
          <w:sz w:val="24"/>
          <w:szCs w:val="24"/>
        </w:rPr>
        <w:t>疑问提交</w:t>
      </w:r>
    </w:p>
    <w:p>
      <w:pPr>
        <w:pStyle w:val="78"/>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4</w:t>
      </w:r>
      <w:r>
        <w:rPr>
          <w:rFonts w:hint="eastAsia" w:hAnsi="宋体"/>
          <w:sz w:val="24"/>
          <w:szCs w:val="24"/>
          <w:u w:val="single"/>
        </w:rPr>
        <w:t>月</w:t>
      </w:r>
      <w:r>
        <w:rPr>
          <w:rFonts w:hint="eastAsia" w:hAnsi="宋体"/>
          <w:sz w:val="24"/>
          <w:szCs w:val="24"/>
          <w:u w:val="single"/>
          <w:lang w:val="en-US" w:eastAsia="zh-CN"/>
        </w:rPr>
        <w:t>27</w:t>
      </w:r>
      <w:r>
        <w:rPr>
          <w:rFonts w:hint="eastAsia" w:hAnsi="宋体"/>
          <w:sz w:val="24"/>
          <w:szCs w:val="24"/>
          <w:u w:val="single"/>
        </w:rPr>
        <w:t>日17:00:00（北京时间）；</w:t>
      </w:r>
    </w:p>
    <w:p>
      <w:pPr>
        <w:pStyle w:val="78"/>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pPr>
        <w:pStyle w:val="78"/>
        <w:numPr>
          <w:ilvl w:val="0"/>
          <w:numId w:val="10"/>
        </w:numPr>
        <w:adjustRightInd w:val="0"/>
        <w:snapToGrid w:val="0"/>
        <w:rPr>
          <w:rFonts w:hAnsi="宋体"/>
          <w:sz w:val="24"/>
          <w:szCs w:val="24"/>
        </w:rPr>
      </w:pPr>
      <w:r>
        <w:rPr>
          <w:rFonts w:hint="eastAsia" w:hAnsi="宋体"/>
          <w:sz w:val="24"/>
          <w:szCs w:val="24"/>
        </w:rPr>
        <w:t>答疑、澄清和修改文件的获取</w:t>
      </w:r>
    </w:p>
    <w:p>
      <w:pPr>
        <w:pStyle w:val="78"/>
        <w:numPr>
          <w:ilvl w:val="0"/>
          <w:numId w:val="14"/>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4</w:t>
      </w:r>
      <w:r>
        <w:rPr>
          <w:rFonts w:hint="eastAsia" w:hAnsi="宋体"/>
          <w:sz w:val="24"/>
          <w:szCs w:val="24"/>
          <w:highlight w:val="none"/>
          <w:u w:val="single"/>
        </w:rPr>
        <w:t>月</w:t>
      </w:r>
      <w:r>
        <w:rPr>
          <w:rFonts w:hint="eastAsia" w:hAnsi="宋体"/>
          <w:sz w:val="24"/>
          <w:szCs w:val="24"/>
          <w:highlight w:val="none"/>
          <w:u w:val="single"/>
          <w:lang w:val="en-US" w:eastAsia="zh-CN"/>
        </w:rPr>
        <w:t>28</w:t>
      </w:r>
      <w:r>
        <w:rPr>
          <w:rFonts w:hint="eastAsia" w:hAnsi="宋体"/>
          <w:sz w:val="24"/>
          <w:szCs w:val="24"/>
          <w:highlight w:val="none"/>
          <w:u w:val="single"/>
        </w:rPr>
        <w:t>日17:00前；</w:t>
      </w:r>
    </w:p>
    <w:p>
      <w:pPr>
        <w:pStyle w:val="78"/>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pPr>
        <w:pStyle w:val="78"/>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pPr>
        <w:pStyle w:val="78"/>
        <w:numPr>
          <w:ilvl w:val="0"/>
          <w:numId w:val="16"/>
        </w:numPr>
        <w:adjustRightInd w:val="0"/>
        <w:snapToGrid w:val="0"/>
        <w:rPr>
          <w:rFonts w:hAnsi="宋体"/>
          <w:sz w:val="24"/>
          <w:szCs w:val="24"/>
        </w:rPr>
      </w:pPr>
      <w:r>
        <w:rPr>
          <w:rFonts w:hint="eastAsia" w:hAnsi="宋体" w:cs="黑体"/>
          <w:bCs/>
          <w:sz w:val="24"/>
          <w:szCs w:val="24"/>
        </w:rPr>
        <w:t>资质文件</w:t>
      </w:r>
    </w:p>
    <w:p>
      <w:pPr>
        <w:pStyle w:val="78"/>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pPr>
        <w:pStyle w:val="78"/>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pPr>
        <w:pStyle w:val="78"/>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pPr>
        <w:pStyle w:val="78"/>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pPr>
        <w:pStyle w:val="78"/>
        <w:numPr>
          <w:ilvl w:val="0"/>
          <w:numId w:val="17"/>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pPr>
        <w:pStyle w:val="78"/>
        <w:numPr>
          <w:ilvl w:val="0"/>
          <w:numId w:val="17"/>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pPr>
        <w:pStyle w:val="64"/>
        <w:numPr>
          <w:ilvl w:val="0"/>
          <w:numId w:val="0"/>
        </w:numPr>
        <w:adjustRightInd w:val="0"/>
        <w:snapToGrid w:val="0"/>
        <w:spacing w:line="360" w:lineRule="auto"/>
        <w:ind w:leftChars="0"/>
        <w:jc w:val="left"/>
        <w:rPr>
          <w:rFonts w:hint="eastAsia" w:ascii="宋体" w:hAnsi="宋体" w:eastAsia="宋体" w:cs="Times New Roman"/>
          <w:kern w:val="2"/>
          <w:sz w:val="24"/>
          <w:szCs w:val="24"/>
          <w:lang w:val="en-US" w:eastAsia="zh-CN" w:bidi="ar-SA"/>
        </w:rPr>
      </w:pPr>
      <w:r>
        <w:rPr>
          <w:rFonts w:hint="eastAsia" w:hAnsi="宋体"/>
          <w:sz w:val="24"/>
          <w:szCs w:val="24"/>
        </w:rPr>
        <w:t>投标保证金缴纳凭证，同时正文描述付款账号、户名、开户行名称、开户行行号、保证金金额。</w:t>
      </w:r>
    </w:p>
    <w:p>
      <w:pPr>
        <w:pStyle w:val="78"/>
        <w:numPr>
          <w:ilvl w:val="0"/>
          <w:numId w:val="17"/>
        </w:numPr>
        <w:adjustRightInd w:val="0"/>
        <w:snapToGrid w:val="0"/>
        <w:ind w:left="420" w:leftChars="200"/>
        <w:rPr>
          <w:rFonts w:hAnsi="宋体"/>
          <w:sz w:val="24"/>
          <w:szCs w:val="24"/>
        </w:rPr>
      </w:pPr>
      <w:r>
        <w:rPr>
          <w:rFonts w:hint="eastAsia" w:ascii="宋体" w:hAnsi="宋体" w:eastAsia="宋体" w:cs="Times New Roman"/>
          <w:kern w:val="2"/>
          <w:sz w:val="24"/>
          <w:szCs w:val="24"/>
          <w:lang w:val="en-US" w:eastAsia="zh-CN" w:bidi="ar-SA"/>
        </w:rPr>
        <w:t>重庆市环境保护产业协会所颁发的重庆市污染治理设施运行服务能力评价证书自动连续监测（水、气）</w:t>
      </w:r>
      <w:r>
        <w:rPr>
          <w:rFonts w:hint="eastAsia" w:hAnsi="宋体" w:cs="Times New Roman"/>
          <w:kern w:val="2"/>
          <w:sz w:val="24"/>
          <w:szCs w:val="24"/>
          <w:lang w:val="en-US" w:eastAsia="zh-CN" w:bidi="ar-SA"/>
        </w:rPr>
        <w:t>三</w:t>
      </w:r>
      <w:r>
        <w:rPr>
          <w:rFonts w:hint="eastAsia" w:ascii="宋体" w:hAnsi="宋体" w:eastAsia="宋体" w:cs="Times New Roman"/>
          <w:kern w:val="2"/>
          <w:sz w:val="24"/>
          <w:szCs w:val="24"/>
          <w:lang w:val="en-US" w:eastAsia="zh-CN" w:bidi="ar-SA"/>
        </w:rPr>
        <w:t>级及其以上证书。</w:t>
      </w:r>
    </w:p>
    <w:p>
      <w:pPr>
        <w:pStyle w:val="78"/>
        <w:numPr>
          <w:ilvl w:val="0"/>
          <w:numId w:val="17"/>
        </w:numPr>
        <w:adjustRightInd w:val="0"/>
        <w:snapToGrid w:val="0"/>
        <w:ind w:left="420" w:leftChars="200"/>
        <w:rPr>
          <w:rFonts w:hAnsi="宋体"/>
          <w:sz w:val="24"/>
          <w:szCs w:val="24"/>
        </w:rPr>
      </w:pPr>
      <w:r>
        <w:rPr>
          <w:rFonts w:hint="eastAsia" w:hAnsi="宋体" w:cs="Times New Roman"/>
          <w:kern w:val="2"/>
          <w:sz w:val="24"/>
          <w:szCs w:val="24"/>
          <w:lang w:val="en-US" w:eastAsia="zh-CN" w:bidi="ar-SA"/>
        </w:rPr>
        <w:t>运维</w:t>
      </w:r>
      <w:r>
        <w:rPr>
          <w:rFonts w:hint="eastAsia" w:ascii="宋体" w:hAnsi="宋体" w:eastAsia="宋体" w:cs="Times New Roman"/>
          <w:kern w:val="2"/>
          <w:sz w:val="24"/>
          <w:szCs w:val="24"/>
          <w:lang w:val="en-US" w:eastAsia="zh-CN" w:bidi="ar-SA"/>
        </w:rPr>
        <w:t>服务人员持有重庆市环境保护产业协会所颁发的自动连续监测水、气类证书。</w:t>
      </w:r>
    </w:p>
    <w:p>
      <w:pPr>
        <w:pStyle w:val="78"/>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pPr>
        <w:pStyle w:val="78"/>
        <w:numPr>
          <w:ilvl w:val="0"/>
          <w:numId w:val="16"/>
        </w:numPr>
        <w:adjustRightInd w:val="0"/>
        <w:snapToGrid w:val="0"/>
        <w:rPr>
          <w:rFonts w:hAnsi="宋体" w:cs="黑体"/>
          <w:bCs/>
          <w:sz w:val="24"/>
          <w:szCs w:val="24"/>
        </w:rPr>
      </w:pPr>
      <w:r>
        <w:rPr>
          <w:rFonts w:hint="eastAsia" w:hAnsi="宋体" w:cs="黑体"/>
          <w:bCs/>
          <w:sz w:val="24"/>
          <w:szCs w:val="24"/>
        </w:rPr>
        <w:t>商务标</w:t>
      </w:r>
    </w:p>
    <w:p>
      <w:pPr>
        <w:pStyle w:val="78"/>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pPr>
        <w:pStyle w:val="78"/>
        <w:numPr>
          <w:ilvl w:val="0"/>
          <w:numId w:val="18"/>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pPr>
        <w:pStyle w:val="74"/>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pPr>
        <w:pStyle w:val="78"/>
        <w:numPr>
          <w:ilvl w:val="0"/>
          <w:numId w:val="19"/>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pPr>
        <w:pStyle w:val="78"/>
        <w:numPr>
          <w:ilvl w:val="0"/>
          <w:numId w:val="19"/>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5</w:t>
      </w:r>
      <w:r>
        <w:rPr>
          <w:rFonts w:hint="eastAsia" w:hAnsi="宋体"/>
          <w:sz w:val="24"/>
          <w:szCs w:val="24"/>
          <w:highlight w:val="none"/>
          <w:u w:val="single"/>
        </w:rPr>
        <w:t>月</w:t>
      </w:r>
      <w:r>
        <w:rPr>
          <w:rFonts w:hint="eastAsia" w:hAnsi="宋体"/>
          <w:sz w:val="24"/>
          <w:szCs w:val="24"/>
          <w:highlight w:val="none"/>
          <w:u w:val="single"/>
          <w:lang w:val="en-US" w:eastAsia="zh-CN"/>
        </w:rPr>
        <w:t>6</w:t>
      </w:r>
      <w:r>
        <w:rPr>
          <w:rFonts w:hint="eastAsia" w:hAnsi="宋体"/>
          <w:sz w:val="24"/>
          <w:szCs w:val="24"/>
          <w:highlight w:val="none"/>
          <w:u w:val="single"/>
        </w:rPr>
        <w:t>日1</w:t>
      </w:r>
      <w:r>
        <w:rPr>
          <w:rFonts w:hint="eastAsia" w:hAnsi="宋体"/>
          <w:sz w:val="24"/>
          <w:szCs w:val="24"/>
          <w:highlight w:val="none"/>
          <w:u w:val="single"/>
          <w:lang w:val="en-US" w:eastAsia="zh-CN"/>
        </w:rPr>
        <w:t>2</w:t>
      </w:r>
      <w:r>
        <w:rPr>
          <w:rFonts w:hint="eastAsia" w:hAnsi="宋体"/>
          <w:sz w:val="24"/>
          <w:szCs w:val="24"/>
          <w:highlight w:val="none"/>
          <w:u w:val="single"/>
        </w:rPr>
        <w:t>:00:00（北京时间）</w:t>
      </w:r>
    </w:p>
    <w:p>
      <w:pPr>
        <w:pStyle w:val="74"/>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pPr>
        <w:pStyle w:val="74"/>
        <w:numPr>
          <w:ilvl w:val="0"/>
          <w:numId w:val="20"/>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pPr>
        <w:pStyle w:val="78"/>
        <w:numPr>
          <w:ilvl w:val="0"/>
          <w:numId w:val="21"/>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pPr>
        <w:pStyle w:val="78"/>
        <w:numPr>
          <w:ilvl w:val="0"/>
          <w:numId w:val="20"/>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500</w:t>
      </w:r>
      <w:r>
        <w:rPr>
          <w:rFonts w:hint="eastAsia" w:hAnsi="宋体"/>
          <w:sz w:val="24"/>
          <w:szCs w:val="24"/>
        </w:rPr>
        <w:t>0元</w:t>
      </w:r>
    </w:p>
    <w:p>
      <w:pPr>
        <w:pStyle w:val="78"/>
        <w:adjustRightInd w:val="0"/>
        <w:snapToGrid w:val="0"/>
        <w:ind w:left="420" w:leftChars="200"/>
        <w:rPr>
          <w:rFonts w:hAnsi="宋体"/>
          <w:sz w:val="24"/>
          <w:szCs w:val="24"/>
        </w:rPr>
      </w:pPr>
      <w:r>
        <w:rPr>
          <w:rFonts w:hint="eastAsia" w:hAnsi="宋体"/>
          <w:sz w:val="24"/>
          <w:szCs w:val="24"/>
        </w:rPr>
        <w:t>单位名称：重汽（重庆）轻型汽车有限公司</w:t>
      </w:r>
    </w:p>
    <w:p>
      <w:pPr>
        <w:pStyle w:val="78"/>
        <w:adjustRightInd w:val="0"/>
        <w:snapToGrid w:val="0"/>
        <w:ind w:left="420" w:leftChars="200"/>
        <w:rPr>
          <w:rFonts w:hAnsi="宋体"/>
          <w:sz w:val="24"/>
          <w:szCs w:val="24"/>
        </w:rPr>
      </w:pPr>
      <w:r>
        <w:rPr>
          <w:rFonts w:hint="eastAsia" w:hAnsi="宋体"/>
          <w:sz w:val="24"/>
          <w:szCs w:val="24"/>
        </w:rPr>
        <w:t>收款账号：8112501012801267437</w:t>
      </w:r>
    </w:p>
    <w:p>
      <w:pPr>
        <w:pStyle w:val="78"/>
        <w:adjustRightInd w:val="0"/>
        <w:snapToGrid w:val="0"/>
        <w:ind w:left="420" w:leftChars="200"/>
        <w:rPr>
          <w:rFonts w:hAnsi="宋体"/>
          <w:sz w:val="24"/>
          <w:szCs w:val="24"/>
        </w:rPr>
      </w:pPr>
      <w:r>
        <w:rPr>
          <w:rFonts w:hint="eastAsia" w:hAnsi="宋体"/>
          <w:sz w:val="24"/>
          <w:szCs w:val="24"/>
        </w:rPr>
        <w:t>开户行名称：中信银行济南舜耕支行</w:t>
      </w:r>
    </w:p>
    <w:p>
      <w:pPr>
        <w:pStyle w:val="78"/>
        <w:adjustRightInd w:val="0"/>
        <w:snapToGrid w:val="0"/>
        <w:ind w:left="420" w:leftChars="200"/>
        <w:rPr>
          <w:rFonts w:hAnsi="宋体"/>
          <w:sz w:val="24"/>
          <w:szCs w:val="24"/>
        </w:rPr>
      </w:pPr>
      <w:r>
        <w:rPr>
          <w:rFonts w:hint="eastAsia" w:hAnsi="宋体"/>
          <w:sz w:val="24"/>
          <w:szCs w:val="24"/>
        </w:rPr>
        <w:t>开户行行号：302451037264</w:t>
      </w:r>
    </w:p>
    <w:p>
      <w:pPr>
        <w:pStyle w:val="78"/>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pPr>
        <w:pStyle w:val="78"/>
        <w:numPr>
          <w:ilvl w:val="0"/>
          <w:numId w:val="20"/>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5</w:t>
      </w:r>
      <w:r>
        <w:rPr>
          <w:rFonts w:hint="eastAsia" w:hAnsi="宋体" w:eastAsia="答疑"/>
          <w:sz w:val="24"/>
          <w:szCs w:val="24"/>
          <w:highlight w:val="none"/>
          <w:u w:val="single"/>
        </w:rPr>
        <w:t>月</w:t>
      </w:r>
      <w:r>
        <w:rPr>
          <w:rFonts w:hint="eastAsia" w:hAnsi="宋体"/>
          <w:sz w:val="24"/>
          <w:szCs w:val="24"/>
          <w:highlight w:val="none"/>
          <w:u w:val="single"/>
          <w:lang w:val="en-US" w:eastAsia="zh-CN"/>
        </w:rPr>
        <w:t>6</w:t>
      </w:r>
      <w:r>
        <w:rPr>
          <w:rFonts w:hint="eastAsia" w:hAnsi="宋体" w:eastAsia="答疑"/>
          <w:sz w:val="24"/>
          <w:szCs w:val="24"/>
          <w:highlight w:val="none"/>
          <w:u w:val="single"/>
        </w:rPr>
        <w:t>日1</w:t>
      </w:r>
      <w:r>
        <w:rPr>
          <w:rFonts w:hint="eastAsia" w:hAnsi="宋体" w:eastAsia="宋体"/>
          <w:sz w:val="24"/>
          <w:szCs w:val="24"/>
          <w:highlight w:val="none"/>
          <w:u w:val="single"/>
          <w:lang w:val="en-US" w:eastAsia="zh-CN"/>
        </w:rPr>
        <w:t>2</w:t>
      </w:r>
      <w:r>
        <w:rPr>
          <w:rFonts w:hint="eastAsia" w:hAnsi="宋体" w:eastAsia="答疑"/>
          <w:sz w:val="24"/>
          <w:szCs w:val="24"/>
          <w:highlight w:val="none"/>
          <w:u w:val="single"/>
        </w:rPr>
        <w:t>:00:00（北京时间）</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pPr>
        <w:pStyle w:val="74"/>
        <w:numPr>
          <w:ilvl w:val="0"/>
          <w:numId w:val="20"/>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pPr>
        <w:pStyle w:val="78"/>
        <w:numPr>
          <w:ilvl w:val="0"/>
          <w:numId w:val="22"/>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pPr>
        <w:pStyle w:val="78"/>
        <w:numPr>
          <w:ilvl w:val="0"/>
          <w:numId w:val="22"/>
        </w:numPr>
        <w:adjustRightInd w:val="0"/>
        <w:snapToGrid w:val="0"/>
        <w:rPr>
          <w:rFonts w:hAnsi="宋体"/>
          <w:sz w:val="24"/>
          <w:szCs w:val="24"/>
        </w:rPr>
      </w:pPr>
      <w:r>
        <w:rPr>
          <w:rFonts w:hint="eastAsia" w:hAnsi="宋体"/>
          <w:sz w:val="24"/>
          <w:szCs w:val="24"/>
        </w:rPr>
        <w:t>供应商在响应文件中提供虚假材料的；</w:t>
      </w:r>
    </w:p>
    <w:p>
      <w:pPr>
        <w:pStyle w:val="78"/>
        <w:numPr>
          <w:ilvl w:val="0"/>
          <w:numId w:val="22"/>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pPr>
        <w:pStyle w:val="78"/>
        <w:numPr>
          <w:ilvl w:val="0"/>
          <w:numId w:val="22"/>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pPr>
        <w:pStyle w:val="78"/>
        <w:numPr>
          <w:ilvl w:val="0"/>
          <w:numId w:val="22"/>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pPr>
        <w:pStyle w:val="78"/>
        <w:numPr>
          <w:ilvl w:val="0"/>
          <w:numId w:val="22"/>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pPr>
        <w:pStyle w:val="78"/>
        <w:numPr>
          <w:ilvl w:val="0"/>
          <w:numId w:val="22"/>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pPr>
        <w:pStyle w:val="78"/>
        <w:numPr>
          <w:ilvl w:val="0"/>
          <w:numId w:val="22"/>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pPr>
        <w:pStyle w:val="78"/>
        <w:numPr>
          <w:ilvl w:val="0"/>
          <w:numId w:val="24"/>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5</w:t>
      </w:r>
      <w:r>
        <w:rPr>
          <w:rFonts w:hint="eastAsia" w:hAnsi="宋体" w:cs="宋体"/>
          <w:sz w:val="24"/>
          <w:szCs w:val="24"/>
          <w:highlight w:val="none"/>
        </w:rPr>
        <w:t>月</w:t>
      </w:r>
      <w:r>
        <w:rPr>
          <w:rFonts w:hint="eastAsia" w:hAnsi="宋体" w:cs="宋体"/>
          <w:sz w:val="24"/>
          <w:szCs w:val="24"/>
          <w:highlight w:val="none"/>
          <w:lang w:val="en-US" w:eastAsia="zh-CN"/>
        </w:rPr>
        <w:t>7</w:t>
      </w:r>
      <w:r>
        <w:rPr>
          <w:rFonts w:hint="eastAsia" w:hAnsi="宋体" w:cs="宋体"/>
          <w:sz w:val="24"/>
          <w:szCs w:val="24"/>
          <w:highlight w:val="none"/>
        </w:rPr>
        <w:t>日</w:t>
      </w:r>
      <w:r>
        <w:rPr>
          <w:rFonts w:hint="eastAsia" w:hAnsi="宋体" w:cs="宋体"/>
          <w:sz w:val="24"/>
          <w:szCs w:val="24"/>
          <w:highlight w:val="none"/>
          <w:lang w:val="en-US" w:eastAsia="zh-CN"/>
        </w:rPr>
        <w:t>13</w:t>
      </w:r>
      <w:r>
        <w:rPr>
          <w:rFonts w:hAnsi="宋体" w:cs="宋体"/>
          <w:sz w:val="24"/>
          <w:szCs w:val="24"/>
          <w:highlight w:val="none"/>
        </w:rPr>
        <w:t>:00:00（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pPr>
        <w:pStyle w:val="78"/>
        <w:numPr>
          <w:ilvl w:val="0"/>
          <w:numId w:val="24"/>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pPr>
        <w:pStyle w:val="78"/>
        <w:numPr>
          <w:ilvl w:val="0"/>
          <w:numId w:val="24"/>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pPr>
        <w:pStyle w:val="74"/>
        <w:numPr>
          <w:ilvl w:val="0"/>
          <w:numId w:val="23"/>
        </w:numPr>
        <w:adjustRightInd w:val="0"/>
        <w:snapToGrid w:val="0"/>
        <w:jc w:val="righ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w:t>
      </w:r>
      <w:bookmarkStart w:id="23" w:name="_GoBack"/>
      <w:bookmarkEnd w:id="23"/>
      <w:r>
        <w:rPr>
          <w:rFonts w:hint="eastAsia" w:ascii="宋体" w:hAnsi="宋体" w:eastAsia="宋体" w:cs="宋体"/>
          <w:b w:val="0"/>
          <w:bCs w:val="0"/>
          <w:sz w:val="24"/>
          <w:szCs w:val="24"/>
        </w:rPr>
        <w:t>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2"/>
        <w:tblW w:w="886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3"/>
        <w:gridCol w:w="1098"/>
        <w:gridCol w:w="5422"/>
        <w:gridCol w:w="863"/>
        <w:gridCol w:w="8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评分标准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最高得分</w:t>
            </w:r>
          </w:p>
        </w:tc>
        <w:tc>
          <w:tcPr>
            <w:tcW w:w="85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合计分数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75"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实施方案</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整体方案的策划思路、管理目标、服务措施、机构设置和规章制度、</w:t>
            </w:r>
            <w:r>
              <w:rPr>
                <w:rFonts w:hint="eastAsia" w:ascii="宋体" w:hAnsi="宋体" w:cs="宋体"/>
                <w:kern w:val="2"/>
                <w:sz w:val="24"/>
                <w:szCs w:val="24"/>
                <w:lang w:val="en-US" w:eastAsia="zh-CN" w:bidi="ar-SA"/>
              </w:rPr>
              <w:t>服务</w:t>
            </w:r>
            <w:r>
              <w:rPr>
                <w:rFonts w:hint="eastAsia" w:ascii="宋体" w:hAnsi="宋体" w:eastAsia="宋体" w:cs="宋体"/>
                <w:kern w:val="2"/>
                <w:sz w:val="24"/>
                <w:szCs w:val="24"/>
                <w:lang w:val="en-US" w:eastAsia="zh-CN" w:bidi="ar-SA"/>
              </w:rPr>
              <w:t>人员的管理、及应急处理等各项内容满足服务要求的情况（35分）；</w:t>
            </w:r>
          </w:p>
          <w:p>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2、突发事件应急预案及合理化建议（15分）；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8"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企业综合实力</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numPr>
                <w:ilvl w:val="0"/>
                <w:numId w:val="0"/>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1、企业人员、规模、资质、经营状况、技术力量及设施设备等综合评价（10分）</w:t>
            </w:r>
          </w:p>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获得重庆市环境保护产业协会所颁发的重庆市污染治理设施运行服务能力评价证书自动连续监测（水、气）</w:t>
            </w:r>
            <w:r>
              <w:rPr>
                <w:rFonts w:hint="eastAsia" w:ascii="宋体" w:hAnsi="宋体" w:cs="宋体"/>
                <w:kern w:val="2"/>
                <w:sz w:val="24"/>
                <w:szCs w:val="24"/>
                <w:lang w:val="en-US" w:eastAsia="zh-CN" w:bidi="ar-SA"/>
              </w:rPr>
              <w:t>三</w:t>
            </w:r>
            <w:r>
              <w:rPr>
                <w:rFonts w:hint="eastAsia" w:ascii="宋体" w:hAnsi="宋体" w:eastAsia="宋体" w:cs="宋体"/>
                <w:kern w:val="2"/>
                <w:sz w:val="24"/>
                <w:szCs w:val="24"/>
                <w:lang w:val="en-US" w:eastAsia="zh-CN" w:bidi="ar-SA"/>
              </w:rPr>
              <w:t>级及其以上证书（10分）</w:t>
            </w:r>
          </w:p>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持有上述证书的人员至少3人，提供人员名单及证书复印件（每人2分、满分10分）</w:t>
            </w:r>
          </w:p>
          <w:p>
            <w:pPr>
              <w:widowControl/>
              <w:numPr>
                <w:ilvl w:val="0"/>
                <w:numId w:val="25"/>
              </w:numP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正在服务的3年内同类型项目数量3个及以上，提供有效合同复印件（每个2分，满分10分）</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40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17"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3</w:t>
            </w:r>
          </w:p>
        </w:tc>
        <w:tc>
          <w:tcPr>
            <w:tcW w:w="109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免费增值服务</w:t>
            </w:r>
          </w:p>
        </w:tc>
        <w:tc>
          <w:tcPr>
            <w:tcW w:w="5422" w:type="dxa"/>
            <w:tcBorders>
              <w:top w:val="single" w:color="000000" w:sz="4" w:space="0"/>
              <w:left w:val="single" w:color="000000" w:sz="4" w:space="0"/>
              <w:bottom w:val="single" w:color="000000" w:sz="4" w:space="0"/>
              <w:right w:val="single" w:color="000000" w:sz="4" w:space="0"/>
            </w:tcBorders>
            <w:shd w:val="clear" w:color="auto" w:fill="auto"/>
            <w:vAlign w:val="top"/>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kern w:val="2"/>
                <w:sz w:val="24"/>
                <w:szCs w:val="24"/>
                <w:lang w:val="en-US" w:eastAsia="zh-CN" w:bidi="ar-SA"/>
              </w:rPr>
              <w:t>能够提供额外服务项目、实用，可满足招标人的期望</w:t>
            </w:r>
          </w:p>
        </w:tc>
        <w:tc>
          <w:tcPr>
            <w:tcW w:w="86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54" w:type="dxa"/>
            <w:tcBorders>
              <w:top w:val="single" w:color="000000" w:sz="4" w:space="0"/>
              <w:left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6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left"/>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652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b w:val="0"/>
                <w:bCs w:val="0"/>
                <w:kern w:val="2"/>
                <w:sz w:val="24"/>
                <w:szCs w:val="24"/>
                <w:lang w:val="en-US" w:eastAsia="zh-CN" w:bidi="ar-SA"/>
              </w:rPr>
            </w:pPr>
          </w:p>
        </w:tc>
        <w:tc>
          <w:tcPr>
            <w:tcW w:w="8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rPr>
                <w:rFonts w:hint="eastAsia" w:ascii="宋体" w:hAnsi="宋体" w:eastAsia="宋体" w:cs="宋体"/>
                <w:b w:val="0"/>
                <w:bCs w:val="0"/>
                <w:kern w:val="2"/>
                <w:sz w:val="24"/>
                <w:szCs w:val="24"/>
                <w:lang w:val="en-US" w:eastAsia="zh-CN" w:bidi="ar-SA"/>
              </w:rPr>
            </w:pPr>
          </w:p>
        </w:tc>
      </w:tr>
    </w:tbl>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本次招标本着公平、公正、公开的原则，以合理最低价确定中标人，对未中标单位不做任何解释。</w:t>
      </w:r>
    </w:p>
    <w:p>
      <w:pPr>
        <w:pStyle w:val="74"/>
        <w:numPr>
          <w:ilvl w:val="0"/>
          <w:numId w:val="23"/>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pPr>
        <w:pStyle w:val="78"/>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pPr>
        <w:pStyle w:val="78"/>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pPr>
        <w:pStyle w:val="78"/>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pPr>
        <w:pStyle w:val="78"/>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pPr>
        <w:pStyle w:val="78"/>
        <w:numPr>
          <w:ilvl w:val="1"/>
          <w:numId w:val="28"/>
        </w:numPr>
        <w:adjustRightInd w:val="0"/>
        <w:snapToGrid w:val="0"/>
        <w:rPr>
          <w:rFonts w:hAnsi="宋体"/>
          <w:sz w:val="24"/>
          <w:szCs w:val="24"/>
        </w:rPr>
      </w:pPr>
      <w:r>
        <w:rPr>
          <w:rFonts w:hint="eastAsia" w:hAnsi="宋体"/>
          <w:sz w:val="24"/>
          <w:szCs w:val="24"/>
        </w:rPr>
        <w:t>投标人在报价有效期内撤回投标；</w:t>
      </w:r>
    </w:p>
    <w:p>
      <w:pPr>
        <w:pStyle w:val="78"/>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pPr>
        <w:pStyle w:val="78"/>
        <w:numPr>
          <w:ilvl w:val="1"/>
          <w:numId w:val="28"/>
        </w:numPr>
        <w:adjustRightInd w:val="0"/>
        <w:snapToGrid w:val="0"/>
        <w:rPr>
          <w:rFonts w:hAnsi="宋体"/>
          <w:sz w:val="24"/>
          <w:szCs w:val="24"/>
        </w:rPr>
      </w:pPr>
      <w:r>
        <w:rPr>
          <w:rFonts w:hint="eastAsia" w:hAnsi="宋体"/>
          <w:sz w:val="24"/>
          <w:szCs w:val="24"/>
        </w:rPr>
        <w:t>投标人以任何方式诋毁其他投标人；</w:t>
      </w:r>
    </w:p>
    <w:p>
      <w:pPr>
        <w:pStyle w:val="78"/>
        <w:numPr>
          <w:ilvl w:val="1"/>
          <w:numId w:val="28"/>
        </w:numPr>
        <w:adjustRightInd w:val="0"/>
        <w:snapToGrid w:val="0"/>
        <w:rPr>
          <w:rFonts w:hAnsi="宋体"/>
          <w:sz w:val="24"/>
          <w:szCs w:val="24"/>
        </w:rPr>
      </w:pPr>
      <w:r>
        <w:rPr>
          <w:rFonts w:hint="eastAsia" w:hAnsi="宋体"/>
          <w:sz w:val="24"/>
          <w:szCs w:val="24"/>
        </w:rPr>
        <w:t>投标人串通投标；</w:t>
      </w:r>
    </w:p>
    <w:p>
      <w:pPr>
        <w:pStyle w:val="78"/>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pPr>
        <w:pStyle w:val="78"/>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pPr>
        <w:pStyle w:val="78"/>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pPr>
        <w:pStyle w:val="78"/>
        <w:numPr>
          <w:ilvl w:val="1"/>
          <w:numId w:val="28"/>
        </w:numPr>
        <w:adjustRightInd w:val="0"/>
        <w:snapToGrid w:val="0"/>
        <w:rPr>
          <w:rFonts w:hAnsi="宋体"/>
          <w:sz w:val="24"/>
          <w:szCs w:val="24"/>
        </w:rPr>
      </w:pPr>
      <w:r>
        <w:rPr>
          <w:rFonts w:hint="eastAsia" w:hAnsi="宋体"/>
          <w:sz w:val="24"/>
          <w:szCs w:val="24"/>
        </w:rPr>
        <w:t>有效投标不足三家；</w:t>
      </w:r>
    </w:p>
    <w:p>
      <w:pPr>
        <w:pStyle w:val="78"/>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pPr>
        <w:pStyle w:val="78"/>
        <w:numPr>
          <w:ilvl w:val="1"/>
          <w:numId w:val="28"/>
        </w:numPr>
        <w:adjustRightInd w:val="0"/>
        <w:snapToGrid w:val="0"/>
        <w:rPr>
          <w:rFonts w:hAnsi="宋体"/>
          <w:sz w:val="24"/>
          <w:szCs w:val="24"/>
        </w:rPr>
      </w:pPr>
      <w:r>
        <w:rPr>
          <w:rFonts w:hint="eastAsia" w:hAnsi="宋体"/>
          <w:sz w:val="24"/>
          <w:szCs w:val="24"/>
        </w:rPr>
        <w:t>投标人报价均超过最高限价的；</w:t>
      </w:r>
    </w:p>
    <w:p>
      <w:pPr>
        <w:pStyle w:val="78"/>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pPr>
        <w:pStyle w:val="78"/>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pPr>
        <w:pStyle w:val="78"/>
        <w:numPr>
          <w:ilvl w:val="1"/>
          <w:numId w:val="28"/>
        </w:numPr>
        <w:adjustRightInd w:val="0"/>
        <w:snapToGrid w:val="0"/>
        <w:rPr>
          <w:rFonts w:hAnsi="宋体"/>
          <w:sz w:val="24"/>
          <w:szCs w:val="24"/>
        </w:rPr>
      </w:pPr>
      <w:r>
        <w:rPr>
          <w:rFonts w:hint="eastAsia" w:hAnsi="宋体"/>
          <w:sz w:val="24"/>
          <w:szCs w:val="24"/>
        </w:rPr>
        <w:t>法律、法规规定的其他情况。</w:t>
      </w:r>
    </w:p>
    <w:p>
      <w:pPr>
        <w:pStyle w:val="74"/>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9"/>
      <w:bookmarkStart w:id="7" w:name="OLE_LINK27"/>
      <w:bookmarkStart w:id="8" w:name="OLE_LINK28"/>
      <w:bookmarkStart w:id="9" w:name="OLE_LINK26"/>
      <w:bookmarkStart w:id="10" w:name="OLE_LINK25"/>
      <w:r>
        <w:rPr>
          <w:rFonts w:hint="eastAsia" w:ascii="宋体" w:hAnsi="宋体" w:cs="宋体"/>
          <w:sz w:val="24"/>
          <w:szCs w:val="24"/>
        </w:rPr>
        <w:t>；</w:t>
      </w:r>
      <w:bookmarkEnd w:id="6"/>
      <w:bookmarkEnd w:id="7"/>
      <w:bookmarkEnd w:id="8"/>
      <w:bookmarkEnd w:id="9"/>
      <w:bookmarkEnd w:id="10"/>
    </w:p>
    <w:p>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pPr>
        <w:pStyle w:val="74"/>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pPr>
        <w:pStyle w:val="74"/>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pPr>
        <w:pStyle w:val="78"/>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ascii="宋体" w:hAnsi="宋体" w:eastAsia="宋体" w:cs="Times New Roman"/>
          <w:sz w:val="24"/>
          <w:szCs w:val="24"/>
          <w:lang w:val="en-US"/>
        </w:rPr>
        <w:t>半年期商业汇票（包括银行承兑汇票和商业承兑汇票）</w:t>
      </w:r>
      <w:r>
        <w:rPr>
          <w:rFonts w:hint="eastAsia" w:ascii="宋体" w:hAnsi="宋体" w:eastAsia="宋体" w:cs="Times New Roman"/>
          <w:sz w:val="24"/>
          <w:szCs w:val="24"/>
        </w:rPr>
        <w:t>；</w:t>
      </w:r>
    </w:p>
    <w:p>
      <w:pPr>
        <w:pStyle w:val="64"/>
        <w:numPr>
          <w:ilvl w:val="0"/>
          <w:numId w:val="32"/>
        </w:numPr>
        <w:adjustRightInd w:val="0"/>
        <w:snapToGrid w:val="0"/>
        <w:spacing w:line="360" w:lineRule="auto"/>
        <w:ind w:firstLineChars="0"/>
        <w:rPr>
          <w:rFonts w:hint="eastAsia" w:ascii="宋体" w:hAnsi="宋体" w:eastAsia="宋体" w:cs="Times New Roman"/>
          <w:sz w:val="24"/>
          <w:szCs w:val="24"/>
        </w:rPr>
      </w:pPr>
      <w:r>
        <w:rPr>
          <w:rFonts w:hint="eastAsia" w:hAnsi="宋体"/>
          <w:sz w:val="24"/>
          <w:szCs w:val="24"/>
        </w:rPr>
        <w:t>付款节</w:t>
      </w:r>
      <w:r>
        <w:rPr>
          <w:rFonts w:hint="eastAsia" w:ascii="宋体" w:hAnsi="宋体" w:eastAsia="宋体" w:cs="Times New Roman"/>
          <w:sz w:val="24"/>
          <w:szCs w:val="24"/>
        </w:rPr>
        <w:t>点：</w:t>
      </w:r>
      <w:r>
        <w:rPr>
          <w:rFonts w:hint="eastAsia" w:ascii="宋体" w:hAnsi="宋体" w:eastAsia="宋体" w:cs="Times New Roman"/>
          <w:sz w:val="24"/>
          <w:szCs w:val="24"/>
          <w:lang w:val="en-US"/>
        </w:rPr>
        <w:t>每季度结算一次，每季度</w:t>
      </w:r>
      <w:r>
        <w:rPr>
          <w:rFonts w:hint="eastAsia" w:ascii="宋体" w:hAnsi="宋体" w:eastAsia="宋体" w:cs="Times New Roman"/>
          <w:sz w:val="24"/>
          <w:szCs w:val="24"/>
          <w:lang w:val="en-US" w:eastAsia="zh-CN"/>
        </w:rPr>
        <w:t>废水废气在线监测设备运维</w:t>
      </w:r>
      <w:r>
        <w:rPr>
          <w:rFonts w:hint="eastAsia" w:ascii="宋体" w:hAnsi="宋体" w:eastAsia="宋体" w:cs="Times New Roman"/>
          <w:sz w:val="24"/>
          <w:szCs w:val="24"/>
          <w:lang w:val="en-US"/>
        </w:rPr>
        <w:t>工作结束后，招标人次月组织验收，验收合格后通知中标方</w:t>
      </w:r>
      <w:r>
        <w:rPr>
          <w:rFonts w:hint="eastAsia" w:hAnsi="宋体" w:cs="Times New Roman"/>
          <w:sz w:val="24"/>
          <w:szCs w:val="24"/>
          <w:lang w:val="en-US" w:eastAsia="zh-CN"/>
        </w:rPr>
        <w:t>按照运维年度金额的25%开具</w:t>
      </w:r>
      <w:r>
        <w:rPr>
          <w:rFonts w:hint="eastAsia" w:ascii="宋体" w:hAnsi="宋体" w:eastAsia="宋体" w:cs="Times New Roman"/>
          <w:sz w:val="24"/>
          <w:szCs w:val="24"/>
          <w:lang w:val="en-US"/>
        </w:rPr>
        <w:t>有效增值税发票到招标人财务挂账，挂账后次月付款。</w:t>
      </w:r>
    </w:p>
    <w:p>
      <w:pPr>
        <w:pStyle w:val="78"/>
        <w:adjustRightInd w:val="0"/>
        <w:snapToGrid w:val="0"/>
        <w:rPr>
          <w:rFonts w:hAnsi="宋体"/>
          <w:b/>
          <w:bCs/>
          <w:sz w:val="24"/>
          <w:szCs w:val="24"/>
        </w:rPr>
      </w:pPr>
      <w:r>
        <w:rPr>
          <w:rFonts w:hint="eastAsia" w:hAnsi="宋体"/>
          <w:b/>
          <w:bCs/>
          <w:sz w:val="24"/>
          <w:szCs w:val="24"/>
        </w:rPr>
        <w:t>付款方式及节点不允许偏离。</w:t>
      </w:r>
    </w:p>
    <w:p>
      <w:pPr>
        <w:pStyle w:val="74"/>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pPr>
        <w:pStyle w:val="73"/>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pPr>
        <w:adjustRightInd w:val="0"/>
        <w:snapToGrid w:val="0"/>
        <w:spacing w:line="360" w:lineRule="auto"/>
        <w:jc w:val="center"/>
        <w:rPr>
          <w:rFonts w:hint="eastAsia" w:asciiTheme="minorEastAsia" w:hAnsiTheme="minorEastAsia" w:eastAsiaTheme="minorEastAsia" w:cstheme="minorEastAsia"/>
          <w:b/>
          <w:i w:val="0"/>
          <w:iCs w:val="0"/>
          <w:sz w:val="24"/>
          <w:szCs w:val="24"/>
        </w:rPr>
      </w:pPr>
      <w:r>
        <w:rPr>
          <w:rFonts w:hint="eastAsia" w:ascii="宋体" w:hAnsi="宋体" w:eastAsia="宋体" w:cs="Times New Roman"/>
          <w:sz w:val="24"/>
          <w:szCs w:val="24"/>
          <w:lang w:val="en-US" w:eastAsia="zh-CN"/>
        </w:rPr>
        <w:t>废水废气在线监测设备运维</w:t>
      </w:r>
      <w:r>
        <w:rPr>
          <w:rFonts w:hint="eastAsia" w:ascii="宋体" w:hAnsi="宋体" w:eastAsia="宋体" w:cs="Times New Roman"/>
          <w:sz w:val="24"/>
          <w:szCs w:val="24"/>
        </w:rPr>
        <w:t>技</w:t>
      </w:r>
      <w:r>
        <w:rPr>
          <w:rFonts w:hint="eastAsia" w:ascii="宋体" w:hAnsi="宋体"/>
          <w:sz w:val="24"/>
          <w:szCs w:val="24"/>
        </w:rPr>
        <w:t>术要求</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一、项目概述</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本项目为重汽（重庆）轻型汽车有限公司（以下简称甲方）废水废气在线监测设备运维，供应商（以下简称乙方）负责为甲方提供满足环保要求的高质量运维服务，现对项目做出如下技术要求。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1.1、项目名称及地点</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项目名称：废水废气在线监测设备运维项目</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项目地点：甲方厂区污水处理站、涂装车间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1.2、项目内容</w:t>
      </w:r>
    </w:p>
    <w:p>
      <w:pPr>
        <w:numPr>
          <w:ilvl w:val="0"/>
          <w:numId w:val="0"/>
        </w:numPr>
        <w:adjustRightInd w:val="0"/>
        <w:snapToGrid w:val="0"/>
        <w:spacing w:line="360" w:lineRule="auto"/>
        <w:ind w:leftChars="0"/>
        <w:jc w:val="both"/>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在线监测设备运维明细</w:t>
      </w:r>
    </w:p>
    <w:tbl>
      <w:tblPr>
        <w:tblStyle w:val="32"/>
        <w:tblW w:w="996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40"/>
        <w:gridCol w:w="3247"/>
        <w:gridCol w:w="2220"/>
        <w:gridCol w:w="845"/>
        <w:gridCol w:w="845"/>
        <w:gridCol w:w="196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196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污水处理站在线监测设备运维服务设备明细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tblHeader/>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序号</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名称</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规格型号</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单位</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数量</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设备生产厂家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水质自动采样器</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DR-803</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德润厚天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超声波明渠流量计</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WL-1A1</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北京九波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超声波明渠流量计</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WL-1A2</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北京九波</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PH计</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PC-1000</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科泽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氨氮在线监测仪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HTC-C NH3-N</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合泰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6</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磷酸盐在线监测仪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HTC-C PO4-P</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合泰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7</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COD在线监测仪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HTC-C CODcr</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合泰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8</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总镍在线监测仪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MDET-5000TNI</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泽天</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9</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数据采集传输仪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K37A</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博控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10</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采水单元（泵及管路）</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11</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CODCr全自动在线分析仪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GN CODCr03</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台</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南京港能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1965"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VOC废气在线监测设备运维服务设备明细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数据采集仪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K37A</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博控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湿度测量仪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RHD-400</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南江康测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小型空压机</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2*750-50L</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奥突斯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温压流监测仪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TPF-400</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南江康测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5</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非甲烷总烃分析仪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GCOM-3000-NMHC</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泽天春来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8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6</w:t>
            </w:r>
          </w:p>
        </w:tc>
        <w:tc>
          <w:tcPr>
            <w:tcW w:w="324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氧气测量仪</w:t>
            </w:r>
          </w:p>
        </w:tc>
        <w:tc>
          <w:tcPr>
            <w:tcW w:w="22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C2-PC181-1</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套</w:t>
            </w:r>
          </w:p>
        </w:tc>
        <w:tc>
          <w:tcPr>
            <w:tcW w:w="8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w:t>
            </w:r>
          </w:p>
        </w:tc>
        <w:tc>
          <w:tcPr>
            <w:tcW w:w="196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numPr>
                <w:ilvl w:val="0"/>
                <w:numId w:val="0"/>
              </w:numPr>
              <w:adjustRightInd w:val="0"/>
              <w:snapToGrid w:val="0"/>
              <w:spacing w:line="360" w:lineRule="auto"/>
              <w:ind w:leftChars="0"/>
              <w:jc w:val="center"/>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w:t>
            </w:r>
          </w:p>
        </w:tc>
      </w:tr>
    </w:tbl>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1.3、废水适用标准规范：下列文件中的条文，通过引用而成为本标准的条文。如下列标准被修订，其最新版本适用于本标准。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1.3.1、HJ 355水污染源在线监测系统（CODCr、NH3-N 等）运行技术规范</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1.3.2、HJ356水污染源在线监测系统（CODCr、NH3-N 等）数据有效性判别技术规范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1.3.3、HJ/GB9-2005  国家污染源排放废水连续在线监测技术规范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1.3.4、HJ/T 104-2003</w:t>
      </w:r>
      <w:r>
        <w:rPr>
          <w:rFonts w:hint="eastAsia" w:ascii="宋体" w:hAnsi="宋体" w:eastAsia="宋体" w:cs="宋体"/>
          <w:bCs/>
          <w:sz w:val="24"/>
          <w:szCs w:val="24"/>
          <w:lang w:val="en-US" w:eastAsia="zh-CN"/>
        </w:rPr>
        <w:tab/>
      </w:r>
      <w:r>
        <w:rPr>
          <w:rFonts w:hint="eastAsia" w:ascii="宋体" w:hAnsi="宋体" w:eastAsia="宋体" w:cs="宋体"/>
          <w:bCs/>
          <w:sz w:val="24"/>
          <w:szCs w:val="24"/>
          <w:lang w:val="en-US" w:eastAsia="zh-CN"/>
        </w:rPr>
        <w:t>水质自动分析仪技术要求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1.3.5、HJ/T 92-2002</w:t>
      </w:r>
      <w:r>
        <w:rPr>
          <w:rFonts w:hint="eastAsia" w:ascii="宋体" w:hAnsi="宋体" w:eastAsia="宋体" w:cs="宋体"/>
          <w:bCs/>
          <w:sz w:val="24"/>
          <w:szCs w:val="24"/>
          <w:lang w:val="en-US" w:eastAsia="zh-CN"/>
        </w:rPr>
        <w:tab/>
      </w:r>
      <w:r>
        <w:rPr>
          <w:rFonts w:hint="eastAsia" w:ascii="宋体" w:hAnsi="宋体" w:eastAsia="宋体" w:cs="宋体"/>
          <w:bCs/>
          <w:sz w:val="24"/>
          <w:szCs w:val="24"/>
          <w:lang w:val="en-US" w:eastAsia="zh-CN"/>
        </w:rPr>
        <w:t>污染物排放总量监测技术规范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1.3.6、HBC6-2001 连续在线监测仪器环境保护产品认定技术要求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1.3.7、《水污染物排放总量监测技术规范》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1.3.8、《水和废水监测分析方法》（第四版）</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1.3.9、《环境水质监测质量保证手册》</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1.3.10、《水质采样方案设计技术规定》（HJ 495-2009）</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1.3.11、传输有效率计算规则(V1.2)</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1.3.12、重庆市污染源自动监控管理办法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1.3.13、重庆市固定污染源视频监控建设技术要求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1.3.14、G/BD1401025 A0版《废水、废气、噪音环境保护管理办法》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1.4、废气适用标准规范：下列文件中的条文，通过引用而成为本标准的条文。如下列标准被修订，其最新版本适用于本标准。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1.4.1、GB 4208外壳防护等级</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1.4.2、GB 50057建筑物防雷设计规范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1.4.3、GB 50093自动化仪表工程施工及质量验收规范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1.4.4、GB 50168 电气装置安装工程电缆线路施工及验收规范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1.4.5、GBIT 16157 固定污染源排气中颗粒物测定与气态污染物采样方法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1.4.6、HJ76 固定污染源烟气(SO2、NOx、颗粒物)排放连续监测系统技术要求及检测方法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1.4.7、HJ/T 212污染源在线自动监控(监测)系统数据传输标准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1.4.8 HJ447 污染源在线自动监控（监测）数据采集传输仪技术要求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1.4.9、HJ/T 397固定源废气监测技术规范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1.4.10、HJ1286 固定污染源废气 非甲烷总烃连续监测技术规范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1.4.11、重庆市污染源自动监控管理办法</w:t>
      </w:r>
      <w:bookmarkStart w:id="13" w:name="OLE_LINK1"/>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1.4.12、重庆市固定污染源视频监控建设技术要求</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1.4.13、G/BD1401025 A0版《废水、废气、噪音环境保护管理办法》</w:t>
      </w:r>
      <w:bookmarkEnd w:id="13"/>
    </w:p>
    <w:p>
      <w:pPr>
        <w:numPr>
          <w:ilvl w:val="0"/>
          <w:numId w:val="0"/>
        </w:numPr>
        <w:adjustRightInd w:val="0"/>
        <w:snapToGrid w:val="0"/>
        <w:spacing w:line="360" w:lineRule="auto"/>
        <w:ind w:leftChars="0"/>
        <w:jc w:val="left"/>
        <w:rPr>
          <w:rFonts w:hint="default" w:ascii="宋体" w:hAnsi="宋体" w:eastAsia="宋体" w:cs="宋体"/>
          <w:bCs/>
          <w:sz w:val="24"/>
          <w:szCs w:val="24"/>
          <w:highlight w:val="yellow"/>
          <w:lang w:val="en-US" w:eastAsia="zh-CN"/>
        </w:rPr>
      </w:pPr>
      <w:r>
        <w:rPr>
          <w:rFonts w:hint="eastAsia" w:ascii="宋体" w:hAnsi="宋体" w:eastAsia="宋体" w:cs="宋体"/>
          <w:bCs/>
          <w:sz w:val="24"/>
          <w:szCs w:val="24"/>
          <w:lang w:val="en-US" w:eastAsia="zh-CN"/>
        </w:rPr>
        <w:t>1.5、废水废气运维服务时间：</w:t>
      </w:r>
      <w:r>
        <w:rPr>
          <w:rFonts w:hint="eastAsia" w:ascii="宋体" w:hAnsi="宋体" w:eastAsia="宋体" w:cs="宋体"/>
          <w:bCs/>
          <w:sz w:val="24"/>
          <w:szCs w:val="24"/>
          <w:highlight w:val="yellow"/>
          <w:lang w:val="en-US" w:eastAsia="zh-CN"/>
        </w:rPr>
        <w:t>合同有效期两年。</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二 、在线监测设备运维服务内容（污水处理站在线监测设备）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2.1、运行与日常维护。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2.1.1、负责按最新环保规范对本项目所包含的废水在线监测设备开展运维工作。</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2.1.2、保证日常自动校准核查在量程内。</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2.2、包括但不限于以下工作内容：</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2.2.1、检查站内在线监测设备及辅助设备的运行状态确保正常和主要技术参数设置确保合理。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2.2.2、检查并确保采样泵取水正常，检查内部管路确保畅通，仪器自动清洗装置确保运行正常，检查在线监测设备进样水管和排水管确保清洁，定期清洗或更换过滤网。并做好维护保养记录。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2.2.3、检查站房内电路系统、通讯系统确保正常。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2.2.4、检查仪器标准溶液和试剂确保在有效使用期内，并评估要求剩余使用时间，提前做好药品试剂准备工作，并按相关要求定期更换标准溶液和分析试剂。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2.2.5、观察数据采集传输仪运行情况，并检查连接处有无损坏，对数据进行抽样检查，对比在线监测设备、数据采集传输仪及上位机接收到的数据确保一致。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2.2.6、检查在线监测仪设备试管，定期进行清洗或更换，确保无污染，并做好维护保养记录。</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2.2.7、超声波明渠流量计：检查流量计液位传感器高度确保正常，检查超声波探头与水面之间确保无干扰测量的物体，对堰体内影响流量计测定的干扰物进行清理。</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2.2.8、所有试剂按规范分类放置，过期药品及时清理。</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2.3、其他预防性维护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2.3.1、保持站房内和设备清洁，避免仪器振动，保证监测站房内的温度、湿度满足仪器正常运行的需求。</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2.3.2、保持各仪器管路畅通，出水正常，无漏液。</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2.3.3、未提及的维护内容，按相关仪器说明书的要求进行仪器维护保养、易耗品的定期更换工作。</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2.4、运维人员在对系统进行日常维护时，应作好环保所要求的各种记录文件，且文件内容填写准确无误，以备环保部门检查。如因记录不完善造成环保处罚，由乙方负责所有的经济损失。</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2.5、当甲方当日收到生态环境局所发布的数据传输不足、异常、超标排放、连续相等等报警信息，乙方应立即查明原因，并于2小时内以书面形式加盖公章向甲方进行报告。</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2.6、校验，每月至少进行一次实际水样比对试验和质控样试验，进行一次现场校验，自动校准或手工校准。实际水样比对试验结果应满足规定的性能指标要求，质控样测定的相对误差不大于标准值的±10%，实际水样比对试验或校验的结果不满足规定的性能指标要求时，应立即重新进行第2次比对试验或校验，连续三次结果不符合要求，应由乙方手工方法检测并出具报告（加盖公章），在排水期间，每6个小时提供一次。每季度进行重复性、零点漂移和量程漂移试验。</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2.7、废液处置，在运维过程中产生的相关废液，由乙方提供装具进行暂存，做好相关台账，甲方处置。</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三、在线监测设备服务内容（VOC废气自动监测设备）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本项目对涂装车间喷涂废气（DA006）的非甲烷总烃、流速或流量、温度、压力、含湿量、氧含量等指标的在线监测监控设施设备进行运维，确保公司废气在线监测设施设备合规正常运行，数据及时上传。</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3.1、烟气监测系统</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3.1.1、探头滤芯、采样管、伴热管确保通畅；采样电磁阀、气源确保正常。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3.1.2、采样泵、过滤器、采样流量确保正常。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3.2、流速监测系统</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3.2.1、检查软管、过滤器、控制阀等部件确保正常。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3.2.2、监测流速值确保正常。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3.3、烟气监测参数</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3.3.1、监测流速值确保正常。</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3.3.2、监测非甲烷总烃值确保如实、正确。</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3.3.3、温度测量值确保正常。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3.3.4、湿度测量值确保正常。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3.3.5、压力测量值确保正常。</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3.3.6、氧含量测量值确保正常。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3.3.7、设备检测项目及设置量程</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0"/>
        <w:gridCol w:w="1420"/>
        <w:gridCol w:w="1896"/>
        <w:gridCol w:w="1420"/>
        <w:gridCol w:w="23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监测项目</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仪器品牌</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型号</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设置量程</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仪器输出信号类型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温度</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TPF-400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0-400℃</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压力</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TPF-400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-5-+5KPa</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流速</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TPF-400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0-40m/s</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湿度</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康测</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RHD-400</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0-40%v/v</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非甲烷总烃</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泽天春来</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GCOM-3000-NMHC</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0-200mg/m3</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氧含量</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w:t>
            </w:r>
          </w:p>
        </w:tc>
        <w:tc>
          <w:tcPr>
            <w:tcW w:w="142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0～25%</w:t>
            </w:r>
          </w:p>
        </w:tc>
        <w:tc>
          <w:tcPr>
            <w:tcW w:w="2370" w:type="dxa"/>
          </w:tcPr>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jc w:val="center"/>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RS485</w:t>
            </w:r>
          </w:p>
        </w:tc>
      </w:tr>
    </w:tbl>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3.4、数据采集装置</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3.4.1、各通讯线的连接确保无松动。</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3.4.2、清洁、维护、维修和更换取样头等设施，确保气体管道畅通，防止气路堵塞和泄漏，确保气体预处理系统过滤、排水等设施的正常运行。</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3.4.3、在线监测装置：在环保局各项技术规范要求的基础上，对温度流量检测仪、博控K37A等设备进行VOCs在线监测设备的日常维护、保养、校准和维修。</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3.5、监测仪器的校准：按照规范进行校准、核查。非甲烷总烃系统（包括氧含量）每周校准一次，流速系统每月校准一次，检测零点、量程、线性误差和响应时间等，使零点气体与标准气体和样气(如取样探头、过滤器和伴热管)的路径一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3.6、其他辅助设备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3.6.1、空气压缩系统确保正常。</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3.6.2、分水器、储气装置中的水确保正常。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3.6.3、室内的温度、湿度确保正常。</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3.6.4、分析站房的门窗确保密封。</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3.6.5、站房的清洁卫生。</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bookmarkStart w:id="14" w:name="_Toc108075954"/>
      <w:r>
        <w:rPr>
          <w:rFonts w:hint="eastAsia" w:ascii="宋体" w:hAnsi="宋体" w:eastAsia="宋体" w:cs="宋体"/>
          <w:bCs/>
          <w:sz w:val="24"/>
          <w:szCs w:val="24"/>
          <w:lang w:val="en-US" w:eastAsia="zh-CN"/>
        </w:rPr>
        <w:t>3.7、</w:t>
      </w:r>
      <w:bookmarkEnd w:id="14"/>
      <w:r>
        <w:rPr>
          <w:rFonts w:hint="eastAsia" w:ascii="宋体" w:hAnsi="宋体" w:eastAsia="宋体" w:cs="宋体"/>
          <w:bCs/>
          <w:sz w:val="24"/>
          <w:szCs w:val="24"/>
          <w:lang w:val="en-US" w:eastAsia="zh-CN"/>
        </w:rPr>
        <w:t>负责按最新环保规范对本项目所包含的废气在线监测设备开展运维工作。</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四、甲乙双方责任：</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4.1、甲方责任：</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4.1.1、甲方负责提供符合在线监测设备运行所要求的现场条件：独立规范的设备站房，安全稳定的电源，能正常运行的冷暖空调，便利的供水，安全有效的防雷设施等。若遇停水、停电、检修、停产及复产等影响设备正常运行和数据传输的情况时，应以书面（传真或扫描件）形式通知乙方，并上报环保主管部门，以便乙方做相应的调整。</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4.1.2、甲方根据自身现场安全管理要求，应向乙方在线监测运行为人员提供安全的作业环境。</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4.1.3、应保证在线监测设施的安全（防火、防盗、防破坏等）。</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4.1.4、明确告知乙方及当地环保部门，企业在线监测点联络人和联系电话。并签字确认现场维护内容。</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4.1.5、负责在线监测设施网络正常运行。</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4.2、乙方责任（污水处理站在线监测设备）</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4.2.1、乙方接收站点后对运维设备进行运行维护,维护操作规程、监督栏、运维人员和单位资质、审核合格标识等上墙,现场做到“工完、料净、场地清”。</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4.2.2、确保运行维护站点的在线监测设备上传的在线数据稳定、真实有效、准确、可靠。</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4.2.3、有向上级环保管理部门如实汇报在线监测设备状况的权利。</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4.2.4、遵守甲方作业现场安全环保相关管理制度。</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4.2.5、在确认在线设备岀现故障且无法恢复的情况下,2小时内应书面通知甲方，并在72小时内安装替换备用设备（并及时提交相关资料配合甲方到环保相关部门进行备案），数采仪更换替换设备时间是24h内，如造成甲方经济考核，乙方应承担全部责任。</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4.2.6、应当根据甲方提供在线监测设备厂家、安装时间和竣工验收资料等建立运行维护台账。</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4.2.7、乙方现场运维期间，甲方须派人现场配合，运维情况须经双方签字确认。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4.2.8、经验收合格的在线监测设备,任何实质性改动(拆除、闲置、更换、参数修改等)经甲方同意后，乙方必须及时提供备案相关材料，并配合甲方完成备案，或当地环保部门同意后方可实施。</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4.2.9、运维期间，服务范围内所有设备维护保养及故障维修所产生的一切费用均由乙方负责。（因环保要求所产生的设备升级、改造费用除外）。</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4.2.10、江津区生态环境局和重庆市环保局对我司在线监测设备运维情况进行检查，乙方应安排人员到现场进行陪同检查，并对要求整改的项目积极配合整改。</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4.2.11、乙方应安排人员到现场配合进行月度比对。</w:t>
      </w:r>
    </w:p>
    <w:p>
      <w:pPr>
        <w:numPr>
          <w:ilvl w:val="0"/>
          <w:numId w:val="0"/>
        </w:numPr>
        <w:adjustRightInd w:val="0"/>
        <w:snapToGrid w:val="0"/>
        <w:spacing w:line="360" w:lineRule="auto"/>
        <w:ind w:leftChars="0"/>
        <w:jc w:val="left"/>
        <w:rPr>
          <w:rFonts w:hint="default" w:ascii="宋体" w:hAnsi="宋体" w:eastAsia="宋体" w:cs="宋体"/>
          <w:bCs/>
          <w:sz w:val="24"/>
          <w:szCs w:val="24"/>
          <w:lang w:val="en-US" w:eastAsia="zh-CN"/>
        </w:rPr>
      </w:pPr>
      <w:r>
        <w:rPr>
          <w:rFonts w:hint="eastAsia" w:ascii="宋体" w:hAnsi="宋体" w:eastAsia="宋体" w:cs="宋体"/>
          <w:bCs/>
          <w:sz w:val="24"/>
          <w:szCs w:val="24"/>
          <w:lang w:val="en-US" w:eastAsia="zh-CN"/>
        </w:rPr>
        <w:t>4.2.12、乙方运维人员每次到现场进行维护时，应将每一次的维护内容告知甲方，甲方人员现场陪同跟进，维护完成后，需对维护内容的完成情况和完成质量进行验收签字确认。</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4.2.13、甲方在线检测数据出现超标情况时,甲方要求乙方2小时到达现场进行检查并修复，并向甲方提供书面报告，由甲方向环境主管部门提交异常报告。</w:t>
      </w:r>
    </w:p>
    <w:p>
      <w:pPr>
        <w:numPr>
          <w:ilvl w:val="0"/>
          <w:numId w:val="0"/>
        </w:numPr>
        <w:adjustRightInd w:val="0"/>
        <w:snapToGrid w:val="0"/>
        <w:spacing w:line="360" w:lineRule="auto"/>
        <w:ind w:leftChars="0"/>
        <w:jc w:val="left"/>
        <w:rPr>
          <w:rFonts w:hint="eastAsia" w:ascii="宋体" w:hAnsi="宋体" w:eastAsia="宋体" w:cs="宋体"/>
          <w:bCs/>
          <w:sz w:val="24"/>
          <w:szCs w:val="24"/>
          <w:lang w:val="en-US" w:eastAsia="zh-CN"/>
        </w:rPr>
      </w:pPr>
      <w:r>
        <w:rPr>
          <w:rFonts w:hint="eastAsia" w:ascii="宋体" w:hAnsi="宋体" w:eastAsia="宋体" w:cs="宋体"/>
          <w:bCs/>
          <w:sz w:val="24"/>
          <w:szCs w:val="24"/>
          <w:lang w:val="en-US" w:eastAsia="zh-CN"/>
        </w:rPr>
        <w:t>4.2.14、乙方负责现有在线监测设施与备案资料一致，如有不一致，乙方应及时提出并准备备案所需资料，报甲方同意后提交备案所需资料至环保局。</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4.3、乙方责任（VOC废气自动监测设备）</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4.3.1、VOCs在线系统需要停用、拆除或者更换的，应当事先报经生态环境主管部门备案。</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4.3.2、运行单位发现故障或接到甲方在线监测设施异常、故障等通知，应在2h内赶到现场进行处理。</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4.3.3、对干一些容易诊断的故障，如电磁阀控制失灵，膜裂损，气路堵塞，数据采集仪死机等，可携带工具或者备件到现场进行针对性维修，此类故障维修时间不应超过8h。</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4.3.4、仪器经过维修后，在正常使用和运行之前应确保维修内容全部完成，性能通过检测程序，按本技术指南对仪器进行校准检查，若监测仪器进行了更换，在正常使用和运行之前应对系统进行重新调试和验收。</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4.3.5、若数据存储/控制仪发生故障，应在12h内修复或更换，并保证已采集的数据不丢失。</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4.3.6、监测设备因故障不能正常采集，传输数据时，应及时向生态环境主管部门报告。</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4.3.7、负责VOCs自动监控设备及辅助设施的运行管理，包括网络传输、数据采集部分、设备维护、保养、检修、换件等所有影响设备正常运转的工作，承担与运营有关的办公消耗、人员工资、网络通讯、数据传输、设备维护、维修、换件(包括合同期内更换设备)、交通、易损耗材和配件、除设备运转所需水、电、防雷、防水费以外的所有相关费用。</w:t>
      </w:r>
    </w:p>
    <w:p>
      <w:pPr>
        <w:pStyle w:val="8"/>
        <w:keepNext w:val="0"/>
        <w:keepLines w:val="0"/>
        <w:pageBreakBefore w:val="0"/>
        <w:kinsoku/>
        <w:wordWrap/>
        <w:overflowPunct/>
        <w:topLinePunct w:val="0"/>
        <w:autoSpaceDE/>
        <w:autoSpaceDN/>
        <w:bidi w:val="0"/>
        <w:adjustRightInd/>
        <w:snapToGrid/>
        <w:spacing w:line="360" w:lineRule="auto"/>
        <w:ind w:left="0" w:leftChars="0" w:firstLine="0" w:firstLineChars="0"/>
        <w:outlineLvl w:val="9"/>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4.3.8、运维期间，服务范围内所有设备维护保养及故障维修所产生的一切费用均由乙方负责。（因环保要求所产生的设备升级、改造费用除外）。</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4.3.9、乙方应安排人员到现场配合进行月度比对。</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4.3.10、乙方运维人员进行维保时需通知甲方人员陪同监管，维保人员维保结束后填写维保记录，甲方人员确认签字。</w:t>
      </w:r>
    </w:p>
    <w:p>
      <w:pPr>
        <w:spacing w:line="360" w:lineRule="auto"/>
        <w:rPr>
          <w:rFonts w:hint="eastAsia" w:ascii="宋体" w:hAnsi="宋体" w:eastAsia="宋体" w:cs="宋体"/>
          <w:bCs/>
          <w:kern w:val="2"/>
          <w:sz w:val="24"/>
          <w:szCs w:val="24"/>
          <w:lang w:val="en-US" w:eastAsia="zh-CN" w:bidi="ar-SA"/>
        </w:rPr>
      </w:pPr>
      <w:bookmarkStart w:id="15" w:name="_Toc108075956"/>
      <w:r>
        <w:rPr>
          <w:rFonts w:hint="eastAsia" w:ascii="宋体" w:hAnsi="宋体" w:eastAsia="宋体" w:cs="宋体"/>
          <w:bCs/>
          <w:kern w:val="2"/>
          <w:sz w:val="24"/>
          <w:szCs w:val="24"/>
          <w:lang w:val="en-US" w:eastAsia="zh-CN" w:bidi="ar-SA"/>
        </w:rPr>
        <w:t>4.3.11、乙方需每季度需提供保养报告交付甲方验收，验收工作包括监测设备在该季度维保记录和设备运行异常等相关数据。</w:t>
      </w:r>
      <w:bookmarkEnd w:id="15"/>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4.3.12、乙方需配合甲方完成废气在线监测设施72小时调试，以及调试报告编制。</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4.3.13、乙方负责现有在线监测设施与备案资料一致，如有不一致，乙方应及时提出并准备备案所需资料，报甲方同意后提交备案所需资料至环保局。</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五、记录要求</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5.1、废水废气在线监测系统日常巡检记录应包括检查项目、检查日期、被检项目的运行状态等内容，填写记录统一，没做数据的留空白，不划斜杠，不撕毁记录，实事求是，而且每次巡检应记录并归档，日常巡检时间间隔不超过7天，且维保期间需要甲方人员确认签字。</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六、违约责任（废水废气在线监测设备运维）</w:t>
      </w:r>
    </w:p>
    <w:p>
      <w:pPr>
        <w:spacing w:line="360" w:lineRule="auto"/>
        <w:rPr>
          <w:rFonts w:hint="default"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6.1、乙方因未按要求完成运维工作时，每出现一次，考核乙方50元/次；包含但不限于以下规定（详见附件《甲方规定》)；</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6.2、合同期限内，乙方因未按要求完成运维工作，出现重大问题的，甲方有权单方面解除合同，乙方按照合同总金额的20%向甲方支付违约金。</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七、不可抗力事件免责</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7.1、如因自然灾者或不可抗力事件的发生导致站点设备损毁、丢失的情况，免于承担违约责任，在线监控设施的恢复由甲方负责。</w:t>
      </w:r>
    </w:p>
    <w:p>
      <w:pPr>
        <w:snapToGrid w:val="0"/>
        <w:spacing w:line="360" w:lineRule="auto"/>
        <w:rPr>
          <w:rFonts w:hint="eastAsia" w:ascii="宋体" w:hAnsi="宋体" w:eastAsia="宋体" w:cs="仿宋"/>
          <w:b/>
          <w:sz w:val="24"/>
          <w:szCs w:val="24"/>
          <w:lang w:val="en-US" w:eastAsia="zh-CN"/>
        </w:rPr>
      </w:pPr>
      <w:r>
        <w:rPr>
          <w:rFonts w:hint="eastAsia" w:ascii="宋体" w:hAnsi="宋体" w:eastAsia="宋体" w:cs="仿宋"/>
          <w:b/>
          <w:sz w:val="24"/>
          <w:szCs w:val="24"/>
          <w:lang w:val="en-US" w:eastAsia="zh-CN"/>
        </w:rPr>
        <w:t>八、其它</w:t>
      </w:r>
    </w:p>
    <w:p>
      <w:pPr>
        <w:spacing w:line="360" w:lineRule="auto"/>
        <w:rPr>
          <w:rFonts w:hint="eastAsia" w:ascii="宋体" w:hAnsi="宋体" w:eastAsia="宋体" w:cs="宋体"/>
          <w:bCs/>
          <w:kern w:val="2"/>
          <w:sz w:val="24"/>
          <w:szCs w:val="24"/>
          <w:lang w:val="en-US" w:eastAsia="zh-CN" w:bidi="ar-SA"/>
        </w:rPr>
      </w:pPr>
      <w:r>
        <w:rPr>
          <w:rFonts w:hint="eastAsia" w:ascii="宋体" w:hAnsi="宋体" w:eastAsia="宋体" w:cs="宋体"/>
          <w:bCs/>
          <w:kern w:val="2"/>
          <w:sz w:val="24"/>
          <w:szCs w:val="24"/>
          <w:lang w:val="en-US" w:eastAsia="zh-CN" w:bidi="ar-SA"/>
        </w:rPr>
        <w:t>8.1其余未尽事宜，甲乙双方本着对整个工程负责的态度共同商议解决。</w:t>
      </w:r>
    </w:p>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default" w:asciiTheme="minorEastAsia" w:hAnsiTheme="minorEastAsia" w:cstheme="minorEastAsia"/>
          <w:sz w:val="24"/>
          <w:lang w:val="en-US" w:eastAsia="zh-CN"/>
        </w:rPr>
      </w:pPr>
      <w:r>
        <w:rPr>
          <w:rFonts w:hint="eastAsia" w:asciiTheme="minorEastAsia" w:hAnsiTheme="minorEastAsia" w:cstheme="minorEastAsia"/>
          <w:sz w:val="24"/>
          <w:lang w:val="en-US" w:eastAsia="zh-CN"/>
        </w:rPr>
        <w:t>附件 《</w:t>
      </w:r>
      <w:r>
        <w:rPr>
          <w:rFonts w:hint="eastAsia" w:ascii="宋体" w:hAnsi="宋体" w:eastAsia="宋体" w:cs="宋体"/>
          <w:i w:val="0"/>
          <w:iCs w:val="0"/>
          <w:color w:val="000000"/>
          <w:kern w:val="0"/>
          <w:sz w:val="24"/>
          <w:szCs w:val="24"/>
          <w:u w:val="none"/>
          <w:lang w:val="en-US" w:eastAsia="zh-CN" w:bidi="ar"/>
        </w:rPr>
        <w:t>甲方规定》</w:t>
      </w:r>
    </w:p>
    <w:tbl>
      <w:tblPr>
        <w:tblStyle w:val="33"/>
        <w:tblW w:w="996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
        <w:gridCol w:w="90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blHeader/>
          <w:jc w:val="center"/>
        </w:trPr>
        <w:tc>
          <w:tcPr>
            <w:tcW w:w="928" w:type="dxa"/>
            <w:tcBorders>
              <w:top w:val="single" w:color="auto" w:sz="12"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default" w:ascii="宋体" w:hAnsi="宋体" w:eastAsia="宋体" w:cs="宋体"/>
                <w:b/>
                <w:i w:val="0"/>
                <w:iCs w:val="0"/>
                <w:color w:val="000000"/>
                <w:kern w:val="0"/>
                <w:sz w:val="24"/>
                <w:szCs w:val="24"/>
                <w:u w:val="none"/>
                <w:lang w:val="en-US" w:eastAsia="zh-CN" w:bidi="ar"/>
              </w:rPr>
            </w:pPr>
            <w:r>
              <w:rPr>
                <w:rFonts w:hint="eastAsia" w:ascii="宋体" w:hAnsi="宋体" w:eastAsia="宋体" w:cs="宋体"/>
                <w:b/>
                <w:i w:val="0"/>
                <w:iCs w:val="0"/>
                <w:color w:val="000000"/>
                <w:kern w:val="0"/>
                <w:sz w:val="24"/>
                <w:szCs w:val="24"/>
                <w:u w:val="none"/>
                <w:lang w:val="en-US" w:eastAsia="zh-CN" w:bidi="ar"/>
              </w:rPr>
              <w:t>序号</w:t>
            </w:r>
          </w:p>
        </w:tc>
        <w:tc>
          <w:tcPr>
            <w:tcW w:w="9034" w:type="dxa"/>
            <w:tcBorders>
              <w:top w:val="single" w:color="auto" w:sz="12"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default" w:ascii="宋体" w:hAnsi="宋体" w:eastAsia="宋体" w:cs="宋体"/>
                <w:b/>
                <w:i w:val="0"/>
                <w:iCs w:val="0"/>
                <w:color w:val="000000"/>
                <w:kern w:val="0"/>
                <w:sz w:val="24"/>
                <w:szCs w:val="24"/>
                <w:u w:val="none"/>
                <w:lang w:val="en-US" w:eastAsia="zh-CN" w:bidi="ar"/>
              </w:rPr>
            </w:pPr>
            <w:r>
              <w:rPr>
                <w:rFonts w:hint="eastAsia" w:ascii="宋体" w:hAnsi="宋体" w:eastAsia="宋体" w:cs="宋体"/>
                <w:b/>
                <w:i w:val="0"/>
                <w:iCs w:val="0"/>
                <w:color w:val="000000"/>
                <w:kern w:val="0"/>
                <w:sz w:val="24"/>
                <w:szCs w:val="24"/>
                <w:u w:val="none"/>
                <w:lang w:val="en-US" w:eastAsia="zh-CN" w:bidi="ar"/>
              </w:rPr>
              <w:t>甲方规定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填写记录表时，记录薄应为本年度记录表，记录薄不得撕毁，按照规范进行记录，并且记录要清晰,记录不清晰的要求重新填写，应实事求是、规范统一、严谨闭环的填写在线监控系统相关纸质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2</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三方运维单位按照规范、如实进行在线监控系统设施的运维。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3</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废水在线监控系统设施出现故障，进行日常运维、核查、调试、比对、设备升级/更换等操作时，应按照公司《废水、废气、噪声环境保护管理办法》及时报告和完善相关手续，并如实进行相关操作。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4</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在线监测室标样药剂等堆放分类整齐，过期药品及时清理。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5</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35000"/>
                  <wp:effectExtent l="0" t="0" r="3810" b="0"/>
                  <wp:wrapNone/>
                  <wp:docPr id="251" name="图片_12"/>
                  <wp:cNvGraphicFramePr/>
                  <a:graphic xmlns:a="http://schemas.openxmlformats.org/drawingml/2006/main">
                    <a:graphicData uri="http://schemas.openxmlformats.org/drawingml/2006/picture">
                      <pic:pic xmlns:pic="http://schemas.openxmlformats.org/drawingml/2006/picture">
                        <pic:nvPicPr>
                          <pic:cNvPr id="251" name="图片_12"/>
                          <pic:cNvPicPr/>
                        </pic:nvPicPr>
                        <pic:blipFill>
                          <a:blip r:embed="rId14"/>
                          <a:stretch>
                            <a:fillRect/>
                          </a:stretch>
                        </pic:blipFill>
                        <pic:spPr>
                          <a:xfrm>
                            <a:off x="0" y="0"/>
                            <a:ext cx="8890" cy="6350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27380"/>
                  <wp:effectExtent l="0" t="0" r="3810" b="7620"/>
                  <wp:wrapNone/>
                  <wp:docPr id="252" name="图片_11"/>
                  <wp:cNvGraphicFramePr/>
                  <a:graphic xmlns:a="http://schemas.openxmlformats.org/drawingml/2006/main">
                    <a:graphicData uri="http://schemas.openxmlformats.org/drawingml/2006/picture">
                      <pic:pic xmlns:pic="http://schemas.openxmlformats.org/drawingml/2006/picture">
                        <pic:nvPicPr>
                          <pic:cNvPr id="252" name="图片_11"/>
                          <pic:cNvPicPr/>
                        </pic:nvPicPr>
                        <pic:blipFill>
                          <a:blip r:embed="rId15"/>
                          <a:stretch>
                            <a:fillRect/>
                          </a:stretch>
                        </pic:blipFill>
                        <pic:spPr>
                          <a:xfrm>
                            <a:off x="0" y="0"/>
                            <a:ext cx="8890" cy="6273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35000"/>
                  <wp:effectExtent l="0" t="0" r="3810" b="0"/>
                  <wp:wrapNone/>
                  <wp:docPr id="253" name="图片_8"/>
                  <wp:cNvGraphicFramePr/>
                  <a:graphic xmlns:a="http://schemas.openxmlformats.org/drawingml/2006/main">
                    <a:graphicData uri="http://schemas.openxmlformats.org/drawingml/2006/picture">
                      <pic:pic xmlns:pic="http://schemas.openxmlformats.org/drawingml/2006/picture">
                        <pic:nvPicPr>
                          <pic:cNvPr id="253" name="图片_8"/>
                          <pic:cNvPicPr/>
                        </pic:nvPicPr>
                        <pic:blipFill>
                          <a:blip r:embed="rId14"/>
                          <a:stretch>
                            <a:fillRect/>
                          </a:stretch>
                        </pic:blipFill>
                        <pic:spPr>
                          <a:xfrm>
                            <a:off x="0" y="0"/>
                            <a:ext cx="8890" cy="6350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27380"/>
                  <wp:effectExtent l="0" t="0" r="3810" b="7620"/>
                  <wp:wrapNone/>
                  <wp:docPr id="254" name="图片_13"/>
                  <wp:cNvGraphicFramePr/>
                  <a:graphic xmlns:a="http://schemas.openxmlformats.org/drawingml/2006/main">
                    <a:graphicData uri="http://schemas.openxmlformats.org/drawingml/2006/picture">
                      <pic:pic xmlns:pic="http://schemas.openxmlformats.org/drawingml/2006/picture">
                        <pic:nvPicPr>
                          <pic:cNvPr id="254" name="图片_13"/>
                          <pic:cNvPicPr/>
                        </pic:nvPicPr>
                        <pic:blipFill>
                          <a:blip r:embed="rId15"/>
                          <a:stretch>
                            <a:fillRect/>
                          </a:stretch>
                        </pic:blipFill>
                        <pic:spPr>
                          <a:xfrm>
                            <a:off x="0" y="0"/>
                            <a:ext cx="8890" cy="6273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35000"/>
                  <wp:effectExtent l="0" t="0" r="3810" b="0"/>
                  <wp:wrapNone/>
                  <wp:docPr id="255" name="图片_10"/>
                  <wp:cNvGraphicFramePr/>
                  <a:graphic xmlns:a="http://schemas.openxmlformats.org/drawingml/2006/main">
                    <a:graphicData uri="http://schemas.openxmlformats.org/drawingml/2006/picture">
                      <pic:pic xmlns:pic="http://schemas.openxmlformats.org/drawingml/2006/picture">
                        <pic:nvPicPr>
                          <pic:cNvPr id="255" name="图片_10"/>
                          <pic:cNvPicPr/>
                        </pic:nvPicPr>
                        <pic:blipFill>
                          <a:blip r:embed="rId14"/>
                          <a:stretch>
                            <a:fillRect/>
                          </a:stretch>
                        </pic:blipFill>
                        <pic:spPr>
                          <a:xfrm>
                            <a:off x="0" y="0"/>
                            <a:ext cx="8890" cy="63500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9525" cy="173990"/>
                  <wp:effectExtent l="0" t="0" r="3175" b="3810"/>
                  <wp:wrapNone/>
                  <wp:docPr id="256" name="图片_7"/>
                  <wp:cNvGraphicFramePr/>
                  <a:graphic xmlns:a="http://schemas.openxmlformats.org/drawingml/2006/main">
                    <a:graphicData uri="http://schemas.openxmlformats.org/drawingml/2006/picture">
                      <pic:pic xmlns:pic="http://schemas.openxmlformats.org/drawingml/2006/picture">
                        <pic:nvPicPr>
                          <pic:cNvPr id="256" name="图片_7"/>
                          <pic:cNvPicPr/>
                        </pic:nvPicPr>
                        <pic:blipFill>
                          <a:blip r:embed="rId16"/>
                          <a:stretch>
                            <a:fillRect/>
                          </a:stretch>
                        </pic:blipFill>
                        <pic:spPr>
                          <a:xfrm>
                            <a:off x="0" y="0"/>
                            <a:ext cx="9525" cy="17399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9525" cy="173990"/>
                  <wp:effectExtent l="0" t="0" r="3175" b="3810"/>
                  <wp:wrapNone/>
                  <wp:docPr id="257" name="图片_6"/>
                  <wp:cNvGraphicFramePr/>
                  <a:graphic xmlns:a="http://schemas.openxmlformats.org/drawingml/2006/main">
                    <a:graphicData uri="http://schemas.openxmlformats.org/drawingml/2006/picture">
                      <pic:pic xmlns:pic="http://schemas.openxmlformats.org/drawingml/2006/picture">
                        <pic:nvPicPr>
                          <pic:cNvPr id="257" name="图片_6"/>
                          <pic:cNvPicPr/>
                        </pic:nvPicPr>
                        <pic:blipFill>
                          <a:blip r:embed="rId17"/>
                          <a:stretch>
                            <a:fillRect/>
                          </a:stretch>
                        </pic:blipFill>
                        <pic:spPr>
                          <a:xfrm>
                            <a:off x="0" y="0"/>
                            <a:ext cx="9525" cy="17399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bdr w:val="single" w:color="000000" w:sz="4" w:space="0"/>
                <w:shd w:val="clear" w:fill="FFFFFF"/>
                <w:lang w:val="en-US" w:eastAsia="zh-CN"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8890" cy="627380"/>
                  <wp:effectExtent l="0" t="0" r="3810" b="7620"/>
                  <wp:wrapNone/>
                  <wp:docPr id="258" name="图片_9"/>
                  <wp:cNvGraphicFramePr/>
                  <a:graphic xmlns:a="http://schemas.openxmlformats.org/drawingml/2006/main">
                    <a:graphicData uri="http://schemas.openxmlformats.org/drawingml/2006/picture">
                      <pic:pic xmlns:pic="http://schemas.openxmlformats.org/drawingml/2006/picture">
                        <pic:nvPicPr>
                          <pic:cNvPr id="258" name="图片_9"/>
                          <pic:cNvPicPr/>
                        </pic:nvPicPr>
                        <pic:blipFill>
                          <a:blip r:embed="rId15"/>
                          <a:stretch>
                            <a:fillRect/>
                          </a:stretch>
                        </pic:blipFill>
                        <pic:spPr>
                          <a:xfrm>
                            <a:off x="0" y="0"/>
                            <a:ext cx="8890" cy="627380"/>
                          </a:xfrm>
                          <a:prstGeom prst="rect">
                            <a:avLst/>
                          </a:prstGeom>
                          <a:noFill/>
                          <a:ln>
                            <a:noFill/>
                          </a:ln>
                        </pic:spPr>
                      </pic:pic>
                    </a:graphicData>
                  </a:graphic>
                </wp:anchor>
              </w:drawing>
            </w:r>
            <w:r>
              <w:rPr>
                <w:rFonts w:hint="eastAsia" w:ascii="宋体" w:hAnsi="宋体" w:eastAsia="宋体" w:cs="宋体"/>
                <w:i w:val="0"/>
                <w:iCs w:val="0"/>
                <w:color w:val="000000"/>
                <w:kern w:val="0"/>
                <w:sz w:val="24"/>
                <w:szCs w:val="24"/>
                <w:u w:val="none"/>
                <w:lang w:val="en-US" w:eastAsia="zh-CN" w:bidi="ar"/>
              </w:rPr>
              <w:t>第三方运维单位日常运维、校准、核查、调试、比对、设备升级/更换等操作时，在停排、未排水期间进行，否则请提交相关操作说明以书面形式反馈至公司安全环保部后才可进行操作。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6</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第三方运维单位应保证每天（包括周六、周日及节假日）自动核查数据是否在标样±10%示值范围内，如果发现不在范围内或表示标样不准，应立即解决问题。每月不超过两次，每超过一次考核一次。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sz w:val="24"/>
                <w:szCs w:val="24"/>
                <w:u w:val="none"/>
                <w:lang w:val="en-US" w:eastAsia="zh-CN"/>
              </w:rPr>
              <w:t>7</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在线监控设施从取样到出值全过程，保持设备良好、不得删除在线设施设备上的记录，保证在线监测设施的参数设置、调整等操作时符合规范，并有对应的纸质记录。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2"/>
                <w:sz w:val="24"/>
                <w:szCs w:val="24"/>
                <w:u w:val="none"/>
                <w:lang w:val="en-US" w:eastAsia="zh-CN" w:bidi="ar-SA"/>
              </w:rPr>
              <w:t>8</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第三方运维单位在进行废水、废气在线监控设施日常维护、校准、比对等操作前，须将书面说明反馈至公司安全环保部。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9</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发现或收到公司在线监控系统出现异常、故障等情况时，应及时报告和处理（应现场处理的，要在2h内到底甲方在线设施现场），并按照规范在规定时间内完成维修，确保设施设备恢复正常；当收到数据缺失消息后，应在5个工作日内内完成补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10</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第三方单位进行废气在线监控设备日常维护、校准、核查、比对等操作时段，除特殊情况外应在涂装车间喷涂工序未生产时进行，遇特殊情况应及时书面告知公司安全环保部和相关人员。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4"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11</w:t>
            </w:r>
          </w:p>
        </w:tc>
        <w:tc>
          <w:tcPr>
            <w:tcW w:w="9034" w:type="dxa"/>
            <w:tcBorders>
              <w:top w:val="single" w:color="auto" w:sz="4" w:space="0"/>
              <w:left w:val="single" w:color="auto" w:sz="4" w:space="0"/>
              <w:bottom w:val="single" w:color="auto" w:sz="4" w:space="0"/>
              <w:right w:val="single" w:color="auto" w:sz="12" w:space="0"/>
            </w:tcBorders>
            <w:shd w:val="clear" w:color="auto" w:fill="FFFFFF"/>
            <w:vAlign w:val="center"/>
          </w:tcPr>
          <w:p>
            <w:pPr>
              <w:keepNext w:val="0"/>
              <w:keepLines w:val="0"/>
              <w:widowControl/>
              <w:suppressLineNumbers w:val="0"/>
              <w:snapToGrid w:val="0"/>
              <w:ind w:left="0" w:leftChars="0" w:right="0" w:rightChars="0" w:firstLine="0" w:firstLineChars="0"/>
              <w:jc w:val="left"/>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第三方运维单位应准确设置废水在线监控系统自动校准、核查和标记相关内容，提供在线监控系统正常运行所需技术支持，收到在线监控系统异常消息后应及时查找原因、有效解决异常等问题。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jc w:val="center"/>
        </w:trPr>
        <w:tc>
          <w:tcPr>
            <w:tcW w:w="928" w:type="dxa"/>
            <w:tcBorders>
              <w:top w:val="single" w:color="auto" w:sz="4" w:space="0"/>
              <w:left w:val="single" w:color="auto" w:sz="12" w:space="0"/>
              <w:bottom w:val="single" w:color="auto" w:sz="12" w:space="0"/>
              <w:right w:val="single" w:color="auto" w:sz="4" w:space="0"/>
            </w:tcBorders>
            <w:shd w:val="clear" w:color="auto" w:fill="FFFFFF"/>
            <w:vAlign w:val="center"/>
          </w:tcPr>
          <w:p>
            <w:pPr>
              <w:keepNext w:val="0"/>
              <w:keepLines w:val="0"/>
              <w:widowControl/>
              <w:suppressLineNumbers w:val="0"/>
              <w:snapToGrid w:val="0"/>
              <w:ind w:left="0" w:leftChars="0" w:right="0" w:rightChars="0" w:firstLine="0" w:firstLineChars="0"/>
              <w:jc w:val="center"/>
              <w:textAlignment w:val="center"/>
              <w:rPr>
                <w:rFonts w:hint="eastAsia" w:ascii="宋体" w:hAnsi="宋体" w:eastAsia="宋体" w:cs="宋体"/>
                <w:i w:val="0"/>
                <w:iCs w:val="0"/>
                <w:color w:val="000000"/>
                <w:kern w:val="2"/>
                <w:sz w:val="24"/>
                <w:szCs w:val="24"/>
                <w:u w:val="none"/>
                <w:lang w:val="en-US" w:eastAsia="zh-CN" w:bidi="ar-SA"/>
              </w:rPr>
            </w:pPr>
            <w:r>
              <w:rPr>
                <w:rFonts w:hint="eastAsia" w:ascii="宋体" w:hAnsi="宋体" w:eastAsia="宋体" w:cs="宋体"/>
                <w:i w:val="0"/>
                <w:iCs w:val="0"/>
                <w:color w:val="000000"/>
                <w:kern w:val="0"/>
                <w:sz w:val="24"/>
                <w:szCs w:val="24"/>
                <w:u w:val="none"/>
                <w:lang w:val="en-US" w:eastAsia="zh-CN" w:bidi="ar"/>
              </w:rPr>
              <w:t>12</w:t>
            </w:r>
          </w:p>
        </w:tc>
        <w:tc>
          <w:tcPr>
            <w:tcW w:w="9034" w:type="dxa"/>
            <w:tcBorders>
              <w:top w:val="single" w:color="auto" w:sz="4" w:space="0"/>
              <w:left w:val="single" w:color="auto" w:sz="4" w:space="0"/>
              <w:bottom w:val="single" w:color="auto" w:sz="12" w:space="0"/>
              <w:right w:val="single" w:color="auto" w:sz="12" w:space="0"/>
            </w:tcBorders>
            <w:shd w:val="clear" w:color="auto" w:fill="FFFFFF"/>
            <w:vAlign w:val="center"/>
          </w:tcPr>
          <w:p>
            <w:pPr>
              <w:keepNext w:val="0"/>
              <w:keepLines w:val="0"/>
              <w:pageBreakBefore w:val="0"/>
              <w:kinsoku/>
              <w:wordWrap/>
              <w:overflowPunct/>
              <w:topLinePunct w:val="0"/>
              <w:autoSpaceDE/>
              <w:autoSpaceDN/>
              <w:bidi w:val="0"/>
              <w:adjustRightInd/>
              <w:snapToGrid w:val="0"/>
              <w:spacing w:line="240" w:lineRule="auto"/>
              <w:ind w:left="0" w:leftChars="0" w:right="0" w:rightChars="0" w:firstLine="0" w:firstLineChars="0"/>
              <w:jc w:val="left"/>
              <w:outlineLvl w:val="9"/>
              <w:rPr>
                <w:rFonts w:hint="eastAsia" w:ascii="宋体" w:hAnsi="宋体" w:eastAsia="宋体" w:cs="宋体"/>
                <w:i w:val="0"/>
                <w:iCs w:val="0"/>
                <w:color w:val="000000"/>
                <w:kern w:val="2"/>
                <w:sz w:val="24"/>
                <w:szCs w:val="24"/>
                <w:u w:val="none"/>
                <w:lang w:val="en-US" w:eastAsia="zh-CN" w:bidi="ar-SA"/>
              </w:rPr>
            </w:pPr>
            <w:r>
              <w:rPr>
                <w:rFonts w:hint="eastAsia" w:asciiTheme="minorEastAsia" w:hAnsiTheme="minorEastAsia" w:eastAsiaTheme="minorEastAsia" w:cstheme="minorEastAsia"/>
                <w:i w:val="0"/>
                <w:iCs w:val="0"/>
                <w:color w:val="000000"/>
                <w:kern w:val="2"/>
                <w:sz w:val="24"/>
                <w:szCs w:val="24"/>
                <w:u w:val="none"/>
                <w:lang w:val="en-US" w:eastAsia="zh-CN" w:bidi="ar-SA"/>
              </w:rPr>
              <w:t>第三方运维单位离开在线监测室应</w:t>
            </w:r>
            <w:r>
              <w:rPr>
                <w:rFonts w:hint="eastAsia" w:asciiTheme="minorEastAsia" w:hAnsiTheme="minorEastAsia" w:eastAsiaTheme="minorEastAsia" w:cstheme="minorEastAsia"/>
                <w:sz w:val="24"/>
                <w:szCs w:val="24"/>
              </w:rPr>
              <w:t>做到“工完、料</w:t>
            </w:r>
            <w:r>
              <w:rPr>
                <w:rFonts w:hint="eastAsia" w:asciiTheme="minorEastAsia" w:hAnsiTheme="minorEastAsia" w:eastAsiaTheme="minorEastAsia" w:cstheme="minorEastAsia"/>
                <w:sz w:val="24"/>
                <w:szCs w:val="24"/>
                <w:lang w:val="en-US" w:eastAsia="zh-CN"/>
              </w:rPr>
              <w:t>净</w:t>
            </w:r>
            <w:r>
              <w:rPr>
                <w:rFonts w:hint="eastAsia" w:asciiTheme="minorEastAsia" w:hAnsiTheme="minorEastAsia" w:eastAsiaTheme="minorEastAsia" w:cstheme="minorEastAsia"/>
                <w:sz w:val="24"/>
                <w:szCs w:val="24"/>
              </w:rPr>
              <w:t>、场地清”。</w:t>
            </w:r>
          </w:p>
        </w:tc>
      </w:tr>
    </w:tbl>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eastAsia" w:asciiTheme="minorEastAsia" w:hAnsiTheme="minorEastAsia" w:cstheme="minorEastAsia"/>
          <w:sz w:val="24"/>
          <w:lang w:val="en-US" w:eastAsia="zh-CN"/>
        </w:rPr>
      </w:pPr>
    </w:p>
    <w:p>
      <w:pPr>
        <w:pStyle w:val="8"/>
        <w:ind w:left="0" w:leftChars="0" w:firstLine="0" w:firstLineChars="0"/>
        <w:rPr>
          <w:rFonts w:hint="eastAsia" w:asciiTheme="minorEastAsia" w:hAnsiTheme="minorEastAsia" w:cstheme="minorEastAsia"/>
          <w:sz w:val="24"/>
          <w:lang w:val="en-US" w:eastAsia="zh-CN"/>
        </w:rPr>
      </w:pPr>
    </w:p>
    <w:p>
      <w:pPr>
        <w:pStyle w:val="16"/>
        <w:numPr>
          <w:ilvl w:val="0"/>
          <w:numId w:val="0"/>
        </w:numPr>
        <w:spacing w:line="360" w:lineRule="auto"/>
        <w:ind w:firstLine="883" w:firstLineChars="200"/>
        <w:jc w:val="left"/>
        <w:rPr>
          <w:rFonts w:hint="eastAsia" w:hAnsi="宋体"/>
          <w:b w:val="0"/>
          <w:bCs w:val="0"/>
          <w:sz w:val="24"/>
          <w:szCs w:val="24"/>
          <w:highlight w:val="none"/>
          <w:lang w:val="en-US" w:eastAsia="zh-CN"/>
        </w:rPr>
      </w:pPr>
      <w:r>
        <w:rPr>
          <w:rFonts w:hint="eastAsia" w:ascii="Calibri" w:hAnsi="Calibri"/>
          <w:b/>
          <w:bCs/>
          <w:kern w:val="44"/>
          <w:sz w:val="44"/>
          <w:szCs w:val="44"/>
        </w:rPr>
        <w:br w:type="page"/>
      </w:r>
    </w:p>
    <w:p>
      <w:pPr>
        <w:pStyle w:val="73"/>
        <w:adjustRightInd w:val="0"/>
        <w:snapToGrid w:val="0"/>
        <w:jc w:val="left"/>
        <w:outlineLvl w:val="9"/>
        <w:rPr>
          <w:rFonts w:ascii="宋体" w:hAnsi="宋体" w:eastAsia="宋体"/>
          <w:color w:val="000000"/>
          <w:sz w:val="24"/>
          <w:szCs w:val="24"/>
        </w:rPr>
      </w:pPr>
      <w:bookmarkStart w:id="16" w:name="_Toc47976615"/>
      <w:bookmarkStart w:id="17" w:name="_Toc16500"/>
      <w:r>
        <w:rPr>
          <w:rFonts w:hint="eastAsia" w:ascii="宋体" w:hAnsi="宋体" w:eastAsia="宋体"/>
          <w:sz w:val="24"/>
          <w:szCs w:val="24"/>
        </w:rPr>
        <w:t>第三部分　</w:t>
      </w:r>
      <w:bookmarkEnd w:id="16"/>
      <w:r>
        <w:rPr>
          <w:rFonts w:hint="eastAsia" w:ascii="宋体" w:hAnsi="宋体" w:eastAsia="宋体"/>
          <w:sz w:val="24"/>
          <w:szCs w:val="24"/>
        </w:rPr>
        <w:t>投标文件附件</w:t>
      </w:r>
      <w:bookmarkEnd w:id="17"/>
    </w:p>
    <w:p>
      <w:pPr>
        <w:pStyle w:val="16"/>
        <w:adjustRightInd w:val="0"/>
        <w:snapToGrid w:val="0"/>
        <w:spacing w:line="360" w:lineRule="auto"/>
        <w:jc w:val="left"/>
        <w:rPr>
          <w:rFonts w:hAnsi="宋体"/>
          <w:sz w:val="24"/>
          <w:szCs w:val="24"/>
        </w:rPr>
      </w:pPr>
    </w:p>
    <w:p>
      <w:pPr>
        <w:pStyle w:val="74"/>
        <w:numPr>
          <w:ilvl w:val="0"/>
          <w:numId w:val="0"/>
        </w:numPr>
        <w:adjustRightInd w:val="0"/>
        <w:snapToGrid w:val="0"/>
        <w:jc w:val="left"/>
        <w:outlineLvl w:val="9"/>
        <w:rPr>
          <w:rFonts w:ascii="宋体" w:hAnsi="宋体" w:eastAsia="宋体" w:cs="宋体"/>
          <w:sz w:val="24"/>
          <w:szCs w:val="24"/>
        </w:rPr>
      </w:pPr>
      <w:bookmarkStart w:id="18" w:name="_Toc47976618"/>
      <w:bookmarkStart w:id="19" w:name="_Toc29366869"/>
      <w:bookmarkStart w:id="20" w:name="_Toc29366865"/>
      <w:r>
        <w:rPr>
          <w:rFonts w:hint="eastAsia" w:ascii="宋体" w:hAnsi="宋体" w:eastAsia="宋体" w:cs="宋体"/>
          <w:sz w:val="24"/>
          <w:szCs w:val="24"/>
        </w:rPr>
        <w:t>附件1 法定代表人授权委托书</w:t>
      </w:r>
    </w:p>
    <w:bookmarkEnd w:id="18"/>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eastAsia="宋体" w:cs="Times New Roman"/>
          <w:b/>
          <w:bCs/>
          <w:color w:val="000000"/>
          <w:sz w:val="24"/>
          <w:szCs w:val="24"/>
          <w:u w:val="single"/>
          <w:lang w:val="en-US" w:eastAsia="zh-CN"/>
        </w:rPr>
        <w:t>废水废气在线监测设备运维</w:t>
      </w:r>
      <w:r>
        <w:rPr>
          <w:rFonts w:hint="eastAsia" w:ascii="宋体" w:hAnsi="宋体" w:eastAsia="宋体" w:cs="Times New Roman"/>
          <w:b/>
          <w:bCs/>
          <w:color w:val="000000"/>
          <w:sz w:val="24"/>
          <w:szCs w:val="24"/>
          <w:u w:val="single"/>
        </w:rPr>
        <w:t>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b/>
          <w:bCs/>
          <w:color w:val="000000"/>
          <w:sz w:val="24"/>
          <w:szCs w:val="24"/>
        </w:rPr>
      </w:pPr>
    </w:p>
    <w:p>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pPr>
        <w:adjustRightInd w:val="0"/>
        <w:snapToGrid w:val="0"/>
        <w:spacing w:line="360" w:lineRule="auto"/>
        <w:jc w:val="left"/>
        <w:rPr>
          <w:rFonts w:ascii="宋体" w:hAnsi="宋体"/>
          <w:b/>
          <w:bCs/>
          <w:sz w:val="24"/>
          <w:szCs w:val="24"/>
        </w:rPr>
      </w:pPr>
    </w:p>
    <w:p>
      <w:pPr>
        <w:adjustRightInd w:val="0"/>
        <w:snapToGrid w:val="0"/>
        <w:spacing w:line="360" w:lineRule="auto"/>
        <w:jc w:val="left"/>
        <w:rPr>
          <w:rFonts w:hint="eastAsia" w:ascii="宋体" w:hAnsi="宋体" w:eastAsia="宋体" w:cs="宋体"/>
          <w:b/>
          <w:bCs/>
          <w:sz w:val="24"/>
          <w:szCs w:val="24"/>
          <w:u w:val="single"/>
        </w:rPr>
      </w:pPr>
      <w:r>
        <w:rPr>
          <w:rFonts w:hint="eastAsia" w:ascii="宋体" w:hAnsi="宋体"/>
          <w:sz w:val="24"/>
          <w:szCs w:val="24"/>
        </w:rPr>
        <w:t>项目名称：</w:t>
      </w:r>
      <w:r>
        <w:rPr>
          <w:rFonts w:hint="eastAsia" w:ascii="宋体" w:hAnsi="宋体" w:eastAsia="宋体" w:cs="宋体"/>
          <w:b/>
          <w:bCs/>
          <w:sz w:val="24"/>
          <w:szCs w:val="24"/>
          <w:u w:val="single"/>
          <w:lang w:val="en-US" w:eastAsia="zh-CN"/>
        </w:rPr>
        <w:t>废水废气在线监测设备运维</w:t>
      </w:r>
      <w:r>
        <w:rPr>
          <w:rFonts w:hint="eastAsia" w:ascii="宋体" w:hAnsi="宋体" w:eastAsia="宋体" w:cs="宋体"/>
          <w:b/>
          <w:bCs/>
          <w:sz w:val="24"/>
          <w:szCs w:val="24"/>
          <w:u w:val="single"/>
        </w:rPr>
        <w:t>项目</w:t>
      </w:r>
    </w:p>
    <w:p>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pPr>
        <w:adjustRightInd w:val="0"/>
        <w:snapToGrid w:val="0"/>
        <w:spacing w:line="360" w:lineRule="auto"/>
        <w:jc w:val="left"/>
        <w:rPr>
          <w:rFonts w:ascii="宋体" w:hAnsi="宋体"/>
          <w:sz w:val="24"/>
          <w:szCs w:val="24"/>
          <w:u w:val="single"/>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9"/>
    <w:bookmarkEnd w:id="20"/>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pPr>
        <w:pStyle w:val="74"/>
        <w:numPr>
          <w:ilvl w:val="0"/>
          <w:numId w:val="0"/>
        </w:numPr>
        <w:adjustRightInd w:val="0"/>
        <w:snapToGrid w:val="0"/>
        <w:jc w:val="left"/>
        <w:outlineLvl w:val="9"/>
        <w:rPr>
          <w:rFonts w:ascii="宋体" w:hAnsi="宋体" w:eastAsia="宋体" w:cs="宋体"/>
          <w:sz w:val="24"/>
          <w:szCs w:val="24"/>
        </w:rPr>
      </w:pPr>
      <w:bookmarkStart w:id="21" w:name="_Toc4225"/>
      <w:bookmarkStart w:id="22" w:name="_Toc47976616"/>
      <w:r>
        <w:rPr>
          <w:rFonts w:hint="eastAsia" w:ascii="宋体" w:hAnsi="宋体" w:eastAsia="宋体" w:cs="宋体"/>
          <w:sz w:val="24"/>
          <w:szCs w:val="24"/>
        </w:rPr>
        <w:t>附件</w:t>
      </w:r>
      <w:bookmarkEnd w:id="21"/>
      <w:bookmarkEnd w:id="22"/>
      <w:r>
        <w:rPr>
          <w:rFonts w:ascii="宋体" w:hAnsi="宋体" w:eastAsia="宋体" w:cs="宋体"/>
          <w:sz w:val="24"/>
          <w:szCs w:val="24"/>
        </w:rPr>
        <w:t>4</w:t>
      </w:r>
      <w:r>
        <w:rPr>
          <w:rFonts w:hint="eastAsia" w:ascii="宋体" w:hAnsi="宋体" w:eastAsia="宋体" w:cs="宋体"/>
          <w:sz w:val="24"/>
          <w:szCs w:val="24"/>
        </w:rPr>
        <w:t xml:space="preserve"> 投标函</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pPr>
        <w:adjustRightInd w:val="0"/>
        <w:snapToGrid w:val="0"/>
        <w:spacing w:line="360" w:lineRule="auto"/>
        <w:ind w:firstLine="480" w:firstLineChars="200"/>
        <w:jc w:val="left"/>
        <w:rPr>
          <w:rFonts w:hint="eastAsia" w:ascii="宋体" w:hAnsi="宋体"/>
          <w:color w:val="000000"/>
          <w:sz w:val="24"/>
          <w:szCs w:val="24"/>
        </w:rPr>
      </w:pPr>
      <w:r>
        <w:rPr>
          <w:rFonts w:hint="eastAsia" w:ascii="宋体" w:hAnsi="宋体"/>
          <w:color w:val="000000"/>
          <w:sz w:val="24"/>
          <w:szCs w:val="24"/>
        </w:rPr>
        <w:t>根据贵方</w:t>
      </w:r>
      <w:r>
        <w:rPr>
          <w:rFonts w:hint="eastAsia" w:ascii="宋体" w:hAnsi="宋体" w:eastAsia="宋体" w:cs="Times New Roman"/>
          <w:color w:val="000000"/>
          <w:sz w:val="24"/>
          <w:szCs w:val="24"/>
          <w:u w:val="single"/>
          <w:lang w:val="en-US" w:eastAsia="zh-CN"/>
        </w:rPr>
        <w:t>废水废气在线监测设备运维项</w:t>
      </w:r>
      <w:r>
        <w:rPr>
          <w:rFonts w:hint="eastAsia" w:ascii="宋体" w:hAnsi="宋体" w:eastAsia="宋体" w:cs="Times New Roman"/>
          <w:color w:val="000000"/>
          <w:sz w:val="24"/>
          <w:szCs w:val="24"/>
          <w:u w:val="single"/>
        </w:rPr>
        <w:t>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pPr>
        <w:adjustRightInd w:val="0"/>
        <w:snapToGrid w:val="0"/>
        <w:spacing w:line="360" w:lineRule="auto"/>
        <w:ind w:firstLine="480" w:firstLineChars="200"/>
        <w:jc w:val="left"/>
        <w:rPr>
          <w:rFonts w:hint="eastAsia" w:ascii="宋体" w:hAnsi="宋体" w:eastAsia="宋体"/>
          <w:color w:val="000000"/>
          <w:sz w:val="24"/>
          <w:szCs w:val="24"/>
        </w:rPr>
      </w:pPr>
      <w:r>
        <w:rPr>
          <w:rFonts w:hint="eastAsia" w:ascii="宋体" w:hAnsi="宋体" w:eastAsia="宋体"/>
          <w:color w:val="000000"/>
          <w:sz w:val="24"/>
          <w:szCs w:val="24"/>
        </w:rPr>
        <w:t>我方已仔细研究了</w:t>
      </w:r>
      <w:r>
        <w:rPr>
          <w:rFonts w:hint="eastAsia" w:ascii="宋体" w:hAnsi="宋体" w:eastAsia="宋体"/>
          <w:color w:val="000000"/>
          <w:sz w:val="24"/>
          <w:szCs w:val="24"/>
          <w:lang w:val="en-US" w:eastAsia="zh-CN"/>
        </w:rPr>
        <w:t>废水废气在线监测设备运维项</w:t>
      </w:r>
      <w:r>
        <w:rPr>
          <w:rFonts w:hint="eastAsia" w:ascii="宋体" w:hAnsi="宋体" w:eastAsia="宋体"/>
          <w:color w:val="000000"/>
          <w:sz w:val="24"/>
          <w:szCs w:val="24"/>
        </w:rPr>
        <w:t>目招标文件的全部内容，愿意以</w:t>
      </w:r>
      <w:r>
        <w:rPr>
          <w:rFonts w:hint="eastAsia" w:ascii="宋体" w:hAnsi="宋体" w:eastAsia="宋体"/>
          <w:color w:val="000000"/>
          <w:sz w:val="24"/>
          <w:szCs w:val="24"/>
          <w:lang w:val="en-US" w:eastAsia="zh-CN"/>
        </w:rPr>
        <w:t>项目</w:t>
      </w:r>
      <w:r>
        <w:rPr>
          <w:rFonts w:hint="eastAsia" w:ascii="宋体" w:hAnsi="宋体" w:eastAsia="宋体"/>
          <w:color w:val="000000"/>
          <w:sz w:val="24"/>
          <w:szCs w:val="24"/>
        </w:rPr>
        <w:t>不含税</w:t>
      </w:r>
      <w:r>
        <w:rPr>
          <w:rFonts w:hint="eastAsia" w:ascii="宋体" w:hAnsi="宋体" w:eastAsia="宋体"/>
          <w:color w:val="000000"/>
          <w:sz w:val="24"/>
          <w:szCs w:val="24"/>
          <w:lang w:val="en-US" w:eastAsia="zh-CN"/>
        </w:rPr>
        <w:t>总</w:t>
      </w:r>
      <w:r>
        <w:rPr>
          <w:rFonts w:hint="eastAsia" w:ascii="宋体" w:hAnsi="宋体" w:eastAsia="宋体"/>
          <w:color w:val="000000"/>
          <w:sz w:val="24"/>
          <w:szCs w:val="24"/>
        </w:rPr>
        <w:t>金额：人民币（大写）               （¥             ）</w:t>
      </w:r>
      <w:r>
        <w:rPr>
          <w:rFonts w:hint="eastAsia" w:ascii="宋体" w:hAnsi="宋体" w:eastAsia="宋体"/>
          <w:color w:val="000000"/>
          <w:sz w:val="24"/>
          <w:szCs w:val="24"/>
          <w:lang w:val="en-US" w:eastAsia="zh-CN"/>
        </w:rPr>
        <w:t>/两年</w:t>
      </w:r>
      <w:r>
        <w:rPr>
          <w:rFonts w:hint="eastAsia" w:ascii="宋体" w:hAnsi="宋体" w:eastAsia="宋体"/>
          <w:color w:val="000000"/>
          <w:sz w:val="24"/>
          <w:szCs w:val="24"/>
          <w:lang w:eastAsia="zh-CN"/>
        </w:rPr>
        <w:t>、</w:t>
      </w:r>
      <w:r>
        <w:rPr>
          <w:rFonts w:hint="eastAsia" w:ascii="宋体" w:hAnsi="宋体" w:eastAsia="宋体"/>
          <w:color w:val="000000"/>
          <w:sz w:val="24"/>
          <w:szCs w:val="24"/>
        </w:rPr>
        <w:t>含税</w:t>
      </w:r>
      <w:r>
        <w:rPr>
          <w:rFonts w:hint="eastAsia" w:ascii="宋体" w:hAnsi="宋体" w:eastAsia="宋体"/>
          <w:color w:val="000000"/>
          <w:sz w:val="24"/>
          <w:szCs w:val="24"/>
          <w:lang w:val="en-US" w:eastAsia="zh-CN"/>
        </w:rPr>
        <w:t>总</w:t>
      </w:r>
      <w:r>
        <w:rPr>
          <w:rFonts w:hint="eastAsia" w:ascii="宋体" w:hAnsi="宋体" w:eastAsia="宋体"/>
          <w:color w:val="000000"/>
          <w:sz w:val="24"/>
          <w:szCs w:val="24"/>
        </w:rPr>
        <w:t xml:space="preserve">金额：人民币（大写）                 （¥            </w:t>
      </w:r>
      <w:r>
        <w:rPr>
          <w:rFonts w:hint="eastAsia" w:ascii="宋体" w:hAnsi="宋体" w:eastAsia="宋体"/>
          <w:color w:val="000000"/>
          <w:sz w:val="24"/>
          <w:szCs w:val="24"/>
          <w:lang w:eastAsia="zh-CN"/>
        </w:rPr>
        <w:t>、</w:t>
      </w:r>
      <w:r>
        <w:rPr>
          <w:rFonts w:hint="eastAsia" w:ascii="宋体" w:hAnsi="宋体" w:eastAsia="宋体"/>
          <w:color w:val="000000"/>
          <w:sz w:val="24"/>
          <w:szCs w:val="24"/>
        </w:rPr>
        <w:t>税率    %</w:t>
      </w:r>
      <w:r>
        <w:rPr>
          <w:rFonts w:hint="eastAsia" w:ascii="宋体" w:hAnsi="宋体" w:eastAsia="宋体"/>
          <w:color w:val="000000"/>
          <w:sz w:val="24"/>
          <w:szCs w:val="24"/>
          <w:lang w:eastAsia="zh-CN"/>
        </w:rPr>
        <w:t>）</w:t>
      </w:r>
      <w:r>
        <w:rPr>
          <w:rFonts w:hint="eastAsia" w:ascii="宋体" w:hAnsi="宋体" w:eastAsia="宋体"/>
          <w:color w:val="000000"/>
          <w:sz w:val="24"/>
          <w:szCs w:val="24"/>
          <w:lang w:val="en-US" w:eastAsia="zh-CN"/>
        </w:rPr>
        <w:t>/两年</w:t>
      </w:r>
      <w:r>
        <w:rPr>
          <w:rFonts w:hint="eastAsia" w:ascii="宋体" w:hAnsi="宋体" w:eastAsia="宋体"/>
          <w:color w:val="000000"/>
          <w:sz w:val="24"/>
          <w:szCs w:val="24"/>
        </w:rPr>
        <w:t>的投标总价报价。</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pPr>
        <w:pStyle w:val="64"/>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是否偏离</w:t>
            </w:r>
          </w:p>
          <w:p>
            <w:pPr>
              <w:adjustRightInd w:val="0"/>
              <w:snapToGrid w:val="0"/>
              <w:jc w:val="left"/>
              <w:rPr>
                <w:rFonts w:ascii="宋体" w:hAnsi="宋体"/>
                <w:b/>
                <w:sz w:val="24"/>
                <w:szCs w:val="24"/>
              </w:rPr>
            </w:pPr>
            <w:r>
              <w:rPr>
                <w:rFonts w:hint="eastAsia" w:ascii="宋体" w:hAnsi="宋体" w:cs="宋体"/>
                <w:b/>
                <w:sz w:val="24"/>
                <w:szCs w:val="24"/>
              </w:rPr>
              <w:t>（提供说明）</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p>
            <w:pPr>
              <w:adjustRightInd w:val="0"/>
              <w:snapToGrid w:val="0"/>
              <w:jc w:val="left"/>
              <w:rPr>
                <w:rFonts w:ascii="宋体" w:hAnsi="宋体"/>
                <w:b/>
                <w:sz w:val="24"/>
                <w:szCs w:val="24"/>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pPr>
              <w:adjustRightInd w:val="0"/>
              <w:snapToGrid w:val="0"/>
              <w:jc w:val="left"/>
              <w:rPr>
                <w:rFonts w:ascii="宋体" w:hAnsi="宋体"/>
                <w:b/>
                <w:sz w:val="24"/>
                <w:szCs w:val="24"/>
              </w:rPr>
            </w:pPr>
          </w:p>
        </w:tc>
      </w:tr>
    </w:tbl>
    <w:p>
      <w:pPr>
        <w:adjustRightInd w:val="0"/>
        <w:snapToGrid w:val="0"/>
        <w:spacing w:line="360" w:lineRule="auto"/>
        <w:jc w:val="left"/>
        <w:rPr>
          <w:rFonts w:ascii="宋体" w:hAnsi="宋体"/>
          <w:color w:val="000000"/>
          <w:sz w:val="24"/>
          <w:szCs w:val="24"/>
        </w:rPr>
      </w:pP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pPr>
        <w:pStyle w:val="13"/>
        <w:adjustRightInd w:val="0"/>
        <w:snapToGrid w:val="0"/>
        <w:spacing w:line="360" w:lineRule="auto"/>
        <w:jc w:val="left"/>
        <w:rPr>
          <w:rFonts w:ascii="宋体" w:hAnsi="宋体" w:eastAsia="宋体"/>
          <w:sz w:val="24"/>
          <w:szCs w:val="24"/>
        </w:rPr>
      </w:pPr>
    </w:p>
    <w:p>
      <w:pPr>
        <w:pStyle w:val="78"/>
        <w:adjustRightInd w:val="0"/>
        <w:snapToGrid w:val="0"/>
        <w:rPr>
          <w:rFonts w:hAnsi="宋体"/>
          <w:sz w:val="24"/>
          <w:szCs w:val="24"/>
        </w:rPr>
      </w:pPr>
    </w:p>
    <w:p>
      <w:pPr>
        <w:pStyle w:val="78"/>
        <w:adjustRightInd w:val="0"/>
        <w:snapToGrid w:val="0"/>
        <w:rPr>
          <w:rFonts w:hAnsi="宋体"/>
          <w:sz w:val="24"/>
          <w:szCs w:val="24"/>
        </w:rPr>
      </w:pPr>
    </w:p>
    <w:p>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pPr>
        <w:adjustRightInd w:val="0"/>
        <w:snapToGrid w:val="0"/>
        <w:spacing w:line="360" w:lineRule="auto"/>
        <w:jc w:val="left"/>
        <w:rPr>
          <w:rFonts w:ascii="宋体" w:hAnsi="宋体"/>
          <w:b/>
          <w:sz w:val="24"/>
          <w:szCs w:val="24"/>
        </w:rPr>
      </w:pPr>
    </w:p>
    <w:p>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pPr>
        <w:pStyle w:val="13"/>
        <w:adjustRightInd w:val="0"/>
        <w:snapToGrid w:val="0"/>
        <w:spacing w:line="360" w:lineRule="auto"/>
        <w:jc w:val="left"/>
        <w:rPr>
          <w:rFonts w:ascii="宋体" w:hAnsi="宋体" w:eastAsia="宋体"/>
          <w:b/>
          <w:sz w:val="24"/>
          <w:szCs w:val="24"/>
        </w:rPr>
      </w:pPr>
    </w:p>
    <w:p>
      <w:pPr>
        <w:pStyle w:val="13"/>
        <w:adjustRightInd w:val="0"/>
        <w:snapToGrid w:val="0"/>
        <w:spacing w:line="360" w:lineRule="auto"/>
        <w:jc w:val="left"/>
        <w:rPr>
          <w:rFonts w:ascii="宋体" w:hAnsi="宋体" w:eastAsia="宋体"/>
          <w:b/>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pPr>
        <w:adjustRightInd w:val="0"/>
        <w:snapToGrid w:val="0"/>
        <w:spacing w:line="360" w:lineRule="auto"/>
        <w:jc w:val="left"/>
        <w:rPr>
          <w:rFonts w:ascii="宋体" w:hAnsi="宋体"/>
          <w:sz w:val="24"/>
          <w:szCs w:val="24"/>
        </w:rPr>
      </w:pPr>
      <w:r>
        <w:rPr>
          <w:rFonts w:ascii="宋体" w:hAnsi="宋体"/>
          <w:sz w:val="24"/>
          <w:szCs w:val="24"/>
        </w:rPr>
        <w:t xml:space="preserve">地址：      </w:t>
      </w:r>
    </w:p>
    <w:p>
      <w:pPr>
        <w:adjustRightInd w:val="0"/>
        <w:snapToGrid w:val="0"/>
        <w:spacing w:line="360" w:lineRule="auto"/>
        <w:jc w:val="left"/>
        <w:rPr>
          <w:rFonts w:ascii="宋体" w:hAnsi="宋体"/>
          <w:sz w:val="24"/>
          <w:szCs w:val="24"/>
        </w:rPr>
      </w:pPr>
      <w:r>
        <w:rPr>
          <w:rFonts w:ascii="宋体" w:hAnsi="宋体"/>
          <w:sz w:val="24"/>
          <w:szCs w:val="24"/>
        </w:rPr>
        <w:t xml:space="preserve">开户行：     </w:t>
      </w:r>
    </w:p>
    <w:p>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pPr>
        <w:pStyle w:val="74"/>
        <w:numPr>
          <w:ilvl w:val="0"/>
          <w:numId w:val="0"/>
        </w:numPr>
        <w:adjustRightInd w:val="0"/>
        <w:snapToGrid w:val="0"/>
        <w:jc w:val="left"/>
        <w:outlineLvl w:val="9"/>
        <w:rPr>
          <w:rFonts w:ascii="宋体" w:hAnsi="宋体" w:eastAsia="宋体"/>
          <w:sz w:val="24"/>
          <w:szCs w:val="24"/>
        </w:rPr>
      </w:pPr>
    </w:p>
    <w:p>
      <w:pPr>
        <w:adjustRightInd w:val="0"/>
        <w:snapToGrid w:val="0"/>
        <w:spacing w:line="360" w:lineRule="auto"/>
        <w:jc w:val="left"/>
        <w:rPr>
          <w:rFonts w:ascii="宋体" w:hAnsi="宋体"/>
          <w:sz w:val="24"/>
          <w:szCs w:val="24"/>
        </w:rPr>
      </w:pPr>
      <w:r>
        <w:rPr>
          <w:rFonts w:ascii="宋体" w:hAnsi="宋体"/>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pPr>
        <w:adjustRightInd w:val="0"/>
        <w:snapToGrid w:val="0"/>
        <w:spacing w:line="360" w:lineRule="auto"/>
        <w:jc w:val="left"/>
        <w:rPr>
          <w:rFonts w:ascii="宋体" w:hAnsi="宋体" w:cs="宋体"/>
          <w:sz w:val="24"/>
          <w:szCs w:val="24"/>
        </w:rPr>
      </w:pPr>
    </w:p>
    <w:p>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8" cstate="print"/>
                    <a:srcRect/>
                    <a:stretch>
                      <a:fillRect/>
                    </a:stretch>
                  </pic:blipFill>
                  <pic:spPr>
                    <a:xfrm>
                      <a:off x="0" y="0"/>
                      <a:ext cx="5760085" cy="29330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9" cstate="print"/>
                    <a:srcRect/>
                    <a:stretch>
                      <a:fillRect/>
                    </a:stretch>
                  </pic:blipFill>
                  <pic:spPr>
                    <a:xfrm>
                      <a:off x="0" y="0"/>
                      <a:ext cx="5760085" cy="276669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0" cstate="print"/>
                    <a:srcRect/>
                    <a:stretch>
                      <a:fillRect/>
                    </a:stretch>
                  </pic:blipFill>
                  <pic:spPr>
                    <a:xfrm>
                      <a:off x="0" y="0"/>
                      <a:ext cx="5760085" cy="2869565"/>
                    </a:xfrm>
                    <a:prstGeom prst="rect">
                      <a:avLst/>
                    </a:prstGeom>
                  </pic:spPr>
                </pic:pic>
              </a:graphicData>
            </a:graphic>
          </wp:inline>
        </w:drawing>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1" cstate="print"/>
                    <a:srcRect/>
                    <a:stretch>
                      <a:fillRect/>
                    </a:stretch>
                  </pic:blipFill>
                  <pic:spPr>
                    <a:xfrm>
                      <a:off x="0" y="0"/>
                      <a:ext cx="5760085" cy="2853055"/>
                    </a:xfrm>
                    <a:prstGeom prst="rect">
                      <a:avLst/>
                    </a:prstGeom>
                  </pic:spPr>
                </pic:pic>
              </a:graphicData>
            </a:graphic>
          </wp:inline>
        </w:drawing>
      </w:r>
    </w:p>
    <w:p>
      <w:pPr>
        <w:numPr>
          <w:ilvl w:val="0"/>
          <w:numId w:val="34"/>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color w:val="000000"/>
          <w:sz w:val="24"/>
          <w:szCs w:val="24"/>
        </w:rPr>
      </w:pP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2" cstate="print"/>
                    <a:srcRect/>
                    <a:stretch>
                      <a:fillRect/>
                    </a:stretch>
                  </pic:blipFill>
                  <pic:spPr>
                    <a:xfrm>
                      <a:off x="0" y="0"/>
                      <a:ext cx="5760085" cy="2809875"/>
                    </a:xfrm>
                    <a:prstGeom prst="rect">
                      <a:avLst/>
                    </a:prstGeom>
                  </pic:spPr>
                </pic:pic>
              </a:graphicData>
            </a:graphic>
          </wp:inline>
        </w:drawing>
      </w:r>
    </w:p>
    <w:p>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3" cstate="print"/>
                    <a:srcRect/>
                    <a:stretch>
                      <a:fillRect/>
                    </a:stretch>
                  </pic:blipFill>
                  <pic:spPr>
                    <a:xfrm>
                      <a:off x="0" y="0"/>
                      <a:ext cx="5760085" cy="2820035"/>
                    </a:xfrm>
                    <a:prstGeom prst="rect">
                      <a:avLst/>
                    </a:prstGeom>
                  </pic:spPr>
                </pic:pic>
              </a:graphicData>
            </a:graphic>
          </wp:inline>
        </w:drawing>
      </w:r>
    </w:p>
    <w:p>
      <w:pPr>
        <w:pStyle w:val="16"/>
        <w:adjustRightInd w:val="0"/>
        <w:snapToGrid w:val="0"/>
        <w:spacing w:line="360" w:lineRule="auto"/>
        <w:jc w:val="left"/>
        <w:rPr>
          <w:rFonts w:hAnsi="宋体"/>
          <w:sz w:val="24"/>
          <w:szCs w:val="24"/>
        </w:rPr>
      </w:pPr>
    </w:p>
    <w:p>
      <w:pPr>
        <w:pStyle w:val="16"/>
        <w:adjustRightInd w:val="0"/>
        <w:snapToGrid w:val="0"/>
        <w:spacing w:line="360" w:lineRule="auto"/>
        <w:jc w:val="left"/>
        <w:rPr>
          <w:rFonts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pPr>
        <w:pStyle w:val="74"/>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4"/>
                    <a:stretch>
                      <a:fillRect/>
                    </a:stretch>
                  </pic:blipFill>
                  <pic:spPr>
                    <a:xfrm>
                      <a:off x="0" y="0"/>
                      <a:ext cx="5760085" cy="2269864"/>
                    </a:xfrm>
                    <a:prstGeom prst="rect">
                      <a:avLst/>
                    </a:prstGeom>
                  </pic:spPr>
                </pic:pic>
              </a:graphicData>
            </a:graphic>
          </wp:inline>
        </w:drawing>
      </w:r>
    </w:p>
    <w:p>
      <w:pPr>
        <w:adjustRightInd w:val="0"/>
        <w:snapToGrid w:val="0"/>
        <w:spacing w:line="360" w:lineRule="auto"/>
        <w:jc w:val="left"/>
        <w:rPr>
          <w:rFonts w:ascii="宋体" w:hAnsi="宋体"/>
          <w:sz w:val="24"/>
          <w:szCs w:val="24"/>
        </w:rPr>
      </w:pP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5"/>
                    <a:stretch>
                      <a:fillRect/>
                    </a:stretch>
                  </pic:blipFill>
                  <pic:spPr>
                    <a:xfrm>
                      <a:off x="0" y="0"/>
                      <a:ext cx="5760085" cy="2125673"/>
                    </a:xfrm>
                    <a:prstGeom prst="rect">
                      <a:avLst/>
                    </a:prstGeom>
                  </pic:spPr>
                </pic:pic>
              </a:graphicData>
            </a:graphic>
          </wp:inline>
        </w:drawing>
      </w:r>
    </w:p>
    <w:p>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6"/>
                    <a:stretch>
                      <a:fillRect/>
                    </a:stretch>
                  </pic:blipFill>
                  <pic:spPr>
                    <a:xfrm>
                      <a:off x="0" y="0"/>
                      <a:ext cx="5490210" cy="2669498"/>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7"/>
                    <a:stretch>
                      <a:fillRect/>
                    </a:stretch>
                  </pic:blipFill>
                  <pic:spPr>
                    <a:xfrm>
                      <a:off x="0" y="0"/>
                      <a:ext cx="5490210" cy="1992743"/>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8"/>
                    <a:stretch>
                      <a:fillRect/>
                    </a:stretch>
                  </pic:blipFill>
                  <pic:spPr>
                    <a:xfrm>
                      <a:off x="0" y="0"/>
                      <a:ext cx="5490210" cy="2544669"/>
                    </a:xfrm>
                    <a:prstGeom prst="rect">
                      <a:avLst/>
                    </a:prstGeom>
                  </pic:spPr>
                </pic:pic>
              </a:graphicData>
            </a:graphic>
          </wp:inline>
        </w:drawing>
      </w:r>
    </w:p>
    <w:p>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9"/>
                    <a:stretch>
                      <a:fillRect/>
                    </a:stretch>
                  </pic:blipFill>
                  <pic:spPr>
                    <a:xfrm>
                      <a:off x="0" y="0"/>
                      <a:ext cx="5760085" cy="1956600"/>
                    </a:xfrm>
                    <a:prstGeom prst="rect">
                      <a:avLst/>
                    </a:prstGeom>
                  </pic:spPr>
                </pic:pic>
              </a:graphicData>
            </a:graphic>
          </wp:inline>
        </w:drawing>
      </w:r>
    </w:p>
    <w:p>
      <w:pPr>
        <w:pStyle w:val="78"/>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framePr w:wrap="around" w:vAnchor="text" w:hAnchor="margin" w:xAlign="center" w:y="1"/>
      <w:rPr>
        <w:rStyle w:val="36"/>
      </w:rPr>
    </w:pPr>
    <w:r>
      <w:fldChar w:fldCharType="begin"/>
    </w:r>
    <w:r>
      <w:rPr>
        <w:rStyle w:val="36"/>
      </w:rPr>
      <w:instrText xml:space="preserve">PAGE  </w:instrText>
    </w:r>
    <w:r>
      <w:fldChar w:fldCharType="end"/>
    </w:r>
  </w:p>
  <w:p>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E21DFFFF"/>
    <w:multiLevelType w:val="singleLevel"/>
    <w:tmpl w:val="E21DFFFF"/>
    <w:lvl w:ilvl="0" w:tentative="0">
      <w:start w:val="1"/>
      <w:numFmt w:val="decimal"/>
      <w:suff w:val="nothing"/>
      <w:lvlText w:val="%1、"/>
      <w:lvlJc w:val="left"/>
    </w:lvl>
  </w:abstractNum>
  <w:abstractNum w:abstractNumId="3">
    <w:nsid w:val="00000003"/>
    <w:multiLevelType w:val="singleLevel"/>
    <w:tmpl w:val="00000003"/>
    <w:lvl w:ilvl="0" w:tentative="0">
      <w:start w:val="5"/>
      <w:numFmt w:val="decimal"/>
      <w:lvlText w:val="%1."/>
      <w:lvlJc w:val="left"/>
      <w:pPr>
        <w:tabs>
          <w:tab w:val="left" w:pos="312"/>
        </w:tabs>
      </w:pPr>
    </w:lvl>
  </w:abstractNum>
  <w:abstractNum w:abstractNumId="4">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6882CE3"/>
    <w:multiLevelType w:val="multilevel"/>
    <w:tmpl w:val="06882CE3"/>
    <w:lvl w:ilvl="0" w:tentative="0">
      <w:start w:val="1"/>
      <w:numFmt w:val="decimal"/>
      <w:pStyle w:val="77"/>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178D3D0E"/>
    <w:multiLevelType w:val="multilevel"/>
    <w:tmpl w:val="178D3D0E"/>
    <w:lvl w:ilvl="0" w:tentative="0">
      <w:start w:val="1"/>
      <w:numFmt w:val="bullet"/>
      <w:pStyle w:val="93"/>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1E7B065C"/>
    <w:multiLevelType w:val="multilevel"/>
    <w:tmpl w:val="1E7B065C"/>
    <w:lvl w:ilvl="0" w:tentative="0">
      <w:start w:val="1"/>
      <w:numFmt w:val="decimal"/>
      <w:pStyle w:val="98"/>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3">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6">
    <w:nsid w:val="2C5B6192"/>
    <w:multiLevelType w:val="multilevel"/>
    <w:tmpl w:val="2C5B6192"/>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5">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520018B0"/>
    <w:multiLevelType w:val="multilevel"/>
    <w:tmpl w:val="520018B0"/>
    <w:lvl w:ilvl="0" w:tentative="0">
      <w:start w:val="1"/>
      <w:numFmt w:val="decimal"/>
      <w:pStyle w:val="76"/>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7">
    <w:nsid w:val="560F40FB"/>
    <w:multiLevelType w:val="multilevel"/>
    <w:tmpl w:val="560F40FB"/>
    <w:lvl w:ilvl="0" w:tentative="0">
      <w:start w:val="1"/>
      <w:numFmt w:val="lowerLetter"/>
      <w:pStyle w:val="103"/>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8">
    <w:nsid w:val="56D20133"/>
    <w:multiLevelType w:val="multilevel"/>
    <w:tmpl w:val="56D20133"/>
    <w:lvl w:ilvl="0" w:tentative="0">
      <w:start w:val="1"/>
      <w:numFmt w:val="chineseCountingThousand"/>
      <w:pStyle w:val="75"/>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9">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2">
    <w:nsid w:val="656A6EAE"/>
    <w:multiLevelType w:val="multilevel"/>
    <w:tmpl w:val="656A6EAE"/>
    <w:lvl w:ilvl="0" w:tentative="0">
      <w:start w:val="1"/>
      <w:numFmt w:val="chineseCountingThousand"/>
      <w:pStyle w:val="74"/>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3">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4"/>
  </w:num>
  <w:num w:numId="2">
    <w:abstractNumId w:val="32"/>
  </w:num>
  <w:num w:numId="3">
    <w:abstractNumId w:val="28"/>
  </w:num>
  <w:num w:numId="4">
    <w:abstractNumId w:val="26"/>
  </w:num>
  <w:num w:numId="5">
    <w:abstractNumId w:val="7"/>
  </w:num>
  <w:num w:numId="6">
    <w:abstractNumId w:val="10"/>
  </w:num>
  <w:num w:numId="7">
    <w:abstractNumId w:val="12"/>
  </w:num>
  <w:num w:numId="8">
    <w:abstractNumId w:val="27"/>
  </w:num>
  <w:num w:numId="9">
    <w:abstractNumId w:val="29"/>
  </w:num>
  <w:num w:numId="10">
    <w:abstractNumId w:val="8"/>
  </w:num>
  <w:num w:numId="11">
    <w:abstractNumId w:val="22"/>
  </w:num>
  <w:num w:numId="12">
    <w:abstractNumId w:val="23"/>
  </w:num>
  <w:num w:numId="13">
    <w:abstractNumId w:val="4"/>
  </w:num>
  <w:num w:numId="14">
    <w:abstractNumId w:val="6"/>
  </w:num>
  <w:num w:numId="15">
    <w:abstractNumId w:val="1"/>
  </w:num>
  <w:num w:numId="16">
    <w:abstractNumId w:val="31"/>
  </w:num>
  <w:num w:numId="17">
    <w:abstractNumId w:val="20"/>
  </w:num>
  <w:num w:numId="18">
    <w:abstractNumId w:val="11"/>
  </w:num>
  <w:num w:numId="19">
    <w:abstractNumId w:val="25"/>
  </w:num>
  <w:num w:numId="20">
    <w:abstractNumId w:val="5"/>
  </w:num>
  <w:num w:numId="21">
    <w:abstractNumId w:val="14"/>
  </w:num>
  <w:num w:numId="22">
    <w:abstractNumId w:val="9"/>
  </w:num>
  <w:num w:numId="23">
    <w:abstractNumId w:val="30"/>
  </w:num>
  <w:num w:numId="24">
    <w:abstractNumId w:val="19"/>
  </w:num>
  <w:num w:numId="25">
    <w:abstractNumId w:val="2"/>
  </w:num>
  <w:num w:numId="26">
    <w:abstractNumId w:val="33"/>
  </w:num>
  <w:num w:numId="27">
    <w:abstractNumId w:val="0"/>
  </w:num>
  <w:num w:numId="28">
    <w:abstractNumId w:val="15"/>
  </w:num>
  <w:num w:numId="29">
    <w:abstractNumId w:val="17"/>
  </w:num>
  <w:num w:numId="30">
    <w:abstractNumId w:val="18"/>
  </w:num>
  <w:num w:numId="31">
    <w:abstractNumId w:val="21"/>
  </w:num>
  <w:num w:numId="32">
    <w:abstractNumId w:val="16"/>
  </w:num>
  <w:num w:numId="33">
    <w:abstractNumId w:val="13"/>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2"/>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4A0DF4"/>
    <w:rsid w:val="03F033B0"/>
    <w:rsid w:val="042D24CA"/>
    <w:rsid w:val="042D7FF0"/>
    <w:rsid w:val="057C1D39"/>
    <w:rsid w:val="05891259"/>
    <w:rsid w:val="0654565B"/>
    <w:rsid w:val="08633479"/>
    <w:rsid w:val="087C36E1"/>
    <w:rsid w:val="09285011"/>
    <w:rsid w:val="0A486315"/>
    <w:rsid w:val="0A63147A"/>
    <w:rsid w:val="0A81331A"/>
    <w:rsid w:val="0ADB2EF0"/>
    <w:rsid w:val="0ADD4CBE"/>
    <w:rsid w:val="0C015F85"/>
    <w:rsid w:val="0C83309C"/>
    <w:rsid w:val="0CB51572"/>
    <w:rsid w:val="0CBE38F4"/>
    <w:rsid w:val="0DE73E36"/>
    <w:rsid w:val="0E1E5070"/>
    <w:rsid w:val="0E4D31E3"/>
    <w:rsid w:val="0E530E38"/>
    <w:rsid w:val="10DC2AA3"/>
    <w:rsid w:val="10FA7C8C"/>
    <w:rsid w:val="11240C8A"/>
    <w:rsid w:val="12F64B6E"/>
    <w:rsid w:val="130B198F"/>
    <w:rsid w:val="13B54178"/>
    <w:rsid w:val="13FA68E0"/>
    <w:rsid w:val="148651DD"/>
    <w:rsid w:val="15BB1367"/>
    <w:rsid w:val="16040658"/>
    <w:rsid w:val="160B29C0"/>
    <w:rsid w:val="16A918E4"/>
    <w:rsid w:val="17D966D6"/>
    <w:rsid w:val="19517BDA"/>
    <w:rsid w:val="19E33213"/>
    <w:rsid w:val="1A463A67"/>
    <w:rsid w:val="1B481CDF"/>
    <w:rsid w:val="1BA3160C"/>
    <w:rsid w:val="1BC71D3B"/>
    <w:rsid w:val="1C59115B"/>
    <w:rsid w:val="1C6A30A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BF360C"/>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936B2B"/>
    <w:rsid w:val="34F565DC"/>
    <w:rsid w:val="3573482C"/>
    <w:rsid w:val="35D271A0"/>
    <w:rsid w:val="36254FE4"/>
    <w:rsid w:val="36AA39B8"/>
    <w:rsid w:val="372F61E0"/>
    <w:rsid w:val="38500BF1"/>
    <w:rsid w:val="39322FCA"/>
    <w:rsid w:val="395C1BFB"/>
    <w:rsid w:val="3A503E1E"/>
    <w:rsid w:val="3AB90991"/>
    <w:rsid w:val="3B6C1963"/>
    <w:rsid w:val="3B706131"/>
    <w:rsid w:val="3BF833EC"/>
    <w:rsid w:val="3C8E02FC"/>
    <w:rsid w:val="3E0838CB"/>
    <w:rsid w:val="3E6F041E"/>
    <w:rsid w:val="3E846635"/>
    <w:rsid w:val="3F9D2397"/>
    <w:rsid w:val="418D0CE6"/>
    <w:rsid w:val="41A5482C"/>
    <w:rsid w:val="4275481E"/>
    <w:rsid w:val="428B617A"/>
    <w:rsid w:val="42947BD5"/>
    <w:rsid w:val="42CE288A"/>
    <w:rsid w:val="433D7BDC"/>
    <w:rsid w:val="437E1813"/>
    <w:rsid w:val="43A427AA"/>
    <w:rsid w:val="43F95365"/>
    <w:rsid w:val="441B7CA6"/>
    <w:rsid w:val="444E2202"/>
    <w:rsid w:val="45354CBC"/>
    <w:rsid w:val="45BD47FC"/>
    <w:rsid w:val="45CC5FB2"/>
    <w:rsid w:val="46B75BA8"/>
    <w:rsid w:val="46E91D19"/>
    <w:rsid w:val="48C97955"/>
    <w:rsid w:val="49880C8F"/>
    <w:rsid w:val="4A8835F7"/>
    <w:rsid w:val="4B592E71"/>
    <w:rsid w:val="4C142ECC"/>
    <w:rsid w:val="4CD32C8D"/>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A37F94"/>
    <w:rsid w:val="63F04A69"/>
    <w:rsid w:val="646A3D0C"/>
    <w:rsid w:val="64A82747"/>
    <w:rsid w:val="64C5191E"/>
    <w:rsid w:val="65336B29"/>
    <w:rsid w:val="65AA5B01"/>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0DC30B4"/>
    <w:rsid w:val="71F00129"/>
    <w:rsid w:val="71FE41EB"/>
    <w:rsid w:val="72895F2E"/>
    <w:rsid w:val="72C02EBE"/>
    <w:rsid w:val="72C507AD"/>
    <w:rsid w:val="72D028D8"/>
    <w:rsid w:val="745D47C3"/>
    <w:rsid w:val="751B1584"/>
    <w:rsid w:val="75341FA7"/>
    <w:rsid w:val="764F7753"/>
    <w:rsid w:val="76AC3757"/>
    <w:rsid w:val="77D4005C"/>
    <w:rsid w:val="78292927"/>
    <w:rsid w:val="78E42452"/>
    <w:rsid w:val="7B9854E0"/>
    <w:rsid w:val="7C6021A7"/>
    <w:rsid w:val="7CAB4D9F"/>
    <w:rsid w:val="7CB93F8E"/>
    <w:rsid w:val="7CBA738F"/>
    <w:rsid w:val="7CF66B46"/>
    <w:rsid w:val="7D2B1D97"/>
    <w:rsid w:val="7D4A0A5C"/>
    <w:rsid w:val="7D7B6D27"/>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98"/>
    <w:pPr>
      <w:widowControl w:val="0"/>
      <w:jc w:val="both"/>
    </w:pPr>
    <w:rPr>
      <w:rFonts w:ascii="Times New Roman" w:hAnsi="Times New Roman" w:eastAsia="宋体" w:cs="Times New Roman"/>
      <w:kern w:val="2"/>
      <w:sz w:val="21"/>
      <w:lang w:val="en-US" w:eastAsia="zh-CN" w:bidi="ar-SA"/>
    </w:rPr>
  </w:style>
  <w:style w:type="paragraph" w:styleId="3">
    <w:name w:val="heading 1"/>
    <w:basedOn w:val="1"/>
    <w:next w:val="1"/>
    <w:link w:val="69"/>
    <w:semiHidden/>
    <w:qFormat/>
    <w:uiPriority w:val="0"/>
    <w:pPr>
      <w:keepNext/>
      <w:keepLines/>
      <w:spacing w:before="340" w:after="330" w:line="578" w:lineRule="auto"/>
      <w:outlineLvl w:val="0"/>
    </w:pPr>
    <w:rPr>
      <w:b/>
      <w:bCs/>
      <w:kern w:val="44"/>
      <w:sz w:val="44"/>
      <w:szCs w:val="44"/>
    </w:rPr>
  </w:style>
  <w:style w:type="paragraph" w:styleId="2">
    <w:name w:val="heading 2"/>
    <w:basedOn w:val="1"/>
    <w:next w:val="1"/>
    <w:link w:val="83"/>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3"/>
    <w:semiHidden/>
    <w:qFormat/>
    <w:uiPriority w:val="0"/>
    <w:pPr>
      <w:keepNext/>
      <w:keepLines/>
      <w:spacing w:line="416" w:lineRule="auto"/>
      <w:outlineLvl w:val="2"/>
    </w:pPr>
    <w:rPr>
      <w:b/>
      <w:bCs/>
      <w:sz w:val="32"/>
      <w:szCs w:val="32"/>
    </w:rPr>
  </w:style>
  <w:style w:type="paragraph" w:styleId="5">
    <w:name w:val="heading 4"/>
    <w:basedOn w:val="1"/>
    <w:next w:val="1"/>
    <w:link w:val="79"/>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0"/>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6"/>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sz w:val="20"/>
      <w:szCs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5"/>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7"/>
    <w:qFormat/>
    <w:uiPriority w:val="99"/>
    <w:pPr>
      <w:jc w:val="left"/>
    </w:pPr>
  </w:style>
  <w:style w:type="paragraph" w:styleId="12">
    <w:name w:val="index 6"/>
    <w:basedOn w:val="1"/>
    <w:next w:val="1"/>
    <w:qFormat/>
    <w:uiPriority w:val="0"/>
    <w:rPr>
      <w:rFonts w:ascii="宋体" w:hAnsi="宋体"/>
      <w:color w:val="000000"/>
      <w:sz w:val="20"/>
      <w:szCs w:val="20"/>
    </w:rPr>
  </w:style>
  <w:style w:type="paragraph" w:styleId="13">
    <w:name w:val="Body Text"/>
    <w:basedOn w:val="1"/>
    <w:link w:val="43"/>
    <w:semiHidden/>
    <w:qFormat/>
    <w:uiPriority w:val="98"/>
    <w:rPr>
      <w:rFonts w:ascii="仿宋_GB2312" w:eastAsia="仿宋_GB2312"/>
      <w:sz w:val="32"/>
    </w:rPr>
  </w:style>
  <w:style w:type="paragraph" w:styleId="14">
    <w:name w:val="Body Text Indent"/>
    <w:basedOn w:val="1"/>
    <w:next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9"/>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8"/>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5"/>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10"/>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2"/>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1"/>
    <w:next w:val="11"/>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3"/>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1"/>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paragraph" w:customStyle="1" w:styleId="67">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8">
    <w:name w:val="style61"/>
    <w:semiHidden/>
    <w:qFormat/>
    <w:uiPriority w:val="98"/>
  </w:style>
  <w:style w:type="character" w:customStyle="1" w:styleId="69">
    <w:name w:val="标题 1 字符"/>
    <w:basedOn w:val="34"/>
    <w:link w:val="3"/>
    <w:semiHidden/>
    <w:qFormat/>
    <w:uiPriority w:val="0"/>
    <w:rPr>
      <w:b/>
      <w:bCs/>
      <w:kern w:val="44"/>
      <w:sz w:val="44"/>
      <w:szCs w:val="44"/>
    </w:rPr>
  </w:style>
  <w:style w:type="paragraph" w:customStyle="1" w:styleId="70">
    <w:name w:val="TOC 标题1"/>
    <w:basedOn w:val="3"/>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1">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2">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3">
    <w:name w:val="章节"/>
    <w:basedOn w:val="16"/>
    <w:qFormat/>
    <w:uiPriority w:val="0"/>
    <w:pPr>
      <w:spacing w:line="360" w:lineRule="auto"/>
      <w:jc w:val="center"/>
      <w:outlineLvl w:val="0"/>
    </w:pPr>
    <w:rPr>
      <w:rFonts w:ascii="黑体" w:eastAsia="黑体"/>
      <w:b/>
      <w:bCs/>
      <w:sz w:val="36"/>
      <w:szCs w:val="36"/>
    </w:rPr>
  </w:style>
  <w:style w:type="paragraph" w:customStyle="1" w:styleId="74">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5">
    <w:name w:val="（二）级标题"/>
    <w:basedOn w:val="16"/>
    <w:qFormat/>
    <w:uiPriority w:val="2"/>
    <w:pPr>
      <w:numPr>
        <w:ilvl w:val="0"/>
        <w:numId w:val="3"/>
      </w:numPr>
      <w:spacing w:line="360" w:lineRule="auto"/>
      <w:outlineLvl w:val="2"/>
    </w:pPr>
    <w:rPr>
      <w:b/>
    </w:rPr>
  </w:style>
  <w:style w:type="paragraph" w:customStyle="1" w:styleId="76">
    <w:name w:val="3级标题"/>
    <w:basedOn w:val="16"/>
    <w:link w:val="104"/>
    <w:qFormat/>
    <w:uiPriority w:val="3"/>
    <w:pPr>
      <w:numPr>
        <w:ilvl w:val="0"/>
        <w:numId w:val="4"/>
      </w:numPr>
      <w:spacing w:line="360" w:lineRule="auto"/>
      <w:outlineLvl w:val="3"/>
    </w:pPr>
    <w:rPr>
      <w:b/>
    </w:rPr>
  </w:style>
  <w:style w:type="paragraph" w:customStyle="1" w:styleId="77">
    <w:name w:val="（4）级标题"/>
    <w:basedOn w:val="16"/>
    <w:qFormat/>
    <w:uiPriority w:val="8"/>
    <w:pPr>
      <w:numPr>
        <w:ilvl w:val="0"/>
        <w:numId w:val="5"/>
      </w:numPr>
      <w:spacing w:line="360" w:lineRule="auto"/>
      <w:outlineLvl w:val="4"/>
    </w:pPr>
  </w:style>
  <w:style w:type="paragraph" w:customStyle="1" w:styleId="78">
    <w:name w:val="标书正文"/>
    <w:basedOn w:val="16"/>
    <w:link w:val="99"/>
    <w:qFormat/>
    <w:uiPriority w:val="9"/>
    <w:pPr>
      <w:spacing w:line="360" w:lineRule="auto"/>
      <w:jc w:val="left"/>
    </w:pPr>
  </w:style>
  <w:style w:type="character" w:customStyle="1" w:styleId="79">
    <w:name w:val="标题 4 字符"/>
    <w:basedOn w:val="34"/>
    <w:link w:val="5"/>
    <w:semiHidden/>
    <w:qFormat/>
    <w:uiPriority w:val="0"/>
    <w:rPr>
      <w:rFonts w:ascii="Arial" w:hAnsi="Arial"/>
      <w:b/>
      <w:bCs/>
      <w:kern w:val="2"/>
      <w:sz w:val="21"/>
      <w:szCs w:val="28"/>
    </w:rPr>
  </w:style>
  <w:style w:type="character" w:customStyle="1" w:styleId="80">
    <w:name w:val="标题 5 字符"/>
    <w:basedOn w:val="34"/>
    <w:link w:val="6"/>
    <w:semiHidden/>
    <w:qFormat/>
    <w:uiPriority w:val="0"/>
    <w:rPr>
      <w:rFonts w:ascii="宋体" w:hAnsi="宋体"/>
      <w:bCs/>
      <w:iCs/>
      <w:color w:val="000000"/>
      <w:sz w:val="28"/>
      <w:szCs w:val="28"/>
    </w:rPr>
  </w:style>
  <w:style w:type="paragraph" w:customStyle="1" w:styleId="81">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2">
    <w:name w:val="case31"/>
    <w:qFormat/>
    <w:uiPriority w:val="0"/>
    <w:rPr>
      <w:rFonts w:hint="default" w:ascii="ˎ̥" w:hAnsi="ˎ̥"/>
      <w:sz w:val="21"/>
      <w:szCs w:val="21"/>
    </w:rPr>
  </w:style>
  <w:style w:type="character" w:customStyle="1" w:styleId="83">
    <w:name w:val="标题 2 字符1"/>
    <w:link w:val="2"/>
    <w:qFormat/>
    <w:uiPriority w:val="0"/>
    <w:rPr>
      <w:rFonts w:ascii="宋体" w:hAnsi="宋体"/>
      <w:bCs/>
      <w:sz w:val="24"/>
      <w:szCs w:val="32"/>
    </w:rPr>
  </w:style>
  <w:style w:type="character" w:customStyle="1" w:styleId="84">
    <w:name w:val="标题 Char"/>
    <w:qFormat/>
    <w:uiPriority w:val="0"/>
    <w:rPr>
      <w:rFonts w:ascii="宋体" w:hAnsi="宋体" w:cs="Times New Roman"/>
      <w:b/>
      <w:bCs/>
      <w:sz w:val="24"/>
      <w:szCs w:val="32"/>
    </w:rPr>
  </w:style>
  <w:style w:type="character" w:customStyle="1" w:styleId="85">
    <w:name w:val="正文文本缩进 3 字符"/>
    <w:basedOn w:val="34"/>
    <w:link w:val="24"/>
    <w:semiHidden/>
    <w:qFormat/>
    <w:uiPriority w:val="0"/>
    <w:rPr>
      <w:rFonts w:ascii="宋体" w:hAnsi="宋体"/>
      <w:color w:val="FF0000"/>
      <w:kern w:val="2"/>
      <w:sz w:val="24"/>
      <w:szCs w:val="24"/>
    </w:rPr>
  </w:style>
  <w:style w:type="paragraph" w:customStyle="1" w:styleId="86">
    <w:name w:val="_Style 4"/>
    <w:basedOn w:val="3"/>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7">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8">
    <w:name w:val="正文文本缩进 2 字符"/>
    <w:basedOn w:val="34"/>
    <w:link w:val="18"/>
    <w:semiHidden/>
    <w:qFormat/>
    <w:uiPriority w:val="0"/>
    <w:rPr>
      <w:sz w:val="24"/>
    </w:rPr>
  </w:style>
  <w:style w:type="character" w:customStyle="1" w:styleId="89">
    <w:name w:val="日期 字符"/>
    <w:basedOn w:val="34"/>
    <w:link w:val="17"/>
    <w:semiHidden/>
    <w:qFormat/>
    <w:uiPriority w:val="0"/>
    <w:rPr>
      <w:sz w:val="24"/>
    </w:rPr>
  </w:style>
  <w:style w:type="paragraph" w:customStyle="1" w:styleId="90">
    <w:name w:val="Char1 Char Char Char Char Char Char"/>
    <w:basedOn w:val="1"/>
    <w:qFormat/>
    <w:uiPriority w:val="0"/>
    <w:rPr>
      <w:rFonts w:ascii="Tahoma" w:hAnsi="Tahoma"/>
      <w:sz w:val="24"/>
    </w:rPr>
  </w:style>
  <w:style w:type="paragraph" w:customStyle="1" w:styleId="91">
    <w:name w:val="样式1"/>
    <w:basedOn w:val="1"/>
    <w:qFormat/>
    <w:uiPriority w:val="0"/>
    <w:pPr>
      <w:adjustRightInd w:val="0"/>
      <w:spacing w:line="420" w:lineRule="auto"/>
      <w:jc w:val="center"/>
      <w:textAlignment w:val="baseline"/>
    </w:pPr>
    <w:rPr>
      <w:rFonts w:ascii="宋体"/>
      <w:kern w:val="0"/>
      <w:sz w:val="24"/>
    </w:rPr>
  </w:style>
  <w:style w:type="paragraph" w:customStyle="1" w:styleId="92">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3">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4">
    <w:name w:val="文档结构图 字符"/>
    <w:basedOn w:val="34"/>
    <w:semiHidden/>
    <w:qFormat/>
    <w:uiPriority w:val="98"/>
    <w:rPr>
      <w:rFonts w:ascii="Microsoft YaHei UI" w:eastAsia="Microsoft YaHei UI"/>
      <w:kern w:val="2"/>
      <w:sz w:val="18"/>
      <w:szCs w:val="18"/>
    </w:rPr>
  </w:style>
  <w:style w:type="character" w:customStyle="1" w:styleId="95">
    <w:name w:val="文档结构图 字符1"/>
    <w:basedOn w:val="34"/>
    <w:link w:val="10"/>
    <w:semiHidden/>
    <w:qFormat/>
    <w:uiPriority w:val="0"/>
    <w:rPr>
      <w:rFonts w:ascii="宋体"/>
      <w:sz w:val="18"/>
      <w:szCs w:val="18"/>
    </w:rPr>
  </w:style>
  <w:style w:type="paragraph" w:customStyle="1" w:styleId="96">
    <w:name w:val="表格"/>
    <w:basedOn w:val="1"/>
    <w:link w:val="97"/>
    <w:qFormat/>
    <w:uiPriority w:val="10"/>
    <w:rPr>
      <w:rFonts w:ascii="宋体" w:hAnsi="宋体"/>
      <w:szCs w:val="30"/>
    </w:rPr>
  </w:style>
  <w:style w:type="character" w:customStyle="1" w:styleId="97">
    <w:name w:val="表格 字符"/>
    <w:basedOn w:val="34"/>
    <w:link w:val="96"/>
    <w:qFormat/>
    <w:uiPriority w:val="10"/>
    <w:rPr>
      <w:rFonts w:ascii="宋体" w:hAnsi="宋体"/>
      <w:kern w:val="2"/>
      <w:sz w:val="21"/>
      <w:szCs w:val="30"/>
    </w:rPr>
  </w:style>
  <w:style w:type="paragraph" w:customStyle="1" w:styleId="98">
    <w:name w:val="5）级标题"/>
    <w:basedOn w:val="78"/>
    <w:link w:val="100"/>
    <w:qFormat/>
    <w:uiPriority w:val="11"/>
    <w:pPr>
      <w:numPr>
        <w:ilvl w:val="0"/>
        <w:numId w:val="7"/>
      </w:numPr>
      <w:ind w:firstLine="0"/>
    </w:pPr>
  </w:style>
  <w:style w:type="character" w:customStyle="1" w:styleId="99">
    <w:name w:val="标书正文 字符"/>
    <w:basedOn w:val="52"/>
    <w:link w:val="78"/>
    <w:qFormat/>
    <w:uiPriority w:val="9"/>
    <w:rPr>
      <w:rFonts w:ascii="宋体" w:hAnsi="Courier New"/>
      <w:kern w:val="2"/>
      <w:sz w:val="21"/>
    </w:rPr>
  </w:style>
  <w:style w:type="character" w:customStyle="1" w:styleId="100">
    <w:name w:val="5）级标题 字符"/>
    <w:basedOn w:val="99"/>
    <w:link w:val="98"/>
    <w:qFormat/>
    <w:uiPriority w:val="11"/>
    <w:rPr>
      <w:rFonts w:ascii="宋体" w:hAnsi="Courier New"/>
      <w:kern w:val="2"/>
      <w:sz w:val="21"/>
    </w:rPr>
  </w:style>
  <w:style w:type="paragraph" w:customStyle="1" w:styleId="101">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2">
    <w:name w:val="不明显强调1"/>
    <w:basedOn w:val="34"/>
    <w:qFormat/>
    <w:uiPriority w:val="19"/>
    <w:rPr>
      <w:rFonts w:eastAsia="宋体"/>
      <w:i/>
      <w:iCs/>
      <w:color w:val="auto"/>
      <w:sz w:val="21"/>
    </w:rPr>
  </w:style>
  <w:style w:type="paragraph" w:customStyle="1" w:styleId="103">
    <w:name w:val="⑥级标题"/>
    <w:basedOn w:val="76"/>
    <w:link w:val="105"/>
    <w:qFormat/>
    <w:uiPriority w:val="12"/>
    <w:pPr>
      <w:numPr>
        <w:numId w:val="8"/>
      </w:numPr>
    </w:pPr>
  </w:style>
  <w:style w:type="character" w:customStyle="1" w:styleId="104">
    <w:name w:val="3级标题 字符"/>
    <w:basedOn w:val="52"/>
    <w:link w:val="76"/>
    <w:qFormat/>
    <w:uiPriority w:val="3"/>
    <w:rPr>
      <w:rFonts w:ascii="宋体" w:hAnsi="Courier New"/>
      <w:b/>
      <w:kern w:val="2"/>
      <w:sz w:val="21"/>
    </w:rPr>
  </w:style>
  <w:style w:type="character" w:customStyle="1" w:styleId="105">
    <w:name w:val="⑥级标题 字符"/>
    <w:basedOn w:val="104"/>
    <w:link w:val="103"/>
    <w:qFormat/>
    <w:uiPriority w:val="12"/>
    <w:rPr>
      <w:rFonts w:ascii="宋体" w:hAnsi="Courier New"/>
      <w:kern w:val="2"/>
      <w:sz w:val="21"/>
    </w:rPr>
  </w:style>
  <w:style w:type="character" w:customStyle="1" w:styleId="106">
    <w:name w:val="电子邮件签名 字符"/>
    <w:link w:val="7"/>
    <w:semiHidden/>
    <w:qFormat/>
    <w:locked/>
    <w:uiPriority w:val="99"/>
    <w:rPr>
      <w:sz w:val="21"/>
      <w:szCs w:val="21"/>
    </w:rPr>
  </w:style>
  <w:style w:type="character" w:customStyle="1" w:styleId="107">
    <w:name w:val="电子邮件签名 字符1"/>
    <w:basedOn w:val="34"/>
    <w:semiHidden/>
    <w:qFormat/>
    <w:uiPriority w:val="98"/>
    <w:rPr>
      <w:rFonts w:ascii="Times New Roman" w:hAnsi="Times New Roman"/>
      <w:kern w:val="2"/>
      <w:sz w:val="21"/>
    </w:rPr>
  </w:style>
  <w:style w:type="character" w:customStyle="1" w:styleId="108">
    <w:name w:val="HR正文 Char"/>
    <w:link w:val="109"/>
    <w:qFormat/>
    <w:uiPriority w:val="0"/>
    <w:rPr>
      <w:kern w:val="2"/>
      <w:sz w:val="24"/>
      <w:szCs w:val="24"/>
    </w:rPr>
  </w:style>
  <w:style w:type="paragraph" w:customStyle="1" w:styleId="109">
    <w:name w:val="HR正文"/>
    <w:basedOn w:val="1"/>
    <w:link w:val="108"/>
    <w:qFormat/>
    <w:uiPriority w:val="0"/>
    <w:pPr>
      <w:spacing w:line="300" w:lineRule="auto"/>
      <w:ind w:firstLine="200" w:firstLineChars="200"/>
    </w:pPr>
    <w:rPr>
      <w:rFonts w:ascii="Calibri" w:hAnsi="Calibri"/>
      <w:sz w:val="24"/>
      <w:szCs w:val="24"/>
    </w:rPr>
  </w:style>
  <w:style w:type="character" w:customStyle="1" w:styleId="110">
    <w:name w:val="信息标题 字符"/>
    <w:link w:val="27"/>
    <w:semiHidden/>
    <w:qFormat/>
    <w:locked/>
    <w:uiPriority w:val="99"/>
    <w:rPr>
      <w:rFonts w:ascii="Cambria" w:hAnsi="Cambria" w:cs="Cambria"/>
      <w:sz w:val="24"/>
      <w:szCs w:val="24"/>
      <w:shd w:val="pct20" w:color="auto" w:fill="auto"/>
    </w:rPr>
  </w:style>
  <w:style w:type="character" w:customStyle="1" w:styleId="111">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2">
    <w:name w:val="页眉 Char1"/>
    <w:semiHidden/>
    <w:qFormat/>
    <w:locked/>
    <w:uiPriority w:val="0"/>
    <w:rPr>
      <w:rFonts w:ascii="Calibri" w:hAnsi="Calibri"/>
      <w:sz w:val="18"/>
      <w:szCs w:val="18"/>
    </w:rPr>
  </w:style>
  <w:style w:type="character" w:customStyle="1" w:styleId="113">
    <w:name w:val="标题 3 字符1"/>
    <w:link w:val="4"/>
    <w:qFormat/>
    <w:uiPriority w:val="0"/>
    <w:rPr>
      <w:b/>
      <w:sz w:val="32"/>
    </w:rPr>
  </w:style>
  <w:style w:type="paragraph" w:customStyle="1" w:styleId="114">
    <w:name w:val="Table Paragraph"/>
    <w:basedOn w:val="1"/>
    <w:qFormat/>
    <w:uiPriority w:val="1"/>
    <w:rPr>
      <w:rFonts w:ascii="宋体" w:hAnsi="宋体" w:cs="宋体"/>
    </w:rPr>
  </w:style>
  <w:style w:type="table" w:customStyle="1" w:styleId="115">
    <w:name w:val="Table Normal"/>
    <w:qFormat/>
    <w:uiPriority w:val="0"/>
    <w:tblPr>
      <w:tblCellMar>
        <w:top w:w="0" w:type="dxa"/>
        <w:left w:w="0" w:type="dxa"/>
        <w:bottom w:w="0" w:type="dxa"/>
        <w:right w:w="0" w:type="dxa"/>
      </w:tblCellMar>
    </w:tblPr>
  </w:style>
  <w:style w:type="paragraph" w:styleId="116">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7">
    <w:name w:val="font11"/>
    <w:basedOn w:val="34"/>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image" Target="media/image17.png"/><Relationship Id="rId28" Type="http://schemas.openxmlformats.org/officeDocument/2006/relationships/image" Target="media/image16.png"/><Relationship Id="rId27" Type="http://schemas.openxmlformats.org/officeDocument/2006/relationships/image" Target="media/image15.png"/><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30</Pages>
  <Words>8988</Words>
  <Characters>9818</Characters>
  <Lines>79</Lines>
  <Paragraphs>22</Paragraphs>
  <TotalTime>84</TotalTime>
  <ScaleCrop>false</ScaleCrop>
  <LinksUpToDate>false</LinksUpToDate>
  <CharactersWithSpaces>9856</CharactersWithSpaces>
  <Application>WPS Office_11.8.2.12309_F1E327BC-269C-435d-A152-05C5408002CA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2026-04-20T05:33:53Z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2052-11.8.2.12309</vt:lpwstr>
  </property>
  <property fmtid="{D5CDD505-2E9C-101B-9397-08002B2CF9AE}" pid="3" name="ICV">
    <vt:lpwstr>C0E52DBF9FCB4F07BC67952552803439_13</vt:lpwstr>
  </property>
  <property fmtid="{D5CDD505-2E9C-101B-9397-08002B2CF9AE}" pid="4" name="KSOTemplateDocerSaveRecord">
    <vt:lpwstr>eyJoZGlkIjoiMGUyZDBjMzQyNzBlOGY1Yzg4YzhkYzMzZWVhYjI3M2UifQ==</vt:lpwstr>
  </property>
</Properties>
</file>