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25AD4">
      <w:pPr>
        <w:pStyle w:val="2"/>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中国重汽集团大齿公司</w:t>
      </w:r>
    </w:p>
    <w:p w14:paraId="30B9B168">
      <w:pPr>
        <w:pStyle w:val="2"/>
        <w:widowControl/>
        <w:jc w:val="center"/>
        <w:rPr>
          <w:i w:val="0"/>
          <w:iCs/>
          <w:sz w:val="32"/>
          <w:szCs w:val="32"/>
          <w:lang w:val="en-US"/>
        </w:rPr>
      </w:pPr>
      <w:r>
        <w:rPr>
          <w:rFonts w:hint="eastAsia" w:cs="宋体"/>
          <w:i w:val="0"/>
          <w:iCs/>
          <w:sz w:val="32"/>
          <w:szCs w:val="32"/>
          <w:lang w:val="en-US" w:eastAsia="zh-CN"/>
        </w:rPr>
        <w:t>2025年度固定资产投资项目—轮廓仪项目招标公告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FSCZB2025120341</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2026-1-12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71E02D5E">
      <w:pPr>
        <w:widowControl/>
        <w:ind w:firstLine="480" w:firstLineChars="200"/>
        <w:jc w:val="left"/>
      </w:pPr>
      <w:bookmarkStart w:id="3" w:name="_GoBack"/>
      <w:bookmarkEnd w:id="3"/>
      <w:r>
        <w:rPr>
          <w:rFonts w:hint="eastAsia" w:ascii="宋体" w:hAnsi="宋体" w:eastAsia="宋体" w:cs="宋体"/>
          <w:kern w:val="0"/>
          <w:sz w:val="24"/>
        </w:rPr>
        <w:t>1 设备名称：</w:t>
      </w:r>
      <w:r>
        <w:rPr>
          <w:rFonts w:hint="eastAsia" w:ascii="宋体" w:hAnsi="宋体" w:eastAsia="宋体" w:cs="宋体"/>
          <w:kern w:val="0"/>
          <w:sz w:val="24"/>
          <w:lang w:val="en-US" w:eastAsia="zh-CN"/>
        </w:rPr>
        <w:t>轮廓仪</w:t>
      </w:r>
      <w:r>
        <w:rPr>
          <w:rFonts w:hint="eastAsia" w:ascii="宋体" w:hAnsi="宋体" w:eastAsia="宋体" w:cs="宋体"/>
          <w:kern w:val="0"/>
          <w:sz w:val="24"/>
        </w:rPr>
        <w:t>（详见下表）</w:t>
      </w:r>
    </w:p>
    <w:p w14:paraId="3CF093B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 设备数量：1（详见下表）</w:t>
      </w:r>
    </w:p>
    <w:p w14:paraId="300FF40B">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 分投分中：不允许</w:t>
      </w:r>
    </w:p>
    <w:p w14:paraId="241BAAD1">
      <w:pPr>
        <w:widowControl/>
        <w:jc w:val="center"/>
      </w:pPr>
      <w:r>
        <w:rPr>
          <w:rFonts w:hint="eastAsia" w:ascii="宋体" w:hAnsi="宋体" w:eastAsia="宋体" w:cs="宋体"/>
          <w:kern w:val="0"/>
          <w:sz w:val="24"/>
        </w:rPr>
        <w:t>采购货物主要构成一览表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2126"/>
        <w:gridCol w:w="851"/>
        <w:gridCol w:w="850"/>
        <w:gridCol w:w="1526"/>
        <w:gridCol w:w="1218"/>
      </w:tblGrid>
      <w:tr w14:paraId="0C5D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9680FCD">
            <w:pPr>
              <w:widowControl/>
              <w:jc w:val="center"/>
            </w:pPr>
            <w:r>
              <w:rPr>
                <w:rFonts w:hint="eastAsia" w:ascii="宋体" w:hAnsi="宋体" w:eastAsia="宋体" w:cs="宋体"/>
                <w:kern w:val="0"/>
                <w:sz w:val="20"/>
                <w:szCs w:val="20"/>
              </w:rPr>
              <w:t>序号</w:t>
            </w:r>
          </w:p>
        </w:tc>
        <w:tc>
          <w:tcPr>
            <w:tcW w:w="1276" w:type="dxa"/>
            <w:vAlign w:val="center"/>
          </w:tcPr>
          <w:p w14:paraId="171D02A7">
            <w:pPr>
              <w:widowControl/>
              <w:jc w:val="center"/>
            </w:pPr>
            <w:r>
              <w:rPr>
                <w:rFonts w:hint="eastAsia" w:ascii="宋体" w:hAnsi="宋体" w:eastAsia="宋体" w:cs="宋体"/>
                <w:kern w:val="0"/>
                <w:sz w:val="20"/>
                <w:szCs w:val="20"/>
              </w:rPr>
              <w:t>名称</w:t>
            </w:r>
          </w:p>
        </w:tc>
        <w:tc>
          <w:tcPr>
            <w:tcW w:w="2126" w:type="dxa"/>
            <w:vAlign w:val="center"/>
          </w:tcPr>
          <w:p w14:paraId="13BDB5AD">
            <w:pPr>
              <w:widowControl/>
              <w:jc w:val="center"/>
            </w:pPr>
            <w:r>
              <w:rPr>
                <w:rFonts w:hint="eastAsia" w:ascii="宋体" w:hAnsi="宋体" w:eastAsia="宋体" w:cs="宋体"/>
                <w:kern w:val="0"/>
                <w:sz w:val="20"/>
                <w:szCs w:val="20"/>
              </w:rPr>
              <w:t>主要功能</w:t>
            </w:r>
          </w:p>
        </w:tc>
        <w:tc>
          <w:tcPr>
            <w:tcW w:w="851" w:type="dxa"/>
            <w:vAlign w:val="center"/>
          </w:tcPr>
          <w:p w14:paraId="578E6B4C">
            <w:pPr>
              <w:widowControl/>
              <w:jc w:val="center"/>
            </w:pPr>
            <w:r>
              <w:rPr>
                <w:rFonts w:hint="eastAsia" w:ascii="宋体" w:hAnsi="宋体" w:eastAsia="宋体" w:cs="宋体"/>
                <w:kern w:val="0"/>
                <w:sz w:val="20"/>
                <w:szCs w:val="20"/>
              </w:rPr>
              <w:t>单位</w:t>
            </w:r>
          </w:p>
        </w:tc>
        <w:tc>
          <w:tcPr>
            <w:tcW w:w="850" w:type="dxa"/>
            <w:vAlign w:val="center"/>
          </w:tcPr>
          <w:p w14:paraId="1430F948">
            <w:pPr>
              <w:widowControl/>
              <w:jc w:val="center"/>
            </w:pPr>
            <w:r>
              <w:rPr>
                <w:rFonts w:hint="eastAsia" w:ascii="宋体" w:hAnsi="宋体" w:eastAsia="宋体" w:cs="宋体"/>
                <w:kern w:val="0"/>
                <w:sz w:val="20"/>
                <w:szCs w:val="20"/>
              </w:rPr>
              <w:t>数量</w:t>
            </w:r>
          </w:p>
        </w:tc>
        <w:tc>
          <w:tcPr>
            <w:tcW w:w="1526" w:type="dxa"/>
            <w:vAlign w:val="center"/>
          </w:tcPr>
          <w:p w14:paraId="556DDD37">
            <w:pPr>
              <w:widowControl/>
              <w:jc w:val="center"/>
            </w:pPr>
            <w:r>
              <w:rPr>
                <w:rFonts w:hint="eastAsia" w:ascii="宋体" w:hAnsi="宋体" w:eastAsia="宋体" w:cs="宋体"/>
                <w:kern w:val="0"/>
                <w:sz w:val="20"/>
                <w:szCs w:val="20"/>
              </w:rPr>
              <w:t>安装地点/服务对象</w:t>
            </w:r>
          </w:p>
        </w:tc>
        <w:tc>
          <w:tcPr>
            <w:tcW w:w="1218" w:type="dxa"/>
            <w:vAlign w:val="center"/>
          </w:tcPr>
          <w:p w14:paraId="18FB0CBF">
            <w:pPr>
              <w:widowControl/>
              <w:jc w:val="center"/>
            </w:pPr>
            <w:r>
              <w:rPr>
                <w:rFonts w:hint="eastAsia" w:ascii="宋体" w:hAnsi="宋体" w:eastAsia="宋体" w:cs="宋体"/>
                <w:kern w:val="0"/>
                <w:sz w:val="20"/>
                <w:szCs w:val="20"/>
              </w:rPr>
              <w:t>供货方式</w:t>
            </w:r>
          </w:p>
        </w:tc>
      </w:tr>
      <w:tr w14:paraId="537C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ACCC915">
            <w:pPr>
              <w:widowControl/>
              <w:jc w:val="center"/>
            </w:pPr>
            <w:r>
              <w:rPr>
                <w:rFonts w:hint="eastAsia" w:ascii="宋体" w:hAnsi="宋体" w:eastAsia="宋体" w:cs="宋体"/>
                <w:kern w:val="0"/>
                <w:sz w:val="20"/>
                <w:szCs w:val="20"/>
              </w:rPr>
              <w:t>1</w:t>
            </w:r>
          </w:p>
        </w:tc>
        <w:tc>
          <w:tcPr>
            <w:tcW w:w="1276" w:type="dxa"/>
            <w:vAlign w:val="center"/>
          </w:tcPr>
          <w:p w14:paraId="7F253EBE">
            <w:pPr>
              <w:widowControl/>
              <w:jc w:val="center"/>
              <w:rPr>
                <w:rFonts w:hint="default"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轮廓仪CD 140A马尔</w:t>
            </w:r>
          </w:p>
        </w:tc>
        <w:tc>
          <w:tcPr>
            <w:tcW w:w="2126" w:type="dxa"/>
            <w:vAlign w:val="center"/>
          </w:tcPr>
          <w:p w14:paraId="64C4D742">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用于满足</w:t>
            </w:r>
            <w:r>
              <w:rPr>
                <w:rFonts w:hint="eastAsia" w:ascii="宋体" w:hAnsi="宋体" w:eastAsia="宋体" w:cs="宋体"/>
                <w:color w:val="000000"/>
                <w:kern w:val="0"/>
                <w:sz w:val="20"/>
                <w:szCs w:val="20"/>
                <w:lang w:val="en-US" w:eastAsia="zh-CN"/>
              </w:rPr>
              <w:t>配套件曲率半径, 角度, 距离, 坐标, 回归直线的插入和创作, 圆, 圆截面, 确定各个点, 相交各点,坐标轴，直线, 垂直线, 圆和圆截面等轮廓参数的检验</w:t>
            </w:r>
            <w:r>
              <w:rPr>
                <w:rFonts w:hint="eastAsia" w:ascii="宋体" w:hAnsi="宋体" w:eastAsia="宋体" w:cs="宋体"/>
                <w:color w:val="000000"/>
                <w:kern w:val="0"/>
                <w:sz w:val="20"/>
                <w:szCs w:val="20"/>
              </w:rPr>
              <w:t>。</w:t>
            </w:r>
          </w:p>
          <w:p w14:paraId="3DF17291">
            <w:pPr>
              <w:widowControl/>
              <w:jc w:val="center"/>
            </w:pPr>
          </w:p>
        </w:tc>
        <w:tc>
          <w:tcPr>
            <w:tcW w:w="851" w:type="dxa"/>
            <w:vAlign w:val="center"/>
          </w:tcPr>
          <w:p w14:paraId="5075AB1D">
            <w:pPr>
              <w:widowControl/>
              <w:jc w:val="center"/>
            </w:pPr>
            <w:r>
              <w:rPr>
                <w:rFonts w:hint="eastAsia" w:ascii="宋体" w:hAnsi="宋体" w:eastAsia="宋体" w:cs="宋体"/>
                <w:kern w:val="0"/>
                <w:sz w:val="20"/>
                <w:szCs w:val="20"/>
              </w:rPr>
              <w:t>台</w:t>
            </w:r>
          </w:p>
        </w:tc>
        <w:tc>
          <w:tcPr>
            <w:tcW w:w="850" w:type="dxa"/>
            <w:vAlign w:val="center"/>
          </w:tcPr>
          <w:p w14:paraId="4C69D343">
            <w:pPr>
              <w:widowControl/>
              <w:jc w:val="center"/>
            </w:pPr>
            <w:r>
              <w:rPr>
                <w:rFonts w:hint="eastAsia" w:ascii="宋体" w:hAnsi="宋体" w:eastAsia="宋体" w:cs="宋体"/>
                <w:kern w:val="0"/>
                <w:sz w:val="20"/>
                <w:szCs w:val="20"/>
              </w:rPr>
              <w:t>1</w:t>
            </w:r>
          </w:p>
        </w:tc>
        <w:tc>
          <w:tcPr>
            <w:tcW w:w="1526" w:type="dxa"/>
            <w:vAlign w:val="center"/>
          </w:tcPr>
          <w:p w14:paraId="3E8B4D37">
            <w:pPr>
              <w:widowControl/>
              <w:jc w:val="center"/>
              <w:rPr>
                <w:sz w:val="20"/>
                <w:szCs w:val="20"/>
              </w:rPr>
            </w:pPr>
            <w:r>
              <w:rPr>
                <w:rFonts w:hint="eastAsia" w:ascii="宋体" w:hAnsi="宋体" w:eastAsia="宋体" w:cs="宋体"/>
                <w:color w:val="000000"/>
                <w:kern w:val="0"/>
                <w:sz w:val="20"/>
                <w:szCs w:val="20"/>
              </w:rPr>
              <w:t>山西省大同市装备制造园区中国重汽集团大同齿轮有限公司联合厂房</w:t>
            </w:r>
          </w:p>
        </w:tc>
        <w:tc>
          <w:tcPr>
            <w:tcW w:w="1218" w:type="dxa"/>
            <w:vAlign w:val="center"/>
          </w:tcPr>
          <w:p w14:paraId="706033A3">
            <w:pPr>
              <w:widowControl/>
              <w:jc w:val="center"/>
            </w:pPr>
            <w:r>
              <w:rPr>
                <w:rFonts w:hint="eastAsia" w:ascii="宋体" w:hAnsi="宋体" w:eastAsia="宋体" w:cs="宋体"/>
                <w:kern w:val="0"/>
                <w:sz w:val="20"/>
                <w:szCs w:val="20"/>
              </w:rPr>
              <w:t>交钥匙</w:t>
            </w:r>
          </w:p>
        </w:tc>
      </w:tr>
    </w:tbl>
    <w:p w14:paraId="558941AA">
      <w:pPr>
        <w:widowControl/>
        <w:jc w:val="left"/>
      </w:pPr>
    </w:p>
    <w:p w14:paraId="71D92419">
      <w:pPr>
        <w:widowControl/>
        <w:ind w:firstLine="480" w:firstLineChars="200"/>
        <w:jc w:val="left"/>
      </w:pPr>
      <w:r>
        <w:rPr>
          <w:rFonts w:hint="eastAsia" w:ascii="宋体" w:hAnsi="宋体" w:eastAsia="宋体" w:cs="宋体"/>
          <w:kern w:val="0"/>
          <w:sz w:val="24"/>
        </w:rPr>
        <w:t>注：上述设备要求分项报价并注明品牌与产地。</w:t>
      </w:r>
    </w:p>
    <w:p w14:paraId="242140DA">
      <w:pPr>
        <w:widowControl/>
      </w:pPr>
      <w:r>
        <w:rPr>
          <w:rFonts w:hint="eastAsia" w:ascii="宋体" w:hAnsi="宋体" w:eastAsia="宋体" w:cs="宋体"/>
          <w:kern w:val="0"/>
          <w:sz w:val="20"/>
          <w:szCs w:val="20"/>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36C5AFCF">
      <w:pPr>
        <w:widowControl/>
        <w:ind w:firstLine="600" w:firstLineChars="300"/>
        <w:rPr>
          <w:rFonts w:hint="eastAsia" w:ascii="宋体" w:hAnsi="宋体" w:eastAsia="宋体" w:cs="宋体"/>
          <w:kern w:val="0"/>
          <w:sz w:val="20"/>
          <w:szCs w:val="20"/>
        </w:rPr>
      </w:pPr>
      <w:r>
        <w:rPr>
          <w:rFonts w:hint="eastAsia" w:ascii="宋体" w:hAnsi="宋体" w:eastAsia="宋体" w:cs="宋体"/>
          <w:kern w:val="0"/>
          <w:sz w:val="20"/>
          <w:szCs w:val="20"/>
        </w:rPr>
        <w:t>②本表“供货方式”指：交钥匙方式——包括制造、运输、定点卸货、安装、调试和协助验收以及约定培训等。</w:t>
      </w:r>
    </w:p>
    <w:p w14:paraId="28F39C51">
      <w:pPr>
        <w:rPr>
          <w:rFonts w:hint="default" w:asciiTheme="majorEastAsia" w:hAnsiTheme="majorEastAsia" w:eastAsiaTheme="majorEastAsia" w:cstheme="majorEastAsia"/>
          <w:sz w:val="24"/>
          <w:szCs w:val="24"/>
          <w:lang w:val="en-US" w:eastAsia="zh-CN"/>
        </w:rPr>
      </w:pP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大齿公司2025年度固定资产投资项目—轮廓仪项目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大齿公司更新轮廓仪设备，满足检验需求。</w:t>
      </w:r>
      <w:r>
        <w:rPr>
          <w:rFonts w:hint="eastAsia" w:asciiTheme="majorEastAsia" w:hAnsiTheme="majorEastAsia" w:eastAsiaTheme="majorEastAsia" w:cstheme="majorEastAsia"/>
          <w:sz w:val="24"/>
          <w:szCs w:val="24"/>
        </w:rPr>
        <w:t xml:space="preserve"> </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DD3757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拟投标人必须是在中华人民共和国境内注册的独立法人机构，具有独立承担民事责任能力；注册资金不少于50</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万人民币(或等值其他货币);公司成立三年以上(以营业执照成立日期到开标当日满三年为准),且经营范围满足招标人需求；并在人员、设备、资金等方面具有承担本项目的能力；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75396976">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9.</w:t>
      </w:r>
      <w:r>
        <w:rPr>
          <w:rFonts w:hint="eastAsia" w:asciiTheme="majorEastAsia" w:hAnsiTheme="majorEastAsia" w:eastAsiaTheme="majorEastAsia" w:cstheme="majorEastAsia"/>
          <w:b/>
          <w:bCs/>
          <w:sz w:val="24"/>
          <w:szCs w:val="24"/>
        </w:rPr>
        <w:t>须认可招标人的工作指令，包括节、假日能正常开展工作的要求。</w:t>
      </w:r>
    </w:p>
    <w:p w14:paraId="7D3FCD92">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10.</w:t>
      </w:r>
      <w:r>
        <w:rPr>
          <w:rFonts w:hint="eastAsia" w:asciiTheme="majorEastAsia" w:hAnsiTheme="majorEastAsia" w:eastAsiaTheme="majorEastAsia" w:cstheme="majorEastAsia"/>
          <w:b/>
          <w:bCs/>
          <w:sz w:val="24"/>
          <w:szCs w:val="24"/>
        </w:rPr>
        <w:t>如为代理商投标，需获得生产厂家正式授权，提供授权书原件，保证提供原厂售后服务并提供原厂售后服务承诺书原件，与生产厂家同责；</w:t>
      </w:r>
    </w:p>
    <w:p w14:paraId="6B0332B3">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11.</w:t>
      </w:r>
      <w:r>
        <w:rPr>
          <w:rFonts w:hint="eastAsia" w:asciiTheme="majorEastAsia" w:hAnsiTheme="majorEastAsia" w:eastAsiaTheme="majorEastAsia" w:cstheme="majorEastAsia"/>
          <w:b/>
          <w:bCs/>
          <w:sz w:val="24"/>
          <w:szCs w:val="24"/>
        </w:rPr>
        <w:t>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3661D780">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val="en-US" w:eastAsia="zh-CN"/>
        </w:rPr>
        <w:t>12.</w:t>
      </w:r>
      <w:r>
        <w:rPr>
          <w:rFonts w:hint="eastAsia" w:asciiTheme="majorEastAsia" w:hAnsiTheme="majorEastAsia" w:eastAsiaTheme="majorEastAsia" w:cstheme="majorEastAsia"/>
          <w:b/>
          <w:bCs/>
          <w:sz w:val="24"/>
          <w:szCs w:val="24"/>
        </w:rPr>
        <w:t xml:space="preserve">法律法规对合格投标人的其他要求、规定。 </w:t>
      </w:r>
    </w:p>
    <w:p w14:paraId="101D84A9">
      <w:pPr>
        <w:numPr>
          <w:ilvl w:val="0"/>
          <w:numId w:val="0"/>
        </w:numPr>
        <w:rPr>
          <w:rFonts w:hint="eastAsia" w:ascii="宋体" w:hAnsi="宋体"/>
          <w:b/>
          <w:bCs/>
          <w:sz w:val="24"/>
          <w:szCs w:val="24"/>
        </w:rPr>
      </w:pPr>
      <w:bookmarkStart w:id="2" w:name="_Toc212369516"/>
    </w:p>
    <w:p w14:paraId="34E4A994">
      <w:pPr>
        <w:numPr>
          <w:ilvl w:val="0"/>
          <w:numId w:val="0"/>
        </w:numPr>
        <w:rPr>
          <w:rFonts w:hint="eastAsia" w:ascii="宋体" w:hAnsi="宋体"/>
          <w:b/>
          <w:bCs/>
          <w:sz w:val="24"/>
          <w:szCs w:val="24"/>
          <w:highlight w:val="yellow"/>
        </w:rPr>
      </w:pPr>
      <w:r>
        <w:rPr>
          <w:rFonts w:hint="eastAsia" w:ascii="宋体" w:hAnsi="宋体"/>
          <w:b/>
          <w:bCs/>
          <w:sz w:val="24"/>
          <w:szCs w:val="24"/>
          <w:highlight w:val="yellow"/>
        </w:rPr>
        <w:t>资格证明文件</w:t>
      </w:r>
      <w:bookmarkEnd w:id="2"/>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7F5DB40">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投标人在重汽e采通中上传的投标报名材料经资格审批通过后，可继续上传投标文件。</w:t>
      </w:r>
    </w:p>
    <w:p w14:paraId="07A25287">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12</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19</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19</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CFC77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Cs w:val="20"/>
          <w:highlight w:val="none"/>
          <w:u w:val="single"/>
          <w:lang w:val="en-US" w:eastAsia="zh-CN"/>
          <w14:textFill>
            <w14:solidFill>
              <w14:schemeClr w14:val="tx1"/>
            </w14:solidFill>
          </w14:textFill>
        </w:rPr>
        <w:t>大齿公司更新轮廓仪技改</w:t>
      </w:r>
      <w:r>
        <w:rPr>
          <w:rFonts w:hint="eastAsia" w:ascii="宋体" w:hAnsi="宋体" w:eastAsia="宋体" w:cs="宋体"/>
          <w:b/>
          <w:color w:val="000000" w:themeColor="text1"/>
          <w:szCs w:val="20"/>
          <w:highlight w:val="none"/>
          <w:u w:val="single"/>
          <w:lang w:eastAsia="zh-CN"/>
          <w14:textFill>
            <w14:solidFill>
              <w14:schemeClr w14:val="tx1"/>
            </w14:solidFill>
          </w14:textFill>
        </w:rPr>
        <w:t>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Cs w:val="20"/>
          <w:highlight w:val="none"/>
          <w:u w:val="single"/>
          <w:lang w:val="en-US" w:eastAsia="zh-CN"/>
          <w14:textFill>
            <w14:solidFill>
              <w14:schemeClr w14:val="tx1"/>
            </w14:solidFill>
          </w14:textFill>
        </w:rPr>
        <w:t>大齿公司更新轮廓仪技改</w:t>
      </w:r>
      <w:r>
        <w:rPr>
          <w:rFonts w:hint="eastAsia" w:ascii="宋体" w:hAnsi="宋体" w:eastAsia="宋体" w:cs="宋体"/>
          <w:b/>
          <w:color w:val="000000" w:themeColor="text1"/>
          <w:szCs w:val="20"/>
          <w:highlight w:val="none"/>
          <w:u w:val="single"/>
          <w:lang w:eastAsia="zh-CN"/>
          <w14:textFill>
            <w14:solidFill>
              <w14:schemeClr w14:val="tx1"/>
            </w14:solidFill>
          </w14:textFill>
        </w:rPr>
        <w:t>项目</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327A70F3">
      <w:pPr>
        <w:pStyle w:val="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vAlign w:val="center"/>
          </w:tcPr>
          <w:p w14:paraId="519E484B">
            <w:pPr>
              <w:pStyle w:val="25"/>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企业名称</w:t>
            </w:r>
          </w:p>
        </w:tc>
        <w:tc>
          <w:tcPr>
            <w:tcW w:w="4680" w:type="dxa"/>
            <w:gridSpan w:val="4"/>
            <w:vAlign w:val="center"/>
          </w:tcPr>
          <w:p w14:paraId="35497E92">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211C2A64">
            <w:pPr>
              <w:pStyle w:val="25"/>
              <w:spacing w:before="106"/>
              <w:ind w:left="154"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联系人</w:t>
            </w:r>
          </w:p>
        </w:tc>
        <w:tc>
          <w:tcPr>
            <w:tcW w:w="1510" w:type="dxa"/>
            <w:vAlign w:val="center"/>
          </w:tcPr>
          <w:p w14:paraId="4C1555A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vAlign w:val="center"/>
          </w:tcPr>
          <w:p w14:paraId="08E1FA27">
            <w:pPr>
              <w:pStyle w:val="25"/>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企业地址</w:t>
            </w:r>
          </w:p>
        </w:tc>
        <w:tc>
          <w:tcPr>
            <w:tcW w:w="4680" w:type="dxa"/>
            <w:gridSpan w:val="4"/>
            <w:vAlign w:val="center"/>
          </w:tcPr>
          <w:p w14:paraId="5EFCF3FD">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279B922B">
            <w:pPr>
              <w:pStyle w:val="25"/>
              <w:spacing w:before="106"/>
              <w:ind w:left="154"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联系人电话</w:t>
            </w:r>
          </w:p>
        </w:tc>
        <w:tc>
          <w:tcPr>
            <w:tcW w:w="1510" w:type="dxa"/>
            <w:vAlign w:val="center"/>
          </w:tcPr>
          <w:p w14:paraId="0EDBEA4C">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vAlign w:val="center"/>
          </w:tcPr>
          <w:p w14:paraId="2577A277">
            <w:pPr>
              <w:pStyle w:val="25"/>
              <w:spacing w:before="111"/>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企业性质</w:t>
            </w:r>
          </w:p>
        </w:tc>
        <w:tc>
          <w:tcPr>
            <w:tcW w:w="4680" w:type="dxa"/>
            <w:gridSpan w:val="4"/>
            <w:vAlign w:val="center"/>
          </w:tcPr>
          <w:p w14:paraId="12F79CF6">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33D357BE">
            <w:pPr>
              <w:pStyle w:val="25"/>
              <w:spacing w:before="103"/>
              <w:ind w:left="154" w:right="26"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vAlign w:val="center"/>
          </w:tcPr>
          <w:p w14:paraId="640B25F8">
            <w:pPr>
              <w:pStyle w:val="25"/>
              <w:spacing w:before="111"/>
              <w:ind w:left="509"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企业法人代表</w:t>
            </w:r>
          </w:p>
        </w:tc>
        <w:tc>
          <w:tcPr>
            <w:tcW w:w="4680" w:type="dxa"/>
            <w:gridSpan w:val="4"/>
            <w:vAlign w:val="center"/>
          </w:tcPr>
          <w:p w14:paraId="05573E5F">
            <w:pPr>
              <w:pStyle w:val="3"/>
              <w:keepNext w:val="0"/>
              <w:keepLines w:val="0"/>
              <w:widowControl/>
              <w:shd w:val="clear" w:color="auto" w:fill="FFFFFF"/>
              <w:spacing w:before="0" w:after="0" w:line="450" w:lineRule="atLeast"/>
              <w:ind w:firstLine="643"/>
              <w:jc w:val="both"/>
              <w:outlineLvl w:val="2"/>
              <w:rPr>
                <w:rFonts w:ascii="宋体" w:hAnsi="宋体" w:cs="宋体"/>
                <w:color w:val="000000" w:themeColor="text1"/>
                <w:kern w:val="0"/>
                <w:highlight w:val="none"/>
                <w14:textFill>
                  <w14:solidFill>
                    <w14:schemeClr w14:val="tx1"/>
                  </w14:solidFill>
                </w14:textFill>
              </w:rPr>
            </w:pPr>
          </w:p>
        </w:tc>
        <w:tc>
          <w:tcPr>
            <w:tcW w:w="1310" w:type="dxa"/>
            <w:vAlign w:val="center"/>
          </w:tcPr>
          <w:p w14:paraId="364F8023">
            <w:pPr>
              <w:pStyle w:val="25"/>
              <w:spacing w:before="103"/>
              <w:ind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vAlign w:val="center"/>
          </w:tcPr>
          <w:p w14:paraId="6DF5562E">
            <w:pPr>
              <w:pStyle w:val="25"/>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品牌区分</w:t>
            </w:r>
          </w:p>
        </w:tc>
        <w:tc>
          <w:tcPr>
            <w:tcW w:w="7500" w:type="dxa"/>
            <w:gridSpan w:val="6"/>
            <w:vAlign w:val="center"/>
          </w:tcPr>
          <w:p w14:paraId="61502CD6">
            <w:pPr>
              <w:pStyle w:val="25"/>
              <w:spacing w:before="106"/>
              <w:ind w:left="401"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经销</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vAlign w:val="center"/>
          </w:tcPr>
          <w:p w14:paraId="2B5FEB4E">
            <w:pPr>
              <w:pStyle w:val="25"/>
              <w:spacing w:before="178"/>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品牌名称</w:t>
            </w:r>
          </w:p>
        </w:tc>
        <w:tc>
          <w:tcPr>
            <w:tcW w:w="3583" w:type="dxa"/>
            <w:gridSpan w:val="3"/>
            <w:vAlign w:val="center"/>
          </w:tcPr>
          <w:p w14:paraId="1FB171BB">
            <w:pPr>
              <w:widowControl/>
              <w:ind w:firstLine="400"/>
              <w:jc w:val="both"/>
              <w:rPr>
                <w:rFonts w:ascii="宋体" w:hAnsi="宋体" w:eastAsia="仿宋_GB2312" w:cs="Times New Roman"/>
                <w:color w:val="000000" w:themeColor="text1"/>
                <w:kern w:val="0"/>
                <w:sz w:val="20"/>
                <w:szCs w:val="21"/>
                <w:highlight w:val="none"/>
                <w14:textFill>
                  <w14:solidFill>
                    <w14:schemeClr w14:val="tx1"/>
                  </w14:solidFill>
                </w14:textFill>
              </w:rPr>
            </w:pPr>
          </w:p>
        </w:tc>
        <w:tc>
          <w:tcPr>
            <w:tcW w:w="1097" w:type="dxa"/>
            <w:vAlign w:val="center"/>
          </w:tcPr>
          <w:p w14:paraId="721C5A21">
            <w:pPr>
              <w:pStyle w:val="25"/>
              <w:spacing w:before="15"/>
              <w:ind w:left="279" w:firstLine="392"/>
              <w:jc w:val="both"/>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25"/>
              <w:spacing w:before="30" w:line="277" w:lineRule="exact"/>
              <w:ind w:left="279"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vAlign w:val="center"/>
          </w:tcPr>
          <w:p w14:paraId="63AD73D1">
            <w:pPr>
              <w:pStyle w:val="25"/>
              <w:spacing w:before="158"/>
              <w:ind w:firstLine="400"/>
              <w:jc w:val="both"/>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vAlign w:val="center"/>
          </w:tcPr>
          <w:p w14:paraId="42B05DAF">
            <w:pPr>
              <w:pStyle w:val="25"/>
              <w:spacing w:before="149"/>
              <w:ind w:left="3345" w:right="3223"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52996FF9">
      <w:pPr>
        <w:tabs>
          <w:tab w:val="left" w:pos="710"/>
        </w:tabs>
        <w:bidi w:val="0"/>
        <w:jc w:val="left"/>
        <w:rPr>
          <w:color w:val="000000" w:themeColor="text1"/>
          <w:highlight w:val="none"/>
          <w:lang w:val="en-US" w:eastAsia="zh-CN"/>
          <w14:textFill>
            <w14:solidFill>
              <w14:schemeClr w14:val="tx1"/>
            </w14:solidFill>
          </w14:textFill>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val="en-US" w:eastAsia="zh-CN"/>
          <w14:textFill>
            <w14:solidFill>
              <w14:schemeClr w14:val="tx1"/>
            </w14:solidFill>
          </w14:textFill>
        </w:rPr>
        <w:t>大齿公司更新轮廓仪技改</w:t>
      </w:r>
      <w:r>
        <w:rPr>
          <w:rFonts w:hint="eastAsia" w:ascii="宋体" w:hAnsi="宋体" w:eastAsia="宋体" w:cs="宋体"/>
          <w:b/>
          <w:color w:val="000000" w:themeColor="text1"/>
          <w:szCs w:val="20"/>
          <w:highlight w:val="none"/>
          <w:u w:val="single"/>
          <w:lang w:eastAsia="zh-CN"/>
          <w14:textFill>
            <w14:solidFill>
              <w14:schemeClr w14:val="tx1"/>
            </w14:solidFill>
          </w14:textFill>
        </w:rPr>
        <w:t>项目</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46E56012">
      <w:pPr>
        <w:spacing w:line="360" w:lineRule="auto"/>
        <w:ind w:firstLine="480" w:firstLineChars="200"/>
        <w:rPr>
          <w:rFonts w:ascii="宋体" w:hAnsi="Calibri" w:eastAsia="宋体" w:cs="宋体"/>
          <w:b/>
          <w:bCs/>
          <w:color w:val="000000" w:themeColor="text1"/>
          <w:sz w:val="28"/>
          <w:szCs w:val="20"/>
          <w:highlight w:val="none"/>
          <w14:textFill>
            <w14:solidFill>
              <w14:schemeClr w14:val="tx1"/>
            </w14:solidFill>
          </w14:textFill>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0DEC3FBD">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6"/>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6"/>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0E62184D">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644AF512">
      <w:pPr>
        <w:pStyle w:val="6"/>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6"/>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3903C1BE">
      <w:pPr>
        <w:pStyle w:val="6"/>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02C5616">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7"/>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F24CD6"/>
    <w:rsid w:val="188F0494"/>
    <w:rsid w:val="2D275B11"/>
    <w:rsid w:val="344305EA"/>
    <w:rsid w:val="373B05AC"/>
    <w:rsid w:val="3D7D7D5D"/>
    <w:rsid w:val="44907102"/>
    <w:rsid w:val="44DF3D8B"/>
    <w:rsid w:val="48A021C9"/>
    <w:rsid w:val="48EF075C"/>
    <w:rsid w:val="545D2BAA"/>
    <w:rsid w:val="55FF6EE2"/>
    <w:rsid w:val="7DA44D30"/>
    <w:rsid w:val="7DD31DD3"/>
    <w:rsid w:val="7FB7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next w:val="5"/>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basedOn w:val="11"/>
    <w:semiHidden/>
    <w:qFormat/>
    <w:uiPriority w:val="0"/>
  </w:style>
  <w:style w:type="character" w:styleId="14">
    <w:name w:val="FollowedHyperlink"/>
    <w:basedOn w:val="11"/>
    <w:qFormat/>
    <w:uiPriority w:val="0"/>
    <w:rPr>
      <w:color w:val="800080"/>
      <w:u w:val="none"/>
    </w:rPr>
  </w:style>
  <w:style w:type="character" w:styleId="15">
    <w:name w:val="HTML Definition"/>
    <w:basedOn w:val="11"/>
    <w:qFormat/>
    <w:uiPriority w:val="0"/>
  </w:style>
  <w:style w:type="character" w:styleId="16">
    <w:name w:val="HTML Typewriter"/>
    <w:basedOn w:val="11"/>
    <w:qFormat/>
    <w:uiPriority w:val="0"/>
    <w:rPr>
      <w:rFonts w:hint="default" w:ascii="monospace" w:hAnsi="monospace" w:eastAsia="monospace" w:cs="monospace"/>
      <w:sz w:val="20"/>
    </w:rPr>
  </w:style>
  <w:style w:type="character" w:styleId="17">
    <w:name w:val="HTML Acronym"/>
    <w:basedOn w:val="11"/>
    <w:qFormat/>
    <w:uiPriority w:val="0"/>
  </w:style>
  <w:style w:type="character" w:styleId="18">
    <w:name w:val="HTML Variable"/>
    <w:basedOn w:val="11"/>
    <w:qFormat/>
    <w:uiPriority w:val="0"/>
  </w:style>
  <w:style w:type="character" w:styleId="19">
    <w:name w:val="Hyperlink"/>
    <w:basedOn w:val="11"/>
    <w:qFormat/>
    <w:uiPriority w:val="0"/>
    <w:rPr>
      <w:color w:val="0000FF"/>
      <w:u w:val="none"/>
    </w:rPr>
  </w:style>
  <w:style w:type="character" w:styleId="20">
    <w:name w:val="HTML Code"/>
    <w:basedOn w:val="11"/>
    <w:qFormat/>
    <w:uiPriority w:val="0"/>
    <w:rPr>
      <w:rFonts w:hint="default" w:ascii="monospace" w:hAnsi="monospace" w:eastAsia="monospace" w:cs="monospace"/>
      <w:sz w:val="20"/>
    </w:rPr>
  </w:style>
  <w:style w:type="character" w:styleId="21">
    <w:name w:val="HTML Cite"/>
    <w:basedOn w:val="11"/>
    <w:qFormat/>
    <w:uiPriority w:val="0"/>
  </w:style>
  <w:style w:type="character" w:styleId="22">
    <w:name w:val="HTML Keyboard"/>
    <w:basedOn w:val="11"/>
    <w:qFormat/>
    <w:uiPriority w:val="0"/>
    <w:rPr>
      <w:rFonts w:ascii="monospace" w:hAnsi="monospace" w:eastAsia="monospace" w:cs="monospace"/>
      <w:sz w:val="20"/>
    </w:rPr>
  </w:style>
  <w:style w:type="character" w:styleId="23">
    <w:name w:val="HTML Sample"/>
    <w:basedOn w:val="11"/>
    <w:qFormat/>
    <w:uiPriority w:val="0"/>
    <w:rPr>
      <w:rFonts w:hint="default" w:ascii="monospace" w:hAnsi="monospace" w:eastAsia="monospace" w:cs="monospace"/>
    </w:rPr>
  </w:style>
  <w:style w:type="paragraph" w:styleId="24">
    <w:name w:val="List Paragraph"/>
    <w:basedOn w:val="1"/>
    <w:qFormat/>
    <w:uiPriority w:val="34"/>
    <w:pPr>
      <w:ind w:firstLine="603" w:firstLineChars="200"/>
      <w:jc w:val="left"/>
    </w:pPr>
    <w:rPr>
      <w:rFonts w:ascii="宋体" w:hAnsi="宋体" w:eastAsia="宋体" w:cs="Times New Roman"/>
      <w:bCs/>
      <w:spacing w:val="26"/>
      <w:w w:val="99"/>
      <w:kern w:val="0"/>
      <w:sz w:val="28"/>
      <w:szCs w:val="28"/>
    </w:rPr>
  </w:style>
  <w:style w:type="paragraph" w:customStyle="1" w:styleId="25">
    <w:name w:val="Table Paragraph"/>
    <w:basedOn w:val="1"/>
    <w:autoRedefine/>
    <w:qFormat/>
    <w:uiPriority w:val="1"/>
    <w:rPr>
      <w:rFonts w:ascii="宋体" w:hAnsi="宋体" w:eastAsia="宋体" w:cs="宋体"/>
    </w:rPr>
  </w:style>
  <w:style w:type="table" w:customStyle="1" w:styleId="26">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3885</Words>
  <Characters>4175</Characters>
  <Lines>0</Lines>
  <Paragraphs>0</Paragraphs>
  <TotalTime>3</TotalTime>
  <ScaleCrop>false</ScaleCrop>
  <LinksUpToDate>false</LinksUpToDate>
  <CharactersWithSpaces>4339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2026-01-06T06:17:01Z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815EA811145745028EA65CD70785B46B_13</vt:lpwstr>
  </property>
</Properties>
</file>