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D433A6">
      <w:pPr>
        <w:tabs>
          <w:tab w:val="left" w:pos="360"/>
        </w:tabs>
        <w:spacing w:line="360" w:lineRule="auto"/>
        <w:rPr>
          <w:sz w:val="24"/>
        </w:rPr>
      </w:pPr>
      <w:r>
        <w:rPr>
          <w:sz w:val="24"/>
        </w:rPr>
        <w:drawing>
          <wp:anchor distT="0" distB="0" distL="114300" distR="114300" simplePos="0" relativeHeight="251659264" behindDoc="0" locked="0" layoutInCell="1" allowOverlap="1">
            <wp:simplePos x="0" y="0"/>
            <wp:positionH relativeFrom="column">
              <wp:posOffset>-229235</wp:posOffset>
            </wp:positionH>
            <wp:positionV relativeFrom="paragraph">
              <wp:posOffset>-603250</wp:posOffset>
            </wp:positionV>
            <wp:extent cx="2400300" cy="852170"/>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400300" cy="852170"/>
                    </a:xfrm>
                    <a:prstGeom prst="rect">
                      <a:avLst/>
                    </a:prstGeom>
                  </pic:spPr>
                </pic:pic>
              </a:graphicData>
            </a:graphic>
          </wp:anchor>
        </w:drawing>
      </w:r>
    </w:p>
    <w:p w14:paraId="47BE9C77">
      <w:pPr>
        <w:pStyle w:val="49"/>
        <w:spacing w:line="900" w:lineRule="exact"/>
        <w:rPr>
          <w:rStyle w:val="47"/>
          <w:rFonts w:ascii="宋体" w:hAnsi="宋体" w:cs="仿宋"/>
          <w:b/>
          <w:bCs/>
          <w:sz w:val="52"/>
          <w:szCs w:val="36"/>
        </w:rPr>
      </w:pPr>
    </w:p>
    <w:p w14:paraId="7B8C2B68">
      <w:pPr>
        <w:pStyle w:val="49"/>
        <w:jc w:val="center"/>
        <w:rPr>
          <w:rStyle w:val="47"/>
          <w:rFonts w:hint="eastAsia" w:ascii="宋体" w:hAnsi="宋体" w:cs="仿宋"/>
          <w:b/>
          <w:bCs/>
          <w:sz w:val="32"/>
          <w:szCs w:val="32"/>
          <w:lang w:eastAsia="zh-CN"/>
        </w:rPr>
      </w:pPr>
    </w:p>
    <w:p w14:paraId="17647EF7">
      <w:pPr>
        <w:pStyle w:val="49"/>
        <w:jc w:val="center"/>
        <w:rPr>
          <w:rStyle w:val="47"/>
          <w:rFonts w:hint="eastAsia" w:ascii="宋体" w:hAnsi="宋体" w:cs="仿宋"/>
          <w:b/>
          <w:bCs/>
          <w:sz w:val="44"/>
          <w:szCs w:val="44"/>
          <w:lang w:eastAsia="zh-CN"/>
        </w:rPr>
      </w:pPr>
      <w:r>
        <w:rPr>
          <w:rStyle w:val="47"/>
          <w:rFonts w:hint="eastAsia" w:ascii="宋体" w:hAnsi="宋体" w:cs="仿宋"/>
          <w:b/>
          <w:bCs/>
          <w:sz w:val="44"/>
          <w:szCs w:val="44"/>
          <w:lang w:eastAsia="zh-CN"/>
        </w:rPr>
        <w:t>重工集团信访接待室建设技改项目施工</w:t>
      </w:r>
    </w:p>
    <w:p w14:paraId="24F2342F">
      <w:pPr>
        <w:pStyle w:val="49"/>
        <w:jc w:val="center"/>
        <w:rPr>
          <w:rStyle w:val="47"/>
          <w:rFonts w:ascii="宋体" w:hAnsi="宋体"/>
          <w:b/>
          <w:sz w:val="84"/>
          <w:szCs w:val="84"/>
        </w:rPr>
      </w:pPr>
      <w:r>
        <w:rPr>
          <w:rStyle w:val="47"/>
          <w:rFonts w:ascii="宋体" w:hAnsi="宋体"/>
          <w:b/>
          <w:sz w:val="84"/>
          <w:szCs w:val="84"/>
        </w:rPr>
        <w:t>招 标 文 件</w:t>
      </w:r>
    </w:p>
    <w:p w14:paraId="1A64BBB7">
      <w:pPr>
        <w:snapToGrid w:val="0"/>
        <w:spacing w:line="300" w:lineRule="auto"/>
        <w:jc w:val="center"/>
        <w:rPr>
          <w:rStyle w:val="47"/>
          <w:rFonts w:ascii="宋体" w:hAnsi="宋体"/>
          <w:b/>
          <w:bCs/>
        </w:rPr>
      </w:pPr>
    </w:p>
    <w:p w14:paraId="3B73376D">
      <w:pPr>
        <w:snapToGrid w:val="0"/>
        <w:spacing w:line="300" w:lineRule="auto"/>
        <w:ind w:firstLine="1355" w:firstLineChars="450"/>
        <w:rPr>
          <w:rStyle w:val="47"/>
          <w:rFonts w:ascii="宋体" w:hAnsi="宋体"/>
          <w:b/>
          <w:sz w:val="30"/>
        </w:rPr>
      </w:pPr>
    </w:p>
    <w:p w14:paraId="0B58E4C3">
      <w:pPr>
        <w:snapToGrid w:val="0"/>
        <w:spacing w:line="300" w:lineRule="auto"/>
        <w:ind w:firstLine="1355" w:firstLineChars="450"/>
        <w:rPr>
          <w:rStyle w:val="47"/>
          <w:rFonts w:ascii="宋体" w:hAnsi="宋体"/>
          <w:b/>
          <w:sz w:val="30"/>
        </w:rPr>
      </w:pPr>
    </w:p>
    <w:p w14:paraId="3DD777F0">
      <w:pPr>
        <w:snapToGrid w:val="0"/>
        <w:spacing w:line="300" w:lineRule="auto"/>
        <w:ind w:firstLine="1355" w:firstLineChars="450"/>
        <w:rPr>
          <w:rStyle w:val="47"/>
          <w:rFonts w:ascii="宋体" w:hAnsi="宋体"/>
          <w:b/>
          <w:sz w:val="30"/>
        </w:rPr>
      </w:pPr>
    </w:p>
    <w:p w14:paraId="4E11271B">
      <w:pPr>
        <w:snapToGrid w:val="0"/>
        <w:spacing w:line="300" w:lineRule="auto"/>
        <w:ind w:firstLine="1355" w:firstLineChars="450"/>
        <w:rPr>
          <w:rStyle w:val="47"/>
          <w:rFonts w:ascii="宋体" w:hAnsi="宋体"/>
          <w:b/>
          <w:sz w:val="30"/>
        </w:rPr>
      </w:pPr>
      <w:bookmarkStart w:id="244" w:name="_GoBack"/>
      <w:bookmarkEnd w:id="244"/>
    </w:p>
    <w:p w14:paraId="25B40CA0">
      <w:pPr>
        <w:snapToGrid w:val="0"/>
        <w:spacing w:line="300" w:lineRule="auto"/>
        <w:jc w:val="center"/>
        <w:rPr>
          <w:rStyle w:val="47"/>
          <w:rFonts w:ascii="宋体" w:hAnsi="宋体"/>
          <w:b/>
          <w:sz w:val="30"/>
        </w:rPr>
      </w:pPr>
      <w:r>
        <w:rPr>
          <w:rStyle w:val="47"/>
          <w:rFonts w:hint="eastAsia" w:ascii="宋体" w:hAnsi="宋体"/>
          <w:b/>
          <w:sz w:val="30"/>
          <w:lang w:val="en-US" w:eastAsia="zh-CN"/>
        </w:rPr>
        <w:t>项目编号：</w:t>
      </w:r>
      <w:r>
        <w:rPr>
          <w:rStyle w:val="47"/>
          <w:rFonts w:hint="eastAsia" w:ascii="宋体" w:hAnsi="宋体"/>
          <w:b/>
          <w:sz w:val="30"/>
        </w:rPr>
        <w:t>FSCZB2025100284</w:t>
      </w:r>
    </w:p>
    <w:p w14:paraId="590FFC5B">
      <w:pPr>
        <w:snapToGrid w:val="0"/>
        <w:spacing w:line="300" w:lineRule="auto"/>
        <w:ind w:firstLine="1355" w:firstLineChars="450"/>
        <w:rPr>
          <w:rStyle w:val="47"/>
          <w:rFonts w:ascii="宋体" w:hAnsi="宋体"/>
          <w:b/>
          <w:sz w:val="30"/>
        </w:rPr>
      </w:pPr>
    </w:p>
    <w:p w14:paraId="35928FD9">
      <w:pPr>
        <w:snapToGrid w:val="0"/>
        <w:spacing w:line="300" w:lineRule="auto"/>
        <w:ind w:firstLine="1355" w:firstLineChars="450"/>
        <w:rPr>
          <w:rStyle w:val="47"/>
          <w:rFonts w:ascii="宋体" w:hAnsi="宋体"/>
          <w:b/>
          <w:sz w:val="30"/>
        </w:rPr>
      </w:pPr>
    </w:p>
    <w:p w14:paraId="1265C0F9">
      <w:pPr>
        <w:pStyle w:val="11"/>
      </w:pPr>
    </w:p>
    <w:p w14:paraId="02A9BE4A">
      <w:pPr>
        <w:snapToGrid w:val="0"/>
        <w:spacing w:line="560" w:lineRule="exact"/>
        <w:rPr>
          <w:rStyle w:val="47"/>
          <w:rFonts w:ascii="宋体" w:hAnsi="宋体"/>
          <w:b/>
          <w:sz w:val="30"/>
        </w:rPr>
      </w:pPr>
    </w:p>
    <w:p w14:paraId="6821DEA8">
      <w:pPr>
        <w:snapToGrid w:val="0"/>
        <w:spacing w:line="560" w:lineRule="exact"/>
        <w:jc w:val="center"/>
        <w:rPr>
          <w:rStyle w:val="47"/>
          <w:rFonts w:hint="eastAsia" w:ascii="宋体" w:hAnsi="宋体" w:eastAsia="宋体"/>
          <w:b/>
          <w:sz w:val="30"/>
          <w:lang w:eastAsia="zh-CN"/>
        </w:rPr>
      </w:pPr>
      <w:r>
        <w:rPr>
          <w:rStyle w:val="47"/>
          <w:rFonts w:ascii="宋体" w:hAnsi="宋体"/>
          <w:b/>
          <w:sz w:val="30"/>
        </w:rPr>
        <w:t>招 标 人：</w:t>
      </w:r>
      <w:r>
        <w:rPr>
          <w:rStyle w:val="47"/>
          <w:rFonts w:hint="eastAsia" w:ascii="宋体" w:hAnsi="宋体"/>
          <w:b/>
          <w:sz w:val="30"/>
          <w:lang w:eastAsia="zh-CN"/>
        </w:rPr>
        <w:t>中国重汽集团济南动力有限公司</w:t>
      </w:r>
    </w:p>
    <w:p w14:paraId="356B0183">
      <w:pPr>
        <w:snapToGrid w:val="0"/>
        <w:spacing w:line="560" w:lineRule="exact"/>
        <w:jc w:val="center"/>
        <w:rPr>
          <w:rStyle w:val="47"/>
          <w:rFonts w:ascii="宋体" w:hAnsi="宋体"/>
          <w:b/>
          <w:sz w:val="30"/>
        </w:rPr>
      </w:pPr>
      <w:r>
        <w:rPr>
          <w:rStyle w:val="47"/>
          <w:rFonts w:ascii="宋体" w:hAnsi="宋体"/>
          <w:b/>
          <w:sz w:val="30"/>
        </w:rPr>
        <w:t>编制日期：二〇</w:t>
      </w:r>
      <w:r>
        <w:rPr>
          <w:rStyle w:val="47"/>
          <w:rFonts w:hint="eastAsia" w:ascii="宋体" w:hAnsi="宋体"/>
          <w:b/>
          <w:sz w:val="30"/>
        </w:rPr>
        <w:t>二</w:t>
      </w:r>
      <w:r>
        <w:rPr>
          <w:rStyle w:val="47"/>
          <w:rFonts w:hint="eastAsia" w:ascii="宋体" w:hAnsi="宋体"/>
          <w:b/>
          <w:sz w:val="30"/>
          <w:lang w:val="en-US" w:eastAsia="zh-CN"/>
        </w:rPr>
        <w:t>五</w:t>
      </w:r>
      <w:r>
        <w:rPr>
          <w:rStyle w:val="47"/>
          <w:rFonts w:ascii="宋体" w:hAnsi="宋体"/>
          <w:b/>
          <w:sz w:val="30"/>
        </w:rPr>
        <w:t>年</w:t>
      </w:r>
      <w:r>
        <w:rPr>
          <w:rStyle w:val="47"/>
          <w:rFonts w:hint="eastAsia" w:ascii="宋体" w:hAnsi="宋体"/>
          <w:b/>
          <w:sz w:val="30"/>
          <w:lang w:val="en-US" w:eastAsia="zh-CN"/>
        </w:rPr>
        <w:t>十一</w:t>
      </w:r>
      <w:r>
        <w:rPr>
          <w:rStyle w:val="47"/>
          <w:rFonts w:ascii="宋体" w:hAnsi="宋体"/>
          <w:b/>
          <w:sz w:val="30"/>
        </w:rPr>
        <w:t>月</w:t>
      </w:r>
    </w:p>
    <w:p w14:paraId="55DE1D16">
      <w:pPr>
        <w:snapToGrid w:val="0"/>
        <w:spacing w:line="360" w:lineRule="auto"/>
        <w:jc w:val="center"/>
        <w:rPr>
          <w:rStyle w:val="47"/>
          <w:rFonts w:ascii="宋体" w:hAnsi="宋体"/>
          <w:b/>
          <w:sz w:val="32"/>
          <w:szCs w:val="44"/>
        </w:rPr>
      </w:pPr>
      <w:r>
        <w:rPr>
          <w:rStyle w:val="47"/>
          <w:rFonts w:ascii="宋体" w:hAnsi="宋体"/>
          <w:b/>
          <w:sz w:val="30"/>
        </w:rPr>
        <w:br w:type="page"/>
      </w:r>
      <w:r>
        <w:rPr>
          <w:rStyle w:val="47"/>
          <w:rFonts w:ascii="宋体" w:hAnsi="宋体"/>
          <w:b/>
          <w:sz w:val="32"/>
          <w:szCs w:val="44"/>
        </w:rPr>
        <w:t>目   录</w:t>
      </w:r>
    </w:p>
    <w:p w14:paraId="769B4B19">
      <w:pPr>
        <w:pStyle w:val="18"/>
        <w:tabs>
          <w:tab w:val="right" w:leader="dot" w:pos="9297"/>
          <w:tab w:val="clear" w:pos="9629"/>
        </w:tabs>
      </w:pPr>
      <w:r>
        <w:rPr>
          <w:rStyle w:val="47"/>
          <w:sz w:val="20"/>
        </w:rPr>
        <w:fldChar w:fldCharType="begin"/>
      </w:r>
      <w:r>
        <w:rPr>
          <w:rStyle w:val="47"/>
          <w:rFonts w:asciiTheme="minorEastAsia" w:hAnsiTheme="minorEastAsia" w:eastAsiaTheme="minorEastAsia"/>
          <w:sz w:val="20"/>
          <w:szCs w:val="21"/>
        </w:rPr>
        <w:instrText xml:space="preserve"> TOC \o "1-3" \h \z \u </w:instrText>
      </w:r>
      <w:r>
        <w:rPr>
          <w:rStyle w:val="47"/>
          <w:sz w:val="20"/>
        </w:rPr>
        <w:fldChar w:fldCharType="separate"/>
      </w:r>
      <w:r>
        <w:fldChar w:fldCharType="begin"/>
      </w:r>
      <w:r>
        <w:instrText xml:space="preserve"> HYPERLINK \l _Toc18462 </w:instrText>
      </w:r>
      <w:r>
        <w:fldChar w:fldCharType="separate"/>
      </w:r>
      <w:r>
        <w:rPr>
          <w:szCs w:val="48"/>
        </w:rPr>
        <w:t>第一卷</w:t>
      </w:r>
      <w:r>
        <w:tab/>
      </w:r>
      <w:r>
        <w:fldChar w:fldCharType="begin"/>
      </w:r>
      <w:r>
        <w:instrText xml:space="preserve"> PAGEREF _Toc18462 \h </w:instrText>
      </w:r>
      <w:r>
        <w:fldChar w:fldCharType="separate"/>
      </w:r>
      <w:r>
        <w:t>3</w:t>
      </w:r>
      <w:r>
        <w:fldChar w:fldCharType="end"/>
      </w:r>
      <w:r>
        <w:fldChar w:fldCharType="end"/>
      </w:r>
    </w:p>
    <w:p w14:paraId="4266ACAF">
      <w:pPr>
        <w:pStyle w:val="21"/>
        <w:tabs>
          <w:tab w:val="right" w:leader="dot" w:pos="9297"/>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_Toc19814 </w:instrText>
      </w:r>
      <w:r>
        <w:rPr>
          <w:rFonts w:asciiTheme="minorEastAsia" w:hAnsiTheme="minorEastAsia" w:eastAsiaTheme="minorEastAsia"/>
          <w:szCs w:val="21"/>
        </w:rPr>
        <w:fldChar w:fldCharType="separate"/>
      </w:r>
      <w:r>
        <w:rPr>
          <w:rFonts w:hint="eastAsia"/>
          <w:i w:val="0"/>
          <w:szCs w:val="32"/>
          <w:highlight w:val="none"/>
        </w:rPr>
        <w:t>第一章招标公告</w:t>
      </w:r>
      <w:r>
        <w:tab/>
      </w:r>
      <w:r>
        <w:fldChar w:fldCharType="begin"/>
      </w:r>
      <w:r>
        <w:instrText xml:space="preserve"> PAGEREF _Toc19814 \h </w:instrText>
      </w:r>
      <w:r>
        <w:fldChar w:fldCharType="separate"/>
      </w:r>
      <w:r>
        <w:t>4</w:t>
      </w:r>
      <w:r>
        <w:fldChar w:fldCharType="end"/>
      </w:r>
      <w:r>
        <w:rPr>
          <w:rFonts w:asciiTheme="minorEastAsia" w:hAnsiTheme="minorEastAsia" w:eastAsiaTheme="minorEastAsia"/>
          <w:szCs w:val="21"/>
        </w:rPr>
        <w:fldChar w:fldCharType="end"/>
      </w:r>
    </w:p>
    <w:p w14:paraId="35ABEC6E">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_Toc27105 </w:instrText>
      </w:r>
      <w:r>
        <w:rPr>
          <w:rFonts w:asciiTheme="minorEastAsia" w:hAnsiTheme="minorEastAsia" w:eastAsiaTheme="minorEastAsia"/>
          <w:szCs w:val="21"/>
        </w:rPr>
        <w:fldChar w:fldCharType="separate"/>
      </w:r>
      <w:r>
        <w:rPr>
          <w:rFonts w:hint="eastAsia" w:ascii="宋体" w:hAnsi="宋体" w:eastAsia="宋体" w:cs="宋体"/>
          <w:szCs w:val="32"/>
          <w:highlight w:val="none"/>
          <w:lang w:val="en-US" w:eastAsia="zh-CN"/>
        </w:rPr>
        <w:t>附件1:</w:t>
      </w:r>
      <w:r>
        <w:tab/>
      </w:r>
      <w:r>
        <w:fldChar w:fldCharType="begin"/>
      </w:r>
      <w:r>
        <w:instrText xml:space="preserve"> PAGEREF _Toc27105 \h </w:instrText>
      </w:r>
      <w:r>
        <w:fldChar w:fldCharType="separate"/>
      </w:r>
      <w:r>
        <w:t>6</w:t>
      </w:r>
      <w:r>
        <w:fldChar w:fldCharType="end"/>
      </w:r>
      <w:r>
        <w:rPr>
          <w:rFonts w:asciiTheme="minorEastAsia" w:hAnsiTheme="minorEastAsia" w:eastAsiaTheme="minorEastAsia"/>
          <w:szCs w:val="21"/>
        </w:rPr>
        <w:fldChar w:fldCharType="end"/>
      </w:r>
    </w:p>
    <w:p w14:paraId="2457CDC6">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_Toc10348 </w:instrText>
      </w:r>
      <w:r>
        <w:rPr>
          <w:rFonts w:asciiTheme="minorEastAsia" w:hAnsiTheme="minorEastAsia" w:eastAsiaTheme="minorEastAsia"/>
          <w:szCs w:val="21"/>
        </w:rPr>
        <w:fldChar w:fldCharType="separate"/>
      </w:r>
      <w:r>
        <w:rPr>
          <w:rFonts w:hint="eastAsia" w:ascii="宋体" w:hAnsi="宋体" w:eastAsia="宋体" w:cs="宋体"/>
          <w:szCs w:val="32"/>
          <w:highlight w:val="none"/>
          <w:lang w:val="en-US" w:eastAsia="zh-CN"/>
        </w:rPr>
        <w:t>附件2:</w:t>
      </w:r>
      <w:r>
        <w:tab/>
      </w:r>
      <w:r>
        <w:fldChar w:fldCharType="begin"/>
      </w:r>
      <w:r>
        <w:instrText xml:space="preserve"> PAGEREF _Toc10348 \h </w:instrText>
      </w:r>
      <w:r>
        <w:fldChar w:fldCharType="separate"/>
      </w:r>
      <w:r>
        <w:t>7</w:t>
      </w:r>
      <w:r>
        <w:fldChar w:fldCharType="end"/>
      </w:r>
      <w:r>
        <w:rPr>
          <w:rFonts w:asciiTheme="minorEastAsia" w:hAnsiTheme="minorEastAsia" w:eastAsiaTheme="minorEastAsia"/>
          <w:szCs w:val="21"/>
        </w:rPr>
        <w:fldChar w:fldCharType="end"/>
      </w:r>
    </w:p>
    <w:p w14:paraId="216639F6">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_Toc9736 </w:instrText>
      </w:r>
      <w:r>
        <w:rPr>
          <w:rFonts w:asciiTheme="minorEastAsia" w:hAnsiTheme="minorEastAsia" w:eastAsiaTheme="minorEastAsia"/>
          <w:szCs w:val="21"/>
        </w:rPr>
        <w:fldChar w:fldCharType="separate"/>
      </w:r>
      <w:r>
        <w:rPr>
          <w:rFonts w:hint="eastAsia" w:ascii="宋体" w:hAnsi="宋体" w:eastAsia="宋体" w:cs="宋体"/>
          <w:szCs w:val="32"/>
          <w:highlight w:val="none"/>
          <w:lang w:val="en-US" w:eastAsia="zh-CN"/>
        </w:rPr>
        <w:t>附件3:投标人基本情况表</w:t>
      </w:r>
      <w:r>
        <w:tab/>
      </w:r>
      <w:r>
        <w:fldChar w:fldCharType="begin"/>
      </w:r>
      <w:r>
        <w:instrText xml:space="preserve"> PAGEREF _Toc9736 \h </w:instrText>
      </w:r>
      <w:r>
        <w:fldChar w:fldCharType="separate"/>
      </w:r>
      <w:r>
        <w:t>8</w:t>
      </w:r>
      <w:r>
        <w:fldChar w:fldCharType="end"/>
      </w:r>
      <w:r>
        <w:rPr>
          <w:rFonts w:asciiTheme="minorEastAsia" w:hAnsiTheme="minorEastAsia" w:eastAsiaTheme="minorEastAsia"/>
          <w:szCs w:val="21"/>
        </w:rPr>
        <w:fldChar w:fldCharType="end"/>
      </w:r>
    </w:p>
    <w:p w14:paraId="725B376D">
      <w:pPr>
        <w:pStyle w:val="21"/>
        <w:tabs>
          <w:tab w:val="right" w:leader="dot" w:pos="9297"/>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_Toc25068 </w:instrText>
      </w:r>
      <w:r>
        <w:rPr>
          <w:rFonts w:asciiTheme="minorEastAsia" w:hAnsiTheme="minorEastAsia" w:eastAsiaTheme="minorEastAsia"/>
          <w:szCs w:val="21"/>
        </w:rPr>
        <w:fldChar w:fldCharType="separate"/>
      </w:r>
      <w:r>
        <w:rPr>
          <w:rFonts w:hint="eastAsia"/>
          <w:i w:val="0"/>
          <w:iCs w:val="0"/>
          <w:szCs w:val="32"/>
        </w:rPr>
        <w:t xml:space="preserve">第二章  </w:t>
      </w:r>
      <w:r>
        <w:rPr>
          <w:i w:val="0"/>
          <w:iCs w:val="0"/>
          <w:szCs w:val="32"/>
        </w:rPr>
        <w:t>投标人须知</w:t>
      </w:r>
      <w:r>
        <w:tab/>
      </w:r>
      <w:r>
        <w:fldChar w:fldCharType="begin"/>
      </w:r>
      <w:r>
        <w:instrText xml:space="preserve"> PAGEREF _Toc25068 \h </w:instrText>
      </w:r>
      <w:r>
        <w:fldChar w:fldCharType="separate"/>
      </w:r>
      <w:r>
        <w:t>10</w:t>
      </w:r>
      <w:r>
        <w:fldChar w:fldCharType="end"/>
      </w:r>
      <w:r>
        <w:rPr>
          <w:rFonts w:asciiTheme="minorEastAsia" w:hAnsiTheme="minorEastAsia" w:eastAsiaTheme="minorEastAsia"/>
          <w:szCs w:val="21"/>
        </w:rPr>
        <w:fldChar w:fldCharType="end"/>
      </w:r>
    </w:p>
    <w:p w14:paraId="28DF252F">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_Toc11977 </w:instrText>
      </w:r>
      <w:r>
        <w:rPr>
          <w:rFonts w:asciiTheme="minorEastAsia" w:hAnsiTheme="minorEastAsia" w:eastAsiaTheme="minorEastAsia"/>
          <w:szCs w:val="21"/>
        </w:rPr>
        <w:fldChar w:fldCharType="separate"/>
      </w:r>
      <w:r>
        <w:rPr>
          <w:szCs w:val="30"/>
        </w:rPr>
        <w:t>投标人须知前附表</w:t>
      </w:r>
      <w:r>
        <w:tab/>
      </w:r>
      <w:r>
        <w:fldChar w:fldCharType="begin"/>
      </w:r>
      <w:r>
        <w:instrText xml:space="preserve"> PAGEREF _Toc11977 \h </w:instrText>
      </w:r>
      <w:r>
        <w:fldChar w:fldCharType="separate"/>
      </w:r>
      <w:r>
        <w:t>10</w:t>
      </w:r>
      <w:r>
        <w:fldChar w:fldCharType="end"/>
      </w:r>
      <w:r>
        <w:rPr>
          <w:rFonts w:asciiTheme="minorEastAsia" w:hAnsiTheme="minorEastAsia" w:eastAsiaTheme="minorEastAsia"/>
          <w:szCs w:val="21"/>
        </w:rPr>
        <w:fldChar w:fldCharType="end"/>
      </w:r>
    </w:p>
    <w:p w14:paraId="57998173">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_Toc10889 </w:instrText>
      </w:r>
      <w:r>
        <w:rPr>
          <w:rFonts w:asciiTheme="minorEastAsia" w:hAnsiTheme="minorEastAsia" w:eastAsiaTheme="minorEastAsia"/>
          <w:szCs w:val="21"/>
        </w:rPr>
        <w:fldChar w:fldCharType="separate"/>
      </w:r>
      <w:r>
        <w:rPr>
          <w:szCs w:val="30"/>
        </w:rPr>
        <w:t>1. 总则</w:t>
      </w:r>
      <w:r>
        <w:tab/>
      </w:r>
      <w:r>
        <w:fldChar w:fldCharType="begin"/>
      </w:r>
      <w:r>
        <w:instrText xml:space="preserve"> PAGEREF _Toc10889 \h </w:instrText>
      </w:r>
      <w:r>
        <w:fldChar w:fldCharType="separate"/>
      </w:r>
      <w:r>
        <w:t>18</w:t>
      </w:r>
      <w:r>
        <w:fldChar w:fldCharType="end"/>
      </w:r>
      <w:r>
        <w:rPr>
          <w:rFonts w:asciiTheme="minorEastAsia" w:hAnsiTheme="minorEastAsia" w:eastAsiaTheme="minorEastAsia"/>
          <w:szCs w:val="21"/>
        </w:rPr>
        <w:fldChar w:fldCharType="end"/>
      </w:r>
    </w:p>
    <w:p w14:paraId="515444D9">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_Toc9332 </w:instrText>
      </w:r>
      <w:r>
        <w:rPr>
          <w:rFonts w:asciiTheme="minorEastAsia" w:hAnsiTheme="minorEastAsia" w:eastAsiaTheme="minorEastAsia"/>
          <w:szCs w:val="21"/>
        </w:rPr>
        <w:fldChar w:fldCharType="separate"/>
      </w:r>
      <w:r>
        <w:rPr>
          <w:szCs w:val="30"/>
        </w:rPr>
        <w:t>2. 招标文件</w:t>
      </w:r>
      <w:r>
        <w:tab/>
      </w:r>
      <w:r>
        <w:fldChar w:fldCharType="begin"/>
      </w:r>
      <w:r>
        <w:instrText xml:space="preserve"> PAGEREF _Toc9332 \h </w:instrText>
      </w:r>
      <w:r>
        <w:fldChar w:fldCharType="separate"/>
      </w:r>
      <w:r>
        <w:t>20</w:t>
      </w:r>
      <w:r>
        <w:fldChar w:fldCharType="end"/>
      </w:r>
      <w:r>
        <w:rPr>
          <w:rFonts w:asciiTheme="minorEastAsia" w:hAnsiTheme="minorEastAsia" w:eastAsiaTheme="minorEastAsia"/>
          <w:szCs w:val="21"/>
        </w:rPr>
        <w:fldChar w:fldCharType="end"/>
      </w:r>
    </w:p>
    <w:p w14:paraId="27F368C1">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_Toc29348 </w:instrText>
      </w:r>
      <w:r>
        <w:rPr>
          <w:rFonts w:asciiTheme="minorEastAsia" w:hAnsiTheme="minorEastAsia" w:eastAsiaTheme="minorEastAsia"/>
          <w:szCs w:val="21"/>
        </w:rPr>
        <w:fldChar w:fldCharType="separate"/>
      </w:r>
      <w:r>
        <w:rPr>
          <w:szCs w:val="30"/>
        </w:rPr>
        <w:t>3. 投标文件</w:t>
      </w:r>
      <w:r>
        <w:tab/>
      </w:r>
      <w:r>
        <w:fldChar w:fldCharType="begin"/>
      </w:r>
      <w:r>
        <w:instrText xml:space="preserve"> PAGEREF _Toc29348 \h </w:instrText>
      </w:r>
      <w:r>
        <w:fldChar w:fldCharType="separate"/>
      </w:r>
      <w:r>
        <w:t>21</w:t>
      </w:r>
      <w:r>
        <w:fldChar w:fldCharType="end"/>
      </w:r>
      <w:r>
        <w:rPr>
          <w:rFonts w:asciiTheme="minorEastAsia" w:hAnsiTheme="minorEastAsia" w:eastAsiaTheme="minorEastAsia"/>
          <w:szCs w:val="21"/>
        </w:rPr>
        <w:fldChar w:fldCharType="end"/>
      </w:r>
    </w:p>
    <w:p w14:paraId="440B4A95">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_Toc2542 </w:instrText>
      </w:r>
      <w:r>
        <w:rPr>
          <w:rFonts w:asciiTheme="minorEastAsia" w:hAnsiTheme="minorEastAsia" w:eastAsiaTheme="minorEastAsia"/>
          <w:szCs w:val="21"/>
        </w:rPr>
        <w:fldChar w:fldCharType="separate"/>
      </w:r>
      <w:r>
        <w:rPr>
          <w:szCs w:val="30"/>
        </w:rPr>
        <w:t>4. 投标</w:t>
      </w:r>
      <w:r>
        <w:tab/>
      </w:r>
      <w:r>
        <w:fldChar w:fldCharType="begin"/>
      </w:r>
      <w:r>
        <w:instrText xml:space="preserve"> PAGEREF _Toc2542 \h </w:instrText>
      </w:r>
      <w:r>
        <w:fldChar w:fldCharType="separate"/>
      </w:r>
      <w:r>
        <w:t>23</w:t>
      </w:r>
      <w:r>
        <w:fldChar w:fldCharType="end"/>
      </w:r>
      <w:r>
        <w:rPr>
          <w:rFonts w:asciiTheme="minorEastAsia" w:hAnsiTheme="minorEastAsia" w:eastAsiaTheme="minorEastAsia"/>
          <w:szCs w:val="21"/>
        </w:rPr>
        <w:fldChar w:fldCharType="end"/>
      </w:r>
    </w:p>
    <w:p w14:paraId="52328315">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_Toc23919 </w:instrText>
      </w:r>
      <w:r>
        <w:rPr>
          <w:rFonts w:asciiTheme="minorEastAsia" w:hAnsiTheme="minorEastAsia" w:eastAsiaTheme="minorEastAsia"/>
          <w:szCs w:val="21"/>
        </w:rPr>
        <w:fldChar w:fldCharType="separate"/>
      </w:r>
      <w:r>
        <w:rPr>
          <w:szCs w:val="30"/>
        </w:rPr>
        <w:t>5. 开标</w:t>
      </w:r>
      <w:r>
        <w:tab/>
      </w:r>
      <w:r>
        <w:fldChar w:fldCharType="begin"/>
      </w:r>
      <w:r>
        <w:instrText xml:space="preserve"> PAGEREF _Toc23919 \h </w:instrText>
      </w:r>
      <w:r>
        <w:fldChar w:fldCharType="separate"/>
      </w:r>
      <w:r>
        <w:t>23</w:t>
      </w:r>
      <w:r>
        <w:fldChar w:fldCharType="end"/>
      </w:r>
      <w:r>
        <w:rPr>
          <w:rFonts w:asciiTheme="minorEastAsia" w:hAnsiTheme="minorEastAsia" w:eastAsiaTheme="minorEastAsia"/>
          <w:szCs w:val="21"/>
        </w:rPr>
        <w:fldChar w:fldCharType="end"/>
      </w:r>
    </w:p>
    <w:p w14:paraId="1114AC02">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_Toc31230 </w:instrText>
      </w:r>
      <w:r>
        <w:rPr>
          <w:rFonts w:asciiTheme="minorEastAsia" w:hAnsiTheme="minorEastAsia" w:eastAsiaTheme="minorEastAsia"/>
          <w:szCs w:val="21"/>
        </w:rPr>
        <w:fldChar w:fldCharType="separate"/>
      </w:r>
      <w:r>
        <w:rPr>
          <w:szCs w:val="30"/>
        </w:rPr>
        <w:t>6. 评标</w:t>
      </w:r>
      <w:r>
        <w:tab/>
      </w:r>
      <w:r>
        <w:fldChar w:fldCharType="begin"/>
      </w:r>
      <w:r>
        <w:instrText xml:space="preserve"> PAGEREF _Toc31230 \h </w:instrText>
      </w:r>
      <w:r>
        <w:fldChar w:fldCharType="separate"/>
      </w:r>
      <w:r>
        <w:t>25</w:t>
      </w:r>
      <w:r>
        <w:fldChar w:fldCharType="end"/>
      </w:r>
      <w:r>
        <w:rPr>
          <w:rFonts w:asciiTheme="minorEastAsia" w:hAnsiTheme="minorEastAsia" w:eastAsiaTheme="minorEastAsia"/>
          <w:szCs w:val="21"/>
        </w:rPr>
        <w:fldChar w:fldCharType="end"/>
      </w:r>
    </w:p>
    <w:p w14:paraId="4384726F">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_Toc30091 </w:instrText>
      </w:r>
      <w:r>
        <w:rPr>
          <w:rFonts w:asciiTheme="minorEastAsia" w:hAnsiTheme="minorEastAsia" w:eastAsiaTheme="minorEastAsia"/>
          <w:szCs w:val="21"/>
        </w:rPr>
        <w:fldChar w:fldCharType="separate"/>
      </w:r>
      <w:r>
        <w:rPr>
          <w:szCs w:val="30"/>
        </w:rPr>
        <w:t>7. 合同授予</w:t>
      </w:r>
      <w:r>
        <w:tab/>
      </w:r>
      <w:r>
        <w:fldChar w:fldCharType="begin"/>
      </w:r>
      <w:r>
        <w:instrText xml:space="preserve"> PAGEREF _Toc30091 \h </w:instrText>
      </w:r>
      <w:r>
        <w:fldChar w:fldCharType="separate"/>
      </w:r>
      <w:r>
        <w:t>25</w:t>
      </w:r>
      <w:r>
        <w:fldChar w:fldCharType="end"/>
      </w:r>
      <w:r>
        <w:rPr>
          <w:rFonts w:asciiTheme="minorEastAsia" w:hAnsiTheme="minorEastAsia" w:eastAsiaTheme="minorEastAsia"/>
          <w:szCs w:val="21"/>
        </w:rPr>
        <w:fldChar w:fldCharType="end"/>
      </w:r>
    </w:p>
    <w:p w14:paraId="5B474AEC">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_Toc3054 </w:instrText>
      </w:r>
      <w:r>
        <w:rPr>
          <w:rFonts w:asciiTheme="minorEastAsia" w:hAnsiTheme="minorEastAsia" w:eastAsiaTheme="minorEastAsia"/>
          <w:szCs w:val="21"/>
        </w:rPr>
        <w:fldChar w:fldCharType="separate"/>
      </w:r>
      <w:r>
        <w:rPr>
          <w:szCs w:val="30"/>
        </w:rPr>
        <w:t>8. 重新招标和不再招标</w:t>
      </w:r>
      <w:r>
        <w:tab/>
      </w:r>
      <w:r>
        <w:fldChar w:fldCharType="begin"/>
      </w:r>
      <w:r>
        <w:instrText xml:space="preserve"> PAGEREF _Toc3054 \h </w:instrText>
      </w:r>
      <w:r>
        <w:fldChar w:fldCharType="separate"/>
      </w:r>
      <w:r>
        <w:t>26</w:t>
      </w:r>
      <w:r>
        <w:fldChar w:fldCharType="end"/>
      </w:r>
      <w:r>
        <w:rPr>
          <w:rFonts w:asciiTheme="minorEastAsia" w:hAnsiTheme="minorEastAsia" w:eastAsiaTheme="minorEastAsia"/>
          <w:szCs w:val="21"/>
        </w:rPr>
        <w:fldChar w:fldCharType="end"/>
      </w:r>
    </w:p>
    <w:p w14:paraId="632DCEEC">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_Toc30615 </w:instrText>
      </w:r>
      <w:r>
        <w:rPr>
          <w:rFonts w:asciiTheme="minorEastAsia" w:hAnsiTheme="minorEastAsia" w:eastAsiaTheme="minorEastAsia"/>
          <w:szCs w:val="21"/>
        </w:rPr>
        <w:fldChar w:fldCharType="separate"/>
      </w:r>
      <w:r>
        <w:rPr>
          <w:szCs w:val="30"/>
        </w:rPr>
        <w:t>9. 纪律和监督</w:t>
      </w:r>
      <w:r>
        <w:tab/>
      </w:r>
      <w:r>
        <w:fldChar w:fldCharType="begin"/>
      </w:r>
      <w:r>
        <w:instrText xml:space="preserve"> PAGEREF _Toc30615 \h </w:instrText>
      </w:r>
      <w:r>
        <w:fldChar w:fldCharType="separate"/>
      </w:r>
      <w:r>
        <w:t>26</w:t>
      </w:r>
      <w:r>
        <w:fldChar w:fldCharType="end"/>
      </w:r>
      <w:r>
        <w:rPr>
          <w:rFonts w:asciiTheme="minorEastAsia" w:hAnsiTheme="minorEastAsia" w:eastAsiaTheme="minorEastAsia"/>
          <w:szCs w:val="21"/>
        </w:rPr>
        <w:fldChar w:fldCharType="end"/>
      </w:r>
    </w:p>
    <w:p w14:paraId="52F86C58">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_Toc2642 </w:instrText>
      </w:r>
      <w:r>
        <w:rPr>
          <w:rFonts w:asciiTheme="minorEastAsia" w:hAnsiTheme="minorEastAsia" w:eastAsiaTheme="minorEastAsia"/>
          <w:szCs w:val="21"/>
        </w:rPr>
        <w:fldChar w:fldCharType="separate"/>
      </w:r>
      <w:r>
        <w:rPr>
          <w:rFonts w:hint="eastAsia"/>
          <w:szCs w:val="30"/>
        </w:rPr>
        <w:t>1</w:t>
      </w:r>
      <w:r>
        <w:rPr>
          <w:szCs w:val="30"/>
        </w:rPr>
        <w:t>0.</w:t>
      </w:r>
      <w:r>
        <w:rPr>
          <w:rFonts w:hint="eastAsia"/>
          <w:szCs w:val="30"/>
        </w:rPr>
        <w:t>中标人瑕疵滞后发现的处理原则</w:t>
      </w:r>
      <w:r>
        <w:tab/>
      </w:r>
      <w:r>
        <w:fldChar w:fldCharType="begin"/>
      </w:r>
      <w:r>
        <w:instrText xml:space="preserve"> PAGEREF _Toc2642 \h </w:instrText>
      </w:r>
      <w:r>
        <w:fldChar w:fldCharType="separate"/>
      </w:r>
      <w:r>
        <w:t>27</w:t>
      </w:r>
      <w:r>
        <w:fldChar w:fldCharType="end"/>
      </w:r>
      <w:r>
        <w:rPr>
          <w:rFonts w:asciiTheme="minorEastAsia" w:hAnsiTheme="minorEastAsia" w:eastAsiaTheme="minorEastAsia"/>
          <w:szCs w:val="21"/>
        </w:rPr>
        <w:fldChar w:fldCharType="end"/>
      </w:r>
    </w:p>
    <w:p w14:paraId="388C29EB">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_Toc27242 </w:instrText>
      </w:r>
      <w:r>
        <w:rPr>
          <w:rFonts w:asciiTheme="minorEastAsia" w:hAnsiTheme="minorEastAsia" w:eastAsiaTheme="minorEastAsia"/>
          <w:szCs w:val="21"/>
        </w:rPr>
        <w:fldChar w:fldCharType="separate"/>
      </w:r>
      <w:r>
        <w:rPr>
          <w:szCs w:val="30"/>
        </w:rPr>
        <w:t>1</w:t>
      </w:r>
      <w:r>
        <w:rPr>
          <w:rFonts w:hint="eastAsia"/>
          <w:szCs w:val="30"/>
        </w:rPr>
        <w:t>1</w:t>
      </w:r>
      <w:r>
        <w:rPr>
          <w:szCs w:val="30"/>
        </w:rPr>
        <w:t>. 需要补充的其他内容</w:t>
      </w:r>
      <w:r>
        <w:tab/>
      </w:r>
      <w:r>
        <w:fldChar w:fldCharType="begin"/>
      </w:r>
      <w:r>
        <w:instrText xml:space="preserve"> PAGEREF _Toc27242 \h </w:instrText>
      </w:r>
      <w:r>
        <w:fldChar w:fldCharType="separate"/>
      </w:r>
      <w:r>
        <w:t>27</w:t>
      </w:r>
      <w:r>
        <w:fldChar w:fldCharType="end"/>
      </w:r>
      <w:r>
        <w:rPr>
          <w:rFonts w:asciiTheme="minorEastAsia" w:hAnsiTheme="minorEastAsia" w:eastAsiaTheme="minorEastAsia"/>
          <w:szCs w:val="21"/>
        </w:rPr>
        <w:fldChar w:fldCharType="end"/>
      </w:r>
    </w:p>
    <w:p w14:paraId="375E7828">
      <w:pPr>
        <w:pStyle w:val="21"/>
        <w:tabs>
          <w:tab w:val="right" w:leader="dot" w:pos="9297"/>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_Toc29944 </w:instrText>
      </w:r>
      <w:r>
        <w:rPr>
          <w:rFonts w:asciiTheme="minorEastAsia" w:hAnsiTheme="minorEastAsia" w:eastAsiaTheme="minorEastAsia"/>
          <w:szCs w:val="21"/>
        </w:rPr>
        <w:fldChar w:fldCharType="separate"/>
      </w:r>
      <w:r>
        <w:rPr>
          <w:i w:val="0"/>
          <w:iCs w:val="0"/>
          <w:szCs w:val="32"/>
        </w:rPr>
        <w:t>第三章 评标办法</w:t>
      </w:r>
      <w:r>
        <w:tab/>
      </w:r>
      <w:r>
        <w:fldChar w:fldCharType="begin"/>
      </w:r>
      <w:r>
        <w:instrText xml:space="preserve"> PAGEREF _Toc29944 \h </w:instrText>
      </w:r>
      <w:r>
        <w:fldChar w:fldCharType="separate"/>
      </w:r>
      <w:r>
        <w:t>28</w:t>
      </w:r>
      <w:r>
        <w:fldChar w:fldCharType="end"/>
      </w:r>
      <w:r>
        <w:rPr>
          <w:rFonts w:asciiTheme="minorEastAsia" w:hAnsiTheme="minorEastAsia" w:eastAsiaTheme="minorEastAsia"/>
          <w:szCs w:val="21"/>
        </w:rPr>
        <w:fldChar w:fldCharType="end"/>
      </w:r>
    </w:p>
    <w:p w14:paraId="279C6E4E">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_Toc14783 </w:instrText>
      </w:r>
      <w:r>
        <w:rPr>
          <w:rFonts w:asciiTheme="minorEastAsia" w:hAnsiTheme="minorEastAsia" w:eastAsiaTheme="minorEastAsia"/>
          <w:szCs w:val="21"/>
        </w:rPr>
        <w:fldChar w:fldCharType="separate"/>
      </w:r>
      <w:r>
        <w:rPr>
          <w:rFonts w:hint="eastAsia"/>
          <w:szCs w:val="30"/>
        </w:rPr>
        <w:t>一</w:t>
      </w:r>
      <w:r>
        <w:rPr>
          <w:szCs w:val="30"/>
        </w:rPr>
        <w:t>、</w:t>
      </w:r>
      <w:r>
        <w:rPr>
          <w:rFonts w:hint="eastAsia"/>
          <w:szCs w:val="30"/>
        </w:rPr>
        <w:t>评分细则</w:t>
      </w:r>
      <w:r>
        <w:tab/>
      </w:r>
      <w:r>
        <w:fldChar w:fldCharType="begin"/>
      </w:r>
      <w:r>
        <w:instrText xml:space="preserve"> PAGEREF _Toc14783 \h </w:instrText>
      </w:r>
      <w:r>
        <w:fldChar w:fldCharType="separate"/>
      </w:r>
      <w:r>
        <w:t>28</w:t>
      </w:r>
      <w:r>
        <w:fldChar w:fldCharType="end"/>
      </w:r>
      <w:r>
        <w:rPr>
          <w:rFonts w:asciiTheme="minorEastAsia" w:hAnsiTheme="minorEastAsia" w:eastAsiaTheme="minorEastAsia"/>
          <w:szCs w:val="21"/>
        </w:rPr>
        <w:fldChar w:fldCharType="end"/>
      </w:r>
    </w:p>
    <w:p w14:paraId="51D026E0">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_Toc20291 </w:instrText>
      </w:r>
      <w:r>
        <w:rPr>
          <w:rFonts w:asciiTheme="minorEastAsia" w:hAnsiTheme="minorEastAsia" w:eastAsiaTheme="minorEastAsia"/>
          <w:szCs w:val="21"/>
        </w:rPr>
        <w:fldChar w:fldCharType="separate"/>
      </w:r>
      <w:r>
        <w:rPr>
          <w:szCs w:val="30"/>
        </w:rPr>
        <w:t>二、评标办法</w:t>
      </w:r>
      <w:r>
        <w:tab/>
      </w:r>
      <w:r>
        <w:fldChar w:fldCharType="begin"/>
      </w:r>
      <w:r>
        <w:instrText xml:space="preserve"> PAGEREF _Toc20291 \h </w:instrText>
      </w:r>
      <w:r>
        <w:fldChar w:fldCharType="separate"/>
      </w:r>
      <w:r>
        <w:t>28</w:t>
      </w:r>
      <w:r>
        <w:fldChar w:fldCharType="end"/>
      </w:r>
      <w:r>
        <w:rPr>
          <w:rFonts w:asciiTheme="minorEastAsia" w:hAnsiTheme="minorEastAsia" w:eastAsiaTheme="minorEastAsia"/>
          <w:szCs w:val="21"/>
        </w:rPr>
        <w:fldChar w:fldCharType="end"/>
      </w:r>
    </w:p>
    <w:p w14:paraId="4FFD731E">
      <w:pPr>
        <w:pStyle w:val="21"/>
        <w:tabs>
          <w:tab w:val="right" w:leader="dot" w:pos="9297"/>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_Toc28575 </w:instrText>
      </w:r>
      <w:r>
        <w:rPr>
          <w:rFonts w:asciiTheme="minorEastAsia" w:hAnsiTheme="minorEastAsia" w:eastAsiaTheme="minorEastAsia"/>
          <w:szCs w:val="21"/>
        </w:rPr>
        <w:fldChar w:fldCharType="separate"/>
      </w:r>
      <w:r>
        <w:rPr>
          <w:i w:val="0"/>
          <w:iCs w:val="0"/>
          <w:szCs w:val="32"/>
        </w:rPr>
        <w:t>第四章</w:t>
      </w:r>
      <w:r>
        <w:rPr>
          <w:rFonts w:hint="eastAsia"/>
          <w:i w:val="0"/>
          <w:iCs w:val="0"/>
          <w:szCs w:val="32"/>
        </w:rPr>
        <w:t xml:space="preserve"> </w:t>
      </w:r>
      <w:r>
        <w:rPr>
          <w:i w:val="0"/>
          <w:iCs w:val="0"/>
          <w:szCs w:val="32"/>
        </w:rPr>
        <w:t>合同条款及格式</w:t>
      </w:r>
      <w:r>
        <w:tab/>
      </w:r>
      <w:r>
        <w:fldChar w:fldCharType="begin"/>
      </w:r>
      <w:r>
        <w:instrText xml:space="preserve"> PAGEREF _Toc28575 \h </w:instrText>
      </w:r>
      <w:r>
        <w:fldChar w:fldCharType="separate"/>
      </w:r>
      <w:r>
        <w:t>32</w:t>
      </w:r>
      <w:r>
        <w:fldChar w:fldCharType="end"/>
      </w:r>
      <w:r>
        <w:rPr>
          <w:rFonts w:asciiTheme="minorEastAsia" w:hAnsiTheme="minorEastAsia" w:eastAsiaTheme="minorEastAsia"/>
          <w:szCs w:val="21"/>
        </w:rPr>
        <w:fldChar w:fldCharType="end"/>
      </w:r>
    </w:p>
    <w:p w14:paraId="02D48E12">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_Toc1668 </w:instrText>
      </w:r>
      <w:r>
        <w:rPr>
          <w:rFonts w:asciiTheme="minorEastAsia" w:hAnsiTheme="minorEastAsia" w:eastAsiaTheme="minorEastAsia"/>
          <w:szCs w:val="21"/>
        </w:rPr>
        <w:fldChar w:fldCharType="separate"/>
      </w:r>
      <w:r>
        <w:rPr>
          <w:rFonts w:hint="eastAsia" w:ascii="宋体" w:hAnsi="宋体"/>
          <w:bCs/>
          <w:szCs w:val="36"/>
          <w:highlight w:val="none"/>
        </w:rPr>
        <w:t>建设工程施工合同</w:t>
      </w:r>
      <w:r>
        <w:tab/>
      </w:r>
      <w:r>
        <w:fldChar w:fldCharType="begin"/>
      </w:r>
      <w:r>
        <w:instrText xml:space="preserve"> PAGEREF _Toc1668 \h </w:instrText>
      </w:r>
      <w:r>
        <w:fldChar w:fldCharType="separate"/>
      </w:r>
      <w:r>
        <w:t>32</w:t>
      </w:r>
      <w:r>
        <w:fldChar w:fldCharType="end"/>
      </w:r>
      <w:r>
        <w:rPr>
          <w:rFonts w:asciiTheme="minorEastAsia" w:hAnsiTheme="minorEastAsia" w:eastAsiaTheme="minorEastAsia"/>
          <w:szCs w:val="21"/>
        </w:rPr>
        <w:fldChar w:fldCharType="end"/>
      </w:r>
    </w:p>
    <w:p w14:paraId="0C88BD74">
      <w:pPr>
        <w:pStyle w:val="21"/>
        <w:tabs>
          <w:tab w:val="right" w:leader="dot" w:pos="9297"/>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_Toc18901 </w:instrText>
      </w:r>
      <w:r>
        <w:rPr>
          <w:rFonts w:asciiTheme="minorEastAsia" w:hAnsiTheme="minorEastAsia" w:eastAsiaTheme="minorEastAsia"/>
          <w:szCs w:val="21"/>
        </w:rPr>
        <w:fldChar w:fldCharType="separate"/>
      </w:r>
      <w:r>
        <w:rPr>
          <w:rFonts w:hint="eastAsia" w:ascii="宋体" w:hAnsi="宋体"/>
          <w:i w:val="0"/>
          <w:iCs w:val="0"/>
        </w:rPr>
        <w:t>第五章 投标报价要求</w:t>
      </w:r>
      <w:r>
        <w:tab/>
      </w:r>
      <w:r>
        <w:fldChar w:fldCharType="begin"/>
      </w:r>
      <w:r>
        <w:instrText xml:space="preserve"> PAGEREF _Toc18901 \h </w:instrText>
      </w:r>
      <w:r>
        <w:fldChar w:fldCharType="separate"/>
      </w:r>
      <w:r>
        <w:t>62</w:t>
      </w:r>
      <w:r>
        <w:fldChar w:fldCharType="end"/>
      </w:r>
      <w:r>
        <w:rPr>
          <w:rFonts w:asciiTheme="minorEastAsia" w:hAnsiTheme="minorEastAsia" w:eastAsiaTheme="minorEastAsia"/>
          <w:szCs w:val="21"/>
        </w:rPr>
        <w:fldChar w:fldCharType="end"/>
      </w:r>
    </w:p>
    <w:p w14:paraId="0528A545">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_Toc22551 </w:instrText>
      </w:r>
      <w:r>
        <w:rPr>
          <w:rFonts w:asciiTheme="minorEastAsia" w:hAnsiTheme="minorEastAsia" w:eastAsiaTheme="minorEastAsia"/>
          <w:szCs w:val="21"/>
        </w:rPr>
        <w:fldChar w:fldCharType="separate"/>
      </w:r>
      <w:r>
        <w:rPr>
          <w:rFonts w:hint="eastAsia"/>
        </w:rPr>
        <w:t>1 工程量清单部分</w:t>
      </w:r>
      <w:r>
        <w:tab/>
      </w:r>
      <w:r>
        <w:fldChar w:fldCharType="begin"/>
      </w:r>
      <w:r>
        <w:instrText xml:space="preserve"> PAGEREF _Toc22551 \h </w:instrText>
      </w:r>
      <w:r>
        <w:fldChar w:fldCharType="separate"/>
      </w:r>
      <w:r>
        <w:t>62</w:t>
      </w:r>
      <w:r>
        <w:fldChar w:fldCharType="end"/>
      </w:r>
      <w:r>
        <w:rPr>
          <w:rFonts w:asciiTheme="minorEastAsia" w:hAnsiTheme="minorEastAsia" w:eastAsiaTheme="minorEastAsia"/>
          <w:szCs w:val="21"/>
        </w:rPr>
        <w:fldChar w:fldCharType="end"/>
      </w:r>
    </w:p>
    <w:p w14:paraId="5457B854">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_Toc5153 </w:instrText>
      </w:r>
      <w:r>
        <w:rPr>
          <w:rFonts w:asciiTheme="minorEastAsia" w:hAnsiTheme="minorEastAsia" w:eastAsiaTheme="minorEastAsia"/>
          <w:szCs w:val="21"/>
        </w:rPr>
        <w:fldChar w:fldCharType="separate"/>
      </w:r>
      <w:r>
        <w:rPr>
          <w:rFonts w:hint="eastAsia" w:eastAsia="宋体" w:cs="Times New Roman"/>
        </w:rPr>
        <w:t>2 清单以外项目</w:t>
      </w:r>
      <w:r>
        <w:tab/>
      </w:r>
      <w:r>
        <w:fldChar w:fldCharType="begin"/>
      </w:r>
      <w:r>
        <w:instrText xml:space="preserve"> PAGEREF _Toc5153 \h </w:instrText>
      </w:r>
      <w:r>
        <w:fldChar w:fldCharType="separate"/>
      </w:r>
      <w:r>
        <w:t>65</w:t>
      </w:r>
      <w:r>
        <w:fldChar w:fldCharType="end"/>
      </w:r>
      <w:r>
        <w:rPr>
          <w:rFonts w:asciiTheme="minorEastAsia" w:hAnsiTheme="minorEastAsia" w:eastAsiaTheme="minorEastAsia"/>
          <w:szCs w:val="21"/>
        </w:rPr>
        <w:fldChar w:fldCharType="end"/>
      </w:r>
    </w:p>
    <w:p w14:paraId="284520C0">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_Toc7489 </w:instrText>
      </w:r>
      <w:r>
        <w:rPr>
          <w:rFonts w:asciiTheme="minorEastAsia" w:hAnsiTheme="minorEastAsia" w:eastAsiaTheme="minorEastAsia"/>
          <w:szCs w:val="21"/>
        </w:rPr>
        <w:fldChar w:fldCharType="separate"/>
      </w:r>
      <w:r>
        <w:rPr>
          <w:rFonts w:hint="eastAsia" w:eastAsia="宋体" w:cs="Times New Roman"/>
        </w:rPr>
        <w:t>3 其他说明</w:t>
      </w:r>
      <w:r>
        <w:tab/>
      </w:r>
      <w:r>
        <w:fldChar w:fldCharType="begin"/>
      </w:r>
      <w:r>
        <w:instrText xml:space="preserve"> PAGEREF _Toc7489 \h </w:instrText>
      </w:r>
      <w:r>
        <w:fldChar w:fldCharType="separate"/>
      </w:r>
      <w:r>
        <w:t>66</w:t>
      </w:r>
      <w:r>
        <w:fldChar w:fldCharType="end"/>
      </w:r>
      <w:r>
        <w:rPr>
          <w:rFonts w:asciiTheme="minorEastAsia" w:hAnsiTheme="minorEastAsia" w:eastAsiaTheme="minorEastAsia"/>
          <w:szCs w:val="21"/>
        </w:rPr>
        <w:fldChar w:fldCharType="end"/>
      </w:r>
    </w:p>
    <w:p w14:paraId="3C07C380">
      <w:pPr>
        <w:pStyle w:val="18"/>
        <w:tabs>
          <w:tab w:val="right" w:leader="dot" w:pos="9297"/>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_Toc13590 </w:instrText>
      </w:r>
      <w:r>
        <w:rPr>
          <w:rFonts w:asciiTheme="minorEastAsia" w:hAnsiTheme="minorEastAsia" w:eastAsiaTheme="minorEastAsia"/>
          <w:szCs w:val="21"/>
        </w:rPr>
        <w:fldChar w:fldCharType="separate"/>
      </w:r>
      <w:r>
        <w:rPr>
          <w:szCs w:val="48"/>
        </w:rPr>
        <w:t>第二卷</w:t>
      </w:r>
      <w:r>
        <w:tab/>
      </w:r>
      <w:r>
        <w:fldChar w:fldCharType="begin"/>
      </w:r>
      <w:r>
        <w:instrText xml:space="preserve"> PAGEREF _Toc13590 \h </w:instrText>
      </w:r>
      <w:r>
        <w:fldChar w:fldCharType="separate"/>
      </w:r>
      <w:r>
        <w:t>69</w:t>
      </w:r>
      <w:r>
        <w:fldChar w:fldCharType="end"/>
      </w:r>
      <w:r>
        <w:rPr>
          <w:rFonts w:asciiTheme="minorEastAsia" w:hAnsiTheme="minorEastAsia" w:eastAsiaTheme="minorEastAsia"/>
          <w:szCs w:val="21"/>
        </w:rPr>
        <w:fldChar w:fldCharType="end"/>
      </w:r>
    </w:p>
    <w:p w14:paraId="33838151">
      <w:pPr>
        <w:pStyle w:val="21"/>
        <w:tabs>
          <w:tab w:val="right" w:leader="dot" w:pos="9297"/>
          <w:tab w:val="clear" w:pos="9629"/>
        </w:tabs>
        <w:rPr>
          <w:highlight w:val="yellow"/>
        </w:rPr>
      </w:pPr>
      <w:r>
        <w:rPr>
          <w:rFonts w:asciiTheme="minorEastAsia" w:hAnsiTheme="minorEastAsia" w:eastAsiaTheme="minorEastAsia"/>
          <w:szCs w:val="21"/>
          <w:highlight w:val="yellow"/>
        </w:rPr>
        <w:fldChar w:fldCharType="begin"/>
      </w:r>
      <w:r>
        <w:rPr>
          <w:rFonts w:asciiTheme="minorEastAsia" w:hAnsiTheme="minorEastAsia" w:eastAsiaTheme="minorEastAsia"/>
          <w:szCs w:val="21"/>
          <w:highlight w:val="yellow"/>
        </w:rPr>
        <w:instrText xml:space="preserve"> HYPERLINK \l _Toc21285 </w:instrText>
      </w:r>
      <w:r>
        <w:rPr>
          <w:rFonts w:asciiTheme="minorEastAsia" w:hAnsiTheme="minorEastAsia" w:eastAsiaTheme="minorEastAsia"/>
          <w:szCs w:val="21"/>
          <w:highlight w:val="yellow"/>
        </w:rPr>
        <w:fldChar w:fldCharType="separate"/>
      </w:r>
      <w:r>
        <w:rPr>
          <w:i w:val="0"/>
          <w:iCs w:val="0"/>
          <w:szCs w:val="32"/>
          <w:highlight w:val="yellow"/>
        </w:rPr>
        <w:t>第六章  图  纸</w:t>
      </w:r>
      <w:r>
        <w:rPr>
          <w:rFonts w:hint="eastAsia"/>
          <w:i w:val="0"/>
          <w:iCs w:val="0"/>
          <w:szCs w:val="32"/>
          <w:highlight w:val="yellow"/>
          <w:lang w:eastAsia="zh-CN"/>
        </w:rPr>
        <w:t>（</w:t>
      </w:r>
      <w:r>
        <w:rPr>
          <w:rFonts w:hint="eastAsia"/>
          <w:i w:val="0"/>
          <w:iCs w:val="0"/>
          <w:szCs w:val="32"/>
          <w:highlight w:val="yellow"/>
          <w:lang w:val="en-US" w:eastAsia="zh-CN"/>
        </w:rPr>
        <w:t>参考附件</w:t>
      </w:r>
      <w:r>
        <w:rPr>
          <w:rFonts w:hint="eastAsia"/>
          <w:i w:val="0"/>
          <w:iCs w:val="0"/>
          <w:szCs w:val="32"/>
          <w:highlight w:val="yellow"/>
          <w:lang w:eastAsia="zh-CN"/>
        </w:rPr>
        <w:t>）</w:t>
      </w:r>
      <w:r>
        <w:rPr>
          <w:highlight w:val="yellow"/>
        </w:rPr>
        <w:tab/>
      </w:r>
      <w:r>
        <w:rPr>
          <w:highlight w:val="yellow"/>
        </w:rPr>
        <w:fldChar w:fldCharType="begin"/>
      </w:r>
      <w:r>
        <w:rPr>
          <w:highlight w:val="yellow"/>
        </w:rPr>
        <w:instrText xml:space="preserve"> PAGEREF _Toc21285 \h </w:instrText>
      </w:r>
      <w:r>
        <w:rPr>
          <w:highlight w:val="yellow"/>
        </w:rPr>
        <w:fldChar w:fldCharType="separate"/>
      </w:r>
      <w:r>
        <w:rPr>
          <w:highlight w:val="yellow"/>
        </w:rPr>
        <w:t>70</w:t>
      </w:r>
      <w:r>
        <w:rPr>
          <w:highlight w:val="yellow"/>
        </w:rPr>
        <w:fldChar w:fldCharType="end"/>
      </w:r>
      <w:r>
        <w:rPr>
          <w:rFonts w:asciiTheme="minorEastAsia" w:hAnsiTheme="minorEastAsia" w:eastAsiaTheme="minorEastAsia"/>
          <w:szCs w:val="21"/>
          <w:highlight w:val="yellow"/>
        </w:rPr>
        <w:fldChar w:fldCharType="end"/>
      </w:r>
    </w:p>
    <w:p w14:paraId="3B0E94E8">
      <w:pPr>
        <w:pStyle w:val="18"/>
        <w:tabs>
          <w:tab w:val="right" w:leader="dot" w:pos="9297"/>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_Toc2751 </w:instrText>
      </w:r>
      <w:r>
        <w:rPr>
          <w:rFonts w:asciiTheme="minorEastAsia" w:hAnsiTheme="minorEastAsia" w:eastAsiaTheme="minorEastAsia"/>
          <w:szCs w:val="21"/>
        </w:rPr>
        <w:fldChar w:fldCharType="separate"/>
      </w:r>
      <w:r>
        <w:rPr>
          <w:szCs w:val="48"/>
        </w:rPr>
        <w:t>第三卷</w:t>
      </w:r>
      <w:r>
        <w:tab/>
      </w:r>
      <w:r>
        <w:fldChar w:fldCharType="begin"/>
      </w:r>
      <w:r>
        <w:instrText xml:space="preserve"> PAGEREF _Toc2751 \h </w:instrText>
      </w:r>
      <w:r>
        <w:fldChar w:fldCharType="separate"/>
      </w:r>
      <w:r>
        <w:t>71</w:t>
      </w:r>
      <w:r>
        <w:fldChar w:fldCharType="end"/>
      </w:r>
      <w:r>
        <w:rPr>
          <w:rFonts w:asciiTheme="minorEastAsia" w:hAnsiTheme="minorEastAsia" w:eastAsiaTheme="minorEastAsia"/>
          <w:szCs w:val="21"/>
        </w:rPr>
        <w:fldChar w:fldCharType="end"/>
      </w:r>
    </w:p>
    <w:p w14:paraId="566D86DC">
      <w:pPr>
        <w:pStyle w:val="21"/>
        <w:tabs>
          <w:tab w:val="right" w:leader="dot" w:pos="9297"/>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_Toc10063 </w:instrText>
      </w:r>
      <w:r>
        <w:rPr>
          <w:rFonts w:asciiTheme="minorEastAsia" w:hAnsiTheme="minorEastAsia" w:eastAsiaTheme="minorEastAsia"/>
          <w:szCs w:val="21"/>
        </w:rPr>
        <w:fldChar w:fldCharType="separate"/>
      </w:r>
      <w:r>
        <w:rPr>
          <w:rFonts w:hint="eastAsia"/>
          <w:i w:val="0"/>
          <w:iCs w:val="0"/>
          <w:szCs w:val="32"/>
        </w:rPr>
        <w:t xml:space="preserve">第七章 </w:t>
      </w:r>
      <w:r>
        <w:rPr>
          <w:i w:val="0"/>
          <w:iCs w:val="0"/>
          <w:szCs w:val="32"/>
        </w:rPr>
        <w:t>技术标准和要求</w:t>
      </w:r>
      <w:r>
        <w:tab/>
      </w:r>
      <w:r>
        <w:fldChar w:fldCharType="begin"/>
      </w:r>
      <w:r>
        <w:instrText xml:space="preserve"> PAGEREF _Toc10063 \h </w:instrText>
      </w:r>
      <w:r>
        <w:fldChar w:fldCharType="separate"/>
      </w:r>
      <w:r>
        <w:t>72</w:t>
      </w:r>
      <w:r>
        <w:fldChar w:fldCharType="end"/>
      </w:r>
      <w:r>
        <w:rPr>
          <w:rFonts w:asciiTheme="minorEastAsia" w:hAnsiTheme="minorEastAsia" w:eastAsiaTheme="minorEastAsia"/>
          <w:szCs w:val="21"/>
        </w:rPr>
        <w:fldChar w:fldCharType="end"/>
      </w:r>
    </w:p>
    <w:p w14:paraId="21C71380">
      <w:pPr>
        <w:pStyle w:val="18"/>
        <w:tabs>
          <w:tab w:val="right" w:leader="dot" w:pos="9297"/>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_Toc23927 </w:instrText>
      </w:r>
      <w:r>
        <w:rPr>
          <w:rFonts w:asciiTheme="minorEastAsia" w:hAnsiTheme="minorEastAsia" w:eastAsiaTheme="minorEastAsia"/>
          <w:szCs w:val="21"/>
        </w:rPr>
        <w:fldChar w:fldCharType="separate"/>
      </w:r>
      <w:r>
        <w:rPr>
          <w:szCs w:val="48"/>
        </w:rPr>
        <w:t>第四卷</w:t>
      </w:r>
      <w:r>
        <w:tab/>
      </w:r>
      <w:r>
        <w:fldChar w:fldCharType="begin"/>
      </w:r>
      <w:r>
        <w:instrText xml:space="preserve"> PAGEREF _Toc23927 \h </w:instrText>
      </w:r>
      <w:r>
        <w:fldChar w:fldCharType="separate"/>
      </w:r>
      <w:r>
        <w:t>73</w:t>
      </w:r>
      <w:r>
        <w:fldChar w:fldCharType="end"/>
      </w:r>
      <w:r>
        <w:rPr>
          <w:rFonts w:asciiTheme="minorEastAsia" w:hAnsiTheme="minorEastAsia" w:eastAsiaTheme="minorEastAsia"/>
          <w:szCs w:val="21"/>
        </w:rPr>
        <w:fldChar w:fldCharType="end"/>
      </w:r>
    </w:p>
    <w:p w14:paraId="285CA754">
      <w:pPr>
        <w:pStyle w:val="21"/>
        <w:tabs>
          <w:tab w:val="right" w:leader="dot" w:pos="9297"/>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_Toc21923 </w:instrText>
      </w:r>
      <w:r>
        <w:rPr>
          <w:rFonts w:asciiTheme="minorEastAsia" w:hAnsiTheme="minorEastAsia" w:eastAsiaTheme="minorEastAsia"/>
          <w:szCs w:val="21"/>
        </w:rPr>
        <w:fldChar w:fldCharType="separate"/>
      </w:r>
      <w:r>
        <w:rPr>
          <w:rFonts w:hint="eastAsia"/>
          <w:i w:val="0"/>
          <w:iCs w:val="0"/>
          <w:szCs w:val="32"/>
        </w:rPr>
        <w:t xml:space="preserve">第八章 </w:t>
      </w:r>
      <w:r>
        <w:rPr>
          <w:i w:val="0"/>
          <w:iCs w:val="0"/>
          <w:szCs w:val="32"/>
        </w:rPr>
        <w:t>投标文件格式</w:t>
      </w:r>
      <w:r>
        <w:tab/>
      </w:r>
      <w:r>
        <w:fldChar w:fldCharType="begin"/>
      </w:r>
      <w:r>
        <w:instrText xml:space="preserve"> PAGEREF _Toc21923 \h </w:instrText>
      </w:r>
      <w:r>
        <w:fldChar w:fldCharType="separate"/>
      </w:r>
      <w:r>
        <w:t>74</w:t>
      </w:r>
      <w:r>
        <w:fldChar w:fldCharType="end"/>
      </w:r>
      <w:r>
        <w:rPr>
          <w:rFonts w:asciiTheme="minorEastAsia" w:hAnsiTheme="minorEastAsia" w:eastAsiaTheme="minorEastAsia"/>
          <w:szCs w:val="21"/>
        </w:rPr>
        <w:fldChar w:fldCharType="end"/>
      </w:r>
    </w:p>
    <w:p w14:paraId="575D88A6">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_Toc8872 </w:instrText>
      </w:r>
      <w:r>
        <w:rPr>
          <w:rFonts w:asciiTheme="minorEastAsia" w:hAnsiTheme="minorEastAsia" w:eastAsiaTheme="minorEastAsia"/>
          <w:szCs w:val="21"/>
        </w:rPr>
        <w:fldChar w:fldCharType="separate"/>
      </w:r>
      <w:r>
        <w:rPr>
          <w:szCs w:val="30"/>
        </w:rPr>
        <w:t>一、投标函及投标函附录</w:t>
      </w:r>
      <w:r>
        <w:tab/>
      </w:r>
      <w:r>
        <w:fldChar w:fldCharType="begin"/>
      </w:r>
      <w:r>
        <w:instrText xml:space="preserve"> PAGEREF _Toc8872 \h </w:instrText>
      </w:r>
      <w:r>
        <w:fldChar w:fldCharType="separate"/>
      </w:r>
      <w:r>
        <w:t>76</w:t>
      </w:r>
      <w:r>
        <w:fldChar w:fldCharType="end"/>
      </w:r>
      <w:r>
        <w:rPr>
          <w:rFonts w:asciiTheme="minorEastAsia" w:hAnsiTheme="minorEastAsia" w:eastAsiaTheme="minorEastAsia"/>
          <w:szCs w:val="21"/>
        </w:rPr>
        <w:fldChar w:fldCharType="end"/>
      </w:r>
    </w:p>
    <w:p w14:paraId="0A8BAC69">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_Toc19119 </w:instrText>
      </w:r>
      <w:r>
        <w:rPr>
          <w:rFonts w:asciiTheme="minorEastAsia" w:hAnsiTheme="minorEastAsia" w:eastAsiaTheme="minorEastAsia"/>
          <w:szCs w:val="21"/>
        </w:rPr>
        <w:fldChar w:fldCharType="separate"/>
      </w:r>
      <w:r>
        <w:rPr>
          <w:szCs w:val="30"/>
        </w:rPr>
        <w:t>二、法定代表人身份证明</w:t>
      </w:r>
      <w:r>
        <w:tab/>
      </w:r>
      <w:r>
        <w:fldChar w:fldCharType="begin"/>
      </w:r>
      <w:r>
        <w:instrText xml:space="preserve"> PAGEREF _Toc19119 \h </w:instrText>
      </w:r>
      <w:r>
        <w:fldChar w:fldCharType="separate"/>
      </w:r>
      <w:r>
        <w:t>80</w:t>
      </w:r>
      <w:r>
        <w:fldChar w:fldCharType="end"/>
      </w:r>
      <w:r>
        <w:rPr>
          <w:rFonts w:asciiTheme="minorEastAsia" w:hAnsiTheme="minorEastAsia" w:eastAsiaTheme="minorEastAsia"/>
          <w:szCs w:val="21"/>
        </w:rPr>
        <w:fldChar w:fldCharType="end"/>
      </w:r>
    </w:p>
    <w:p w14:paraId="708A505E">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_Toc22084 </w:instrText>
      </w:r>
      <w:r>
        <w:rPr>
          <w:rFonts w:asciiTheme="minorEastAsia" w:hAnsiTheme="minorEastAsia" w:eastAsiaTheme="minorEastAsia"/>
          <w:szCs w:val="21"/>
        </w:rPr>
        <w:fldChar w:fldCharType="separate"/>
      </w:r>
      <w:r>
        <w:rPr>
          <w:szCs w:val="30"/>
        </w:rPr>
        <w:t>三、授权委托书</w:t>
      </w:r>
      <w:r>
        <w:tab/>
      </w:r>
      <w:r>
        <w:fldChar w:fldCharType="begin"/>
      </w:r>
      <w:r>
        <w:instrText xml:space="preserve"> PAGEREF _Toc22084 \h </w:instrText>
      </w:r>
      <w:r>
        <w:fldChar w:fldCharType="separate"/>
      </w:r>
      <w:r>
        <w:t>81</w:t>
      </w:r>
      <w:r>
        <w:fldChar w:fldCharType="end"/>
      </w:r>
      <w:r>
        <w:rPr>
          <w:rFonts w:asciiTheme="minorEastAsia" w:hAnsiTheme="minorEastAsia" w:eastAsiaTheme="minorEastAsia"/>
          <w:szCs w:val="21"/>
        </w:rPr>
        <w:fldChar w:fldCharType="end"/>
      </w:r>
    </w:p>
    <w:p w14:paraId="57DE1B78">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_Toc21945 </w:instrText>
      </w:r>
      <w:r>
        <w:rPr>
          <w:rFonts w:asciiTheme="minorEastAsia" w:hAnsiTheme="minorEastAsia" w:eastAsiaTheme="minorEastAsia"/>
          <w:szCs w:val="21"/>
        </w:rPr>
        <w:fldChar w:fldCharType="separate"/>
      </w:r>
      <w:r>
        <w:rPr>
          <w:szCs w:val="30"/>
        </w:rPr>
        <w:t>四、投标保证金</w:t>
      </w:r>
      <w:r>
        <w:tab/>
      </w:r>
      <w:r>
        <w:fldChar w:fldCharType="begin"/>
      </w:r>
      <w:r>
        <w:instrText xml:space="preserve"> PAGEREF _Toc21945 \h </w:instrText>
      </w:r>
      <w:r>
        <w:fldChar w:fldCharType="separate"/>
      </w:r>
      <w:r>
        <w:t>82</w:t>
      </w:r>
      <w:r>
        <w:fldChar w:fldCharType="end"/>
      </w:r>
      <w:r>
        <w:rPr>
          <w:rFonts w:asciiTheme="minorEastAsia" w:hAnsiTheme="minorEastAsia" w:eastAsiaTheme="minorEastAsia"/>
          <w:szCs w:val="21"/>
        </w:rPr>
        <w:fldChar w:fldCharType="end"/>
      </w:r>
    </w:p>
    <w:p w14:paraId="009A7EA3">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_Toc10544 </w:instrText>
      </w:r>
      <w:r>
        <w:rPr>
          <w:rFonts w:asciiTheme="minorEastAsia" w:hAnsiTheme="minorEastAsia" w:eastAsiaTheme="minorEastAsia"/>
          <w:szCs w:val="21"/>
        </w:rPr>
        <w:fldChar w:fldCharType="separate"/>
      </w:r>
      <w:r>
        <w:rPr>
          <w:szCs w:val="30"/>
        </w:rPr>
        <w:t>五、已标价工程量清单</w:t>
      </w:r>
      <w:r>
        <w:tab/>
      </w:r>
      <w:r>
        <w:fldChar w:fldCharType="begin"/>
      </w:r>
      <w:r>
        <w:instrText xml:space="preserve"> PAGEREF _Toc10544 \h </w:instrText>
      </w:r>
      <w:r>
        <w:fldChar w:fldCharType="separate"/>
      </w:r>
      <w:r>
        <w:t>83</w:t>
      </w:r>
      <w:r>
        <w:fldChar w:fldCharType="end"/>
      </w:r>
      <w:r>
        <w:rPr>
          <w:rFonts w:asciiTheme="minorEastAsia" w:hAnsiTheme="minorEastAsia" w:eastAsiaTheme="minorEastAsia"/>
          <w:szCs w:val="21"/>
        </w:rPr>
        <w:fldChar w:fldCharType="end"/>
      </w:r>
    </w:p>
    <w:p w14:paraId="6383262C">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_Toc20472 </w:instrText>
      </w:r>
      <w:r>
        <w:rPr>
          <w:rFonts w:asciiTheme="minorEastAsia" w:hAnsiTheme="minorEastAsia" w:eastAsiaTheme="minorEastAsia"/>
          <w:szCs w:val="21"/>
        </w:rPr>
        <w:fldChar w:fldCharType="separate"/>
      </w:r>
      <w:r>
        <w:rPr>
          <w:rFonts w:hint="eastAsia"/>
          <w:szCs w:val="30"/>
        </w:rPr>
        <w:t xml:space="preserve">六、 </w:t>
      </w:r>
      <w:r>
        <w:rPr>
          <w:szCs w:val="30"/>
        </w:rPr>
        <w:t>施工组织设计</w:t>
      </w:r>
      <w:r>
        <w:tab/>
      </w:r>
      <w:r>
        <w:fldChar w:fldCharType="begin"/>
      </w:r>
      <w:r>
        <w:instrText xml:space="preserve"> PAGEREF _Toc20472 \h </w:instrText>
      </w:r>
      <w:r>
        <w:fldChar w:fldCharType="separate"/>
      </w:r>
      <w:r>
        <w:t>84</w:t>
      </w:r>
      <w:r>
        <w:fldChar w:fldCharType="end"/>
      </w:r>
      <w:r>
        <w:rPr>
          <w:rFonts w:asciiTheme="minorEastAsia" w:hAnsiTheme="minorEastAsia" w:eastAsiaTheme="minorEastAsia"/>
          <w:szCs w:val="21"/>
        </w:rPr>
        <w:fldChar w:fldCharType="end"/>
      </w:r>
    </w:p>
    <w:p w14:paraId="68BCC4C2">
      <w:pPr>
        <w:pStyle w:val="14"/>
        <w:tabs>
          <w:tab w:val="right" w:leader="dot" w:pos="9297"/>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_Toc29703 </w:instrText>
      </w:r>
      <w:r>
        <w:rPr>
          <w:rFonts w:asciiTheme="minorEastAsia" w:hAnsiTheme="minorEastAsia" w:eastAsiaTheme="minorEastAsia"/>
          <w:szCs w:val="21"/>
        </w:rPr>
        <w:fldChar w:fldCharType="separate"/>
      </w:r>
      <w:r>
        <w:rPr>
          <w:rFonts w:hint="eastAsia" w:eastAsia="宋体" w:cs="Times New Roman"/>
          <w:szCs w:val="30"/>
          <w:lang w:val="en-US" w:eastAsia="zh-CN"/>
        </w:rPr>
        <w:t>七、 其他材料</w:t>
      </w:r>
      <w:r>
        <w:tab/>
      </w:r>
      <w:r>
        <w:fldChar w:fldCharType="begin"/>
      </w:r>
      <w:r>
        <w:instrText xml:space="preserve"> PAGEREF _Toc29703 \h </w:instrText>
      </w:r>
      <w:r>
        <w:fldChar w:fldCharType="separate"/>
      </w:r>
      <w:r>
        <w:t>85</w:t>
      </w:r>
      <w:r>
        <w:fldChar w:fldCharType="end"/>
      </w:r>
      <w:r>
        <w:rPr>
          <w:rFonts w:asciiTheme="minorEastAsia" w:hAnsiTheme="minorEastAsia" w:eastAsiaTheme="minorEastAsia"/>
          <w:szCs w:val="21"/>
        </w:rPr>
        <w:fldChar w:fldCharType="end"/>
      </w:r>
    </w:p>
    <w:p w14:paraId="1365A274">
      <w:pPr>
        <w:pStyle w:val="21"/>
        <w:tabs>
          <w:tab w:val="right" w:leader="dot" w:pos="9297"/>
          <w:tab w:val="clear" w:pos="9629"/>
        </w:tabs>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HYPERLINK \l _Toc2777 </w:instrText>
      </w:r>
      <w:r>
        <w:rPr>
          <w:rFonts w:asciiTheme="minorEastAsia" w:hAnsiTheme="minorEastAsia" w:eastAsiaTheme="minorEastAsia"/>
          <w:szCs w:val="21"/>
        </w:rPr>
        <w:fldChar w:fldCharType="separate"/>
      </w:r>
      <w:r>
        <w:rPr>
          <w:i w:val="0"/>
          <w:iCs w:val="0"/>
          <w:szCs w:val="32"/>
        </w:rPr>
        <w:t>第九章  资格审查文件</w:t>
      </w:r>
      <w:r>
        <w:tab/>
      </w:r>
      <w:r>
        <w:fldChar w:fldCharType="begin"/>
      </w:r>
      <w:r>
        <w:instrText xml:space="preserve"> PAGEREF _Toc2777 \h </w:instrText>
      </w:r>
      <w:r>
        <w:fldChar w:fldCharType="separate"/>
      </w:r>
      <w:r>
        <w:t>86</w:t>
      </w:r>
      <w:r>
        <w:fldChar w:fldCharType="end"/>
      </w:r>
      <w:r>
        <w:rPr>
          <w:rFonts w:asciiTheme="minorEastAsia" w:hAnsiTheme="minorEastAsia" w:eastAsiaTheme="minorEastAsia"/>
          <w:szCs w:val="21"/>
        </w:rPr>
        <w:fldChar w:fldCharType="end"/>
      </w:r>
    </w:p>
    <w:p w14:paraId="03644C3B">
      <w:pPr>
        <w:tabs>
          <w:tab w:val="right" w:leader="dot" w:pos="10348"/>
        </w:tabs>
        <w:spacing w:line="360" w:lineRule="auto"/>
        <w:jc w:val="left"/>
      </w:pPr>
      <w:r>
        <w:rPr>
          <w:rFonts w:asciiTheme="minorEastAsia" w:hAnsiTheme="minorEastAsia" w:eastAsiaTheme="minorEastAsia"/>
          <w:szCs w:val="21"/>
        </w:rPr>
        <w:fldChar w:fldCharType="end"/>
      </w:r>
      <w:bookmarkStart w:id="0" w:name="_Toc1616"/>
      <w:bookmarkStart w:id="1" w:name="_Toc17817319"/>
    </w:p>
    <w:p w14:paraId="135881F4">
      <w:pPr>
        <w:pStyle w:val="3"/>
        <w:jc w:val="center"/>
        <w:rPr>
          <w:sz w:val="48"/>
          <w:szCs w:val="48"/>
        </w:rPr>
        <w:sectPr>
          <w:headerReference r:id="rId3" w:type="default"/>
          <w:footerReference r:id="rId4" w:type="default"/>
          <w:pgSz w:w="11905" w:h="16838"/>
          <w:pgMar w:top="1304" w:right="1304" w:bottom="1247" w:left="1304" w:header="850" w:footer="992" w:gutter="0"/>
          <w:pgNumType w:fmt="decimal"/>
          <w:cols w:space="0" w:num="1"/>
          <w:titlePg/>
          <w:rtlGutter w:val="0"/>
          <w:vAlign w:val="center"/>
          <w:docGrid w:type="lines" w:linePitch="317" w:charSpace="0"/>
        </w:sectPr>
      </w:pPr>
      <w:bookmarkStart w:id="2" w:name="_Toc18462"/>
      <w:r>
        <w:rPr>
          <w:sz w:val="48"/>
          <w:szCs w:val="48"/>
        </w:rPr>
        <w:t>第一卷</w:t>
      </w:r>
      <w:bookmarkEnd w:id="0"/>
      <w:bookmarkEnd w:id="1"/>
      <w:bookmarkEnd w:id="2"/>
    </w:p>
    <w:p w14:paraId="3E9BCCB7">
      <w:pPr>
        <w:pStyle w:val="4"/>
        <w:jc w:val="center"/>
        <w:rPr>
          <w:rFonts w:hint="eastAsia"/>
          <w:i w:val="0"/>
          <w:color w:val="auto"/>
          <w:sz w:val="32"/>
          <w:szCs w:val="32"/>
          <w:highlight w:val="none"/>
        </w:rPr>
      </w:pPr>
      <w:bookmarkStart w:id="3" w:name="_Toc16518"/>
      <w:bookmarkStart w:id="4" w:name="_Toc23462"/>
      <w:bookmarkStart w:id="5" w:name="_第一章投标邀请函"/>
      <w:bookmarkStart w:id="6" w:name="_Toc19814"/>
      <w:bookmarkStart w:id="7" w:name="_Toc9654"/>
      <w:bookmarkStart w:id="8" w:name="_Toc17817321"/>
      <w:r>
        <w:rPr>
          <w:rFonts w:hint="eastAsia"/>
          <w:i w:val="0"/>
          <w:color w:val="auto"/>
          <w:sz w:val="32"/>
          <w:szCs w:val="32"/>
          <w:highlight w:val="none"/>
        </w:rPr>
        <w:t>第一章</w:t>
      </w:r>
      <w:bookmarkEnd w:id="3"/>
      <w:bookmarkEnd w:id="4"/>
      <w:bookmarkEnd w:id="5"/>
      <w:r>
        <w:rPr>
          <w:rFonts w:hint="eastAsia"/>
          <w:i w:val="0"/>
          <w:color w:val="auto"/>
          <w:sz w:val="32"/>
          <w:szCs w:val="32"/>
          <w:highlight w:val="none"/>
        </w:rPr>
        <w:t>招标公告</w:t>
      </w:r>
      <w:bookmarkEnd w:id="6"/>
    </w:p>
    <w:p w14:paraId="3767D4B6">
      <w:pPr>
        <w:bidi w:val="0"/>
        <w:rPr>
          <w:rFonts w:hint="eastAsia"/>
          <w:b/>
          <w:bCs/>
          <w:sz w:val="28"/>
          <w:szCs w:val="36"/>
          <w:lang w:val="en-US" w:eastAsia="zh-CN"/>
        </w:rPr>
      </w:pPr>
      <w:r>
        <w:rPr>
          <w:rFonts w:hint="eastAsia"/>
          <w:b/>
          <w:bCs/>
          <w:sz w:val="28"/>
          <w:szCs w:val="36"/>
          <w:lang w:val="en-US" w:eastAsia="zh-CN"/>
        </w:rPr>
        <w:t>其中</w:t>
      </w:r>
      <w:r>
        <w:rPr>
          <w:rFonts w:hint="eastAsia"/>
          <w:b/>
          <w:bCs/>
          <w:sz w:val="28"/>
          <w:szCs w:val="36"/>
          <w:highlight w:val="yellow"/>
          <w:lang w:val="en-US" w:eastAsia="zh-CN"/>
        </w:rPr>
        <w:t>应标文件</w:t>
      </w:r>
      <w:r>
        <w:rPr>
          <w:rFonts w:hint="eastAsia"/>
          <w:b/>
          <w:bCs/>
          <w:sz w:val="28"/>
          <w:szCs w:val="36"/>
          <w:lang w:val="en-US" w:eastAsia="zh-CN"/>
        </w:rPr>
        <w:t>的编制及e采通中上传文件统一要求如下：</w:t>
      </w:r>
    </w:p>
    <w:p w14:paraId="3807C4B7">
      <w:pPr>
        <w:spacing w:line="440" w:lineRule="exact"/>
        <w:ind w:firstLine="470" w:firstLineChars="196"/>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凡有意参加投标者，按照以下顺序及所列项相关资料的原件的清晰扫描件（要求每一页原文件扫描在一页上），确保所有内容清晰可辨，以免影响报名审核；扫描文件格式为pdf格式，禁止采用压缩文件格式或图片格式。其中，第1至10项须整合为一个PDF文件（第8项内容若无应注明“无”,若资格审查文件中无第8项内容且未在文件中注明的,则视为不合格，不参与下一步评审），并设置目录</w:t>
      </w:r>
      <w:r>
        <w:rPr>
          <w:rStyle w:val="47"/>
          <w:rFonts w:hint="eastAsia" w:ascii="宋体" w:hAnsi="宋体" w:eastAsia="宋体" w:cs="宋体"/>
          <w:b w:val="0"/>
          <w:bCs/>
          <w:sz w:val="24"/>
          <w:szCs w:val="24"/>
          <w:u w:val="none"/>
        </w:rPr>
        <w:t>。</w:t>
      </w:r>
      <w:r>
        <w:rPr>
          <w:rFonts w:hint="eastAsia" w:ascii="宋体" w:hAnsi="宋体" w:eastAsia="宋体" w:cs="宋体"/>
          <w:b w:val="0"/>
          <w:bCs/>
          <w:sz w:val="24"/>
          <w:szCs w:val="24"/>
          <w:lang w:val="en-US" w:eastAsia="zh-CN"/>
        </w:rPr>
        <w:t>文件以“供方资质+公司名称”命名；第11项“企业简介”与第12项“业绩资料”须分别独立提交，并相应以“企业简介+公司名称”、“业绩资料+项目名称”命名。</w:t>
      </w:r>
    </w:p>
    <w:p w14:paraId="54FA0A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firstLine="0"/>
        <w:jc w:val="left"/>
        <w:textAlignment w:val="auto"/>
        <w:rPr>
          <w:rFonts w:hint="eastAsia" w:ascii="宋体" w:hAnsi="宋体" w:eastAsia="宋体" w:cs="宋体"/>
          <w:kern w:val="0"/>
          <w:sz w:val="24"/>
          <w:szCs w:val="24"/>
          <w:lang w:bidi="en-US"/>
        </w:rPr>
      </w:pPr>
      <w:r>
        <w:rPr>
          <w:rFonts w:hint="eastAsia" w:ascii="宋体" w:hAnsi="宋体" w:eastAsia="宋体" w:cs="宋体"/>
          <w:sz w:val="24"/>
          <w:szCs w:val="24"/>
          <w:lang w:bidi="ar"/>
        </w:rPr>
        <w:t>XXX公司XXX项目投标信息明细表（详见本公告附件1）</w:t>
      </w:r>
    </w:p>
    <w:p w14:paraId="213F61C5">
      <w:pPr>
        <w:widowControl/>
        <w:numPr>
          <w:ilvl w:val="0"/>
          <w:numId w:val="2"/>
        </w:numPr>
        <w:spacing w:line="360" w:lineRule="auto"/>
        <w:jc w:val="left"/>
        <w:rPr>
          <w:rFonts w:hint="eastAsia" w:ascii="宋体" w:hAnsi="宋体" w:eastAsia="宋体" w:cs="宋体"/>
          <w:kern w:val="0"/>
          <w:sz w:val="24"/>
          <w:szCs w:val="24"/>
          <w:lang w:bidi="en-US"/>
        </w:rPr>
      </w:pPr>
      <w:r>
        <w:rPr>
          <w:rFonts w:hint="eastAsia" w:ascii="宋体" w:hAnsi="宋体" w:eastAsia="宋体" w:cs="宋体"/>
          <w:kern w:val="0"/>
          <w:sz w:val="24"/>
          <w:szCs w:val="24"/>
          <w:lang w:bidi="en-US"/>
        </w:rPr>
        <w:t>营业执照；</w:t>
      </w:r>
    </w:p>
    <w:p w14:paraId="5A27C150">
      <w:pPr>
        <w:widowControl/>
        <w:numPr>
          <w:ilvl w:val="0"/>
          <w:numId w:val="2"/>
        </w:numPr>
        <w:spacing w:line="360" w:lineRule="auto"/>
        <w:jc w:val="left"/>
        <w:rPr>
          <w:rFonts w:hint="eastAsia" w:ascii="宋体" w:hAnsi="宋体" w:eastAsia="宋体" w:cs="宋体"/>
          <w:kern w:val="0"/>
          <w:sz w:val="24"/>
          <w:szCs w:val="24"/>
          <w:lang w:bidi="en-US"/>
        </w:rPr>
      </w:pPr>
      <w:r>
        <w:rPr>
          <w:rFonts w:hint="eastAsia" w:ascii="宋体" w:hAnsi="宋体" w:eastAsia="宋体" w:cs="宋体"/>
          <w:kern w:val="0"/>
          <w:sz w:val="24"/>
          <w:szCs w:val="24"/>
          <w:lang w:bidi="en-US"/>
        </w:rPr>
        <w:t>资质证书；</w:t>
      </w:r>
    </w:p>
    <w:p w14:paraId="39A0713B">
      <w:pPr>
        <w:widowControl/>
        <w:numPr>
          <w:ilvl w:val="0"/>
          <w:numId w:val="2"/>
        </w:numPr>
        <w:spacing w:line="360" w:lineRule="auto"/>
        <w:jc w:val="left"/>
        <w:rPr>
          <w:rFonts w:hint="eastAsia" w:ascii="宋体" w:hAnsi="宋体" w:eastAsia="宋体" w:cs="宋体"/>
          <w:kern w:val="0"/>
          <w:sz w:val="24"/>
          <w:szCs w:val="24"/>
          <w:lang w:bidi="en-US"/>
        </w:rPr>
      </w:pPr>
      <w:r>
        <w:rPr>
          <w:rFonts w:hint="eastAsia" w:ascii="宋体" w:hAnsi="宋体" w:eastAsia="宋体" w:cs="宋体"/>
          <w:kern w:val="0"/>
          <w:sz w:val="24"/>
          <w:szCs w:val="24"/>
          <w:lang w:bidi="en-US"/>
        </w:rPr>
        <w:t>安全生产许可证；</w:t>
      </w:r>
    </w:p>
    <w:p w14:paraId="7E2561CD">
      <w:pPr>
        <w:widowControl/>
        <w:numPr>
          <w:ilvl w:val="0"/>
          <w:numId w:val="2"/>
        </w:numPr>
        <w:spacing w:line="360" w:lineRule="auto"/>
        <w:jc w:val="left"/>
        <w:rPr>
          <w:rFonts w:hint="eastAsia" w:ascii="宋体" w:hAnsi="宋体" w:eastAsia="宋体" w:cs="宋体"/>
          <w:kern w:val="0"/>
          <w:sz w:val="24"/>
          <w:szCs w:val="24"/>
          <w:lang w:bidi="en-US"/>
        </w:rPr>
      </w:pPr>
      <w:r>
        <w:rPr>
          <w:rFonts w:hint="eastAsia" w:ascii="宋体" w:hAnsi="宋体" w:eastAsia="宋体" w:cs="宋体"/>
          <w:kern w:val="0"/>
          <w:sz w:val="24"/>
          <w:szCs w:val="24"/>
          <w:lang w:bidi="en-US"/>
        </w:rPr>
        <w:t>信用中国截图；“中国执行信息公开网”截图；</w:t>
      </w:r>
    </w:p>
    <w:p w14:paraId="7B10CF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firstLine="0"/>
        <w:jc w:val="left"/>
        <w:textAlignment w:val="auto"/>
        <w:rPr>
          <w:rFonts w:hint="eastAsia" w:ascii="宋体" w:hAnsi="宋体" w:eastAsia="宋体" w:cs="宋体"/>
          <w:kern w:val="0"/>
          <w:sz w:val="24"/>
          <w:szCs w:val="24"/>
          <w:lang w:bidi="en-US"/>
        </w:rPr>
      </w:pPr>
      <w:r>
        <w:rPr>
          <w:rFonts w:hint="eastAsia" w:ascii="宋体" w:hAnsi="宋体" w:eastAsia="宋体" w:cs="宋体"/>
          <w:sz w:val="24"/>
          <w:szCs w:val="24"/>
          <w:lang w:bidi="ar"/>
        </w:rPr>
        <w:t>投标人基本情况表</w:t>
      </w:r>
      <w:r>
        <w:rPr>
          <w:rFonts w:hint="eastAsia" w:ascii="宋体" w:hAnsi="宋体" w:eastAsia="宋体" w:cs="宋体"/>
          <w:sz w:val="24"/>
          <w:szCs w:val="24"/>
          <w:lang w:eastAsia="zh-CN" w:bidi="ar"/>
        </w:rPr>
        <w:t>、</w:t>
      </w:r>
      <w:r>
        <w:rPr>
          <w:rFonts w:hint="eastAsia" w:ascii="宋体" w:hAnsi="宋体" w:eastAsia="宋体" w:cs="宋体"/>
          <w:sz w:val="24"/>
          <w:szCs w:val="24"/>
          <w:lang w:bidi="ar"/>
        </w:rPr>
        <w:t>投标单位资产情况汇总表，按照</w:t>
      </w:r>
      <w:r>
        <w:rPr>
          <w:rFonts w:hint="eastAsia" w:ascii="宋体" w:hAnsi="宋体" w:eastAsia="宋体" w:cs="宋体"/>
          <w:sz w:val="24"/>
          <w:szCs w:val="24"/>
          <w:lang w:val="en-US" w:eastAsia="zh-CN" w:bidi="ar"/>
        </w:rPr>
        <w:t>附件3</w:t>
      </w:r>
      <w:r>
        <w:rPr>
          <w:rFonts w:hint="eastAsia" w:ascii="宋体" w:hAnsi="宋体" w:eastAsia="宋体" w:cs="宋体"/>
          <w:sz w:val="24"/>
          <w:szCs w:val="24"/>
          <w:lang w:bidi="ar"/>
        </w:rPr>
        <w:t>内容及顺序如实填写。填写的依据为经审计事务所审计并盖章的企业财务审计报告等相关资料，并将对应年度（202</w:t>
      </w:r>
      <w:r>
        <w:rPr>
          <w:rFonts w:hint="eastAsia" w:ascii="宋体" w:hAnsi="宋体" w:eastAsia="宋体" w:cs="宋体"/>
          <w:sz w:val="24"/>
          <w:szCs w:val="24"/>
          <w:lang w:val="en-US" w:eastAsia="zh-CN" w:bidi="ar"/>
        </w:rPr>
        <w:t>2</w:t>
      </w:r>
      <w:r>
        <w:rPr>
          <w:rFonts w:hint="eastAsia" w:ascii="宋体" w:hAnsi="宋体" w:eastAsia="宋体" w:cs="宋体"/>
          <w:sz w:val="24"/>
          <w:szCs w:val="24"/>
          <w:lang w:bidi="ar"/>
        </w:rPr>
        <w:t>-202</w:t>
      </w:r>
      <w:r>
        <w:rPr>
          <w:rFonts w:hint="eastAsia" w:ascii="宋体" w:hAnsi="宋体" w:eastAsia="宋体" w:cs="宋体"/>
          <w:sz w:val="24"/>
          <w:szCs w:val="24"/>
          <w:lang w:val="en-US" w:eastAsia="zh-CN" w:bidi="ar"/>
        </w:rPr>
        <w:t>4</w:t>
      </w:r>
      <w:r>
        <w:rPr>
          <w:rFonts w:hint="eastAsia" w:ascii="宋体" w:hAnsi="宋体" w:eastAsia="宋体" w:cs="宋体"/>
          <w:sz w:val="24"/>
          <w:szCs w:val="24"/>
          <w:lang w:bidi="ar"/>
        </w:rPr>
        <w:t>年）企业财务审计报告扫描件附后，</w:t>
      </w:r>
      <w:r>
        <w:rPr>
          <w:rFonts w:hint="eastAsia" w:ascii="宋体" w:hAnsi="宋体" w:eastAsia="宋体" w:cs="宋体"/>
          <w:kern w:val="0"/>
          <w:sz w:val="24"/>
          <w:szCs w:val="24"/>
          <w:lang w:bidi="en-US"/>
        </w:rPr>
        <w:t>还应包含企业最近半年完税证明、</w:t>
      </w:r>
      <w:r>
        <w:rPr>
          <w:rFonts w:hint="eastAsia" w:ascii="宋体" w:hAnsi="宋体" w:eastAsia="宋体" w:cs="宋体"/>
          <w:kern w:val="0"/>
          <w:sz w:val="24"/>
          <w:szCs w:val="24"/>
          <w:lang w:val="en-US" w:eastAsia="zh-CN" w:bidi="en-US"/>
        </w:rPr>
        <w:t>信用证明材料（</w:t>
      </w:r>
      <w:r>
        <w:rPr>
          <w:rFonts w:hint="eastAsia" w:ascii="宋体" w:hAnsi="宋体" w:eastAsia="宋体" w:cs="宋体"/>
          <w:kern w:val="0"/>
          <w:sz w:val="24"/>
          <w:szCs w:val="24"/>
          <w:lang w:bidi="en-US"/>
        </w:rPr>
        <w:t>中国人民银行征信报告</w:t>
      </w:r>
      <w:r>
        <w:rPr>
          <w:rFonts w:hint="eastAsia" w:ascii="宋体" w:hAnsi="宋体" w:eastAsia="宋体" w:cs="宋体"/>
          <w:kern w:val="0"/>
          <w:sz w:val="24"/>
          <w:szCs w:val="24"/>
          <w:lang w:eastAsia="zh-CN" w:bidi="en-US"/>
        </w:rPr>
        <w:t>）、</w:t>
      </w:r>
      <w:r>
        <w:rPr>
          <w:rFonts w:hint="eastAsia" w:ascii="宋体" w:hAnsi="宋体" w:eastAsia="宋体" w:cs="宋体"/>
          <w:kern w:val="0"/>
          <w:sz w:val="24"/>
          <w:szCs w:val="24"/>
          <w:lang w:bidi="en-US"/>
        </w:rPr>
        <w:t>年度纳税信用评价信息</w:t>
      </w:r>
      <w:r>
        <w:rPr>
          <w:rFonts w:hint="eastAsia" w:ascii="宋体" w:hAnsi="宋体" w:eastAsia="宋体" w:cs="宋体"/>
          <w:kern w:val="0"/>
          <w:sz w:val="24"/>
          <w:szCs w:val="24"/>
          <w:lang w:eastAsia="zh-CN" w:bidi="en-US"/>
        </w:rPr>
        <w:t>、</w:t>
      </w:r>
      <w:r>
        <w:rPr>
          <w:rFonts w:hint="eastAsia" w:ascii="宋体" w:hAnsi="宋体" w:eastAsia="宋体" w:cs="宋体"/>
          <w:kern w:val="0"/>
          <w:sz w:val="24"/>
          <w:szCs w:val="24"/>
          <w:lang w:bidi="en-US"/>
        </w:rPr>
        <w:t>企业对外担保说明</w:t>
      </w:r>
      <w:r>
        <w:rPr>
          <w:rFonts w:hint="eastAsia" w:ascii="宋体" w:hAnsi="宋体" w:eastAsia="宋体" w:cs="宋体"/>
          <w:sz w:val="24"/>
          <w:szCs w:val="24"/>
          <w:lang w:bidi="ar"/>
        </w:rPr>
        <w:t>。</w:t>
      </w:r>
      <w:r>
        <w:rPr>
          <w:rFonts w:hint="eastAsia" w:ascii="宋体" w:hAnsi="宋体" w:eastAsia="宋体" w:cs="宋体"/>
          <w:b/>
          <w:bCs/>
          <w:sz w:val="24"/>
          <w:szCs w:val="24"/>
          <w:lang w:bidi="ar"/>
        </w:rPr>
        <w:t>注意没有投标单位资产情况汇总表或扫描件不清晰无法辨认则会影响报名成功</w:t>
      </w:r>
      <w:r>
        <w:rPr>
          <w:rFonts w:hint="eastAsia" w:ascii="宋体" w:hAnsi="宋体" w:eastAsia="宋体" w:cs="宋体"/>
          <w:b/>
          <w:bCs/>
          <w:sz w:val="24"/>
          <w:szCs w:val="24"/>
          <w:lang w:eastAsia="zh-CN" w:bidi="ar"/>
        </w:rPr>
        <w:t>（</w:t>
      </w:r>
      <w:r>
        <w:rPr>
          <w:rFonts w:hint="eastAsia" w:ascii="宋体" w:hAnsi="宋体" w:eastAsia="宋体" w:cs="宋体"/>
          <w:b/>
          <w:bCs/>
          <w:sz w:val="24"/>
          <w:szCs w:val="24"/>
          <w:lang w:val="en-US" w:eastAsia="zh-CN" w:bidi="ar"/>
        </w:rPr>
        <w:t>附件3</w:t>
      </w:r>
      <w:r>
        <w:rPr>
          <w:rFonts w:hint="eastAsia" w:ascii="宋体" w:hAnsi="宋体" w:eastAsia="宋体" w:cs="宋体"/>
          <w:b/>
          <w:bCs/>
          <w:sz w:val="24"/>
          <w:szCs w:val="24"/>
          <w:lang w:eastAsia="zh-CN" w:bidi="ar"/>
        </w:rPr>
        <w:t>）</w:t>
      </w:r>
      <w:r>
        <w:rPr>
          <w:rFonts w:hint="eastAsia" w:ascii="宋体" w:hAnsi="宋体" w:eastAsia="宋体" w:cs="宋体"/>
          <w:kern w:val="0"/>
          <w:sz w:val="24"/>
          <w:szCs w:val="24"/>
          <w:lang w:bidi="en-US"/>
        </w:rPr>
        <w:t>；</w:t>
      </w:r>
    </w:p>
    <w:p w14:paraId="04A903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firstLine="0"/>
        <w:jc w:val="left"/>
        <w:textAlignment w:val="auto"/>
        <w:rPr>
          <w:rFonts w:hint="eastAsia" w:ascii="宋体" w:hAnsi="宋体" w:eastAsia="宋体" w:cs="宋体"/>
          <w:sz w:val="24"/>
          <w:szCs w:val="24"/>
        </w:rPr>
      </w:pPr>
      <w:r>
        <w:rPr>
          <w:rFonts w:hint="eastAsia" w:ascii="宋体" w:hAnsi="宋体" w:eastAsia="宋体" w:cs="宋体"/>
          <w:sz w:val="24"/>
          <w:szCs w:val="24"/>
          <w:lang w:bidi="ar"/>
        </w:rPr>
        <w:t>拟派项目经理注册建造师证书证及有效的安全考核合格B证项目项目经理的履历简介、从业业绩。</w:t>
      </w:r>
    </w:p>
    <w:p w14:paraId="55819A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firstLine="0"/>
        <w:jc w:val="left"/>
        <w:textAlignment w:val="auto"/>
        <w:rPr>
          <w:rStyle w:val="47"/>
          <w:rFonts w:hint="eastAsia" w:ascii="宋体" w:hAnsi="宋体" w:eastAsia="宋体" w:cs="宋体"/>
          <w:sz w:val="24"/>
          <w:szCs w:val="24"/>
        </w:rPr>
      </w:pPr>
      <w:r>
        <w:rPr>
          <w:rStyle w:val="47"/>
          <w:rFonts w:hint="eastAsia" w:ascii="宋体" w:hAnsi="宋体" w:eastAsia="宋体" w:cs="宋体"/>
          <w:sz w:val="24"/>
          <w:szCs w:val="24"/>
        </w:rPr>
        <w:t>无不良行为记录证明材料</w:t>
      </w:r>
      <w:r>
        <w:rPr>
          <w:rStyle w:val="47"/>
          <w:rFonts w:hint="eastAsia" w:ascii="宋体" w:hAnsi="宋体" w:eastAsia="宋体" w:cs="宋体"/>
          <w:sz w:val="24"/>
          <w:szCs w:val="24"/>
          <w:lang w:val="en-US" w:eastAsia="zh-CN"/>
        </w:rPr>
        <w:t>：须附“中国裁判文书网”行贿犯罪档案查询结果截图及其他无不良行为记录证明材料。</w:t>
      </w:r>
    </w:p>
    <w:p w14:paraId="6C90EB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firstLine="0"/>
        <w:jc w:val="left"/>
        <w:textAlignment w:val="auto"/>
        <w:rPr>
          <w:rStyle w:val="47"/>
          <w:rFonts w:hint="eastAsia" w:ascii="宋体" w:hAnsi="宋体" w:eastAsia="宋体" w:cs="宋体"/>
          <w:sz w:val="24"/>
          <w:szCs w:val="24"/>
        </w:rPr>
      </w:pPr>
      <w:r>
        <w:rPr>
          <w:rStyle w:val="47"/>
          <w:rFonts w:hint="eastAsia" w:ascii="宋体" w:hAnsi="宋体" w:eastAsia="宋体" w:cs="宋体"/>
          <w:sz w:val="24"/>
          <w:szCs w:val="24"/>
        </w:rPr>
        <w:t>近三年（202</w:t>
      </w:r>
      <w:r>
        <w:rPr>
          <w:rStyle w:val="47"/>
          <w:rFonts w:hint="eastAsia" w:ascii="宋体" w:hAnsi="宋体" w:eastAsia="宋体" w:cs="宋体"/>
          <w:sz w:val="24"/>
          <w:szCs w:val="24"/>
          <w:lang w:val="en-US" w:eastAsia="zh-CN"/>
        </w:rPr>
        <w:t>2</w:t>
      </w:r>
      <w:r>
        <w:rPr>
          <w:rStyle w:val="47"/>
          <w:rFonts w:hint="eastAsia" w:ascii="宋体" w:hAnsi="宋体" w:eastAsia="宋体" w:cs="宋体"/>
          <w:sz w:val="24"/>
          <w:szCs w:val="24"/>
        </w:rPr>
        <w:t>年</w:t>
      </w:r>
      <w:r>
        <w:rPr>
          <w:rStyle w:val="47"/>
          <w:rFonts w:hint="eastAsia" w:ascii="宋体" w:hAnsi="宋体" w:eastAsia="宋体" w:cs="宋体"/>
          <w:sz w:val="24"/>
          <w:szCs w:val="24"/>
          <w:lang w:val="en-US" w:eastAsia="zh-CN"/>
        </w:rPr>
        <w:t>10</w:t>
      </w:r>
      <w:r>
        <w:rPr>
          <w:rStyle w:val="47"/>
          <w:rFonts w:hint="eastAsia" w:ascii="宋体" w:hAnsi="宋体" w:eastAsia="宋体" w:cs="宋体"/>
          <w:sz w:val="24"/>
          <w:szCs w:val="24"/>
        </w:rPr>
        <w:t>月1日至开标之日）发生的诉讼及仲裁情况（应说明相关情况并附法院或仲裁机构作出的判决、仲裁等有关法律文书的复印件）</w:t>
      </w:r>
      <w:r>
        <w:rPr>
          <w:rStyle w:val="47"/>
          <w:rFonts w:hint="eastAsia" w:ascii="宋体" w:hAnsi="宋体" w:eastAsia="宋体" w:cs="宋体"/>
          <w:sz w:val="24"/>
          <w:szCs w:val="24"/>
          <w:lang w:eastAsia="zh-CN"/>
        </w:rPr>
        <w:t>，</w:t>
      </w:r>
      <w:r>
        <w:rPr>
          <w:rStyle w:val="47"/>
          <w:rFonts w:hint="eastAsia" w:ascii="宋体" w:hAnsi="宋体" w:eastAsia="宋体" w:cs="宋体"/>
          <w:sz w:val="24"/>
          <w:szCs w:val="24"/>
          <w:lang w:val="en-US" w:eastAsia="zh-CN"/>
        </w:rPr>
        <w:t>没有写“无”。</w:t>
      </w:r>
    </w:p>
    <w:p w14:paraId="0AB6AC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firstLine="0"/>
        <w:jc w:val="left"/>
        <w:textAlignment w:val="auto"/>
        <w:rPr>
          <w:rStyle w:val="47"/>
          <w:rFonts w:hint="eastAsia" w:ascii="宋体" w:hAnsi="宋体" w:eastAsia="宋体" w:cs="宋体"/>
          <w:sz w:val="24"/>
          <w:szCs w:val="24"/>
        </w:rPr>
      </w:pPr>
      <w:r>
        <w:rPr>
          <w:rStyle w:val="47"/>
          <w:rFonts w:hint="eastAsia" w:ascii="宋体" w:hAnsi="宋体" w:eastAsia="宋体" w:cs="宋体"/>
          <w:sz w:val="24"/>
          <w:szCs w:val="24"/>
        </w:rPr>
        <w:t>唯一的法人授权委托书、授权人和被授权人身份证、及在本单位近12个月社保缴纳证明</w:t>
      </w:r>
      <w:r>
        <w:rPr>
          <w:rStyle w:val="47"/>
          <w:rFonts w:hint="eastAsia" w:ascii="宋体" w:hAnsi="宋体" w:eastAsia="宋体" w:cs="宋体"/>
          <w:sz w:val="24"/>
          <w:szCs w:val="24"/>
          <w:lang w:eastAsia="zh-CN"/>
        </w:rPr>
        <w:t>。</w:t>
      </w:r>
    </w:p>
    <w:p w14:paraId="4927D3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firstLine="0"/>
        <w:jc w:val="left"/>
        <w:textAlignment w:val="auto"/>
        <w:rPr>
          <w:rStyle w:val="47"/>
          <w:rFonts w:hint="eastAsia" w:ascii="宋体" w:hAnsi="宋体" w:eastAsia="宋体" w:cs="宋体"/>
          <w:sz w:val="24"/>
          <w:szCs w:val="24"/>
        </w:rPr>
      </w:pPr>
      <w:r>
        <w:rPr>
          <w:rStyle w:val="47"/>
          <w:rFonts w:hint="eastAsia" w:ascii="宋体" w:hAnsi="宋体" w:eastAsia="宋体" w:cs="宋体"/>
          <w:sz w:val="24"/>
          <w:szCs w:val="24"/>
        </w:rPr>
        <w:t>联系人、联系方式、电子邮箱。</w:t>
      </w:r>
    </w:p>
    <w:p w14:paraId="65CD63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firstLine="0"/>
        <w:jc w:val="left"/>
        <w:textAlignment w:val="auto"/>
        <w:rPr>
          <w:rFonts w:hint="eastAsia" w:ascii="宋体" w:hAnsi="宋体" w:eastAsia="宋体" w:cs="宋体"/>
          <w:sz w:val="24"/>
          <w:szCs w:val="24"/>
          <w:lang w:bidi="ar"/>
        </w:rPr>
      </w:pPr>
      <w:r>
        <w:rPr>
          <w:rFonts w:hint="eastAsia" w:ascii="宋体" w:hAnsi="宋体" w:eastAsia="宋体" w:cs="宋体"/>
          <w:sz w:val="24"/>
          <w:szCs w:val="24"/>
          <w:lang w:bidi="ar"/>
        </w:rPr>
        <w:t>公司简介，包括但不限于公司发展史、企业文化、企业性质、规模和实力、营业水平、技术人员情况、在建项目情况、企业荣誉及认证、企业优势等。</w:t>
      </w:r>
    </w:p>
    <w:p w14:paraId="100503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firstLine="0"/>
        <w:jc w:val="left"/>
        <w:textAlignment w:val="auto"/>
        <w:rPr>
          <w:rFonts w:hint="eastAsia" w:ascii="宋体" w:hAnsi="宋体" w:eastAsia="宋体" w:cs="宋体"/>
          <w:sz w:val="24"/>
          <w:szCs w:val="24"/>
        </w:rPr>
      </w:pPr>
      <w:r>
        <w:rPr>
          <w:rFonts w:hint="eastAsia" w:ascii="宋体" w:hAnsi="宋体" w:eastAsia="宋体" w:cs="宋体"/>
          <w:sz w:val="24"/>
          <w:szCs w:val="24"/>
        </w:rPr>
        <w:t>类似</w:t>
      </w:r>
      <w:r>
        <w:rPr>
          <w:rFonts w:hint="eastAsia" w:ascii="宋体" w:hAnsi="宋体" w:eastAsia="宋体" w:cs="宋体"/>
          <w:sz w:val="24"/>
          <w:szCs w:val="24"/>
          <w:lang w:val="en-US" w:eastAsia="zh-CN"/>
        </w:rPr>
        <w:t>施工</w:t>
      </w:r>
      <w:r>
        <w:rPr>
          <w:rFonts w:hint="eastAsia" w:ascii="宋体" w:hAnsi="宋体" w:eastAsia="宋体" w:cs="宋体"/>
          <w:sz w:val="24"/>
          <w:szCs w:val="24"/>
        </w:rPr>
        <w:t>业绩（</w:t>
      </w:r>
      <w:r>
        <w:rPr>
          <w:rFonts w:hint="eastAsia" w:ascii="宋体" w:hAnsi="宋体" w:eastAsia="宋体" w:cs="宋体"/>
          <w:sz w:val="24"/>
          <w:szCs w:val="24"/>
          <w:lang w:val="en-US" w:eastAsia="zh-CN"/>
        </w:rPr>
        <w:t>详见招标文件要求</w:t>
      </w:r>
      <w:r>
        <w:rPr>
          <w:rFonts w:hint="eastAsia" w:ascii="宋体" w:hAnsi="宋体" w:eastAsia="宋体" w:cs="宋体"/>
          <w:sz w:val="24"/>
          <w:szCs w:val="24"/>
        </w:rPr>
        <w:t>）</w:t>
      </w:r>
      <w:r>
        <w:rPr>
          <w:rFonts w:hint="eastAsia" w:ascii="宋体" w:hAnsi="宋体" w:eastAsia="宋体" w:cs="宋体"/>
          <w:sz w:val="24"/>
          <w:szCs w:val="24"/>
          <w:lang w:bidi="ar"/>
        </w:rPr>
        <w:t>，要求提供合同扫描件</w:t>
      </w:r>
      <w:r>
        <w:rPr>
          <w:rFonts w:hint="eastAsia" w:ascii="宋体" w:hAnsi="宋体" w:eastAsia="宋体" w:cs="宋体"/>
          <w:sz w:val="24"/>
          <w:szCs w:val="24"/>
          <w:lang w:eastAsia="zh-CN" w:bidi="ar"/>
        </w:rPr>
        <w:t>（</w:t>
      </w:r>
      <w:r>
        <w:rPr>
          <w:rFonts w:hint="eastAsia" w:ascii="宋体" w:hAnsi="宋体" w:eastAsia="宋体" w:cs="宋体"/>
          <w:sz w:val="24"/>
          <w:szCs w:val="24"/>
        </w:rPr>
        <w:t>用原件扫描，除了通用条款全部扫描</w:t>
      </w:r>
      <w:r>
        <w:rPr>
          <w:rFonts w:hint="eastAsia" w:ascii="宋体" w:hAnsi="宋体" w:eastAsia="宋体" w:cs="宋体"/>
          <w:sz w:val="24"/>
          <w:szCs w:val="24"/>
          <w:lang w:eastAsia="zh-CN" w:bidi="ar"/>
        </w:rPr>
        <w:t>）</w:t>
      </w:r>
      <w:r>
        <w:rPr>
          <w:rFonts w:hint="eastAsia" w:ascii="宋体" w:hAnsi="宋体" w:eastAsia="宋体" w:cs="宋体"/>
          <w:sz w:val="24"/>
          <w:szCs w:val="24"/>
          <w:lang w:bidi="ar"/>
        </w:rPr>
        <w:t>，数量不限，能报尽报，填写附件2；</w:t>
      </w:r>
    </w:p>
    <w:p w14:paraId="4B452B57">
      <w:pPr>
        <w:spacing w:line="360" w:lineRule="auto"/>
        <w:ind w:firstLine="482" w:firstLineChars="200"/>
        <w:rPr>
          <w:rFonts w:hint="eastAsia" w:ascii="宋体" w:hAnsi="宋体" w:eastAsia="宋体" w:cs="宋体"/>
          <w:b/>
          <w:bCs/>
          <w:color w:val="000000"/>
          <w:sz w:val="24"/>
          <w:szCs w:val="24"/>
          <w:u w:val="single"/>
          <w:shd w:val="solid" w:color="D8D8D8" w:fill="FFFFFF"/>
          <w:lang w:eastAsia="zh-CN" w:bidi="ar"/>
        </w:rPr>
      </w:pPr>
      <w:r>
        <w:rPr>
          <w:rFonts w:hint="eastAsia" w:ascii="宋体" w:hAnsi="宋体" w:eastAsia="宋体" w:cs="宋体"/>
          <w:b/>
          <w:bCs/>
          <w:color w:val="000000"/>
          <w:sz w:val="24"/>
          <w:szCs w:val="24"/>
          <w:u w:val="single"/>
          <w:shd w:val="solid" w:color="D8D8D8" w:fill="FFFFFF"/>
          <w:lang w:bidi="ar"/>
        </w:rPr>
        <w:t>以上报名资料均要加盖公章</w:t>
      </w:r>
      <w:r>
        <w:rPr>
          <w:rFonts w:hint="eastAsia" w:ascii="宋体" w:hAnsi="宋体" w:eastAsia="宋体" w:cs="宋体"/>
          <w:b/>
          <w:bCs/>
          <w:color w:val="000000"/>
          <w:sz w:val="24"/>
          <w:szCs w:val="24"/>
          <w:u w:val="single"/>
          <w:shd w:val="solid" w:color="D8D8D8" w:fill="FFFFFF"/>
          <w:lang w:eastAsia="zh-CN" w:bidi="ar"/>
        </w:rPr>
        <w:t>。</w:t>
      </w:r>
    </w:p>
    <w:p w14:paraId="7AD5CC38">
      <w:pPr>
        <w:spacing w:line="360" w:lineRule="auto"/>
        <w:ind w:firstLine="482" w:firstLineChars="200"/>
        <w:rPr>
          <w:rFonts w:hint="eastAsia" w:ascii="宋体" w:hAnsi="宋体" w:eastAsia="宋体" w:cs="宋体"/>
          <w:b/>
          <w:bCs/>
          <w:kern w:val="0"/>
          <w:sz w:val="24"/>
          <w:szCs w:val="24"/>
          <w:lang w:bidi="en-US"/>
        </w:rPr>
      </w:pPr>
      <w:r>
        <w:rPr>
          <w:rFonts w:hint="eastAsia" w:ascii="宋体" w:hAnsi="宋体" w:eastAsia="宋体" w:cs="宋体"/>
          <w:b/>
          <w:bCs/>
          <w:kern w:val="0"/>
          <w:sz w:val="24"/>
          <w:szCs w:val="24"/>
          <w:lang w:bidi="en-US"/>
        </w:rPr>
        <w:t>本项目实行资格预审，报名成功不代表资格审查通过、入围投标名单。</w:t>
      </w:r>
    </w:p>
    <w:p w14:paraId="5310F393">
      <w:pPr>
        <w:spacing w:line="360" w:lineRule="auto"/>
        <w:ind w:firstLine="482" w:firstLineChars="200"/>
        <w:rPr>
          <w:rFonts w:hint="eastAsia" w:ascii="宋体" w:hAnsi="宋体" w:eastAsia="宋体" w:cs="宋体"/>
          <w:sz w:val="24"/>
          <w:szCs w:val="24"/>
          <w:lang w:bidi="ar"/>
        </w:rPr>
      </w:pPr>
      <w:r>
        <w:rPr>
          <w:rFonts w:hint="eastAsia" w:ascii="宋体" w:hAnsi="宋体" w:eastAsia="宋体" w:cs="宋体"/>
          <w:b/>
          <w:bCs/>
          <w:kern w:val="0"/>
          <w:sz w:val="24"/>
          <w:szCs w:val="24"/>
          <w:lang w:bidi="en-US"/>
        </w:rPr>
        <w:t>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hAnsi="宋体" w:eastAsia="宋体" w:cs="宋体"/>
          <w:sz w:val="24"/>
          <w:szCs w:val="24"/>
          <w:lang w:bidi="ar"/>
        </w:rPr>
        <w:t>。</w:t>
      </w:r>
    </w:p>
    <w:p w14:paraId="4B84D6D8">
      <w:pPr>
        <w:rPr>
          <w:rFonts w:hint="eastAsia" w:ascii="宋体" w:cs="宋体"/>
          <w:sz w:val="24"/>
          <w:lang w:bidi="ar"/>
        </w:rPr>
      </w:pPr>
      <w:r>
        <w:rPr>
          <w:rFonts w:hint="eastAsia" w:ascii="宋体" w:cs="宋体"/>
          <w:sz w:val="24"/>
          <w:lang w:bidi="ar"/>
        </w:rPr>
        <w:br w:type="page"/>
      </w:r>
    </w:p>
    <w:p w14:paraId="50DD6CD6">
      <w:pPr>
        <w:pStyle w:val="112"/>
        <w:numPr>
          <w:ilvl w:val="0"/>
          <w:numId w:val="0"/>
        </w:numPr>
        <w:ind w:leftChars="0"/>
        <w:outlineLvl w:val="2"/>
        <w:rPr>
          <w:rFonts w:hint="eastAsia" w:ascii="宋体" w:hAnsi="宋体" w:eastAsia="宋体" w:cs="宋体"/>
          <w:sz w:val="32"/>
          <w:szCs w:val="32"/>
          <w:highlight w:val="none"/>
          <w:lang w:val="en-US" w:eastAsia="zh-CN"/>
        </w:rPr>
        <w:sectPr>
          <w:headerReference r:id="rId6" w:type="first"/>
          <w:footerReference r:id="rId8" w:type="first"/>
          <w:headerReference r:id="rId5" w:type="default"/>
          <w:footerReference r:id="rId7" w:type="default"/>
          <w:pgSz w:w="11905" w:h="16838"/>
          <w:pgMar w:top="1304" w:right="1304" w:bottom="1247" w:left="1304" w:header="850" w:footer="992" w:gutter="0"/>
          <w:pgNumType w:fmt="decimal"/>
          <w:cols w:space="0" w:num="1"/>
          <w:titlePg/>
          <w:rtlGutter w:val="0"/>
          <w:docGrid w:type="lines" w:linePitch="317" w:charSpace="0"/>
        </w:sectPr>
      </w:pPr>
    </w:p>
    <w:p w14:paraId="1BD01ACC">
      <w:pPr>
        <w:pStyle w:val="112"/>
        <w:numPr>
          <w:ilvl w:val="0"/>
          <w:numId w:val="0"/>
        </w:numPr>
        <w:ind w:leftChars="0"/>
        <w:outlineLvl w:val="2"/>
        <w:rPr>
          <w:rFonts w:hint="eastAsia" w:ascii="宋体" w:hAnsi="宋体" w:eastAsia="宋体" w:cs="宋体"/>
          <w:sz w:val="32"/>
          <w:szCs w:val="32"/>
          <w:highlight w:val="none"/>
          <w:lang w:val="en-US" w:eastAsia="zh-CN"/>
        </w:rPr>
      </w:pPr>
      <w:bookmarkStart w:id="9" w:name="_Toc27105"/>
      <w:r>
        <w:rPr>
          <w:rFonts w:hint="eastAsia" w:ascii="宋体" w:hAnsi="宋体" w:eastAsia="宋体" w:cs="宋体"/>
          <w:sz w:val="32"/>
          <w:szCs w:val="32"/>
          <w:highlight w:val="none"/>
          <w:lang w:val="en-US" w:eastAsia="zh-CN"/>
        </w:rPr>
        <w:t>附件1:</w:t>
      </w:r>
      <w:bookmarkEnd w:id="9"/>
    </w:p>
    <w:tbl>
      <w:tblPr>
        <w:tblStyle w:val="26"/>
        <w:tblW w:w="4997" w:type="pct"/>
        <w:tblInd w:w="0" w:type="dxa"/>
        <w:tblLayout w:type="autofit"/>
        <w:tblCellMar>
          <w:top w:w="0" w:type="dxa"/>
          <w:left w:w="108" w:type="dxa"/>
          <w:bottom w:w="0" w:type="dxa"/>
          <w:right w:w="108" w:type="dxa"/>
        </w:tblCellMar>
      </w:tblPr>
      <w:tblGrid>
        <w:gridCol w:w="461"/>
        <w:gridCol w:w="1460"/>
        <w:gridCol w:w="589"/>
        <w:gridCol w:w="659"/>
        <w:gridCol w:w="1164"/>
        <w:gridCol w:w="1233"/>
        <w:gridCol w:w="1039"/>
        <w:gridCol w:w="827"/>
        <w:gridCol w:w="786"/>
        <w:gridCol w:w="717"/>
        <w:gridCol w:w="827"/>
        <w:gridCol w:w="871"/>
        <w:gridCol w:w="743"/>
        <w:gridCol w:w="871"/>
        <w:gridCol w:w="702"/>
        <w:gridCol w:w="871"/>
        <w:gridCol w:w="674"/>
      </w:tblGrid>
      <w:tr w14:paraId="461FF2B6">
        <w:tblPrEx>
          <w:tblCellMar>
            <w:top w:w="0" w:type="dxa"/>
            <w:left w:w="108" w:type="dxa"/>
            <w:bottom w:w="0" w:type="dxa"/>
            <w:right w:w="108" w:type="dxa"/>
          </w:tblCellMar>
        </w:tblPrEx>
        <w:trPr>
          <w:trHeight w:val="285" w:hRule="atLeast"/>
        </w:trPr>
        <w:tc>
          <w:tcPr>
            <w:tcW w:w="1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616F9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号</w:t>
            </w:r>
          </w:p>
        </w:tc>
        <w:tc>
          <w:tcPr>
            <w:tcW w:w="50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23FF0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单位名称</w:t>
            </w:r>
          </w:p>
        </w:tc>
        <w:tc>
          <w:tcPr>
            <w:tcW w:w="20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FC325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地区</w:t>
            </w:r>
          </w:p>
        </w:tc>
        <w:tc>
          <w:tcPr>
            <w:tcW w:w="22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C3015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联系人</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575CB2">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联系方式</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51216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邮箱</w:t>
            </w:r>
          </w:p>
        </w:tc>
        <w:tc>
          <w:tcPr>
            <w:tcW w:w="358"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81CD0B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注册资金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（≥500万）</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BE2FF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注册时间</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01AD2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企业性质</w:t>
            </w:r>
          </w:p>
        </w:tc>
        <w:tc>
          <w:tcPr>
            <w:tcW w:w="24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3A384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项目经理</w:t>
            </w:r>
          </w:p>
        </w:tc>
        <w:tc>
          <w:tcPr>
            <w:tcW w:w="28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2A95E50">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类似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业绩</w:t>
            </w:r>
          </w:p>
          <w:p w14:paraId="6806576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556"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F0A3EE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2</w:t>
            </w:r>
            <w:r>
              <w:rPr>
                <w:rFonts w:hint="eastAsia" w:ascii="宋体" w:hAnsi="宋体" w:cs="宋体"/>
                <w:color w:val="000000"/>
                <w:kern w:val="0"/>
                <w:sz w:val="20"/>
                <w:szCs w:val="20"/>
                <w:lang w:bidi="ar"/>
              </w:rPr>
              <w:t>年</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5996ED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3</w:t>
            </w:r>
            <w:r>
              <w:rPr>
                <w:rFonts w:hint="eastAsia" w:ascii="宋体" w:hAnsi="宋体" w:cs="宋体"/>
                <w:color w:val="000000"/>
                <w:kern w:val="0"/>
                <w:sz w:val="20"/>
                <w:szCs w:val="20"/>
                <w:lang w:bidi="ar"/>
              </w:rPr>
              <w:t>年</w:t>
            </w:r>
          </w:p>
        </w:tc>
        <w:tc>
          <w:tcPr>
            <w:tcW w:w="53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5089CE2">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4</w:t>
            </w:r>
            <w:r>
              <w:rPr>
                <w:rFonts w:hint="eastAsia" w:ascii="宋体" w:hAnsi="宋体" w:cs="宋体"/>
                <w:color w:val="000000"/>
                <w:kern w:val="0"/>
                <w:sz w:val="20"/>
                <w:szCs w:val="20"/>
                <w:lang w:bidi="ar"/>
              </w:rPr>
              <w:t>年</w:t>
            </w:r>
          </w:p>
        </w:tc>
      </w:tr>
      <w:tr w14:paraId="750A7298">
        <w:tblPrEx>
          <w:tblCellMar>
            <w:top w:w="0" w:type="dxa"/>
            <w:left w:w="108" w:type="dxa"/>
            <w:bottom w:w="0" w:type="dxa"/>
            <w:right w:w="108" w:type="dxa"/>
          </w:tblCellMar>
        </w:tblPrEx>
        <w:trPr>
          <w:trHeight w:val="480" w:hRule="atLeast"/>
        </w:trPr>
        <w:tc>
          <w:tcPr>
            <w:tcW w:w="1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F77C29">
            <w:pPr>
              <w:rPr>
                <w:sz w:val="20"/>
                <w:szCs w:val="20"/>
              </w:rPr>
            </w:pPr>
          </w:p>
        </w:tc>
        <w:tc>
          <w:tcPr>
            <w:tcW w:w="50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87077D">
            <w:pPr>
              <w:rPr>
                <w:sz w:val="20"/>
                <w:szCs w:val="20"/>
              </w:rPr>
            </w:pPr>
          </w:p>
        </w:tc>
        <w:tc>
          <w:tcPr>
            <w:tcW w:w="20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586B82">
            <w:pPr>
              <w:rPr>
                <w:sz w:val="20"/>
                <w:szCs w:val="20"/>
              </w:rPr>
            </w:pPr>
          </w:p>
        </w:tc>
        <w:tc>
          <w:tcPr>
            <w:tcW w:w="22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053C0C">
            <w:pPr>
              <w:rPr>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F73A8F">
            <w:pPr>
              <w:rPr>
                <w:sz w:val="20"/>
                <w:szCs w:val="20"/>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B3847F">
            <w:pPr>
              <w:rPr>
                <w:sz w:val="20"/>
                <w:szCs w:val="20"/>
              </w:rPr>
            </w:pPr>
          </w:p>
        </w:tc>
        <w:tc>
          <w:tcPr>
            <w:tcW w:w="3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D2350D">
            <w:pPr>
              <w:rPr>
                <w:sz w:val="20"/>
                <w:szCs w:val="20"/>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ABBC78">
            <w:pPr>
              <w:rPr>
                <w:sz w:val="20"/>
                <w:szCs w:val="20"/>
              </w:rPr>
            </w:pP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BE4D98">
            <w:pPr>
              <w:rPr>
                <w:sz w:val="20"/>
                <w:szCs w:val="20"/>
              </w:rPr>
            </w:pPr>
          </w:p>
        </w:tc>
        <w:tc>
          <w:tcPr>
            <w:tcW w:w="2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7A28CF">
            <w:pPr>
              <w:rPr>
                <w:sz w:val="20"/>
                <w:szCs w:val="20"/>
              </w:rPr>
            </w:pPr>
          </w:p>
        </w:tc>
        <w:tc>
          <w:tcPr>
            <w:tcW w:w="28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5ECE7A">
            <w:pPr>
              <w:rPr>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72897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EDA26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B1FA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93F28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6E518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AFDA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r>
      <w:tr w14:paraId="2C79D799">
        <w:tblPrEx>
          <w:tblCellMar>
            <w:top w:w="0" w:type="dxa"/>
            <w:left w:w="108" w:type="dxa"/>
            <w:bottom w:w="0" w:type="dxa"/>
            <w:right w:w="108" w:type="dxa"/>
          </w:tblCellMar>
        </w:tblPrEx>
        <w:trPr>
          <w:trHeight w:val="649" w:hRule="atLeast"/>
        </w:trPr>
        <w:tc>
          <w:tcPr>
            <w:tcW w:w="1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52BC86">
            <w:pPr>
              <w:jc w:val="center"/>
              <w:rPr>
                <w:rFonts w:ascii="宋体" w:hAnsi="宋体" w:cs="宋体"/>
                <w:color w:val="000000"/>
                <w:sz w:val="20"/>
                <w:szCs w:val="20"/>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E1625">
            <w:pPr>
              <w:rPr>
                <w:rFonts w:ascii="宋体" w:hAnsi="宋体" w:cs="宋体"/>
                <w:color w:val="000000"/>
                <w:sz w:val="20"/>
                <w:szCs w:val="20"/>
              </w:rPr>
            </w:pPr>
          </w:p>
        </w:tc>
        <w:tc>
          <w:tcPr>
            <w:tcW w:w="2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341407">
            <w:pPr>
              <w:jc w:val="center"/>
              <w:rPr>
                <w:rFonts w:ascii="宋体" w:hAnsi="宋体" w:cs="宋体"/>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E2A15">
            <w:pPr>
              <w:jc w:val="center"/>
              <w:rPr>
                <w:rFonts w:ascii="宋体" w:hAnsi="宋体" w:cs="宋体"/>
                <w:color w:val="000000"/>
                <w:sz w:val="20"/>
                <w:szCs w:val="20"/>
              </w:rPr>
            </w:pPr>
          </w:p>
        </w:tc>
        <w:tc>
          <w:tcPr>
            <w:tcW w:w="40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89B047">
            <w:pPr>
              <w:jc w:val="center"/>
              <w:rPr>
                <w:rFonts w:ascii="宋体" w:hAnsi="宋体" w:cs="宋体"/>
                <w:color w:val="000000"/>
                <w:sz w:val="20"/>
                <w:szCs w:val="20"/>
              </w:rPr>
            </w:pPr>
          </w:p>
        </w:tc>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CDAC56">
            <w:pPr>
              <w:jc w:val="center"/>
              <w:rPr>
                <w:rFonts w:ascii="宋体" w:hAnsi="宋体" w:cs="宋体"/>
                <w:color w:val="000000"/>
                <w:sz w:val="20"/>
                <w:szCs w:val="20"/>
              </w:rPr>
            </w:pP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EC229">
            <w:pPr>
              <w:jc w:val="center"/>
              <w:rPr>
                <w:rFonts w:ascii="宋体" w:hAnsi="宋体" w:cs="宋体"/>
                <w:color w:val="000000"/>
                <w:sz w:val="20"/>
                <w:szCs w:val="20"/>
              </w:rPr>
            </w:pPr>
          </w:p>
        </w:tc>
        <w:tc>
          <w:tcPr>
            <w:tcW w:w="2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173F61">
            <w:pPr>
              <w:jc w:val="center"/>
              <w:rPr>
                <w:rFonts w:ascii="宋体" w:hAnsi="宋体" w:cs="宋体"/>
                <w:color w:val="000000"/>
                <w:sz w:val="20"/>
                <w:szCs w:val="20"/>
              </w:rPr>
            </w:pPr>
          </w:p>
        </w:tc>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292BCD">
            <w:pPr>
              <w:jc w:val="left"/>
              <w:rPr>
                <w:rFonts w:ascii="宋体" w:hAnsi="宋体" w:cs="宋体"/>
                <w:color w:val="000000"/>
                <w:sz w:val="20"/>
                <w:szCs w:val="20"/>
              </w:rPr>
            </w:pPr>
          </w:p>
        </w:tc>
        <w:tc>
          <w:tcPr>
            <w:tcW w:w="2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600F5E">
            <w:pPr>
              <w:jc w:val="center"/>
              <w:rPr>
                <w:rFonts w:ascii="宋体" w:hAnsi="宋体" w:cs="宋体"/>
                <w:color w:val="000000"/>
                <w:sz w:val="20"/>
                <w:szCs w:val="20"/>
              </w:rPr>
            </w:pPr>
          </w:p>
        </w:tc>
        <w:tc>
          <w:tcPr>
            <w:tcW w:w="2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B5CD07">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1279D7">
            <w:pPr>
              <w:jc w:val="center"/>
              <w:rPr>
                <w:rFonts w:ascii="宋体" w:hAnsi="宋体" w:cs="宋体"/>
                <w:color w:val="000000"/>
                <w:sz w:val="20"/>
                <w:szCs w:val="20"/>
              </w:rPr>
            </w:pPr>
          </w:p>
        </w:tc>
        <w:tc>
          <w:tcPr>
            <w:tcW w:w="2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C67442">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61AF35">
            <w:pPr>
              <w:jc w:val="center"/>
              <w:rPr>
                <w:rFonts w:ascii="宋体" w:hAnsi="宋体" w:cs="宋体"/>
                <w:color w:val="000000"/>
                <w:sz w:val="20"/>
                <w:szCs w:val="20"/>
              </w:rPr>
            </w:pPr>
          </w:p>
        </w:tc>
        <w:tc>
          <w:tcPr>
            <w:tcW w:w="2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C91F62">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C82F6">
            <w:pPr>
              <w:jc w:val="center"/>
              <w:rPr>
                <w:rFonts w:ascii="宋体" w:hAnsi="宋体" w:cs="宋体"/>
                <w:color w:val="000000"/>
                <w:sz w:val="20"/>
                <w:szCs w:val="20"/>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B2AA31">
            <w:pPr>
              <w:jc w:val="center"/>
              <w:rPr>
                <w:rFonts w:ascii="宋体" w:hAnsi="宋体" w:cs="宋体"/>
                <w:color w:val="000000"/>
                <w:sz w:val="20"/>
                <w:szCs w:val="20"/>
              </w:rPr>
            </w:pPr>
          </w:p>
        </w:tc>
      </w:tr>
      <w:tr w14:paraId="266029BA">
        <w:tblPrEx>
          <w:tblCellMar>
            <w:top w:w="0" w:type="dxa"/>
            <w:left w:w="108" w:type="dxa"/>
            <w:bottom w:w="0" w:type="dxa"/>
            <w:right w:w="108" w:type="dxa"/>
          </w:tblCellMar>
        </w:tblPrEx>
        <w:trPr>
          <w:trHeight w:val="694" w:hRule="atLeast"/>
        </w:trPr>
        <w:tc>
          <w:tcPr>
            <w:tcW w:w="1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8CC56F">
            <w:pPr>
              <w:jc w:val="center"/>
              <w:rPr>
                <w:rFonts w:ascii="宋体" w:hAnsi="宋体" w:cs="宋体"/>
                <w:color w:val="000000"/>
                <w:sz w:val="20"/>
                <w:szCs w:val="20"/>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30AE72">
            <w:pPr>
              <w:rPr>
                <w:rFonts w:ascii="宋体" w:hAnsi="宋体" w:cs="宋体"/>
                <w:color w:val="000000"/>
                <w:sz w:val="20"/>
                <w:szCs w:val="20"/>
              </w:rPr>
            </w:pPr>
          </w:p>
        </w:tc>
        <w:tc>
          <w:tcPr>
            <w:tcW w:w="2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0FB1D">
            <w:pPr>
              <w:jc w:val="center"/>
              <w:rPr>
                <w:rFonts w:ascii="宋体" w:hAnsi="宋体" w:cs="宋体"/>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ACDF4">
            <w:pPr>
              <w:jc w:val="center"/>
              <w:rPr>
                <w:rFonts w:ascii="宋体" w:hAnsi="宋体" w:cs="宋体"/>
                <w:color w:val="000000"/>
                <w:sz w:val="20"/>
                <w:szCs w:val="20"/>
              </w:rPr>
            </w:pPr>
          </w:p>
        </w:tc>
        <w:tc>
          <w:tcPr>
            <w:tcW w:w="40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08472D">
            <w:pPr>
              <w:jc w:val="center"/>
              <w:rPr>
                <w:rFonts w:ascii="宋体" w:hAnsi="宋体" w:cs="宋体"/>
                <w:color w:val="000000"/>
                <w:sz w:val="20"/>
                <w:szCs w:val="20"/>
              </w:rPr>
            </w:pPr>
          </w:p>
        </w:tc>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F1DED">
            <w:pPr>
              <w:jc w:val="center"/>
              <w:rPr>
                <w:rFonts w:ascii="宋体" w:hAnsi="宋体" w:cs="宋体"/>
                <w:color w:val="000000"/>
                <w:sz w:val="20"/>
                <w:szCs w:val="20"/>
              </w:rPr>
            </w:pP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612821">
            <w:pPr>
              <w:jc w:val="center"/>
              <w:rPr>
                <w:rFonts w:ascii="宋体" w:hAnsi="宋体" w:cs="宋体"/>
                <w:color w:val="000000"/>
                <w:sz w:val="20"/>
                <w:szCs w:val="20"/>
              </w:rPr>
            </w:pPr>
          </w:p>
        </w:tc>
        <w:tc>
          <w:tcPr>
            <w:tcW w:w="2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B2FD9B">
            <w:pPr>
              <w:jc w:val="center"/>
              <w:rPr>
                <w:rFonts w:ascii="宋体" w:hAnsi="宋体" w:cs="宋体"/>
                <w:color w:val="000000"/>
                <w:sz w:val="20"/>
                <w:szCs w:val="20"/>
              </w:rPr>
            </w:pPr>
          </w:p>
        </w:tc>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9D383">
            <w:pPr>
              <w:jc w:val="left"/>
              <w:rPr>
                <w:rFonts w:ascii="宋体" w:hAnsi="宋体" w:cs="宋体"/>
                <w:color w:val="000000"/>
                <w:sz w:val="20"/>
                <w:szCs w:val="20"/>
              </w:rPr>
            </w:pPr>
          </w:p>
        </w:tc>
        <w:tc>
          <w:tcPr>
            <w:tcW w:w="2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62BEB0">
            <w:pPr>
              <w:jc w:val="center"/>
              <w:rPr>
                <w:rFonts w:ascii="宋体" w:hAnsi="宋体" w:cs="宋体"/>
                <w:color w:val="000000"/>
                <w:sz w:val="20"/>
                <w:szCs w:val="20"/>
              </w:rPr>
            </w:pPr>
          </w:p>
        </w:tc>
        <w:tc>
          <w:tcPr>
            <w:tcW w:w="2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35720">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851F1">
            <w:pPr>
              <w:jc w:val="center"/>
              <w:rPr>
                <w:rFonts w:ascii="宋体" w:hAnsi="宋体" w:cs="宋体"/>
                <w:color w:val="000000"/>
                <w:sz w:val="20"/>
                <w:szCs w:val="20"/>
              </w:rPr>
            </w:pPr>
          </w:p>
        </w:tc>
        <w:tc>
          <w:tcPr>
            <w:tcW w:w="2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70E28">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C3DBAC">
            <w:pPr>
              <w:jc w:val="center"/>
              <w:rPr>
                <w:rFonts w:ascii="宋体" w:hAnsi="宋体" w:cs="宋体"/>
                <w:color w:val="000000"/>
                <w:sz w:val="20"/>
                <w:szCs w:val="20"/>
              </w:rPr>
            </w:pPr>
          </w:p>
        </w:tc>
        <w:tc>
          <w:tcPr>
            <w:tcW w:w="2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FDD2E0">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42F811">
            <w:pPr>
              <w:jc w:val="center"/>
              <w:rPr>
                <w:rFonts w:ascii="宋体" w:hAnsi="宋体" w:cs="宋体"/>
                <w:color w:val="000000"/>
                <w:sz w:val="20"/>
                <w:szCs w:val="20"/>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53C394">
            <w:pPr>
              <w:jc w:val="center"/>
              <w:rPr>
                <w:rFonts w:ascii="宋体" w:hAnsi="宋体" w:cs="宋体"/>
                <w:color w:val="000000"/>
                <w:sz w:val="20"/>
                <w:szCs w:val="20"/>
              </w:rPr>
            </w:pPr>
          </w:p>
        </w:tc>
      </w:tr>
      <w:tr w14:paraId="5006E9F2">
        <w:tblPrEx>
          <w:tblCellMar>
            <w:top w:w="0" w:type="dxa"/>
            <w:left w:w="108" w:type="dxa"/>
            <w:bottom w:w="0" w:type="dxa"/>
            <w:right w:w="108" w:type="dxa"/>
          </w:tblCellMar>
        </w:tblPrEx>
        <w:trPr>
          <w:trHeight w:val="719" w:hRule="atLeast"/>
        </w:trPr>
        <w:tc>
          <w:tcPr>
            <w:tcW w:w="1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94D9EE">
            <w:pPr>
              <w:jc w:val="center"/>
              <w:rPr>
                <w:rFonts w:ascii="宋体" w:hAnsi="宋体" w:cs="宋体"/>
                <w:color w:val="000000"/>
                <w:sz w:val="20"/>
                <w:szCs w:val="20"/>
              </w:rPr>
            </w:pP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4EB6E2">
            <w:pPr>
              <w:rPr>
                <w:rFonts w:ascii="宋体" w:hAnsi="宋体" w:cs="宋体"/>
                <w:color w:val="000000"/>
                <w:sz w:val="20"/>
                <w:szCs w:val="20"/>
              </w:rPr>
            </w:pPr>
          </w:p>
        </w:tc>
        <w:tc>
          <w:tcPr>
            <w:tcW w:w="2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B00391">
            <w:pPr>
              <w:jc w:val="center"/>
              <w:rPr>
                <w:rFonts w:ascii="宋体" w:hAnsi="宋体" w:cs="宋体"/>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4278BD">
            <w:pPr>
              <w:jc w:val="center"/>
              <w:rPr>
                <w:rFonts w:ascii="宋体" w:hAnsi="宋体" w:cs="宋体"/>
                <w:color w:val="000000"/>
                <w:sz w:val="20"/>
                <w:szCs w:val="20"/>
              </w:rPr>
            </w:pPr>
          </w:p>
        </w:tc>
        <w:tc>
          <w:tcPr>
            <w:tcW w:w="40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1CCD9C">
            <w:pPr>
              <w:jc w:val="center"/>
              <w:rPr>
                <w:rFonts w:ascii="宋体" w:hAnsi="宋体" w:cs="宋体"/>
                <w:color w:val="000000"/>
                <w:sz w:val="20"/>
                <w:szCs w:val="20"/>
              </w:rPr>
            </w:pPr>
          </w:p>
        </w:tc>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FAFDE">
            <w:pPr>
              <w:jc w:val="center"/>
              <w:rPr>
                <w:rFonts w:ascii="宋体" w:hAnsi="宋体" w:cs="宋体"/>
                <w:color w:val="000000"/>
                <w:sz w:val="20"/>
                <w:szCs w:val="20"/>
              </w:rPr>
            </w:pPr>
          </w:p>
        </w:tc>
        <w:tc>
          <w:tcPr>
            <w:tcW w:w="3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E5393D">
            <w:pPr>
              <w:jc w:val="center"/>
              <w:rPr>
                <w:rFonts w:ascii="宋体" w:hAnsi="宋体" w:cs="宋体"/>
                <w:color w:val="000000"/>
                <w:sz w:val="20"/>
                <w:szCs w:val="20"/>
              </w:rPr>
            </w:pPr>
          </w:p>
        </w:tc>
        <w:tc>
          <w:tcPr>
            <w:tcW w:w="2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3B41F9">
            <w:pPr>
              <w:jc w:val="center"/>
              <w:rPr>
                <w:rFonts w:ascii="宋体" w:hAnsi="宋体" w:cs="宋体"/>
                <w:color w:val="000000"/>
                <w:sz w:val="20"/>
                <w:szCs w:val="20"/>
              </w:rPr>
            </w:pPr>
          </w:p>
        </w:tc>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C626EA">
            <w:pPr>
              <w:jc w:val="left"/>
              <w:rPr>
                <w:rFonts w:ascii="宋体" w:hAnsi="宋体" w:cs="宋体"/>
                <w:color w:val="000000"/>
                <w:sz w:val="20"/>
                <w:szCs w:val="20"/>
              </w:rPr>
            </w:pPr>
          </w:p>
        </w:tc>
        <w:tc>
          <w:tcPr>
            <w:tcW w:w="2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C9049E">
            <w:pPr>
              <w:jc w:val="center"/>
              <w:rPr>
                <w:rFonts w:ascii="宋体" w:hAnsi="宋体" w:cs="宋体"/>
                <w:color w:val="000000"/>
                <w:sz w:val="20"/>
                <w:szCs w:val="20"/>
              </w:rPr>
            </w:pPr>
          </w:p>
        </w:tc>
        <w:tc>
          <w:tcPr>
            <w:tcW w:w="2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8F850">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C15CA0">
            <w:pPr>
              <w:jc w:val="center"/>
              <w:rPr>
                <w:rFonts w:ascii="宋体" w:hAnsi="宋体" w:cs="宋体"/>
                <w:color w:val="000000"/>
                <w:sz w:val="20"/>
                <w:szCs w:val="20"/>
              </w:rPr>
            </w:pPr>
          </w:p>
        </w:tc>
        <w:tc>
          <w:tcPr>
            <w:tcW w:w="2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1E3957">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21038A">
            <w:pPr>
              <w:jc w:val="center"/>
              <w:rPr>
                <w:rFonts w:ascii="宋体" w:hAnsi="宋体" w:cs="宋体"/>
                <w:color w:val="000000"/>
                <w:sz w:val="20"/>
                <w:szCs w:val="20"/>
              </w:rPr>
            </w:pPr>
          </w:p>
        </w:tc>
        <w:tc>
          <w:tcPr>
            <w:tcW w:w="2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56618B">
            <w:pPr>
              <w:jc w:val="center"/>
              <w:rPr>
                <w:rFonts w:ascii="宋体" w:hAnsi="宋体" w:cs="宋体"/>
                <w:color w:val="000000"/>
                <w:sz w:val="20"/>
                <w:szCs w:val="20"/>
              </w:rPr>
            </w:pP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C89F1">
            <w:pPr>
              <w:jc w:val="center"/>
              <w:rPr>
                <w:rFonts w:ascii="宋体" w:hAnsi="宋体" w:cs="宋体"/>
                <w:color w:val="000000"/>
                <w:sz w:val="20"/>
                <w:szCs w:val="20"/>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762C99">
            <w:pPr>
              <w:jc w:val="center"/>
              <w:rPr>
                <w:rFonts w:ascii="宋体" w:hAnsi="宋体" w:cs="宋体"/>
                <w:color w:val="000000"/>
                <w:sz w:val="20"/>
                <w:szCs w:val="20"/>
              </w:rPr>
            </w:pPr>
          </w:p>
        </w:tc>
      </w:tr>
    </w:tbl>
    <w:p w14:paraId="16B169D8">
      <w:pPr>
        <w:rPr>
          <w:rFonts w:ascii="宋体" w:hAnsi="宋体"/>
          <w:kern w:val="0"/>
          <w:sz w:val="24"/>
          <w:szCs w:val="21"/>
          <w:lang w:bidi="en-US"/>
        </w:rPr>
      </w:pPr>
    </w:p>
    <w:p w14:paraId="14487E16">
      <w:pPr>
        <w:autoSpaceDE w:val="0"/>
        <w:autoSpaceDN w:val="0"/>
        <w:adjustRightInd w:val="0"/>
        <w:snapToGrid w:val="0"/>
        <w:spacing w:line="420" w:lineRule="exact"/>
        <w:jc w:val="left"/>
        <w:rPr>
          <w:rFonts w:hint="eastAsia" w:ascii="宋体" w:eastAsia="宋体" w:cs="宋体"/>
          <w:b/>
          <w:bCs/>
          <w:color w:val="FF0000"/>
          <w:sz w:val="24"/>
          <w:highlight w:val="none"/>
          <w:lang w:eastAsia="zh-CN" w:bidi="ar"/>
        </w:rPr>
      </w:pPr>
      <w:r>
        <w:rPr>
          <w:rFonts w:hint="eastAsia" w:ascii="宋体" w:cs="宋体"/>
          <w:b/>
          <w:bCs/>
          <w:sz w:val="24"/>
          <w:lang w:bidi="ar"/>
        </w:rPr>
        <w:t>注意：数据依据为报名单位提供的</w:t>
      </w:r>
      <w:r>
        <w:rPr>
          <w:rFonts w:hint="eastAsia" w:ascii="宋体" w:cs="宋体"/>
          <w:b/>
          <w:bCs/>
          <w:color w:val="C00000"/>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已有e采通账号缺少财务数据的请及时提交供应商变更流程，具体操作详见e采通首页《供应商用户手册》，未补充财务数据的投标单位即使提交了应标资料仍视为资格预审不合格，无法参加投标。（已有e采通账号的，应标资料和供应商数据变更流程可以同时提交，两个流程都审批通过方可报名成功；没有e采通账号</w:t>
      </w:r>
      <w:r>
        <w:rPr>
          <w:rFonts w:hint="eastAsia" w:ascii="宋体" w:cs="宋体"/>
          <w:b/>
          <w:bCs/>
          <w:color w:val="FF0000"/>
          <w:sz w:val="24"/>
          <w:highlight w:val="none"/>
          <w:lang w:val="en-US" w:eastAsia="zh-CN" w:bidi="ar"/>
        </w:rPr>
        <w:t>的</w:t>
      </w:r>
      <w:r>
        <w:rPr>
          <w:rFonts w:hint="eastAsia" w:ascii="宋体" w:cs="宋体"/>
          <w:b/>
          <w:bCs/>
          <w:color w:val="FF0000"/>
          <w:sz w:val="24"/>
          <w:highlight w:val="none"/>
          <w:lang w:bidi="ar"/>
        </w:rPr>
        <w:t>需要根据用户手册新注册账号，新账号注册审批完成后方可提交应标资料</w:t>
      </w:r>
      <w:r>
        <w:rPr>
          <w:rFonts w:hint="eastAsia" w:ascii="宋体" w:cs="宋体"/>
          <w:b/>
          <w:bCs/>
          <w:color w:val="FF0000"/>
          <w:sz w:val="24"/>
          <w:highlight w:val="none"/>
          <w:lang w:val="en-US" w:eastAsia="zh-CN" w:bidi="ar"/>
        </w:rPr>
        <w:t>进行报名</w:t>
      </w:r>
      <w:r>
        <w:rPr>
          <w:rFonts w:hint="eastAsia" w:ascii="宋体" w:cs="宋体"/>
          <w:b/>
          <w:bCs/>
          <w:color w:val="FF0000"/>
          <w:sz w:val="24"/>
          <w:highlight w:val="none"/>
          <w:lang w:bidi="ar"/>
        </w:rPr>
        <w:t>）</w:t>
      </w:r>
      <w:r>
        <w:rPr>
          <w:rFonts w:hint="eastAsia" w:ascii="宋体" w:cs="宋体"/>
          <w:b/>
          <w:bCs/>
          <w:color w:val="FF0000"/>
          <w:sz w:val="24"/>
          <w:highlight w:val="none"/>
          <w:lang w:eastAsia="zh-CN" w:bidi="ar"/>
        </w:rPr>
        <w:t>。</w:t>
      </w:r>
    </w:p>
    <w:p w14:paraId="7659C38A">
      <w:pPr>
        <w:rPr>
          <w:rFonts w:hint="default" w:eastAsia="宋体"/>
          <w:lang w:val="en-US" w:eastAsia="zh-CN"/>
        </w:rPr>
      </w:pPr>
      <w:r>
        <w:rPr>
          <w:rFonts w:hint="default" w:eastAsia="宋体"/>
          <w:lang w:val="en-US" w:eastAsia="zh-CN"/>
        </w:rPr>
        <w:br w:type="page"/>
      </w:r>
    </w:p>
    <w:p w14:paraId="132B673E">
      <w:pPr>
        <w:pStyle w:val="112"/>
        <w:numPr>
          <w:ilvl w:val="0"/>
          <w:numId w:val="0"/>
        </w:numPr>
        <w:ind w:leftChars="0"/>
        <w:outlineLvl w:val="2"/>
        <w:rPr>
          <w:rFonts w:hint="eastAsia" w:ascii="宋体" w:hAnsi="宋体" w:eastAsia="宋体" w:cs="宋体"/>
          <w:sz w:val="32"/>
          <w:szCs w:val="32"/>
          <w:highlight w:val="none"/>
          <w:lang w:val="en-US" w:eastAsia="zh-CN"/>
        </w:rPr>
        <w:sectPr>
          <w:pgSz w:w="16838" w:h="11905" w:orient="landscape"/>
          <w:pgMar w:top="1304" w:right="1304" w:bottom="1304" w:left="1247" w:header="850" w:footer="992" w:gutter="0"/>
          <w:pgNumType w:fmt="decimal"/>
          <w:cols w:space="0" w:num="1"/>
          <w:titlePg/>
          <w:rtlGutter w:val="0"/>
          <w:docGrid w:type="lines" w:linePitch="320" w:charSpace="0"/>
        </w:sectPr>
      </w:pPr>
    </w:p>
    <w:p w14:paraId="10A54F97">
      <w:pPr>
        <w:pStyle w:val="112"/>
        <w:numPr>
          <w:ilvl w:val="0"/>
          <w:numId w:val="0"/>
        </w:numPr>
        <w:ind w:leftChars="0"/>
        <w:outlineLvl w:val="2"/>
        <w:rPr>
          <w:rFonts w:hint="eastAsia" w:ascii="宋体" w:hAnsi="宋体" w:eastAsia="宋体" w:cs="宋体"/>
          <w:sz w:val="32"/>
          <w:szCs w:val="32"/>
          <w:highlight w:val="none"/>
          <w:lang w:val="en-US" w:eastAsia="zh-CN"/>
        </w:rPr>
      </w:pPr>
      <w:bookmarkStart w:id="10" w:name="_Toc10348"/>
      <w:r>
        <w:rPr>
          <w:rFonts w:hint="eastAsia" w:ascii="宋体" w:hAnsi="宋体" w:eastAsia="宋体" w:cs="宋体"/>
          <w:sz w:val="32"/>
          <w:szCs w:val="32"/>
          <w:highlight w:val="none"/>
          <w:lang w:val="en-US" w:eastAsia="zh-CN"/>
        </w:rPr>
        <w:t>附件2:</w:t>
      </w:r>
      <w:bookmarkEnd w:id="10"/>
    </w:p>
    <w:tbl>
      <w:tblPr>
        <w:tblStyle w:val="26"/>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68B4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5FE9F7C2">
            <w:pPr>
              <w:autoSpaceDE w:val="0"/>
              <w:autoSpaceDN w:val="0"/>
              <w:jc w:val="center"/>
              <w:rPr>
                <w:b/>
                <w:bCs/>
                <w:sz w:val="30"/>
                <w:szCs w:val="30"/>
              </w:rPr>
            </w:pPr>
            <w:r>
              <w:rPr>
                <w:rFonts w:hint="eastAsia"/>
                <w:b/>
                <w:bCs/>
                <w:sz w:val="28"/>
                <w:szCs w:val="28"/>
              </w:rPr>
              <w:t>近</w:t>
            </w:r>
            <w:r>
              <w:rPr>
                <w:rFonts w:hint="eastAsia"/>
                <w:b/>
                <w:bCs/>
                <w:sz w:val="28"/>
                <w:szCs w:val="28"/>
                <w:lang w:val="en-US" w:eastAsia="zh-CN"/>
              </w:rPr>
              <w:t>一</w:t>
            </w:r>
            <w:r>
              <w:rPr>
                <w:rFonts w:hint="eastAsia"/>
                <w:b/>
                <w:bCs/>
                <w:sz w:val="28"/>
                <w:szCs w:val="28"/>
              </w:rPr>
              <w:t>年</w:t>
            </w:r>
            <w:r>
              <w:rPr>
                <w:rFonts w:hint="eastAsia"/>
                <w:b/>
                <w:bCs/>
                <w:sz w:val="28"/>
                <w:szCs w:val="28"/>
                <w:u w:val="single"/>
              </w:rPr>
              <w:t xml:space="preserve"> </w:t>
            </w:r>
            <w:r>
              <w:rPr>
                <w:rFonts w:hint="eastAsia"/>
                <w:b/>
                <w:bCs/>
                <w:sz w:val="28"/>
                <w:szCs w:val="28"/>
                <w:u w:val="single"/>
                <w:lang w:val="en-US" w:eastAsia="zh-CN"/>
              </w:rPr>
              <w:t>5</w:t>
            </w:r>
            <w:r>
              <w:rPr>
                <w:rFonts w:hint="eastAsia"/>
                <w:b/>
                <w:bCs/>
                <w:sz w:val="28"/>
                <w:szCs w:val="28"/>
                <w:u w:val="single"/>
              </w:rPr>
              <w:t xml:space="preserve">0 </w:t>
            </w:r>
            <w:r>
              <w:rPr>
                <w:rFonts w:hint="eastAsia"/>
                <w:b/>
                <w:bCs/>
                <w:sz w:val="28"/>
                <w:szCs w:val="28"/>
              </w:rPr>
              <w:t>万元及以上的类似项目</w:t>
            </w:r>
            <w:r>
              <w:rPr>
                <w:b/>
                <w:bCs/>
                <w:sz w:val="28"/>
                <w:szCs w:val="28"/>
              </w:rPr>
              <w:t>业绩</w:t>
            </w:r>
            <w:r>
              <w:rPr>
                <w:rFonts w:hint="eastAsia"/>
                <w:b/>
                <w:bCs/>
                <w:sz w:val="28"/>
                <w:szCs w:val="28"/>
              </w:rPr>
              <w:t>列表</w:t>
            </w:r>
          </w:p>
        </w:tc>
      </w:tr>
      <w:tr w14:paraId="128A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634A4AD7">
            <w:pPr>
              <w:autoSpaceDE w:val="0"/>
              <w:autoSpaceDN w:val="0"/>
              <w:jc w:val="center"/>
              <w:rPr>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6D9F47C0">
            <w:pPr>
              <w:autoSpaceDE w:val="0"/>
              <w:autoSpaceDN w:val="0"/>
              <w:jc w:val="center"/>
              <w:rPr>
                <w:sz w:val="24"/>
              </w:rPr>
            </w:pPr>
            <w:r>
              <w:rPr>
                <w:rFonts w:hint="eastAsia"/>
                <w:sz w:val="24"/>
              </w:rPr>
              <w:t>项目/合同</w:t>
            </w:r>
          </w:p>
          <w:p w14:paraId="25BA5E78">
            <w:pPr>
              <w:autoSpaceDE w:val="0"/>
              <w:autoSpaceDN w:val="0"/>
              <w:jc w:val="center"/>
              <w:rPr>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5B807DCE">
            <w:pPr>
              <w:autoSpaceDE w:val="0"/>
              <w:autoSpaceDN w:val="0"/>
              <w:jc w:val="center"/>
              <w:rPr>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279A6EAD">
            <w:pPr>
              <w:autoSpaceDE w:val="0"/>
              <w:autoSpaceDN w:val="0"/>
              <w:jc w:val="center"/>
              <w:rPr>
                <w:sz w:val="24"/>
              </w:rPr>
            </w:pPr>
            <w:r>
              <w:rPr>
                <w:rFonts w:hint="eastAsia"/>
                <w:sz w:val="24"/>
              </w:rPr>
              <w:t>工程规模</w:t>
            </w:r>
          </w:p>
        </w:tc>
        <w:tc>
          <w:tcPr>
            <w:tcW w:w="1261" w:type="dxa"/>
            <w:tcBorders>
              <w:top w:val="single" w:color="auto" w:sz="4" w:space="0"/>
              <w:left w:val="single" w:color="auto" w:sz="4" w:space="0"/>
              <w:bottom w:val="single" w:color="auto" w:sz="4" w:space="0"/>
              <w:right w:val="single" w:color="auto" w:sz="4" w:space="0"/>
            </w:tcBorders>
            <w:noWrap/>
            <w:vAlign w:val="center"/>
          </w:tcPr>
          <w:p w14:paraId="29B05687">
            <w:pPr>
              <w:autoSpaceDE w:val="0"/>
              <w:autoSpaceDN w:val="0"/>
              <w:jc w:val="center"/>
              <w:rPr>
                <w:sz w:val="24"/>
              </w:rPr>
            </w:pPr>
            <w:r>
              <w:rPr>
                <w:rFonts w:hint="eastAsia"/>
                <w:sz w:val="24"/>
              </w:rPr>
              <w:t>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5D3C13A3">
            <w:pPr>
              <w:autoSpaceDE w:val="0"/>
              <w:autoSpaceDN w:val="0"/>
              <w:jc w:val="center"/>
              <w:rPr>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1BA8F4FC">
            <w:pPr>
              <w:autoSpaceDE w:val="0"/>
              <w:autoSpaceDN w:val="0"/>
              <w:jc w:val="center"/>
              <w:rPr>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7FEEA9D8">
            <w:pPr>
              <w:autoSpaceDE w:val="0"/>
              <w:autoSpaceDN w:val="0"/>
              <w:jc w:val="center"/>
              <w:rPr>
                <w:sz w:val="24"/>
              </w:rPr>
            </w:pPr>
            <w:r>
              <w:rPr>
                <w:rFonts w:hint="eastAsia"/>
                <w:sz w:val="24"/>
              </w:rPr>
              <w:t>是否已竣工</w:t>
            </w:r>
          </w:p>
        </w:tc>
      </w:tr>
      <w:tr w14:paraId="6A94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2AE2D3C">
            <w:pPr>
              <w:autoSpaceDE w:val="0"/>
              <w:autoSpaceDN w:val="0"/>
              <w:jc w:val="center"/>
              <w:rPr>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2F50AD46">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023977C4">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1256A8FC">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3FFC32AB">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0131BFA">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56803EF">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7704620E">
            <w:pPr>
              <w:autoSpaceDE w:val="0"/>
              <w:autoSpaceDN w:val="0"/>
              <w:rPr>
                <w:sz w:val="24"/>
              </w:rPr>
            </w:pPr>
          </w:p>
        </w:tc>
      </w:tr>
      <w:tr w14:paraId="1DD7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520E61B6">
            <w:pPr>
              <w:autoSpaceDE w:val="0"/>
              <w:autoSpaceDN w:val="0"/>
              <w:jc w:val="center"/>
              <w:rPr>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393390C8">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0C3D8E45">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1A96419">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37A8DED4">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636F286C">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7432DFE8">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5673B52F">
            <w:pPr>
              <w:autoSpaceDE w:val="0"/>
              <w:autoSpaceDN w:val="0"/>
              <w:jc w:val="center"/>
              <w:rPr>
                <w:sz w:val="24"/>
              </w:rPr>
            </w:pPr>
          </w:p>
        </w:tc>
      </w:tr>
      <w:tr w14:paraId="5501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97A6C78">
            <w:pPr>
              <w:autoSpaceDE w:val="0"/>
              <w:autoSpaceDN w:val="0"/>
              <w:jc w:val="center"/>
              <w:rPr>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63A46DAC">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1E5FC09F">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2F79FA37">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499328BC">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56818248">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04E23CEF">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0DEA0AF3">
            <w:pPr>
              <w:autoSpaceDE w:val="0"/>
              <w:autoSpaceDN w:val="0"/>
              <w:jc w:val="center"/>
              <w:rPr>
                <w:sz w:val="24"/>
              </w:rPr>
            </w:pPr>
          </w:p>
        </w:tc>
      </w:tr>
      <w:tr w14:paraId="6A61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5895B2D0">
            <w:pPr>
              <w:autoSpaceDE w:val="0"/>
              <w:autoSpaceDN w:val="0"/>
              <w:jc w:val="center"/>
              <w:rPr>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2602DB47">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7CFB084C">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18E82A6F">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41BD5AC8">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5613259E">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10619E6F">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24E563E2">
            <w:pPr>
              <w:autoSpaceDE w:val="0"/>
              <w:autoSpaceDN w:val="0"/>
              <w:jc w:val="center"/>
              <w:rPr>
                <w:sz w:val="24"/>
              </w:rPr>
            </w:pPr>
          </w:p>
        </w:tc>
      </w:tr>
      <w:tr w14:paraId="08B1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7202DE6D">
            <w:pPr>
              <w:autoSpaceDE w:val="0"/>
              <w:autoSpaceDN w:val="0"/>
              <w:rPr>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3CFC0329">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0A723F7E">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7E1D24C">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1E00A4F2">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7CB35D2F">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3BEF1FF0">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72DB0F0F">
            <w:pPr>
              <w:autoSpaceDE w:val="0"/>
              <w:autoSpaceDN w:val="0"/>
              <w:rPr>
                <w:sz w:val="24"/>
              </w:rPr>
            </w:pPr>
          </w:p>
        </w:tc>
      </w:tr>
      <w:tr w14:paraId="6EDF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02396517">
            <w:pPr>
              <w:autoSpaceDE w:val="0"/>
              <w:autoSpaceDN w:val="0"/>
              <w:rPr>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2C946A28">
            <w:pPr>
              <w:autoSpaceDE w:val="0"/>
              <w:autoSpaceDN w:val="0"/>
              <w:rPr>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5B976CF2">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5264FEBD">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1244F091">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0CDE3E78">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73186922">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2659D093">
            <w:pPr>
              <w:autoSpaceDE w:val="0"/>
              <w:autoSpaceDN w:val="0"/>
              <w:rPr>
                <w:sz w:val="24"/>
              </w:rPr>
            </w:pPr>
          </w:p>
        </w:tc>
      </w:tr>
    </w:tbl>
    <w:p w14:paraId="6869E5B3">
      <w:pPr>
        <w:pStyle w:val="112"/>
        <w:numPr>
          <w:ilvl w:val="0"/>
          <w:numId w:val="0"/>
        </w:numPr>
        <w:ind w:leftChars="0"/>
        <w:outlineLvl w:val="9"/>
        <w:rPr>
          <w:rFonts w:hint="default" w:eastAsia="宋体"/>
          <w:lang w:val="en-US" w:eastAsia="zh-CN"/>
        </w:rPr>
      </w:pPr>
    </w:p>
    <w:p w14:paraId="58B3DCBF">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6FAB695">
      <w:pPr>
        <w:pStyle w:val="112"/>
        <w:numPr>
          <w:ilvl w:val="0"/>
          <w:numId w:val="0"/>
        </w:numPr>
        <w:ind w:leftChars="0"/>
        <w:outlineLvl w:val="2"/>
        <w:rPr>
          <w:rFonts w:hint="eastAsia" w:ascii="宋体" w:hAnsi="宋体" w:eastAsia="宋体" w:cs="宋体"/>
          <w:sz w:val="32"/>
          <w:szCs w:val="32"/>
          <w:highlight w:val="none"/>
          <w:lang w:val="en-US" w:eastAsia="zh-CN"/>
        </w:rPr>
      </w:pPr>
      <w:bookmarkStart w:id="11" w:name="_Toc9736"/>
      <w:r>
        <w:rPr>
          <w:rFonts w:hint="eastAsia" w:ascii="宋体" w:hAnsi="宋体" w:eastAsia="宋体" w:cs="宋体"/>
          <w:sz w:val="32"/>
          <w:szCs w:val="32"/>
          <w:highlight w:val="none"/>
          <w:lang w:val="en-US" w:eastAsia="zh-CN"/>
        </w:rPr>
        <w:t>附件3:投标人基本情况表</w:t>
      </w:r>
      <w:bookmarkEnd w:id="11"/>
    </w:p>
    <w:p w14:paraId="07433DAB">
      <w:pPr>
        <w:pStyle w:val="56"/>
        <w:numPr>
          <w:ilvl w:val="0"/>
          <w:numId w:val="3"/>
        </w:numPr>
        <w:snapToGrid w:val="0"/>
        <w:spacing w:line="440" w:lineRule="exact"/>
        <w:ind w:firstLineChars="0"/>
        <w:jc w:val="center"/>
        <w:rPr>
          <w:rStyle w:val="47"/>
          <w:rFonts w:ascii="宋体" w:hAnsi="宋体"/>
          <w:b/>
          <w:szCs w:val="21"/>
        </w:rPr>
      </w:pPr>
      <w:r>
        <w:rPr>
          <w:rStyle w:val="47"/>
          <w:rFonts w:ascii="宋体" w:hAnsi="宋体"/>
          <w:b/>
          <w:szCs w:val="21"/>
        </w:rPr>
        <w:t>投标人基本情况表</w:t>
      </w:r>
    </w:p>
    <w:p w14:paraId="237E1113">
      <w:pPr>
        <w:pStyle w:val="56"/>
        <w:snapToGrid w:val="0"/>
        <w:spacing w:line="440" w:lineRule="exact"/>
        <w:ind w:left="1367" w:firstLine="0" w:firstLineChars="0"/>
        <w:rPr>
          <w:rStyle w:val="47"/>
          <w:rFonts w:ascii="宋体" w:hAnsi="宋体"/>
          <w:b/>
          <w:szCs w:val="21"/>
        </w:rPr>
      </w:pPr>
    </w:p>
    <w:tbl>
      <w:tblPr>
        <w:tblStyle w:val="26"/>
        <w:tblW w:w="94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1"/>
        <w:gridCol w:w="1132"/>
        <w:gridCol w:w="1576"/>
        <w:gridCol w:w="993"/>
        <w:gridCol w:w="283"/>
        <w:gridCol w:w="195"/>
        <w:gridCol w:w="1246"/>
        <w:gridCol w:w="207"/>
        <w:gridCol w:w="762"/>
        <w:gridCol w:w="1416"/>
      </w:tblGrid>
      <w:tr w14:paraId="12BF6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3DABCB8C">
            <w:pPr>
              <w:jc w:val="center"/>
              <w:rPr>
                <w:rStyle w:val="47"/>
                <w:rFonts w:ascii="宋体" w:hAnsi="宋体"/>
                <w:szCs w:val="21"/>
              </w:rPr>
            </w:pPr>
            <w:r>
              <w:rPr>
                <w:rStyle w:val="47"/>
                <w:rFonts w:ascii="宋体" w:hAnsi="宋体"/>
                <w:szCs w:val="21"/>
              </w:rPr>
              <w:t>投标人名称</w:t>
            </w:r>
          </w:p>
        </w:tc>
        <w:tc>
          <w:tcPr>
            <w:tcW w:w="7810" w:type="dxa"/>
            <w:gridSpan w:val="9"/>
            <w:tcBorders>
              <w:top w:val="single" w:color="000000" w:sz="4" w:space="0"/>
              <w:left w:val="single" w:color="000000" w:sz="4" w:space="0"/>
              <w:bottom w:val="single" w:color="000000" w:sz="4" w:space="0"/>
              <w:right w:val="single" w:color="000000" w:sz="4" w:space="0"/>
            </w:tcBorders>
            <w:vAlign w:val="center"/>
          </w:tcPr>
          <w:p w14:paraId="13F228BE">
            <w:pPr>
              <w:jc w:val="center"/>
              <w:rPr>
                <w:rStyle w:val="47"/>
                <w:rFonts w:ascii="宋体" w:hAnsi="宋体"/>
                <w:szCs w:val="21"/>
              </w:rPr>
            </w:pPr>
          </w:p>
        </w:tc>
      </w:tr>
      <w:tr w14:paraId="6E744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25CD05DA">
            <w:pPr>
              <w:jc w:val="center"/>
              <w:rPr>
                <w:rStyle w:val="47"/>
                <w:rFonts w:ascii="宋体" w:hAnsi="宋体"/>
                <w:szCs w:val="21"/>
              </w:rPr>
            </w:pPr>
            <w:r>
              <w:rPr>
                <w:rStyle w:val="47"/>
                <w:rFonts w:ascii="宋体" w:hAnsi="宋体"/>
                <w:szCs w:val="21"/>
              </w:rPr>
              <w:t>注册地址</w:t>
            </w:r>
          </w:p>
        </w:tc>
        <w:tc>
          <w:tcPr>
            <w:tcW w:w="4179" w:type="dxa"/>
            <w:gridSpan w:val="5"/>
            <w:tcBorders>
              <w:top w:val="single" w:color="000000" w:sz="4" w:space="0"/>
              <w:left w:val="single" w:color="000000" w:sz="4" w:space="0"/>
              <w:bottom w:val="single" w:color="000000" w:sz="4" w:space="0"/>
              <w:right w:val="single" w:color="000000" w:sz="4" w:space="0"/>
            </w:tcBorders>
            <w:vAlign w:val="center"/>
          </w:tcPr>
          <w:p w14:paraId="6277A7F6">
            <w:pPr>
              <w:jc w:val="center"/>
              <w:rPr>
                <w:rStyle w:val="47"/>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745B1825">
            <w:pPr>
              <w:jc w:val="center"/>
              <w:rPr>
                <w:rStyle w:val="47"/>
                <w:rFonts w:ascii="宋体" w:hAnsi="宋体"/>
                <w:szCs w:val="21"/>
              </w:rPr>
            </w:pPr>
            <w:r>
              <w:rPr>
                <w:rStyle w:val="47"/>
                <w:rFonts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09D9A01D">
            <w:pPr>
              <w:jc w:val="center"/>
              <w:rPr>
                <w:rStyle w:val="47"/>
                <w:rFonts w:ascii="宋体" w:hAnsi="宋体"/>
                <w:szCs w:val="21"/>
              </w:rPr>
            </w:pPr>
          </w:p>
        </w:tc>
      </w:tr>
      <w:tr w14:paraId="72AB2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vMerge w:val="restart"/>
            <w:tcBorders>
              <w:top w:val="single" w:color="000000" w:sz="4" w:space="0"/>
              <w:left w:val="single" w:color="000000" w:sz="4" w:space="0"/>
              <w:bottom w:val="single" w:color="000000" w:sz="4" w:space="0"/>
              <w:right w:val="single" w:color="000000" w:sz="4" w:space="0"/>
            </w:tcBorders>
            <w:vAlign w:val="center"/>
          </w:tcPr>
          <w:p w14:paraId="7644BEE5">
            <w:pPr>
              <w:jc w:val="center"/>
              <w:rPr>
                <w:rStyle w:val="47"/>
                <w:rFonts w:ascii="宋体" w:hAnsi="宋体"/>
                <w:szCs w:val="21"/>
              </w:rPr>
            </w:pPr>
            <w:r>
              <w:rPr>
                <w:rStyle w:val="47"/>
                <w:rFonts w:ascii="宋体" w:hAnsi="宋体"/>
                <w:szCs w:val="21"/>
              </w:rPr>
              <w:t>联系方式</w:t>
            </w:r>
          </w:p>
        </w:tc>
        <w:tc>
          <w:tcPr>
            <w:tcW w:w="1132" w:type="dxa"/>
            <w:tcBorders>
              <w:top w:val="single" w:color="000000" w:sz="4" w:space="0"/>
              <w:left w:val="single" w:color="000000" w:sz="4" w:space="0"/>
              <w:bottom w:val="single" w:color="000000" w:sz="4" w:space="0"/>
              <w:right w:val="single" w:color="000000" w:sz="4" w:space="0"/>
            </w:tcBorders>
            <w:vAlign w:val="center"/>
          </w:tcPr>
          <w:p w14:paraId="6AE8071D">
            <w:pPr>
              <w:jc w:val="center"/>
              <w:rPr>
                <w:rStyle w:val="47"/>
                <w:rFonts w:ascii="宋体" w:hAnsi="宋体"/>
                <w:szCs w:val="21"/>
              </w:rPr>
            </w:pPr>
            <w:r>
              <w:rPr>
                <w:rStyle w:val="47"/>
                <w:rFonts w:ascii="宋体" w:hAnsi="宋体"/>
                <w:szCs w:val="21"/>
              </w:rPr>
              <w:t>联系人</w:t>
            </w:r>
          </w:p>
        </w:tc>
        <w:tc>
          <w:tcPr>
            <w:tcW w:w="3047" w:type="dxa"/>
            <w:gridSpan w:val="4"/>
            <w:tcBorders>
              <w:top w:val="single" w:color="000000" w:sz="4" w:space="0"/>
              <w:left w:val="single" w:color="000000" w:sz="4" w:space="0"/>
              <w:bottom w:val="single" w:color="000000" w:sz="4" w:space="0"/>
              <w:right w:val="single" w:color="000000" w:sz="4" w:space="0"/>
            </w:tcBorders>
            <w:vAlign w:val="center"/>
          </w:tcPr>
          <w:p w14:paraId="6BC474F2">
            <w:pPr>
              <w:jc w:val="center"/>
              <w:rPr>
                <w:rStyle w:val="47"/>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5F135FCE">
            <w:pPr>
              <w:jc w:val="center"/>
              <w:rPr>
                <w:rStyle w:val="47"/>
                <w:rFonts w:ascii="宋体" w:hAnsi="宋体"/>
                <w:szCs w:val="21"/>
              </w:rPr>
            </w:pPr>
            <w:r>
              <w:rPr>
                <w:rStyle w:val="47"/>
                <w:rFonts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50FCBEAA">
            <w:pPr>
              <w:jc w:val="center"/>
              <w:rPr>
                <w:rStyle w:val="47"/>
                <w:rFonts w:ascii="宋体" w:hAnsi="宋体"/>
                <w:szCs w:val="21"/>
              </w:rPr>
            </w:pPr>
          </w:p>
        </w:tc>
      </w:tr>
      <w:tr w14:paraId="2EA70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vMerge w:val="continue"/>
            <w:tcBorders>
              <w:top w:val="single" w:color="000000" w:sz="4" w:space="0"/>
              <w:left w:val="single" w:color="000000" w:sz="4" w:space="0"/>
              <w:bottom w:val="single" w:color="000000" w:sz="4" w:space="0"/>
              <w:right w:val="single" w:color="000000" w:sz="4" w:space="0"/>
            </w:tcBorders>
            <w:vAlign w:val="center"/>
          </w:tcPr>
          <w:p w14:paraId="49C89EDD">
            <w:pPr>
              <w:jc w:val="center"/>
              <w:rPr>
                <w:rStyle w:val="47"/>
                <w:rFonts w:ascii="宋体" w:hAnsi="宋体"/>
                <w:szCs w:val="21"/>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73F2A79A">
            <w:pPr>
              <w:jc w:val="center"/>
              <w:rPr>
                <w:rStyle w:val="47"/>
                <w:rFonts w:ascii="宋体" w:hAnsi="宋体"/>
                <w:szCs w:val="21"/>
              </w:rPr>
            </w:pPr>
            <w:r>
              <w:rPr>
                <w:rStyle w:val="47"/>
                <w:rFonts w:ascii="宋体" w:hAnsi="宋体"/>
                <w:szCs w:val="21"/>
              </w:rPr>
              <w:t>传  真</w:t>
            </w:r>
          </w:p>
        </w:tc>
        <w:tc>
          <w:tcPr>
            <w:tcW w:w="3047" w:type="dxa"/>
            <w:gridSpan w:val="4"/>
            <w:tcBorders>
              <w:top w:val="single" w:color="000000" w:sz="4" w:space="0"/>
              <w:left w:val="single" w:color="000000" w:sz="4" w:space="0"/>
              <w:bottom w:val="single" w:color="000000" w:sz="4" w:space="0"/>
              <w:right w:val="single" w:color="000000" w:sz="4" w:space="0"/>
            </w:tcBorders>
            <w:vAlign w:val="center"/>
          </w:tcPr>
          <w:p w14:paraId="59375257">
            <w:pPr>
              <w:jc w:val="center"/>
              <w:rPr>
                <w:rStyle w:val="47"/>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2A8D5B11">
            <w:pPr>
              <w:jc w:val="center"/>
              <w:rPr>
                <w:rStyle w:val="47"/>
                <w:rFonts w:ascii="宋体" w:hAnsi="宋体"/>
                <w:szCs w:val="21"/>
              </w:rPr>
            </w:pPr>
            <w:r>
              <w:rPr>
                <w:rStyle w:val="47"/>
                <w:rFonts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4E5D0A1B">
            <w:pPr>
              <w:jc w:val="center"/>
              <w:rPr>
                <w:rStyle w:val="47"/>
                <w:rFonts w:ascii="宋体" w:hAnsi="宋体"/>
                <w:szCs w:val="21"/>
              </w:rPr>
            </w:pPr>
          </w:p>
        </w:tc>
      </w:tr>
      <w:tr w14:paraId="6C8BF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1DF0A1FC">
            <w:pPr>
              <w:jc w:val="center"/>
              <w:rPr>
                <w:rStyle w:val="47"/>
                <w:rFonts w:ascii="宋体" w:hAnsi="宋体"/>
                <w:szCs w:val="21"/>
              </w:rPr>
            </w:pPr>
            <w:r>
              <w:rPr>
                <w:rStyle w:val="47"/>
                <w:rFonts w:ascii="宋体" w:hAnsi="宋体"/>
                <w:szCs w:val="21"/>
              </w:rPr>
              <w:t>组织结构</w:t>
            </w:r>
          </w:p>
        </w:tc>
        <w:tc>
          <w:tcPr>
            <w:tcW w:w="7810" w:type="dxa"/>
            <w:gridSpan w:val="9"/>
            <w:tcBorders>
              <w:top w:val="single" w:color="000000" w:sz="4" w:space="0"/>
              <w:left w:val="single" w:color="000000" w:sz="4" w:space="0"/>
              <w:bottom w:val="single" w:color="000000" w:sz="4" w:space="0"/>
              <w:right w:val="single" w:color="000000" w:sz="4" w:space="0"/>
            </w:tcBorders>
            <w:vAlign w:val="center"/>
          </w:tcPr>
          <w:p w14:paraId="740D23AD">
            <w:pPr>
              <w:jc w:val="center"/>
              <w:rPr>
                <w:rStyle w:val="47"/>
                <w:rFonts w:ascii="宋体" w:hAnsi="宋体"/>
                <w:szCs w:val="21"/>
              </w:rPr>
            </w:pPr>
          </w:p>
        </w:tc>
      </w:tr>
      <w:tr w14:paraId="69F46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63799F43">
            <w:pPr>
              <w:jc w:val="center"/>
              <w:rPr>
                <w:rStyle w:val="47"/>
                <w:rFonts w:ascii="宋体" w:hAnsi="宋体"/>
                <w:szCs w:val="21"/>
              </w:rPr>
            </w:pPr>
            <w:r>
              <w:rPr>
                <w:rStyle w:val="47"/>
                <w:rFonts w:ascii="宋体" w:hAnsi="宋体"/>
                <w:szCs w:val="21"/>
              </w:rPr>
              <w:t>法定代表人</w:t>
            </w:r>
          </w:p>
        </w:tc>
        <w:tc>
          <w:tcPr>
            <w:tcW w:w="1132" w:type="dxa"/>
            <w:tcBorders>
              <w:top w:val="single" w:color="000000" w:sz="4" w:space="0"/>
              <w:left w:val="single" w:color="000000" w:sz="4" w:space="0"/>
              <w:bottom w:val="single" w:color="000000" w:sz="4" w:space="0"/>
              <w:right w:val="single" w:color="000000" w:sz="4" w:space="0"/>
            </w:tcBorders>
            <w:vAlign w:val="center"/>
          </w:tcPr>
          <w:p w14:paraId="0501FA04">
            <w:pPr>
              <w:jc w:val="center"/>
              <w:rPr>
                <w:rStyle w:val="47"/>
                <w:rFonts w:ascii="宋体" w:hAnsi="宋体"/>
                <w:szCs w:val="21"/>
              </w:rPr>
            </w:pPr>
            <w:r>
              <w:rPr>
                <w:rStyle w:val="47"/>
                <w:rFonts w:ascii="宋体" w:hAnsi="宋体"/>
                <w:szCs w:val="21"/>
              </w:rPr>
              <w:t>姓名</w:t>
            </w:r>
          </w:p>
        </w:tc>
        <w:tc>
          <w:tcPr>
            <w:tcW w:w="1576" w:type="dxa"/>
            <w:tcBorders>
              <w:top w:val="single" w:color="000000" w:sz="4" w:space="0"/>
              <w:left w:val="single" w:color="000000" w:sz="4" w:space="0"/>
              <w:bottom w:val="single" w:color="000000" w:sz="4" w:space="0"/>
              <w:right w:val="single" w:color="000000" w:sz="4" w:space="0"/>
            </w:tcBorders>
            <w:vAlign w:val="center"/>
          </w:tcPr>
          <w:p w14:paraId="7B972A59">
            <w:pPr>
              <w:jc w:val="center"/>
              <w:rPr>
                <w:rStyle w:val="47"/>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53CFE7A6">
            <w:pPr>
              <w:jc w:val="center"/>
              <w:rPr>
                <w:rStyle w:val="47"/>
                <w:rFonts w:ascii="宋体" w:hAnsi="宋体"/>
                <w:szCs w:val="21"/>
              </w:rPr>
            </w:pPr>
            <w:r>
              <w:rPr>
                <w:rStyle w:val="47"/>
                <w:rFonts w:ascii="宋体" w:hAnsi="宋体"/>
                <w:szCs w:val="21"/>
              </w:rPr>
              <w:t>技术职称</w:t>
            </w:r>
          </w:p>
        </w:tc>
        <w:tc>
          <w:tcPr>
            <w:tcW w:w="1648" w:type="dxa"/>
            <w:gridSpan w:val="3"/>
            <w:tcBorders>
              <w:top w:val="single" w:color="000000" w:sz="4" w:space="0"/>
              <w:left w:val="single" w:color="000000" w:sz="4" w:space="0"/>
              <w:bottom w:val="single" w:color="000000" w:sz="4" w:space="0"/>
              <w:right w:val="single" w:color="000000" w:sz="4" w:space="0"/>
            </w:tcBorders>
            <w:vAlign w:val="center"/>
          </w:tcPr>
          <w:p w14:paraId="6D952735">
            <w:pPr>
              <w:jc w:val="center"/>
              <w:rPr>
                <w:rStyle w:val="47"/>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center"/>
          </w:tcPr>
          <w:p w14:paraId="1CED7A12">
            <w:pPr>
              <w:jc w:val="center"/>
              <w:rPr>
                <w:rStyle w:val="47"/>
                <w:rFonts w:ascii="宋体" w:hAnsi="宋体"/>
                <w:szCs w:val="21"/>
              </w:rPr>
            </w:pPr>
            <w:r>
              <w:rPr>
                <w:rStyle w:val="47"/>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317EC9CD">
            <w:pPr>
              <w:jc w:val="center"/>
              <w:rPr>
                <w:rStyle w:val="47"/>
                <w:rFonts w:ascii="宋体" w:hAnsi="宋体"/>
                <w:szCs w:val="21"/>
              </w:rPr>
            </w:pPr>
          </w:p>
        </w:tc>
      </w:tr>
      <w:tr w14:paraId="092F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47E6817B">
            <w:pPr>
              <w:jc w:val="center"/>
              <w:rPr>
                <w:rStyle w:val="47"/>
                <w:rFonts w:ascii="宋体" w:hAnsi="宋体"/>
                <w:szCs w:val="21"/>
              </w:rPr>
            </w:pPr>
            <w:r>
              <w:rPr>
                <w:rStyle w:val="47"/>
                <w:rFonts w:ascii="宋体" w:hAnsi="宋体"/>
                <w:szCs w:val="21"/>
              </w:rPr>
              <w:t>技术负责人</w:t>
            </w:r>
          </w:p>
        </w:tc>
        <w:tc>
          <w:tcPr>
            <w:tcW w:w="1132" w:type="dxa"/>
            <w:tcBorders>
              <w:top w:val="single" w:color="000000" w:sz="4" w:space="0"/>
              <w:left w:val="single" w:color="000000" w:sz="4" w:space="0"/>
              <w:bottom w:val="single" w:color="000000" w:sz="4" w:space="0"/>
              <w:right w:val="single" w:color="000000" w:sz="4" w:space="0"/>
            </w:tcBorders>
            <w:vAlign w:val="center"/>
          </w:tcPr>
          <w:p w14:paraId="5381E091">
            <w:pPr>
              <w:jc w:val="center"/>
              <w:rPr>
                <w:rStyle w:val="47"/>
                <w:rFonts w:ascii="宋体" w:hAnsi="宋体"/>
                <w:szCs w:val="21"/>
              </w:rPr>
            </w:pPr>
            <w:r>
              <w:rPr>
                <w:rStyle w:val="47"/>
                <w:rFonts w:ascii="宋体" w:hAnsi="宋体"/>
                <w:szCs w:val="21"/>
              </w:rPr>
              <w:t>姓名</w:t>
            </w:r>
          </w:p>
        </w:tc>
        <w:tc>
          <w:tcPr>
            <w:tcW w:w="1576" w:type="dxa"/>
            <w:tcBorders>
              <w:top w:val="single" w:color="000000" w:sz="4" w:space="0"/>
              <w:left w:val="single" w:color="000000" w:sz="4" w:space="0"/>
              <w:bottom w:val="single" w:color="000000" w:sz="4" w:space="0"/>
              <w:right w:val="single" w:color="000000" w:sz="4" w:space="0"/>
            </w:tcBorders>
            <w:vAlign w:val="center"/>
          </w:tcPr>
          <w:p w14:paraId="33FA132C">
            <w:pPr>
              <w:jc w:val="center"/>
              <w:rPr>
                <w:rStyle w:val="47"/>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31C46463">
            <w:pPr>
              <w:jc w:val="center"/>
              <w:rPr>
                <w:rStyle w:val="47"/>
                <w:rFonts w:ascii="宋体" w:hAnsi="宋体"/>
                <w:szCs w:val="21"/>
              </w:rPr>
            </w:pPr>
            <w:r>
              <w:rPr>
                <w:rStyle w:val="47"/>
                <w:rFonts w:ascii="宋体" w:hAnsi="宋体"/>
                <w:szCs w:val="21"/>
              </w:rPr>
              <w:t>技术职称</w:t>
            </w:r>
          </w:p>
        </w:tc>
        <w:tc>
          <w:tcPr>
            <w:tcW w:w="1648" w:type="dxa"/>
            <w:gridSpan w:val="3"/>
            <w:tcBorders>
              <w:top w:val="single" w:color="000000" w:sz="4" w:space="0"/>
              <w:left w:val="single" w:color="000000" w:sz="4" w:space="0"/>
              <w:bottom w:val="single" w:color="000000" w:sz="4" w:space="0"/>
              <w:right w:val="single" w:color="000000" w:sz="4" w:space="0"/>
            </w:tcBorders>
            <w:vAlign w:val="center"/>
          </w:tcPr>
          <w:p w14:paraId="3F67D187">
            <w:pPr>
              <w:jc w:val="center"/>
              <w:rPr>
                <w:rStyle w:val="47"/>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center"/>
          </w:tcPr>
          <w:p w14:paraId="372C63CB">
            <w:pPr>
              <w:jc w:val="center"/>
              <w:rPr>
                <w:rStyle w:val="47"/>
                <w:rFonts w:ascii="宋体" w:hAnsi="宋体"/>
                <w:szCs w:val="21"/>
              </w:rPr>
            </w:pPr>
            <w:r>
              <w:rPr>
                <w:rStyle w:val="47"/>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0EBC767F">
            <w:pPr>
              <w:jc w:val="center"/>
              <w:rPr>
                <w:rStyle w:val="47"/>
                <w:rFonts w:ascii="宋体" w:hAnsi="宋体"/>
                <w:szCs w:val="21"/>
              </w:rPr>
            </w:pPr>
          </w:p>
        </w:tc>
      </w:tr>
      <w:tr w14:paraId="5B579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2EE3377C">
            <w:pPr>
              <w:jc w:val="center"/>
              <w:rPr>
                <w:rStyle w:val="47"/>
                <w:rFonts w:ascii="宋体" w:hAnsi="宋体"/>
                <w:szCs w:val="21"/>
              </w:rPr>
            </w:pPr>
            <w:r>
              <w:rPr>
                <w:rStyle w:val="47"/>
                <w:rFonts w:ascii="宋体" w:hAnsi="宋体"/>
                <w:szCs w:val="21"/>
              </w:rPr>
              <w:t>成立时间</w:t>
            </w:r>
          </w:p>
        </w:tc>
        <w:tc>
          <w:tcPr>
            <w:tcW w:w="2708" w:type="dxa"/>
            <w:gridSpan w:val="2"/>
            <w:tcBorders>
              <w:top w:val="single" w:color="000000" w:sz="4" w:space="0"/>
              <w:left w:val="single" w:color="000000" w:sz="4" w:space="0"/>
              <w:bottom w:val="single" w:color="000000" w:sz="4" w:space="0"/>
              <w:right w:val="single" w:color="000000" w:sz="4" w:space="0"/>
            </w:tcBorders>
            <w:vAlign w:val="center"/>
          </w:tcPr>
          <w:p w14:paraId="29E63400">
            <w:pPr>
              <w:jc w:val="center"/>
              <w:rPr>
                <w:rStyle w:val="47"/>
                <w:rFonts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14:paraId="7B9FC2A9">
            <w:pPr>
              <w:jc w:val="center"/>
              <w:rPr>
                <w:rStyle w:val="47"/>
                <w:rFonts w:ascii="宋体" w:hAnsi="宋体"/>
                <w:szCs w:val="21"/>
              </w:rPr>
            </w:pPr>
            <w:r>
              <w:rPr>
                <w:rStyle w:val="47"/>
                <w:rFonts w:ascii="宋体" w:hAnsi="宋体"/>
                <w:szCs w:val="21"/>
              </w:rPr>
              <w:t>员工总人数：</w:t>
            </w:r>
          </w:p>
        </w:tc>
      </w:tr>
      <w:tr w14:paraId="48E2C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394E868F">
            <w:pPr>
              <w:jc w:val="center"/>
              <w:rPr>
                <w:rStyle w:val="47"/>
                <w:rFonts w:ascii="宋体" w:hAnsi="宋体"/>
                <w:szCs w:val="21"/>
              </w:rPr>
            </w:pPr>
            <w:r>
              <w:rPr>
                <w:rStyle w:val="47"/>
                <w:rFonts w:ascii="宋体" w:hAnsi="宋体"/>
                <w:szCs w:val="21"/>
              </w:rPr>
              <w:t>企业资质等级</w:t>
            </w:r>
          </w:p>
        </w:tc>
        <w:tc>
          <w:tcPr>
            <w:tcW w:w="1132" w:type="dxa"/>
            <w:tcBorders>
              <w:top w:val="single" w:color="000000" w:sz="4" w:space="0"/>
              <w:left w:val="single" w:color="000000" w:sz="4" w:space="0"/>
              <w:bottom w:val="single" w:color="000000" w:sz="4" w:space="0"/>
              <w:right w:val="single" w:color="000000" w:sz="4" w:space="0"/>
            </w:tcBorders>
            <w:vAlign w:val="center"/>
          </w:tcPr>
          <w:p w14:paraId="06E35AC8">
            <w:pPr>
              <w:jc w:val="center"/>
              <w:rPr>
                <w:rStyle w:val="47"/>
                <w:rFonts w:ascii="宋体" w:hAnsi="宋体"/>
                <w:szCs w:val="21"/>
              </w:rPr>
            </w:pPr>
          </w:p>
        </w:tc>
        <w:tc>
          <w:tcPr>
            <w:tcW w:w="1576" w:type="dxa"/>
            <w:tcBorders>
              <w:top w:val="single" w:color="000000" w:sz="4" w:space="0"/>
              <w:left w:val="single" w:color="000000" w:sz="4" w:space="0"/>
              <w:bottom w:val="single" w:color="000000" w:sz="4" w:space="0"/>
              <w:right w:val="single" w:color="000000" w:sz="4" w:space="0"/>
            </w:tcBorders>
            <w:vAlign w:val="center"/>
          </w:tcPr>
          <w:p w14:paraId="64411F0A">
            <w:pPr>
              <w:jc w:val="center"/>
              <w:rPr>
                <w:rStyle w:val="47"/>
                <w:rFonts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14:paraId="15BFC501">
            <w:pPr>
              <w:jc w:val="center"/>
              <w:rPr>
                <w:rStyle w:val="47"/>
                <w:rFonts w:ascii="宋体" w:hAnsi="宋体"/>
                <w:szCs w:val="21"/>
              </w:rPr>
            </w:pPr>
            <w:r>
              <w:rPr>
                <w:rStyle w:val="47"/>
                <w:rFonts w:ascii="宋体" w:hAnsi="宋体"/>
                <w:szCs w:val="21"/>
              </w:rPr>
              <w:t>其中</w:t>
            </w:r>
          </w:p>
        </w:tc>
        <w:tc>
          <w:tcPr>
            <w:tcW w:w="1931" w:type="dxa"/>
            <w:gridSpan w:val="4"/>
            <w:tcBorders>
              <w:top w:val="single" w:color="000000" w:sz="4" w:space="0"/>
              <w:left w:val="single" w:color="000000" w:sz="4" w:space="0"/>
              <w:bottom w:val="single" w:color="000000" w:sz="4" w:space="0"/>
              <w:right w:val="single" w:color="000000" w:sz="4" w:space="0"/>
            </w:tcBorders>
            <w:vAlign w:val="center"/>
          </w:tcPr>
          <w:p w14:paraId="69DD8A39">
            <w:pPr>
              <w:jc w:val="center"/>
              <w:rPr>
                <w:rStyle w:val="47"/>
                <w:rFonts w:ascii="宋体" w:hAnsi="宋体"/>
                <w:szCs w:val="21"/>
              </w:rPr>
            </w:pPr>
            <w:r>
              <w:rPr>
                <w:rStyle w:val="47"/>
                <w:rFonts w:ascii="宋体" w:hAnsi="宋体"/>
                <w:szCs w:val="21"/>
              </w:rPr>
              <w:t>项目经理</w:t>
            </w:r>
          </w:p>
        </w:tc>
        <w:tc>
          <w:tcPr>
            <w:tcW w:w="2178" w:type="dxa"/>
            <w:gridSpan w:val="2"/>
            <w:tcBorders>
              <w:top w:val="single" w:color="000000" w:sz="4" w:space="0"/>
              <w:left w:val="single" w:color="000000" w:sz="4" w:space="0"/>
              <w:bottom w:val="single" w:color="000000" w:sz="4" w:space="0"/>
              <w:right w:val="single" w:color="000000" w:sz="4" w:space="0"/>
            </w:tcBorders>
            <w:vAlign w:val="center"/>
          </w:tcPr>
          <w:p w14:paraId="37F97241">
            <w:pPr>
              <w:jc w:val="center"/>
              <w:rPr>
                <w:rStyle w:val="47"/>
                <w:rFonts w:ascii="宋体" w:hAnsi="宋体"/>
                <w:szCs w:val="21"/>
              </w:rPr>
            </w:pPr>
          </w:p>
        </w:tc>
      </w:tr>
      <w:tr w14:paraId="20E3D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0797B76A">
            <w:pPr>
              <w:jc w:val="center"/>
              <w:rPr>
                <w:rStyle w:val="47"/>
                <w:rFonts w:ascii="宋体" w:hAnsi="宋体"/>
                <w:szCs w:val="21"/>
              </w:rPr>
            </w:pPr>
            <w:r>
              <w:rPr>
                <w:rStyle w:val="47"/>
                <w:rFonts w:ascii="宋体" w:hAnsi="宋体"/>
                <w:szCs w:val="21"/>
              </w:rPr>
              <w:t>营业执照号</w:t>
            </w:r>
          </w:p>
        </w:tc>
        <w:tc>
          <w:tcPr>
            <w:tcW w:w="1132" w:type="dxa"/>
            <w:tcBorders>
              <w:top w:val="single" w:color="000000" w:sz="4" w:space="0"/>
              <w:left w:val="single" w:color="000000" w:sz="4" w:space="0"/>
              <w:bottom w:val="single" w:color="000000" w:sz="4" w:space="0"/>
              <w:right w:val="single" w:color="000000" w:sz="4" w:space="0"/>
            </w:tcBorders>
            <w:vAlign w:val="center"/>
          </w:tcPr>
          <w:p w14:paraId="77110416">
            <w:pPr>
              <w:jc w:val="center"/>
              <w:rPr>
                <w:rStyle w:val="47"/>
                <w:rFonts w:ascii="宋体" w:hAnsi="宋体"/>
                <w:szCs w:val="21"/>
              </w:rPr>
            </w:pPr>
          </w:p>
        </w:tc>
        <w:tc>
          <w:tcPr>
            <w:tcW w:w="1576" w:type="dxa"/>
            <w:tcBorders>
              <w:top w:val="single" w:color="000000" w:sz="4" w:space="0"/>
              <w:left w:val="single" w:color="000000" w:sz="4" w:space="0"/>
              <w:bottom w:val="single" w:color="000000" w:sz="4" w:space="0"/>
              <w:right w:val="single" w:color="000000" w:sz="4" w:space="0"/>
            </w:tcBorders>
            <w:vAlign w:val="center"/>
          </w:tcPr>
          <w:p w14:paraId="14F409F9">
            <w:pPr>
              <w:jc w:val="center"/>
              <w:rPr>
                <w:rStyle w:val="4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533E9511">
            <w:pPr>
              <w:jc w:val="center"/>
              <w:rPr>
                <w:rStyle w:val="47"/>
                <w:rFonts w:ascii="宋体" w:hAnsi="宋体"/>
                <w:szCs w:val="21"/>
              </w:rPr>
            </w:pPr>
          </w:p>
        </w:tc>
        <w:tc>
          <w:tcPr>
            <w:tcW w:w="1931" w:type="dxa"/>
            <w:gridSpan w:val="4"/>
            <w:tcBorders>
              <w:top w:val="single" w:color="000000" w:sz="4" w:space="0"/>
              <w:left w:val="single" w:color="000000" w:sz="4" w:space="0"/>
              <w:bottom w:val="single" w:color="000000" w:sz="4" w:space="0"/>
              <w:right w:val="single" w:color="000000" w:sz="4" w:space="0"/>
            </w:tcBorders>
            <w:vAlign w:val="center"/>
          </w:tcPr>
          <w:p w14:paraId="0B2B951C">
            <w:pPr>
              <w:jc w:val="center"/>
              <w:rPr>
                <w:rStyle w:val="47"/>
                <w:rFonts w:ascii="宋体" w:hAnsi="宋体"/>
                <w:szCs w:val="21"/>
              </w:rPr>
            </w:pPr>
            <w:r>
              <w:rPr>
                <w:rStyle w:val="47"/>
                <w:rFonts w:ascii="宋体" w:hAnsi="宋体"/>
                <w:szCs w:val="21"/>
              </w:rPr>
              <w:t>高级职称人员</w:t>
            </w:r>
          </w:p>
        </w:tc>
        <w:tc>
          <w:tcPr>
            <w:tcW w:w="2178" w:type="dxa"/>
            <w:gridSpan w:val="2"/>
            <w:tcBorders>
              <w:top w:val="single" w:color="000000" w:sz="4" w:space="0"/>
              <w:left w:val="single" w:color="000000" w:sz="4" w:space="0"/>
              <w:bottom w:val="single" w:color="000000" w:sz="4" w:space="0"/>
              <w:right w:val="single" w:color="000000" w:sz="4" w:space="0"/>
            </w:tcBorders>
            <w:vAlign w:val="center"/>
          </w:tcPr>
          <w:p w14:paraId="2F3348FF">
            <w:pPr>
              <w:jc w:val="center"/>
              <w:rPr>
                <w:rStyle w:val="47"/>
                <w:rFonts w:ascii="宋体" w:hAnsi="宋体"/>
                <w:szCs w:val="21"/>
              </w:rPr>
            </w:pPr>
          </w:p>
        </w:tc>
      </w:tr>
      <w:tr w14:paraId="6C1CA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2AB1867D">
            <w:pPr>
              <w:jc w:val="center"/>
              <w:rPr>
                <w:rStyle w:val="47"/>
                <w:rFonts w:ascii="宋体" w:hAnsi="宋体"/>
                <w:szCs w:val="21"/>
              </w:rPr>
            </w:pPr>
            <w:r>
              <w:rPr>
                <w:rStyle w:val="47"/>
                <w:rFonts w:ascii="宋体" w:hAnsi="宋体"/>
                <w:szCs w:val="21"/>
              </w:rPr>
              <w:t>注册资金</w:t>
            </w:r>
          </w:p>
        </w:tc>
        <w:tc>
          <w:tcPr>
            <w:tcW w:w="1132" w:type="dxa"/>
            <w:tcBorders>
              <w:top w:val="single" w:color="000000" w:sz="4" w:space="0"/>
              <w:left w:val="single" w:color="000000" w:sz="4" w:space="0"/>
              <w:bottom w:val="single" w:color="000000" w:sz="4" w:space="0"/>
              <w:right w:val="single" w:color="000000" w:sz="4" w:space="0"/>
            </w:tcBorders>
            <w:vAlign w:val="center"/>
          </w:tcPr>
          <w:p w14:paraId="75A7069A">
            <w:pPr>
              <w:jc w:val="center"/>
              <w:rPr>
                <w:rStyle w:val="47"/>
                <w:rFonts w:ascii="宋体" w:hAnsi="宋体"/>
                <w:szCs w:val="21"/>
              </w:rPr>
            </w:pPr>
          </w:p>
        </w:tc>
        <w:tc>
          <w:tcPr>
            <w:tcW w:w="1576" w:type="dxa"/>
            <w:tcBorders>
              <w:top w:val="single" w:color="000000" w:sz="4" w:space="0"/>
              <w:left w:val="single" w:color="000000" w:sz="4" w:space="0"/>
              <w:bottom w:val="single" w:color="000000" w:sz="4" w:space="0"/>
              <w:right w:val="single" w:color="000000" w:sz="4" w:space="0"/>
            </w:tcBorders>
            <w:vAlign w:val="center"/>
          </w:tcPr>
          <w:p w14:paraId="10B365E5">
            <w:pPr>
              <w:jc w:val="center"/>
              <w:rPr>
                <w:rStyle w:val="4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6B1FC18D">
            <w:pPr>
              <w:jc w:val="center"/>
              <w:rPr>
                <w:rStyle w:val="47"/>
                <w:rFonts w:ascii="宋体" w:hAnsi="宋体"/>
                <w:szCs w:val="21"/>
              </w:rPr>
            </w:pPr>
          </w:p>
        </w:tc>
        <w:tc>
          <w:tcPr>
            <w:tcW w:w="1931" w:type="dxa"/>
            <w:gridSpan w:val="4"/>
            <w:tcBorders>
              <w:top w:val="single" w:color="000000" w:sz="4" w:space="0"/>
              <w:left w:val="single" w:color="000000" w:sz="4" w:space="0"/>
              <w:bottom w:val="single" w:color="000000" w:sz="4" w:space="0"/>
              <w:right w:val="single" w:color="000000" w:sz="4" w:space="0"/>
            </w:tcBorders>
            <w:vAlign w:val="center"/>
          </w:tcPr>
          <w:p w14:paraId="38B5B924">
            <w:pPr>
              <w:jc w:val="center"/>
              <w:rPr>
                <w:rStyle w:val="47"/>
                <w:rFonts w:ascii="宋体" w:hAnsi="宋体"/>
                <w:szCs w:val="21"/>
              </w:rPr>
            </w:pPr>
            <w:r>
              <w:rPr>
                <w:rStyle w:val="47"/>
                <w:rFonts w:ascii="宋体" w:hAnsi="宋体"/>
                <w:szCs w:val="21"/>
              </w:rPr>
              <w:t>中级职称人员</w:t>
            </w:r>
          </w:p>
        </w:tc>
        <w:tc>
          <w:tcPr>
            <w:tcW w:w="2178" w:type="dxa"/>
            <w:gridSpan w:val="2"/>
            <w:tcBorders>
              <w:top w:val="single" w:color="000000" w:sz="4" w:space="0"/>
              <w:left w:val="single" w:color="000000" w:sz="4" w:space="0"/>
              <w:bottom w:val="single" w:color="000000" w:sz="4" w:space="0"/>
              <w:right w:val="single" w:color="000000" w:sz="4" w:space="0"/>
            </w:tcBorders>
            <w:vAlign w:val="center"/>
          </w:tcPr>
          <w:p w14:paraId="0E86AE35">
            <w:pPr>
              <w:jc w:val="center"/>
              <w:rPr>
                <w:rStyle w:val="47"/>
                <w:rFonts w:ascii="宋体" w:hAnsi="宋体"/>
                <w:szCs w:val="21"/>
              </w:rPr>
            </w:pPr>
          </w:p>
        </w:tc>
      </w:tr>
      <w:tr w14:paraId="4E7C9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7B2F645D">
            <w:pPr>
              <w:jc w:val="center"/>
              <w:rPr>
                <w:rStyle w:val="47"/>
                <w:rFonts w:ascii="宋体" w:hAnsi="宋体"/>
                <w:szCs w:val="21"/>
              </w:rPr>
            </w:pPr>
            <w:r>
              <w:rPr>
                <w:rStyle w:val="47"/>
                <w:rFonts w:ascii="宋体" w:hAnsi="宋体"/>
                <w:szCs w:val="21"/>
              </w:rPr>
              <w:t>开户银行</w:t>
            </w:r>
          </w:p>
        </w:tc>
        <w:tc>
          <w:tcPr>
            <w:tcW w:w="1132" w:type="dxa"/>
            <w:tcBorders>
              <w:top w:val="single" w:color="000000" w:sz="4" w:space="0"/>
              <w:left w:val="single" w:color="000000" w:sz="4" w:space="0"/>
              <w:bottom w:val="single" w:color="000000" w:sz="4" w:space="0"/>
              <w:right w:val="single" w:color="000000" w:sz="4" w:space="0"/>
            </w:tcBorders>
            <w:vAlign w:val="center"/>
          </w:tcPr>
          <w:p w14:paraId="7EAC75E6">
            <w:pPr>
              <w:jc w:val="center"/>
              <w:rPr>
                <w:rStyle w:val="47"/>
                <w:rFonts w:ascii="宋体" w:hAnsi="宋体"/>
                <w:szCs w:val="21"/>
              </w:rPr>
            </w:pPr>
          </w:p>
        </w:tc>
        <w:tc>
          <w:tcPr>
            <w:tcW w:w="1576" w:type="dxa"/>
            <w:tcBorders>
              <w:top w:val="single" w:color="000000" w:sz="4" w:space="0"/>
              <w:left w:val="single" w:color="000000" w:sz="4" w:space="0"/>
              <w:bottom w:val="single" w:color="000000" w:sz="4" w:space="0"/>
              <w:right w:val="single" w:color="000000" w:sz="4" w:space="0"/>
            </w:tcBorders>
            <w:vAlign w:val="center"/>
          </w:tcPr>
          <w:p w14:paraId="4C24C353">
            <w:pPr>
              <w:jc w:val="center"/>
              <w:rPr>
                <w:rStyle w:val="4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761C732E">
            <w:pPr>
              <w:jc w:val="center"/>
              <w:rPr>
                <w:rStyle w:val="47"/>
                <w:rFonts w:ascii="宋体" w:hAnsi="宋体"/>
                <w:szCs w:val="21"/>
              </w:rPr>
            </w:pPr>
          </w:p>
        </w:tc>
        <w:tc>
          <w:tcPr>
            <w:tcW w:w="1931" w:type="dxa"/>
            <w:gridSpan w:val="4"/>
            <w:tcBorders>
              <w:top w:val="single" w:color="000000" w:sz="4" w:space="0"/>
              <w:left w:val="single" w:color="000000" w:sz="4" w:space="0"/>
              <w:bottom w:val="single" w:color="000000" w:sz="4" w:space="0"/>
              <w:right w:val="single" w:color="000000" w:sz="4" w:space="0"/>
            </w:tcBorders>
            <w:vAlign w:val="center"/>
          </w:tcPr>
          <w:p w14:paraId="6C1B5108">
            <w:pPr>
              <w:jc w:val="center"/>
              <w:rPr>
                <w:rStyle w:val="47"/>
                <w:rFonts w:ascii="宋体" w:hAnsi="宋体"/>
                <w:szCs w:val="21"/>
              </w:rPr>
            </w:pPr>
            <w:r>
              <w:rPr>
                <w:rStyle w:val="47"/>
                <w:rFonts w:ascii="宋体" w:hAnsi="宋体"/>
                <w:szCs w:val="21"/>
              </w:rPr>
              <w:t>初级职称人员</w:t>
            </w:r>
          </w:p>
        </w:tc>
        <w:tc>
          <w:tcPr>
            <w:tcW w:w="2178" w:type="dxa"/>
            <w:gridSpan w:val="2"/>
            <w:tcBorders>
              <w:top w:val="single" w:color="000000" w:sz="4" w:space="0"/>
              <w:left w:val="single" w:color="000000" w:sz="4" w:space="0"/>
              <w:bottom w:val="single" w:color="000000" w:sz="4" w:space="0"/>
              <w:right w:val="single" w:color="000000" w:sz="4" w:space="0"/>
            </w:tcBorders>
            <w:vAlign w:val="center"/>
          </w:tcPr>
          <w:p w14:paraId="7BA07A80">
            <w:pPr>
              <w:jc w:val="center"/>
              <w:rPr>
                <w:rStyle w:val="47"/>
                <w:rFonts w:ascii="宋体" w:hAnsi="宋体"/>
                <w:szCs w:val="21"/>
              </w:rPr>
            </w:pPr>
          </w:p>
        </w:tc>
      </w:tr>
      <w:tr w14:paraId="604FE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0D905F5C">
            <w:pPr>
              <w:jc w:val="center"/>
              <w:rPr>
                <w:rStyle w:val="47"/>
                <w:rFonts w:ascii="宋体" w:hAnsi="宋体"/>
                <w:szCs w:val="21"/>
              </w:rPr>
            </w:pPr>
            <w:r>
              <w:rPr>
                <w:rStyle w:val="47"/>
                <w:rFonts w:ascii="宋体" w:hAnsi="宋体"/>
                <w:szCs w:val="21"/>
              </w:rPr>
              <w:t>账号</w:t>
            </w:r>
          </w:p>
        </w:tc>
        <w:tc>
          <w:tcPr>
            <w:tcW w:w="1132" w:type="dxa"/>
            <w:tcBorders>
              <w:top w:val="single" w:color="000000" w:sz="4" w:space="0"/>
              <w:left w:val="single" w:color="000000" w:sz="4" w:space="0"/>
              <w:bottom w:val="single" w:color="000000" w:sz="4" w:space="0"/>
              <w:right w:val="single" w:color="000000" w:sz="4" w:space="0"/>
            </w:tcBorders>
            <w:vAlign w:val="center"/>
          </w:tcPr>
          <w:p w14:paraId="60A77F2E">
            <w:pPr>
              <w:jc w:val="center"/>
              <w:rPr>
                <w:rStyle w:val="47"/>
                <w:rFonts w:ascii="宋体" w:hAnsi="宋体"/>
                <w:szCs w:val="21"/>
              </w:rPr>
            </w:pPr>
          </w:p>
        </w:tc>
        <w:tc>
          <w:tcPr>
            <w:tcW w:w="1576" w:type="dxa"/>
            <w:tcBorders>
              <w:top w:val="single" w:color="000000" w:sz="4" w:space="0"/>
              <w:left w:val="single" w:color="000000" w:sz="4" w:space="0"/>
              <w:bottom w:val="single" w:color="000000" w:sz="4" w:space="0"/>
              <w:right w:val="single" w:color="000000" w:sz="4" w:space="0"/>
            </w:tcBorders>
            <w:vAlign w:val="center"/>
          </w:tcPr>
          <w:p w14:paraId="64C37D5B">
            <w:pPr>
              <w:jc w:val="center"/>
              <w:rPr>
                <w:rStyle w:val="4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090196D">
            <w:pPr>
              <w:jc w:val="center"/>
              <w:rPr>
                <w:rStyle w:val="47"/>
                <w:rFonts w:ascii="宋体" w:hAnsi="宋体"/>
                <w:szCs w:val="21"/>
              </w:rPr>
            </w:pPr>
          </w:p>
        </w:tc>
        <w:tc>
          <w:tcPr>
            <w:tcW w:w="1931" w:type="dxa"/>
            <w:gridSpan w:val="4"/>
            <w:tcBorders>
              <w:top w:val="single" w:color="000000" w:sz="4" w:space="0"/>
              <w:left w:val="single" w:color="000000" w:sz="4" w:space="0"/>
              <w:bottom w:val="single" w:color="000000" w:sz="4" w:space="0"/>
              <w:right w:val="single" w:color="000000" w:sz="4" w:space="0"/>
            </w:tcBorders>
            <w:vAlign w:val="center"/>
          </w:tcPr>
          <w:p w14:paraId="16886241">
            <w:pPr>
              <w:jc w:val="center"/>
              <w:rPr>
                <w:rStyle w:val="47"/>
                <w:rFonts w:ascii="宋体" w:hAnsi="宋体"/>
                <w:szCs w:val="21"/>
              </w:rPr>
            </w:pPr>
            <w:r>
              <w:rPr>
                <w:rStyle w:val="47"/>
                <w:rFonts w:ascii="宋体" w:hAnsi="宋体"/>
                <w:szCs w:val="21"/>
              </w:rPr>
              <w:t>技  工</w:t>
            </w:r>
          </w:p>
        </w:tc>
        <w:tc>
          <w:tcPr>
            <w:tcW w:w="2178" w:type="dxa"/>
            <w:gridSpan w:val="2"/>
            <w:tcBorders>
              <w:top w:val="single" w:color="000000" w:sz="4" w:space="0"/>
              <w:left w:val="single" w:color="000000" w:sz="4" w:space="0"/>
              <w:bottom w:val="single" w:color="000000" w:sz="4" w:space="0"/>
              <w:right w:val="single" w:color="000000" w:sz="4" w:space="0"/>
            </w:tcBorders>
            <w:vAlign w:val="center"/>
          </w:tcPr>
          <w:p w14:paraId="6ABDE2D3">
            <w:pPr>
              <w:jc w:val="center"/>
              <w:rPr>
                <w:rStyle w:val="47"/>
                <w:rFonts w:ascii="宋体" w:hAnsi="宋体"/>
                <w:szCs w:val="21"/>
              </w:rPr>
            </w:pPr>
          </w:p>
        </w:tc>
      </w:tr>
      <w:tr w14:paraId="1F978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450E3328">
            <w:pPr>
              <w:jc w:val="center"/>
              <w:rPr>
                <w:rStyle w:val="47"/>
                <w:rFonts w:ascii="宋体" w:hAnsi="宋体"/>
                <w:szCs w:val="21"/>
              </w:rPr>
            </w:pPr>
            <w:r>
              <w:rPr>
                <w:rStyle w:val="47"/>
                <w:rFonts w:ascii="宋体" w:hAnsi="宋体"/>
                <w:szCs w:val="21"/>
              </w:rPr>
              <w:t>经营范围</w:t>
            </w:r>
          </w:p>
        </w:tc>
        <w:tc>
          <w:tcPr>
            <w:tcW w:w="7810" w:type="dxa"/>
            <w:gridSpan w:val="9"/>
            <w:tcBorders>
              <w:top w:val="single" w:color="000000" w:sz="4" w:space="0"/>
              <w:left w:val="single" w:color="000000" w:sz="4" w:space="0"/>
              <w:bottom w:val="single" w:color="000000" w:sz="4" w:space="0"/>
              <w:right w:val="single" w:color="000000" w:sz="4" w:space="0"/>
            </w:tcBorders>
            <w:vAlign w:val="center"/>
          </w:tcPr>
          <w:p w14:paraId="4399A30E">
            <w:pPr>
              <w:jc w:val="center"/>
              <w:rPr>
                <w:rStyle w:val="47"/>
                <w:rFonts w:ascii="宋体" w:hAnsi="宋体"/>
                <w:szCs w:val="21"/>
              </w:rPr>
            </w:pPr>
          </w:p>
        </w:tc>
      </w:tr>
      <w:tr w14:paraId="64F9D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44FCEEF9">
            <w:pPr>
              <w:jc w:val="center"/>
              <w:rPr>
                <w:rStyle w:val="47"/>
                <w:rFonts w:ascii="宋体" w:hAnsi="宋体"/>
                <w:szCs w:val="21"/>
              </w:rPr>
            </w:pPr>
            <w:r>
              <w:rPr>
                <w:rStyle w:val="47"/>
                <w:rFonts w:ascii="宋体" w:hAnsi="宋体"/>
                <w:szCs w:val="21"/>
              </w:rPr>
              <w:t>备注</w:t>
            </w:r>
          </w:p>
        </w:tc>
        <w:tc>
          <w:tcPr>
            <w:tcW w:w="7810" w:type="dxa"/>
            <w:gridSpan w:val="9"/>
            <w:tcBorders>
              <w:top w:val="single" w:color="000000" w:sz="4" w:space="0"/>
              <w:left w:val="single" w:color="000000" w:sz="4" w:space="0"/>
              <w:bottom w:val="single" w:color="000000" w:sz="4" w:space="0"/>
              <w:right w:val="single" w:color="000000" w:sz="4" w:space="0"/>
            </w:tcBorders>
            <w:vAlign w:val="center"/>
          </w:tcPr>
          <w:p w14:paraId="6A493B52">
            <w:pPr>
              <w:jc w:val="center"/>
              <w:rPr>
                <w:rStyle w:val="47"/>
                <w:rFonts w:ascii="宋体" w:hAnsi="宋体"/>
                <w:szCs w:val="21"/>
              </w:rPr>
            </w:pPr>
          </w:p>
        </w:tc>
      </w:tr>
    </w:tbl>
    <w:p w14:paraId="74923CF1">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C3F3A28">
      <w:pPr>
        <w:pStyle w:val="56"/>
        <w:numPr>
          <w:ilvl w:val="0"/>
          <w:numId w:val="3"/>
        </w:numPr>
        <w:snapToGrid w:val="0"/>
        <w:spacing w:line="440" w:lineRule="exact"/>
        <w:ind w:firstLineChars="0"/>
        <w:jc w:val="center"/>
        <w:rPr>
          <w:rStyle w:val="47"/>
          <w:rFonts w:ascii="宋体" w:hAnsi="宋体"/>
          <w:b/>
          <w:szCs w:val="21"/>
        </w:rPr>
      </w:pPr>
      <w:r>
        <w:rPr>
          <w:rStyle w:val="47"/>
          <w:rFonts w:ascii="宋体" w:hAnsi="宋体"/>
          <w:b/>
          <w:szCs w:val="21"/>
        </w:rPr>
        <w:t>20</w:t>
      </w:r>
      <w:r>
        <w:rPr>
          <w:rStyle w:val="47"/>
          <w:rFonts w:hint="eastAsia" w:ascii="宋体" w:hAnsi="宋体"/>
          <w:b/>
          <w:szCs w:val="21"/>
        </w:rPr>
        <w:t>2</w:t>
      </w:r>
      <w:r>
        <w:rPr>
          <w:rStyle w:val="47"/>
          <w:rFonts w:hint="eastAsia" w:ascii="宋体" w:hAnsi="宋体"/>
          <w:b/>
          <w:szCs w:val="21"/>
          <w:lang w:val="en-US" w:eastAsia="zh-CN"/>
        </w:rPr>
        <w:t>2</w:t>
      </w:r>
      <w:r>
        <w:rPr>
          <w:rStyle w:val="47"/>
          <w:rFonts w:ascii="宋体" w:hAnsi="宋体"/>
          <w:b/>
          <w:szCs w:val="21"/>
        </w:rPr>
        <w:t>、20</w:t>
      </w:r>
      <w:r>
        <w:rPr>
          <w:rStyle w:val="47"/>
          <w:rFonts w:hint="eastAsia" w:ascii="宋体" w:hAnsi="宋体"/>
          <w:b/>
          <w:szCs w:val="21"/>
        </w:rPr>
        <w:t>2</w:t>
      </w:r>
      <w:r>
        <w:rPr>
          <w:rStyle w:val="47"/>
          <w:rFonts w:hint="eastAsia" w:ascii="宋体" w:hAnsi="宋体"/>
          <w:b/>
          <w:szCs w:val="21"/>
          <w:lang w:val="en-US" w:eastAsia="zh-CN"/>
        </w:rPr>
        <w:t>3</w:t>
      </w:r>
      <w:r>
        <w:rPr>
          <w:rStyle w:val="47"/>
          <w:rFonts w:ascii="宋体" w:hAnsi="宋体"/>
          <w:b/>
          <w:szCs w:val="21"/>
        </w:rPr>
        <w:t>、20</w:t>
      </w:r>
      <w:r>
        <w:rPr>
          <w:rStyle w:val="47"/>
          <w:rFonts w:hint="eastAsia" w:ascii="宋体" w:hAnsi="宋体"/>
          <w:b/>
          <w:szCs w:val="21"/>
        </w:rPr>
        <w:t>2</w:t>
      </w:r>
      <w:r>
        <w:rPr>
          <w:rStyle w:val="47"/>
          <w:rFonts w:hint="eastAsia" w:ascii="宋体" w:hAnsi="宋体"/>
          <w:b/>
          <w:szCs w:val="21"/>
          <w:lang w:val="en-US" w:eastAsia="zh-CN"/>
        </w:rPr>
        <w:t>4</w:t>
      </w:r>
      <w:r>
        <w:rPr>
          <w:rStyle w:val="47"/>
          <w:rFonts w:ascii="宋体" w:hAnsi="宋体"/>
          <w:b/>
          <w:szCs w:val="21"/>
        </w:rPr>
        <w:t>年财务状况：</w:t>
      </w:r>
    </w:p>
    <w:p w14:paraId="7366CEB6">
      <w:pPr>
        <w:spacing w:line="440" w:lineRule="exact"/>
        <w:ind w:firstLine="420" w:firstLineChars="200"/>
        <w:rPr>
          <w:rStyle w:val="47"/>
          <w:rFonts w:hint="eastAsia" w:ascii="宋体" w:hAnsi="宋体"/>
        </w:rPr>
      </w:pPr>
      <w:r>
        <w:rPr>
          <w:rStyle w:val="47"/>
          <w:rFonts w:ascii="宋体" w:hAnsi="宋体"/>
        </w:rPr>
        <w:t>附：</w:t>
      </w:r>
      <w:r>
        <w:rPr>
          <w:rStyle w:val="47"/>
          <w:rFonts w:hint="eastAsia" w:ascii="宋体" w:hAnsi="宋体"/>
        </w:rPr>
        <w:t>经会计师事务所或审计机构审计的财务会计报表（包括资产负债表、现金流量表、利润表和财务情况说明书等材料的复印件）及企业最近半年完税证明、信用证明材料（中国人民银行征信报告）；年度纳税信用评价信息；企业对外担保说明。</w:t>
      </w:r>
    </w:p>
    <w:p w14:paraId="3E8503F6">
      <w:pPr>
        <w:spacing w:line="440" w:lineRule="exact"/>
        <w:rPr>
          <w:rStyle w:val="47"/>
          <w:rFonts w:ascii="宋体" w:hAnsi="宋体"/>
          <w:szCs w:val="21"/>
        </w:rPr>
      </w:pPr>
    </w:p>
    <w:tbl>
      <w:tblPr>
        <w:tblStyle w:val="2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2070"/>
        <w:gridCol w:w="2010"/>
        <w:gridCol w:w="2113"/>
      </w:tblGrid>
      <w:tr w14:paraId="3A6E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70A12FF5">
            <w:pPr>
              <w:spacing w:line="440" w:lineRule="exact"/>
              <w:jc w:val="center"/>
              <w:rPr>
                <w:rStyle w:val="47"/>
                <w:rFonts w:ascii="宋体" w:hAnsi="宋体"/>
              </w:rPr>
            </w:pPr>
            <w:r>
              <w:rPr>
                <w:rStyle w:val="47"/>
                <w:rFonts w:hint="eastAsia" w:ascii="宋体" w:hAnsi="宋体"/>
              </w:rPr>
              <w:t>投标单位资产情况汇总表</w:t>
            </w:r>
          </w:p>
        </w:tc>
      </w:tr>
      <w:tr w14:paraId="7D43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1C8833A9">
            <w:pPr>
              <w:spacing w:line="440" w:lineRule="exact"/>
              <w:jc w:val="center"/>
              <w:rPr>
                <w:rStyle w:val="47"/>
                <w:rFonts w:ascii="宋体" w:hAnsi="宋体"/>
              </w:rPr>
            </w:pPr>
            <w:r>
              <w:rPr>
                <w:rStyle w:val="47"/>
                <w:rFonts w:hint="eastAsia" w:ascii="宋体" w:hAnsi="宋体"/>
              </w:rPr>
              <w:t>注册资金（万元）</w:t>
            </w:r>
          </w:p>
        </w:tc>
        <w:tc>
          <w:tcPr>
            <w:tcW w:w="6193" w:type="dxa"/>
            <w:gridSpan w:val="3"/>
          </w:tcPr>
          <w:p w14:paraId="1DE1BB05">
            <w:pPr>
              <w:spacing w:line="440" w:lineRule="exact"/>
              <w:jc w:val="center"/>
              <w:rPr>
                <w:rStyle w:val="47"/>
                <w:rFonts w:ascii="宋体" w:hAnsi="宋体"/>
              </w:rPr>
            </w:pPr>
          </w:p>
        </w:tc>
      </w:tr>
      <w:tr w14:paraId="78A5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25909CFF">
            <w:pPr>
              <w:spacing w:line="440" w:lineRule="exact"/>
              <w:jc w:val="center"/>
              <w:rPr>
                <w:rStyle w:val="47"/>
                <w:rFonts w:ascii="宋体" w:hAnsi="宋体"/>
              </w:rPr>
            </w:pPr>
            <w:r>
              <w:rPr>
                <w:rStyle w:val="47"/>
                <w:rFonts w:ascii="宋体" w:hAnsi="宋体"/>
              </w:rPr>
              <w:t>实收资金（万元）</w:t>
            </w:r>
          </w:p>
        </w:tc>
        <w:tc>
          <w:tcPr>
            <w:tcW w:w="6193" w:type="dxa"/>
            <w:gridSpan w:val="3"/>
          </w:tcPr>
          <w:p w14:paraId="06568B25">
            <w:pPr>
              <w:spacing w:line="440" w:lineRule="exact"/>
              <w:jc w:val="center"/>
              <w:rPr>
                <w:rStyle w:val="47"/>
                <w:rFonts w:ascii="宋体" w:hAnsi="宋体"/>
              </w:rPr>
            </w:pPr>
          </w:p>
        </w:tc>
      </w:tr>
      <w:tr w14:paraId="0280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195BFCC0">
            <w:pPr>
              <w:spacing w:line="440" w:lineRule="exact"/>
              <w:jc w:val="center"/>
              <w:rPr>
                <w:rStyle w:val="47"/>
                <w:rFonts w:ascii="宋体" w:hAnsi="宋体"/>
              </w:rPr>
            </w:pPr>
            <w:r>
              <w:rPr>
                <w:rStyle w:val="47"/>
                <w:rFonts w:hint="eastAsia" w:ascii="宋体" w:hAnsi="宋体"/>
              </w:rPr>
              <w:t>年度资产情况</w:t>
            </w:r>
          </w:p>
        </w:tc>
        <w:tc>
          <w:tcPr>
            <w:tcW w:w="2070" w:type="dxa"/>
          </w:tcPr>
          <w:p w14:paraId="395F2C82">
            <w:pPr>
              <w:spacing w:line="440" w:lineRule="exact"/>
              <w:jc w:val="center"/>
              <w:rPr>
                <w:rStyle w:val="47"/>
                <w:rFonts w:ascii="宋体" w:hAnsi="宋体"/>
              </w:rPr>
            </w:pPr>
            <w:r>
              <w:rPr>
                <w:rStyle w:val="47"/>
                <w:rFonts w:hint="eastAsia" w:ascii="宋体" w:hAnsi="宋体"/>
              </w:rPr>
              <w:t>202</w:t>
            </w:r>
            <w:r>
              <w:rPr>
                <w:rStyle w:val="47"/>
                <w:rFonts w:hint="eastAsia" w:ascii="宋体" w:hAnsi="宋体"/>
                <w:lang w:val="en-US" w:eastAsia="zh-CN"/>
              </w:rPr>
              <w:t>2</w:t>
            </w:r>
            <w:r>
              <w:rPr>
                <w:rStyle w:val="47"/>
                <w:rFonts w:hint="eastAsia" w:ascii="宋体" w:hAnsi="宋体"/>
              </w:rPr>
              <w:t>年</w:t>
            </w:r>
          </w:p>
        </w:tc>
        <w:tc>
          <w:tcPr>
            <w:tcW w:w="2010" w:type="dxa"/>
          </w:tcPr>
          <w:p w14:paraId="48373246">
            <w:pPr>
              <w:spacing w:line="440" w:lineRule="exact"/>
              <w:jc w:val="center"/>
              <w:rPr>
                <w:rStyle w:val="47"/>
                <w:rFonts w:ascii="宋体" w:hAnsi="宋体"/>
              </w:rPr>
            </w:pPr>
            <w:r>
              <w:rPr>
                <w:rStyle w:val="47"/>
                <w:rFonts w:hint="eastAsia" w:ascii="宋体" w:hAnsi="宋体"/>
              </w:rPr>
              <w:t>202</w:t>
            </w:r>
            <w:r>
              <w:rPr>
                <w:rStyle w:val="47"/>
                <w:rFonts w:hint="eastAsia" w:ascii="宋体" w:hAnsi="宋体"/>
                <w:lang w:val="en-US" w:eastAsia="zh-CN"/>
              </w:rPr>
              <w:t>3</w:t>
            </w:r>
            <w:r>
              <w:rPr>
                <w:rStyle w:val="47"/>
                <w:rFonts w:hint="eastAsia" w:ascii="宋体" w:hAnsi="宋体"/>
              </w:rPr>
              <w:t>年</w:t>
            </w:r>
          </w:p>
        </w:tc>
        <w:tc>
          <w:tcPr>
            <w:tcW w:w="2113" w:type="dxa"/>
          </w:tcPr>
          <w:p w14:paraId="3F6B9A03">
            <w:pPr>
              <w:spacing w:line="440" w:lineRule="exact"/>
              <w:jc w:val="center"/>
              <w:rPr>
                <w:rStyle w:val="47"/>
                <w:rFonts w:ascii="宋体" w:hAnsi="宋体"/>
              </w:rPr>
            </w:pPr>
            <w:r>
              <w:rPr>
                <w:rStyle w:val="47"/>
                <w:rFonts w:hint="eastAsia" w:ascii="宋体" w:hAnsi="宋体"/>
              </w:rPr>
              <w:t>202</w:t>
            </w:r>
            <w:r>
              <w:rPr>
                <w:rStyle w:val="47"/>
                <w:rFonts w:hint="eastAsia" w:ascii="宋体" w:hAnsi="宋体"/>
                <w:lang w:val="en-US" w:eastAsia="zh-CN"/>
              </w:rPr>
              <w:t>4</w:t>
            </w:r>
            <w:r>
              <w:rPr>
                <w:rStyle w:val="47"/>
                <w:rFonts w:hint="eastAsia" w:ascii="宋体" w:hAnsi="宋体"/>
              </w:rPr>
              <w:t>年</w:t>
            </w:r>
          </w:p>
        </w:tc>
      </w:tr>
      <w:tr w14:paraId="4F64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066E5C13">
            <w:pPr>
              <w:spacing w:line="440" w:lineRule="exact"/>
              <w:jc w:val="center"/>
              <w:rPr>
                <w:rStyle w:val="47"/>
                <w:rFonts w:ascii="宋体" w:hAnsi="宋体"/>
              </w:rPr>
            </w:pPr>
            <w:r>
              <w:rPr>
                <w:rStyle w:val="47"/>
                <w:rFonts w:hint="eastAsia" w:ascii="宋体" w:hAnsi="宋体"/>
              </w:rPr>
              <w:t>流动资产（万元）</w:t>
            </w:r>
          </w:p>
        </w:tc>
        <w:tc>
          <w:tcPr>
            <w:tcW w:w="2070" w:type="dxa"/>
          </w:tcPr>
          <w:p w14:paraId="377EC5E2">
            <w:pPr>
              <w:spacing w:line="440" w:lineRule="exact"/>
              <w:jc w:val="center"/>
              <w:rPr>
                <w:rStyle w:val="47"/>
                <w:rFonts w:ascii="宋体" w:hAnsi="宋体"/>
              </w:rPr>
            </w:pPr>
          </w:p>
        </w:tc>
        <w:tc>
          <w:tcPr>
            <w:tcW w:w="2010" w:type="dxa"/>
          </w:tcPr>
          <w:p w14:paraId="0861AEBB">
            <w:pPr>
              <w:spacing w:line="440" w:lineRule="exact"/>
              <w:jc w:val="center"/>
              <w:rPr>
                <w:rStyle w:val="47"/>
                <w:rFonts w:ascii="宋体" w:hAnsi="宋体"/>
              </w:rPr>
            </w:pPr>
          </w:p>
        </w:tc>
        <w:tc>
          <w:tcPr>
            <w:tcW w:w="2113" w:type="dxa"/>
          </w:tcPr>
          <w:p w14:paraId="71422106">
            <w:pPr>
              <w:spacing w:line="440" w:lineRule="exact"/>
              <w:jc w:val="center"/>
              <w:rPr>
                <w:rStyle w:val="47"/>
                <w:rFonts w:ascii="宋体" w:hAnsi="宋体"/>
              </w:rPr>
            </w:pPr>
          </w:p>
        </w:tc>
      </w:tr>
      <w:tr w14:paraId="737C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1CE510ED">
            <w:pPr>
              <w:spacing w:line="440" w:lineRule="exact"/>
              <w:jc w:val="center"/>
              <w:rPr>
                <w:rStyle w:val="47"/>
                <w:rFonts w:ascii="宋体" w:hAnsi="宋体"/>
              </w:rPr>
            </w:pPr>
            <w:r>
              <w:rPr>
                <w:rStyle w:val="47"/>
                <w:rFonts w:hint="eastAsia" w:ascii="宋体" w:hAnsi="宋体"/>
              </w:rPr>
              <w:t>非流动资产（万元）</w:t>
            </w:r>
          </w:p>
        </w:tc>
        <w:tc>
          <w:tcPr>
            <w:tcW w:w="2070" w:type="dxa"/>
          </w:tcPr>
          <w:p w14:paraId="055F2216">
            <w:pPr>
              <w:spacing w:line="440" w:lineRule="exact"/>
              <w:jc w:val="center"/>
              <w:rPr>
                <w:rStyle w:val="47"/>
                <w:rFonts w:ascii="宋体" w:hAnsi="宋体"/>
              </w:rPr>
            </w:pPr>
          </w:p>
        </w:tc>
        <w:tc>
          <w:tcPr>
            <w:tcW w:w="2010" w:type="dxa"/>
          </w:tcPr>
          <w:p w14:paraId="01E16AE0">
            <w:pPr>
              <w:spacing w:line="440" w:lineRule="exact"/>
              <w:jc w:val="center"/>
              <w:rPr>
                <w:rStyle w:val="47"/>
                <w:rFonts w:ascii="宋体" w:hAnsi="宋体"/>
              </w:rPr>
            </w:pPr>
          </w:p>
        </w:tc>
        <w:tc>
          <w:tcPr>
            <w:tcW w:w="2113" w:type="dxa"/>
          </w:tcPr>
          <w:p w14:paraId="4CE5198D">
            <w:pPr>
              <w:spacing w:line="440" w:lineRule="exact"/>
              <w:jc w:val="center"/>
              <w:rPr>
                <w:rStyle w:val="47"/>
                <w:rFonts w:ascii="宋体" w:hAnsi="宋体"/>
              </w:rPr>
            </w:pPr>
          </w:p>
        </w:tc>
      </w:tr>
      <w:tr w14:paraId="2C22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15F5F4B8">
            <w:pPr>
              <w:spacing w:line="440" w:lineRule="exact"/>
              <w:jc w:val="center"/>
              <w:rPr>
                <w:rStyle w:val="47"/>
                <w:rFonts w:ascii="宋体" w:hAnsi="宋体"/>
              </w:rPr>
            </w:pPr>
            <w:r>
              <w:rPr>
                <w:rStyle w:val="47"/>
                <w:rFonts w:hint="eastAsia" w:ascii="宋体" w:hAnsi="宋体"/>
              </w:rPr>
              <w:t>营业收入（万元）</w:t>
            </w:r>
          </w:p>
        </w:tc>
        <w:tc>
          <w:tcPr>
            <w:tcW w:w="2070" w:type="dxa"/>
          </w:tcPr>
          <w:p w14:paraId="1A1F4A19">
            <w:pPr>
              <w:spacing w:line="440" w:lineRule="exact"/>
              <w:jc w:val="center"/>
              <w:rPr>
                <w:rStyle w:val="47"/>
                <w:rFonts w:ascii="宋体" w:hAnsi="宋体"/>
              </w:rPr>
            </w:pPr>
          </w:p>
        </w:tc>
        <w:tc>
          <w:tcPr>
            <w:tcW w:w="2010" w:type="dxa"/>
          </w:tcPr>
          <w:p w14:paraId="72033C29">
            <w:pPr>
              <w:spacing w:line="440" w:lineRule="exact"/>
              <w:jc w:val="center"/>
              <w:rPr>
                <w:rStyle w:val="47"/>
                <w:rFonts w:ascii="宋体" w:hAnsi="宋体"/>
              </w:rPr>
            </w:pPr>
          </w:p>
        </w:tc>
        <w:tc>
          <w:tcPr>
            <w:tcW w:w="2113" w:type="dxa"/>
          </w:tcPr>
          <w:p w14:paraId="64AEF697">
            <w:pPr>
              <w:spacing w:line="440" w:lineRule="exact"/>
              <w:jc w:val="center"/>
              <w:rPr>
                <w:rStyle w:val="47"/>
                <w:rFonts w:ascii="宋体" w:hAnsi="宋体"/>
              </w:rPr>
            </w:pPr>
          </w:p>
        </w:tc>
      </w:tr>
      <w:tr w14:paraId="75F0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2CC743EB">
            <w:pPr>
              <w:spacing w:line="440" w:lineRule="exact"/>
              <w:jc w:val="center"/>
              <w:rPr>
                <w:rStyle w:val="47"/>
                <w:rFonts w:ascii="宋体" w:hAnsi="宋体"/>
              </w:rPr>
            </w:pPr>
            <w:r>
              <w:rPr>
                <w:rStyle w:val="47"/>
                <w:rFonts w:hint="eastAsia" w:ascii="宋体" w:hAnsi="宋体"/>
              </w:rPr>
              <w:t>年底资产总值（万元）</w:t>
            </w:r>
          </w:p>
        </w:tc>
        <w:tc>
          <w:tcPr>
            <w:tcW w:w="2070" w:type="dxa"/>
          </w:tcPr>
          <w:p w14:paraId="4757CEFD">
            <w:pPr>
              <w:spacing w:line="440" w:lineRule="exact"/>
              <w:jc w:val="center"/>
              <w:rPr>
                <w:rStyle w:val="47"/>
                <w:rFonts w:ascii="宋体" w:hAnsi="宋体"/>
              </w:rPr>
            </w:pPr>
          </w:p>
        </w:tc>
        <w:tc>
          <w:tcPr>
            <w:tcW w:w="2010" w:type="dxa"/>
          </w:tcPr>
          <w:p w14:paraId="53365E61">
            <w:pPr>
              <w:spacing w:line="440" w:lineRule="exact"/>
              <w:jc w:val="center"/>
              <w:rPr>
                <w:rStyle w:val="47"/>
                <w:rFonts w:ascii="宋体" w:hAnsi="宋体"/>
              </w:rPr>
            </w:pPr>
          </w:p>
        </w:tc>
        <w:tc>
          <w:tcPr>
            <w:tcW w:w="2113" w:type="dxa"/>
          </w:tcPr>
          <w:p w14:paraId="7289BAC0">
            <w:pPr>
              <w:spacing w:line="440" w:lineRule="exact"/>
              <w:jc w:val="center"/>
              <w:rPr>
                <w:rStyle w:val="47"/>
                <w:rFonts w:ascii="宋体" w:hAnsi="宋体"/>
              </w:rPr>
            </w:pPr>
          </w:p>
        </w:tc>
      </w:tr>
      <w:tr w14:paraId="28E8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2CC80FBD">
            <w:pPr>
              <w:spacing w:line="440" w:lineRule="exact"/>
              <w:jc w:val="center"/>
              <w:rPr>
                <w:rStyle w:val="47"/>
                <w:rFonts w:ascii="宋体" w:hAnsi="宋体"/>
              </w:rPr>
            </w:pPr>
            <w:r>
              <w:rPr>
                <w:rStyle w:val="47"/>
                <w:rFonts w:hint="eastAsia" w:ascii="宋体" w:hAnsi="宋体"/>
              </w:rPr>
              <w:t>年底负债总值（万元）</w:t>
            </w:r>
          </w:p>
        </w:tc>
        <w:tc>
          <w:tcPr>
            <w:tcW w:w="2070" w:type="dxa"/>
          </w:tcPr>
          <w:p w14:paraId="3BA34966">
            <w:pPr>
              <w:spacing w:line="440" w:lineRule="exact"/>
              <w:jc w:val="center"/>
              <w:rPr>
                <w:rStyle w:val="47"/>
                <w:rFonts w:ascii="宋体" w:hAnsi="宋体"/>
              </w:rPr>
            </w:pPr>
          </w:p>
        </w:tc>
        <w:tc>
          <w:tcPr>
            <w:tcW w:w="2010" w:type="dxa"/>
          </w:tcPr>
          <w:p w14:paraId="3BE4FEBA">
            <w:pPr>
              <w:spacing w:line="440" w:lineRule="exact"/>
              <w:jc w:val="center"/>
              <w:rPr>
                <w:rStyle w:val="47"/>
                <w:rFonts w:ascii="宋体" w:hAnsi="宋体"/>
              </w:rPr>
            </w:pPr>
          </w:p>
        </w:tc>
        <w:tc>
          <w:tcPr>
            <w:tcW w:w="2113" w:type="dxa"/>
          </w:tcPr>
          <w:p w14:paraId="2DB3A60D">
            <w:pPr>
              <w:spacing w:line="440" w:lineRule="exact"/>
              <w:jc w:val="center"/>
              <w:rPr>
                <w:rStyle w:val="47"/>
                <w:rFonts w:ascii="宋体" w:hAnsi="宋体"/>
              </w:rPr>
            </w:pPr>
          </w:p>
        </w:tc>
      </w:tr>
      <w:tr w14:paraId="3491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260D0421">
            <w:pPr>
              <w:spacing w:line="440" w:lineRule="exact"/>
              <w:jc w:val="center"/>
              <w:rPr>
                <w:rStyle w:val="47"/>
                <w:rFonts w:ascii="宋体" w:hAnsi="宋体"/>
              </w:rPr>
            </w:pPr>
            <w:r>
              <w:rPr>
                <w:rStyle w:val="47"/>
                <w:rFonts w:ascii="宋体" w:hAnsi="宋体"/>
              </w:rPr>
              <w:t>资产负债率</w:t>
            </w:r>
            <w:r>
              <w:rPr>
                <w:rStyle w:val="47"/>
                <w:rFonts w:hint="eastAsia" w:ascii="宋体" w:hAnsi="宋体"/>
              </w:rPr>
              <w:t>（**.**%）</w:t>
            </w:r>
          </w:p>
        </w:tc>
        <w:tc>
          <w:tcPr>
            <w:tcW w:w="2070" w:type="dxa"/>
          </w:tcPr>
          <w:p w14:paraId="762FC44F">
            <w:pPr>
              <w:spacing w:line="440" w:lineRule="exact"/>
              <w:jc w:val="center"/>
              <w:rPr>
                <w:rStyle w:val="47"/>
                <w:rFonts w:ascii="宋体" w:hAnsi="宋体"/>
              </w:rPr>
            </w:pPr>
          </w:p>
        </w:tc>
        <w:tc>
          <w:tcPr>
            <w:tcW w:w="2010" w:type="dxa"/>
          </w:tcPr>
          <w:p w14:paraId="72F16890">
            <w:pPr>
              <w:spacing w:line="440" w:lineRule="exact"/>
              <w:jc w:val="center"/>
              <w:rPr>
                <w:rStyle w:val="47"/>
                <w:rFonts w:ascii="宋体" w:hAnsi="宋体"/>
              </w:rPr>
            </w:pPr>
          </w:p>
        </w:tc>
        <w:tc>
          <w:tcPr>
            <w:tcW w:w="2113" w:type="dxa"/>
          </w:tcPr>
          <w:p w14:paraId="3CAE7103">
            <w:pPr>
              <w:spacing w:line="440" w:lineRule="exact"/>
              <w:jc w:val="center"/>
              <w:rPr>
                <w:rStyle w:val="47"/>
                <w:rFonts w:ascii="宋体" w:hAnsi="宋体"/>
              </w:rPr>
            </w:pPr>
          </w:p>
        </w:tc>
      </w:tr>
      <w:tr w14:paraId="133C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1D7FE980">
            <w:pPr>
              <w:spacing w:line="440" w:lineRule="exact"/>
              <w:jc w:val="center"/>
              <w:rPr>
                <w:rStyle w:val="47"/>
                <w:rFonts w:ascii="宋体" w:hAnsi="宋体"/>
              </w:rPr>
            </w:pPr>
            <w:r>
              <w:rPr>
                <w:rStyle w:val="47"/>
                <w:rFonts w:hint="eastAsia" w:ascii="宋体" w:hAnsi="宋体"/>
              </w:rPr>
              <w:t>净利润（万元）</w:t>
            </w:r>
          </w:p>
        </w:tc>
        <w:tc>
          <w:tcPr>
            <w:tcW w:w="2070" w:type="dxa"/>
          </w:tcPr>
          <w:p w14:paraId="6BACBC19">
            <w:pPr>
              <w:spacing w:line="440" w:lineRule="exact"/>
              <w:jc w:val="center"/>
              <w:rPr>
                <w:rStyle w:val="47"/>
                <w:rFonts w:ascii="宋体" w:hAnsi="宋体"/>
              </w:rPr>
            </w:pPr>
          </w:p>
        </w:tc>
        <w:tc>
          <w:tcPr>
            <w:tcW w:w="2010" w:type="dxa"/>
          </w:tcPr>
          <w:p w14:paraId="2C2A2502">
            <w:pPr>
              <w:spacing w:line="440" w:lineRule="exact"/>
              <w:jc w:val="center"/>
              <w:rPr>
                <w:rStyle w:val="47"/>
                <w:rFonts w:ascii="宋体" w:hAnsi="宋体"/>
              </w:rPr>
            </w:pPr>
          </w:p>
        </w:tc>
        <w:tc>
          <w:tcPr>
            <w:tcW w:w="2113" w:type="dxa"/>
          </w:tcPr>
          <w:p w14:paraId="1FCA1219">
            <w:pPr>
              <w:spacing w:line="440" w:lineRule="exact"/>
              <w:jc w:val="center"/>
              <w:rPr>
                <w:rStyle w:val="47"/>
                <w:rFonts w:ascii="宋体" w:hAnsi="宋体"/>
              </w:rPr>
            </w:pPr>
          </w:p>
        </w:tc>
      </w:tr>
      <w:tr w14:paraId="019F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6936D433">
            <w:pPr>
              <w:spacing w:line="440" w:lineRule="exact"/>
              <w:jc w:val="center"/>
              <w:rPr>
                <w:rStyle w:val="47"/>
                <w:rFonts w:ascii="宋体" w:hAnsi="宋体"/>
              </w:rPr>
            </w:pPr>
            <w:r>
              <w:rPr>
                <w:rStyle w:val="47"/>
                <w:rFonts w:hint="eastAsia" w:ascii="宋体" w:hAnsi="宋体"/>
              </w:rPr>
              <w:t>未分配利润（万元）</w:t>
            </w:r>
          </w:p>
        </w:tc>
        <w:tc>
          <w:tcPr>
            <w:tcW w:w="2070" w:type="dxa"/>
          </w:tcPr>
          <w:p w14:paraId="2A52D2D8">
            <w:pPr>
              <w:spacing w:line="440" w:lineRule="exact"/>
              <w:jc w:val="center"/>
              <w:rPr>
                <w:rStyle w:val="47"/>
                <w:rFonts w:ascii="宋体" w:hAnsi="宋体"/>
              </w:rPr>
            </w:pPr>
          </w:p>
        </w:tc>
        <w:tc>
          <w:tcPr>
            <w:tcW w:w="2010" w:type="dxa"/>
          </w:tcPr>
          <w:p w14:paraId="38A1526E">
            <w:pPr>
              <w:spacing w:line="440" w:lineRule="exact"/>
              <w:jc w:val="center"/>
              <w:rPr>
                <w:rStyle w:val="47"/>
                <w:rFonts w:ascii="宋体" w:hAnsi="宋体"/>
              </w:rPr>
            </w:pPr>
          </w:p>
        </w:tc>
        <w:tc>
          <w:tcPr>
            <w:tcW w:w="2113" w:type="dxa"/>
          </w:tcPr>
          <w:p w14:paraId="04A4C603">
            <w:pPr>
              <w:spacing w:line="440" w:lineRule="exact"/>
              <w:jc w:val="center"/>
              <w:rPr>
                <w:rStyle w:val="47"/>
                <w:rFonts w:ascii="宋体" w:hAnsi="宋体"/>
              </w:rPr>
            </w:pPr>
          </w:p>
        </w:tc>
      </w:tr>
      <w:tr w14:paraId="1A2A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27201578">
            <w:pPr>
              <w:spacing w:line="440" w:lineRule="exact"/>
              <w:jc w:val="center"/>
              <w:rPr>
                <w:rFonts w:ascii="宋体" w:hAnsi="宋体"/>
              </w:rPr>
            </w:pPr>
            <w:r>
              <w:rPr>
                <w:rStyle w:val="47"/>
                <w:rFonts w:hint="eastAsia" w:ascii="宋体" w:hAnsi="宋体"/>
              </w:rPr>
              <w:t>营运</w:t>
            </w:r>
            <w:r>
              <w:rPr>
                <w:rStyle w:val="47"/>
                <w:rFonts w:ascii="宋体" w:hAnsi="宋体"/>
              </w:rPr>
              <w:t>资</w:t>
            </w:r>
            <w:r>
              <w:rPr>
                <w:rStyle w:val="47"/>
                <w:rFonts w:hint="eastAsia" w:ascii="宋体" w:hAnsi="宋体"/>
              </w:rPr>
              <w:t>金</w:t>
            </w:r>
          </w:p>
        </w:tc>
        <w:tc>
          <w:tcPr>
            <w:tcW w:w="2070" w:type="dxa"/>
          </w:tcPr>
          <w:p w14:paraId="10A8F268">
            <w:pPr>
              <w:spacing w:line="440" w:lineRule="exact"/>
              <w:jc w:val="center"/>
              <w:rPr>
                <w:rStyle w:val="47"/>
                <w:rFonts w:ascii="宋体" w:hAnsi="宋体"/>
              </w:rPr>
            </w:pPr>
          </w:p>
        </w:tc>
        <w:tc>
          <w:tcPr>
            <w:tcW w:w="2010" w:type="dxa"/>
          </w:tcPr>
          <w:p w14:paraId="63DA9086">
            <w:pPr>
              <w:spacing w:line="440" w:lineRule="exact"/>
              <w:jc w:val="center"/>
              <w:rPr>
                <w:rStyle w:val="47"/>
                <w:rFonts w:ascii="宋体" w:hAnsi="宋体"/>
              </w:rPr>
            </w:pPr>
          </w:p>
        </w:tc>
        <w:tc>
          <w:tcPr>
            <w:tcW w:w="2113" w:type="dxa"/>
          </w:tcPr>
          <w:p w14:paraId="1631193A">
            <w:pPr>
              <w:spacing w:line="440" w:lineRule="exact"/>
              <w:jc w:val="center"/>
              <w:rPr>
                <w:rStyle w:val="47"/>
                <w:rFonts w:ascii="宋体" w:hAnsi="宋体"/>
              </w:rPr>
            </w:pPr>
          </w:p>
        </w:tc>
      </w:tr>
      <w:tr w14:paraId="308F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78536B67">
            <w:pPr>
              <w:spacing w:line="440" w:lineRule="exact"/>
              <w:jc w:val="center"/>
              <w:rPr>
                <w:rFonts w:ascii="宋体" w:hAnsi="宋体"/>
              </w:rPr>
            </w:pPr>
            <w:r>
              <w:rPr>
                <w:rStyle w:val="47"/>
                <w:rFonts w:hint="eastAsia" w:ascii="宋体" w:hAnsi="宋体"/>
              </w:rPr>
              <w:t>（本年营业收入-上年营业收入）÷上年营业收入</w:t>
            </w:r>
          </w:p>
        </w:tc>
        <w:tc>
          <w:tcPr>
            <w:tcW w:w="2070" w:type="dxa"/>
          </w:tcPr>
          <w:p w14:paraId="09DD8833">
            <w:pPr>
              <w:spacing w:line="440" w:lineRule="exact"/>
              <w:jc w:val="center"/>
              <w:rPr>
                <w:rStyle w:val="47"/>
                <w:rFonts w:ascii="宋体" w:hAnsi="宋体"/>
              </w:rPr>
            </w:pPr>
          </w:p>
        </w:tc>
        <w:tc>
          <w:tcPr>
            <w:tcW w:w="2010" w:type="dxa"/>
          </w:tcPr>
          <w:p w14:paraId="6E6F6EDF">
            <w:pPr>
              <w:spacing w:line="440" w:lineRule="exact"/>
              <w:jc w:val="center"/>
              <w:rPr>
                <w:rStyle w:val="47"/>
                <w:rFonts w:ascii="宋体" w:hAnsi="宋体"/>
              </w:rPr>
            </w:pPr>
          </w:p>
        </w:tc>
        <w:tc>
          <w:tcPr>
            <w:tcW w:w="2113" w:type="dxa"/>
          </w:tcPr>
          <w:p w14:paraId="2F7A954A">
            <w:pPr>
              <w:spacing w:line="440" w:lineRule="exact"/>
              <w:jc w:val="center"/>
              <w:rPr>
                <w:rStyle w:val="47"/>
                <w:rFonts w:ascii="宋体" w:hAnsi="宋体"/>
              </w:rPr>
            </w:pPr>
          </w:p>
        </w:tc>
      </w:tr>
    </w:tbl>
    <w:p w14:paraId="6DC081DF">
      <w:pPr>
        <w:spacing w:line="440" w:lineRule="exact"/>
        <w:rPr>
          <w:rStyle w:val="47"/>
          <w:rFonts w:ascii="宋体" w:hAnsi="宋体"/>
        </w:rPr>
      </w:pPr>
    </w:p>
    <w:p w14:paraId="68AF245D">
      <w:pPr>
        <w:pStyle w:val="21"/>
        <w:ind w:left="0" w:leftChars="0" w:firstLine="0" w:firstLineChars="0"/>
        <w:rPr>
          <w:rFonts w:hint="eastAsia"/>
          <w:lang w:val="en-US" w:eastAsia="zh-CN"/>
        </w:rPr>
      </w:pPr>
    </w:p>
    <w:p w14:paraId="4DCE7B1F">
      <w:pPr>
        <w:pStyle w:val="21"/>
        <w:rPr>
          <w:rFonts w:hint="eastAsia"/>
        </w:rPr>
      </w:pPr>
    </w:p>
    <w:p w14:paraId="4EA7E0EA">
      <w:pPr>
        <w:pStyle w:val="21"/>
        <w:rPr>
          <w:rFonts w:hint="eastAsia" w:ascii="宋体" w:cs="宋体"/>
          <w:sz w:val="24"/>
          <w:lang w:bidi="ar"/>
        </w:rPr>
      </w:pPr>
    </w:p>
    <w:p w14:paraId="3253C261">
      <w:pPr>
        <w:rPr>
          <w:rFonts w:hint="eastAsia" w:ascii="宋体" w:cs="宋体"/>
          <w:sz w:val="24"/>
          <w:lang w:bidi="ar"/>
        </w:rPr>
      </w:pPr>
    </w:p>
    <w:p w14:paraId="7E65E876">
      <w:pPr>
        <w:pStyle w:val="25"/>
        <w:rPr>
          <w:rFonts w:hint="eastAsia" w:ascii="宋体" w:cs="宋体"/>
          <w:sz w:val="24"/>
          <w:lang w:bidi="ar"/>
        </w:rPr>
      </w:pPr>
    </w:p>
    <w:p w14:paraId="11719F1B">
      <w:pPr>
        <w:pStyle w:val="21"/>
        <w:rPr>
          <w:rFonts w:hint="eastAsia" w:ascii="宋体" w:cs="宋体"/>
          <w:sz w:val="24"/>
          <w:lang w:bidi="ar"/>
        </w:rPr>
      </w:pPr>
    </w:p>
    <w:p w14:paraId="08B25BDC">
      <w:pPr>
        <w:rPr>
          <w:rFonts w:hint="eastAsia" w:ascii="宋体" w:cs="宋体"/>
          <w:sz w:val="24"/>
          <w:lang w:bidi="ar"/>
        </w:rPr>
      </w:pPr>
    </w:p>
    <w:p w14:paraId="6B05FB38">
      <w:pPr>
        <w:pStyle w:val="25"/>
        <w:rPr>
          <w:rFonts w:hint="eastAsia" w:ascii="宋体" w:cs="宋体"/>
          <w:sz w:val="24"/>
          <w:lang w:bidi="ar"/>
        </w:rPr>
      </w:pPr>
    </w:p>
    <w:p w14:paraId="16BCCB81">
      <w:pPr>
        <w:pStyle w:val="21"/>
        <w:rPr>
          <w:rFonts w:hint="eastAsia" w:ascii="宋体" w:cs="宋体"/>
          <w:sz w:val="24"/>
          <w:lang w:bidi="ar"/>
        </w:rPr>
      </w:pPr>
    </w:p>
    <w:p w14:paraId="42F77927">
      <w:pPr>
        <w:rPr>
          <w:rFonts w:hint="eastAsia"/>
          <w:lang w:val="en-US" w:eastAsia="zh-CN"/>
        </w:rPr>
      </w:pPr>
    </w:p>
    <w:p w14:paraId="67848BA0">
      <w:pPr>
        <w:rPr>
          <w:rFonts w:hint="eastAsia"/>
          <w:i w:val="0"/>
          <w:iCs w:val="0"/>
          <w:sz w:val="32"/>
          <w:szCs w:val="32"/>
        </w:rPr>
      </w:pPr>
    </w:p>
    <w:p w14:paraId="5C62C3C8">
      <w:pPr>
        <w:pStyle w:val="4"/>
        <w:jc w:val="center"/>
        <w:rPr>
          <w:i w:val="0"/>
          <w:iCs w:val="0"/>
          <w:sz w:val="32"/>
          <w:szCs w:val="32"/>
        </w:rPr>
      </w:pPr>
      <w:bookmarkStart w:id="12" w:name="_Toc25068"/>
      <w:r>
        <w:rPr>
          <w:rFonts w:hint="eastAsia"/>
          <w:i w:val="0"/>
          <w:iCs w:val="0"/>
          <w:sz w:val="32"/>
          <w:szCs w:val="32"/>
        </w:rPr>
        <w:t xml:space="preserve">第二章  </w:t>
      </w:r>
      <w:r>
        <w:rPr>
          <w:i w:val="0"/>
          <w:iCs w:val="0"/>
          <w:sz w:val="32"/>
          <w:szCs w:val="32"/>
        </w:rPr>
        <w:t>投标人须知</w:t>
      </w:r>
      <w:bookmarkEnd w:id="7"/>
      <w:bookmarkEnd w:id="8"/>
      <w:bookmarkEnd w:id="12"/>
    </w:p>
    <w:p w14:paraId="39D50606">
      <w:pPr>
        <w:pStyle w:val="5"/>
        <w:spacing w:before="0" w:after="0"/>
        <w:jc w:val="center"/>
        <w:rPr>
          <w:sz w:val="30"/>
          <w:szCs w:val="30"/>
        </w:rPr>
      </w:pPr>
      <w:bookmarkStart w:id="13" w:name="_Toc11977"/>
      <w:bookmarkStart w:id="14" w:name="_Toc17817322"/>
      <w:bookmarkStart w:id="15" w:name="_Toc6745"/>
      <w:r>
        <w:rPr>
          <w:sz w:val="30"/>
          <w:szCs w:val="30"/>
        </w:rPr>
        <w:t>投标人须知前附表</w:t>
      </w:r>
      <w:bookmarkEnd w:id="13"/>
      <w:bookmarkEnd w:id="14"/>
      <w:bookmarkEnd w:id="15"/>
    </w:p>
    <w:tbl>
      <w:tblPr>
        <w:tblStyle w:val="26"/>
        <w:tblW w:w="1018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62"/>
        <w:gridCol w:w="2293"/>
        <w:gridCol w:w="6930"/>
      </w:tblGrid>
      <w:tr w14:paraId="22AA30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12" w:space="0"/>
              <w:left w:val="single" w:color="000000" w:sz="12" w:space="0"/>
              <w:bottom w:val="single" w:color="000000" w:sz="6" w:space="0"/>
              <w:right w:val="single" w:color="000000" w:sz="6" w:space="0"/>
            </w:tcBorders>
            <w:vAlign w:val="center"/>
          </w:tcPr>
          <w:p w14:paraId="4C6D4DC5">
            <w:pPr>
              <w:spacing w:line="240" w:lineRule="auto"/>
              <w:rPr>
                <w:rStyle w:val="47"/>
                <w:rFonts w:hint="eastAsia" w:ascii="宋体" w:hAnsi="宋体" w:eastAsia="宋体" w:cs="宋体"/>
                <w:b/>
                <w:sz w:val="21"/>
                <w:szCs w:val="21"/>
              </w:rPr>
            </w:pPr>
            <w:r>
              <w:rPr>
                <w:rStyle w:val="47"/>
                <w:rFonts w:hint="eastAsia" w:ascii="宋体" w:hAnsi="宋体" w:eastAsia="宋体" w:cs="宋体"/>
                <w:b/>
                <w:sz w:val="21"/>
                <w:szCs w:val="21"/>
              </w:rPr>
              <w:t>条款号</w:t>
            </w:r>
          </w:p>
        </w:tc>
        <w:tc>
          <w:tcPr>
            <w:tcW w:w="2293" w:type="dxa"/>
            <w:tcBorders>
              <w:top w:val="single" w:color="000000" w:sz="12" w:space="0"/>
              <w:left w:val="single" w:color="000000" w:sz="6" w:space="0"/>
              <w:bottom w:val="single" w:color="000000" w:sz="6" w:space="0"/>
              <w:right w:val="single" w:color="000000" w:sz="6" w:space="0"/>
            </w:tcBorders>
            <w:vAlign w:val="center"/>
          </w:tcPr>
          <w:p w14:paraId="78A44E6A">
            <w:pPr>
              <w:spacing w:line="240" w:lineRule="auto"/>
              <w:jc w:val="center"/>
              <w:rPr>
                <w:rStyle w:val="47"/>
                <w:rFonts w:hint="eastAsia" w:ascii="宋体" w:hAnsi="宋体" w:eastAsia="宋体" w:cs="宋体"/>
                <w:b/>
                <w:sz w:val="21"/>
                <w:szCs w:val="21"/>
              </w:rPr>
            </w:pPr>
            <w:r>
              <w:rPr>
                <w:rStyle w:val="47"/>
                <w:rFonts w:hint="eastAsia" w:ascii="宋体" w:hAnsi="宋体" w:eastAsia="宋体" w:cs="宋体"/>
                <w:b/>
                <w:sz w:val="21"/>
                <w:szCs w:val="21"/>
              </w:rPr>
              <w:t>条款名称</w:t>
            </w:r>
          </w:p>
        </w:tc>
        <w:tc>
          <w:tcPr>
            <w:tcW w:w="6930" w:type="dxa"/>
            <w:tcBorders>
              <w:top w:val="single" w:color="000000" w:sz="12" w:space="0"/>
              <w:left w:val="single" w:color="000000" w:sz="6" w:space="0"/>
              <w:bottom w:val="single" w:color="000000" w:sz="6" w:space="0"/>
              <w:right w:val="single" w:color="000000" w:sz="12" w:space="0"/>
            </w:tcBorders>
            <w:vAlign w:val="center"/>
          </w:tcPr>
          <w:p w14:paraId="1D148152">
            <w:pPr>
              <w:spacing w:line="240" w:lineRule="auto"/>
              <w:jc w:val="center"/>
              <w:rPr>
                <w:rStyle w:val="47"/>
                <w:rFonts w:hint="eastAsia" w:ascii="宋体" w:hAnsi="宋体" w:eastAsia="宋体" w:cs="宋体"/>
                <w:b/>
                <w:sz w:val="21"/>
                <w:szCs w:val="21"/>
              </w:rPr>
            </w:pPr>
            <w:r>
              <w:rPr>
                <w:rStyle w:val="47"/>
                <w:rFonts w:hint="eastAsia" w:ascii="宋体" w:hAnsi="宋体" w:eastAsia="宋体" w:cs="宋体"/>
                <w:b/>
                <w:sz w:val="21"/>
                <w:szCs w:val="21"/>
              </w:rPr>
              <w:t>编  列  内  容</w:t>
            </w:r>
          </w:p>
        </w:tc>
      </w:tr>
      <w:tr w14:paraId="51FCBA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1FB405C2">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1.1.2</w:t>
            </w:r>
          </w:p>
        </w:tc>
        <w:tc>
          <w:tcPr>
            <w:tcW w:w="2293" w:type="dxa"/>
            <w:tcBorders>
              <w:top w:val="single" w:color="000000" w:sz="6" w:space="0"/>
              <w:left w:val="single" w:color="000000" w:sz="6" w:space="0"/>
              <w:bottom w:val="single" w:color="000000" w:sz="6" w:space="0"/>
              <w:right w:val="single" w:color="000000" w:sz="6" w:space="0"/>
            </w:tcBorders>
            <w:vAlign w:val="center"/>
          </w:tcPr>
          <w:p w14:paraId="06F8BCD2">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招标人</w:t>
            </w:r>
          </w:p>
        </w:tc>
        <w:tc>
          <w:tcPr>
            <w:tcW w:w="6930" w:type="dxa"/>
            <w:tcBorders>
              <w:top w:val="single" w:color="000000" w:sz="6" w:space="0"/>
              <w:left w:val="single" w:color="000000" w:sz="6" w:space="0"/>
              <w:bottom w:val="single" w:color="000000" w:sz="6" w:space="0"/>
              <w:right w:val="single" w:color="000000" w:sz="12" w:space="0"/>
            </w:tcBorders>
          </w:tcPr>
          <w:p w14:paraId="7FA9EF55">
            <w:pPr>
              <w:spacing w:line="240" w:lineRule="auto"/>
              <w:rPr>
                <w:rFonts w:hint="eastAsia" w:ascii="宋体" w:hAnsi="宋体" w:eastAsia="宋体" w:cs="宋体"/>
                <w:sz w:val="21"/>
                <w:szCs w:val="21"/>
                <w:lang w:eastAsia="zh-CN"/>
              </w:rPr>
            </w:pPr>
            <w:r>
              <w:rPr>
                <w:rFonts w:hint="eastAsia" w:ascii="宋体" w:hAnsi="宋体" w:eastAsia="宋体" w:cs="宋体"/>
                <w:sz w:val="21"/>
                <w:szCs w:val="21"/>
              </w:rPr>
              <w:t>名  称：</w:t>
            </w:r>
            <w:r>
              <w:rPr>
                <w:rFonts w:hint="eastAsia" w:ascii="宋体" w:hAnsi="宋体" w:cs="宋体"/>
                <w:kern w:val="0"/>
                <w:sz w:val="21"/>
                <w:szCs w:val="21"/>
                <w:lang w:eastAsia="zh-CN" w:bidi="en-US"/>
              </w:rPr>
              <w:t>中国重汽集团济南动力有限公司</w:t>
            </w:r>
          </w:p>
          <w:p w14:paraId="548A40D7">
            <w:pPr>
              <w:spacing w:line="240" w:lineRule="auto"/>
              <w:rPr>
                <w:rFonts w:hint="eastAsia" w:ascii="宋体" w:hAnsi="宋体" w:eastAsia="宋体" w:cs="宋体"/>
                <w:kern w:val="0"/>
                <w:sz w:val="21"/>
                <w:szCs w:val="21"/>
                <w:lang w:val="en-US" w:eastAsia="zh-CN" w:bidi="en-US"/>
              </w:rPr>
            </w:pPr>
            <w:r>
              <w:rPr>
                <w:rFonts w:hint="eastAsia" w:ascii="宋体" w:hAnsi="宋体" w:eastAsia="宋体" w:cs="宋体"/>
                <w:sz w:val="21"/>
                <w:szCs w:val="21"/>
              </w:rPr>
              <w:t>地  址：</w:t>
            </w:r>
            <w:r>
              <w:rPr>
                <w:rFonts w:hint="eastAsia" w:ascii="宋体" w:hAnsi="宋体" w:eastAsia="宋体" w:cs="宋体"/>
                <w:kern w:val="0"/>
                <w:sz w:val="21"/>
                <w:szCs w:val="21"/>
                <w:lang w:bidi="en-US"/>
              </w:rPr>
              <w:t>山东省济南市</w:t>
            </w:r>
            <w:r>
              <w:rPr>
                <w:rFonts w:hint="eastAsia" w:ascii="宋体" w:hAnsi="宋体" w:eastAsia="宋体" w:cs="宋体"/>
                <w:kern w:val="0"/>
                <w:sz w:val="21"/>
                <w:szCs w:val="21"/>
                <w:lang w:val="en-US" w:eastAsia="zh-CN" w:bidi="en-US"/>
              </w:rPr>
              <w:t>高新区华奥路777号重汽科技大厦</w:t>
            </w:r>
          </w:p>
          <w:p w14:paraId="1E44A8B0">
            <w:pPr>
              <w:spacing w:line="240" w:lineRule="auto"/>
              <w:rPr>
                <w:rFonts w:hint="default" w:ascii="宋体" w:hAnsi="宋体" w:eastAsia="宋体" w:cs="宋体"/>
                <w:kern w:val="0"/>
                <w:sz w:val="21"/>
                <w:szCs w:val="21"/>
                <w:lang w:val="en-US" w:eastAsia="zh-CN" w:bidi="en-US"/>
              </w:rPr>
            </w:pPr>
            <w:r>
              <w:rPr>
                <w:rFonts w:hint="eastAsia" w:ascii="宋体" w:hAnsi="宋体" w:eastAsia="宋体" w:cs="宋体"/>
                <w:kern w:val="0"/>
                <w:sz w:val="21"/>
                <w:szCs w:val="21"/>
                <w:lang w:val="en-US" w:eastAsia="zh-CN" w:bidi="en-US"/>
              </w:rPr>
              <w:t>联系人：</w:t>
            </w:r>
            <w:r>
              <w:rPr>
                <w:rFonts w:hint="eastAsia" w:ascii="宋体" w:hAnsi="宋体" w:cs="宋体"/>
                <w:kern w:val="0"/>
                <w:sz w:val="21"/>
                <w:szCs w:val="21"/>
                <w:lang w:val="en-US" w:eastAsia="zh-CN" w:bidi="en-US"/>
              </w:rPr>
              <w:t>李帅威</w:t>
            </w:r>
          </w:p>
          <w:p w14:paraId="71154E14">
            <w:pPr>
              <w:spacing w:line="240" w:lineRule="auto"/>
              <w:rPr>
                <w:rFonts w:hint="default" w:ascii="宋体" w:hAnsi="宋体" w:eastAsia="宋体" w:cs="宋体"/>
                <w:kern w:val="0"/>
                <w:sz w:val="21"/>
                <w:szCs w:val="21"/>
                <w:lang w:val="en-US" w:eastAsia="zh-CN" w:bidi="en-US"/>
              </w:rPr>
            </w:pPr>
            <w:r>
              <w:rPr>
                <w:rFonts w:hint="eastAsia" w:ascii="宋体" w:hAnsi="宋体" w:eastAsia="宋体" w:cs="宋体"/>
                <w:kern w:val="0"/>
                <w:sz w:val="21"/>
                <w:szCs w:val="21"/>
                <w:lang w:val="en-US" w:eastAsia="zh-CN" w:bidi="en-US"/>
              </w:rPr>
              <w:t>电话：</w:t>
            </w:r>
            <w:r>
              <w:rPr>
                <w:rFonts w:hint="eastAsia" w:ascii="宋体" w:hAnsi="宋体" w:cs="宋体"/>
                <w:kern w:val="0"/>
                <w:sz w:val="21"/>
                <w:szCs w:val="21"/>
                <w:lang w:val="en-US" w:eastAsia="zh-CN" w:bidi="en-US"/>
              </w:rPr>
              <w:t>17860605079</w:t>
            </w:r>
          </w:p>
          <w:p w14:paraId="4B179354">
            <w:pPr>
              <w:spacing w:line="240" w:lineRule="auto"/>
              <w:rPr>
                <w:rFonts w:hint="default" w:ascii="宋体" w:hAnsi="宋体" w:eastAsia="宋体" w:cs="宋体"/>
                <w:sz w:val="21"/>
                <w:szCs w:val="21"/>
                <w:lang w:val="en-US" w:eastAsia="zh-CN"/>
              </w:rPr>
            </w:pPr>
            <w:r>
              <w:rPr>
                <w:rFonts w:hint="eastAsia" w:ascii="宋体" w:hAnsi="宋体" w:eastAsia="宋体" w:cs="宋体"/>
                <w:kern w:val="0"/>
                <w:sz w:val="21"/>
                <w:szCs w:val="21"/>
                <w:lang w:val="en-US" w:eastAsia="zh-CN" w:bidi="en-US"/>
              </w:rPr>
              <w:t>邮箱：</w:t>
            </w:r>
            <w:r>
              <w:rPr>
                <w:rFonts w:hint="eastAsia" w:ascii="宋体" w:hAnsi="宋体" w:cs="宋体"/>
                <w:kern w:val="0"/>
                <w:sz w:val="21"/>
                <w:szCs w:val="21"/>
                <w:lang w:val="en-US" w:eastAsia="zh-CN" w:bidi="en-US"/>
              </w:rPr>
              <w:t>2799063384@qq.com</w:t>
            </w:r>
          </w:p>
        </w:tc>
      </w:tr>
      <w:tr w14:paraId="50C2FE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3D44633">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1.1.4</w:t>
            </w:r>
          </w:p>
        </w:tc>
        <w:tc>
          <w:tcPr>
            <w:tcW w:w="2293" w:type="dxa"/>
            <w:tcBorders>
              <w:top w:val="single" w:color="000000" w:sz="6" w:space="0"/>
              <w:left w:val="single" w:color="000000" w:sz="6" w:space="0"/>
              <w:bottom w:val="single" w:color="000000" w:sz="6" w:space="0"/>
              <w:right w:val="single" w:color="000000" w:sz="6" w:space="0"/>
            </w:tcBorders>
            <w:vAlign w:val="center"/>
          </w:tcPr>
          <w:p w14:paraId="77893D85">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项目名称</w:t>
            </w:r>
          </w:p>
        </w:tc>
        <w:tc>
          <w:tcPr>
            <w:tcW w:w="6930" w:type="dxa"/>
            <w:tcBorders>
              <w:top w:val="single" w:color="000000" w:sz="6" w:space="0"/>
              <w:left w:val="single" w:color="000000" w:sz="6" w:space="0"/>
              <w:bottom w:val="single" w:color="000000" w:sz="6" w:space="0"/>
              <w:right w:val="single" w:color="000000" w:sz="12" w:space="0"/>
            </w:tcBorders>
            <w:vAlign w:val="center"/>
          </w:tcPr>
          <w:p w14:paraId="7A3048F4">
            <w:pPr>
              <w:spacing w:line="240" w:lineRule="auto"/>
              <w:rPr>
                <w:rStyle w:val="47"/>
                <w:rFonts w:hint="eastAsia" w:ascii="宋体" w:hAnsi="宋体" w:eastAsia="宋体" w:cs="宋体"/>
                <w:sz w:val="21"/>
                <w:szCs w:val="21"/>
                <w:u w:val="none"/>
                <w:lang w:val="en-US"/>
              </w:rPr>
            </w:pPr>
            <w:r>
              <w:rPr>
                <w:rStyle w:val="47"/>
                <w:rFonts w:hint="eastAsia" w:ascii="宋体" w:hAnsi="宋体" w:cs="宋体"/>
                <w:sz w:val="21"/>
                <w:szCs w:val="21"/>
                <w:u w:val="none"/>
                <w:lang w:eastAsia="zh-CN"/>
              </w:rPr>
              <w:t>重工集团信访接待室建设技改项目施工</w:t>
            </w:r>
          </w:p>
        </w:tc>
      </w:tr>
      <w:tr w14:paraId="73A0E7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36CBA67D">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1.1.5</w:t>
            </w:r>
          </w:p>
        </w:tc>
        <w:tc>
          <w:tcPr>
            <w:tcW w:w="2293" w:type="dxa"/>
            <w:tcBorders>
              <w:top w:val="single" w:color="000000" w:sz="6" w:space="0"/>
              <w:left w:val="single" w:color="000000" w:sz="6" w:space="0"/>
              <w:bottom w:val="single" w:color="000000" w:sz="6" w:space="0"/>
              <w:right w:val="single" w:color="000000" w:sz="6" w:space="0"/>
            </w:tcBorders>
            <w:vAlign w:val="center"/>
          </w:tcPr>
          <w:p w14:paraId="04B41595">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建设地点</w:t>
            </w:r>
          </w:p>
        </w:tc>
        <w:tc>
          <w:tcPr>
            <w:tcW w:w="6930" w:type="dxa"/>
            <w:tcBorders>
              <w:top w:val="single" w:color="000000" w:sz="6" w:space="0"/>
              <w:left w:val="single" w:color="000000" w:sz="6" w:space="0"/>
              <w:bottom w:val="single" w:color="000000" w:sz="6" w:space="0"/>
              <w:right w:val="single" w:color="000000" w:sz="12" w:space="0"/>
            </w:tcBorders>
            <w:vAlign w:val="center"/>
          </w:tcPr>
          <w:p w14:paraId="0FCFF843">
            <w:pPr>
              <w:spacing w:line="240" w:lineRule="auto"/>
              <w:rPr>
                <w:rStyle w:val="47"/>
                <w:rFonts w:hint="default" w:ascii="宋体" w:hAnsi="宋体" w:eastAsia="宋体" w:cs="宋体"/>
                <w:sz w:val="21"/>
                <w:szCs w:val="21"/>
                <w:u w:val="none"/>
                <w:lang w:val="en-US" w:eastAsia="zh-CN"/>
              </w:rPr>
            </w:pPr>
            <w:r>
              <w:rPr>
                <w:rFonts w:hint="eastAsia" w:ascii="宋体" w:hAnsi="宋体" w:eastAsia="宋体" w:cs="宋体"/>
                <w:kern w:val="0"/>
                <w:sz w:val="21"/>
                <w:szCs w:val="21"/>
                <w:lang w:bidi="en-US"/>
              </w:rPr>
              <w:t>山东省济南市</w:t>
            </w:r>
            <w:r>
              <w:rPr>
                <w:rFonts w:hint="eastAsia" w:ascii="宋体" w:hAnsi="宋体" w:eastAsia="宋体" w:cs="宋体"/>
                <w:kern w:val="0"/>
                <w:sz w:val="21"/>
                <w:szCs w:val="21"/>
                <w:lang w:val="en-US" w:eastAsia="zh-CN" w:bidi="en-US"/>
              </w:rPr>
              <w:t>高新区华奥路777号</w:t>
            </w:r>
            <w:r>
              <w:rPr>
                <w:rFonts w:hint="eastAsia" w:ascii="宋体" w:hAnsi="宋体" w:eastAsia="宋体" w:cs="宋体"/>
                <w:kern w:val="0"/>
                <w:sz w:val="21"/>
                <w:szCs w:val="21"/>
                <w:u w:val="none"/>
                <w:lang w:val="en-US" w:eastAsia="zh-CN" w:bidi="en-US"/>
              </w:rPr>
              <w:t>重汽科技园区</w:t>
            </w:r>
            <w:r>
              <w:rPr>
                <w:rFonts w:hint="eastAsia" w:ascii="宋体" w:hAnsi="宋体" w:cs="宋体"/>
                <w:kern w:val="0"/>
                <w:sz w:val="21"/>
                <w:szCs w:val="21"/>
                <w:u w:val="none"/>
                <w:lang w:val="en-US" w:eastAsia="zh-CN" w:bidi="en-US"/>
              </w:rPr>
              <w:t>东二门</w:t>
            </w:r>
          </w:p>
        </w:tc>
      </w:tr>
      <w:tr w14:paraId="017026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71CF3404">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1.2.1</w:t>
            </w:r>
          </w:p>
        </w:tc>
        <w:tc>
          <w:tcPr>
            <w:tcW w:w="2293" w:type="dxa"/>
            <w:tcBorders>
              <w:top w:val="single" w:color="000000" w:sz="6" w:space="0"/>
              <w:left w:val="single" w:color="000000" w:sz="6" w:space="0"/>
              <w:bottom w:val="single" w:color="000000" w:sz="6" w:space="0"/>
              <w:right w:val="single" w:color="000000" w:sz="6" w:space="0"/>
            </w:tcBorders>
            <w:vAlign w:val="center"/>
          </w:tcPr>
          <w:p w14:paraId="5E59BF6F">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资金来源</w:t>
            </w:r>
          </w:p>
        </w:tc>
        <w:tc>
          <w:tcPr>
            <w:tcW w:w="6930" w:type="dxa"/>
            <w:tcBorders>
              <w:top w:val="single" w:color="000000" w:sz="6" w:space="0"/>
              <w:left w:val="single" w:color="000000" w:sz="6" w:space="0"/>
              <w:bottom w:val="single" w:color="000000" w:sz="6" w:space="0"/>
              <w:right w:val="single" w:color="000000" w:sz="12" w:space="0"/>
            </w:tcBorders>
            <w:vAlign w:val="center"/>
          </w:tcPr>
          <w:p w14:paraId="09937396">
            <w:pPr>
              <w:spacing w:line="240" w:lineRule="auto"/>
              <w:rPr>
                <w:rStyle w:val="47"/>
                <w:rFonts w:hint="eastAsia" w:ascii="宋体" w:hAnsi="宋体" w:eastAsia="宋体" w:cs="宋体"/>
                <w:sz w:val="21"/>
                <w:szCs w:val="21"/>
                <w:u w:val="none"/>
              </w:rPr>
            </w:pPr>
            <w:r>
              <w:rPr>
                <w:rStyle w:val="47"/>
                <w:rFonts w:hint="eastAsia" w:ascii="宋体" w:hAnsi="宋体" w:eastAsia="宋体" w:cs="宋体"/>
                <w:sz w:val="21"/>
                <w:szCs w:val="21"/>
                <w:u w:val="none"/>
              </w:rPr>
              <w:t>自筹</w:t>
            </w:r>
          </w:p>
        </w:tc>
      </w:tr>
      <w:tr w14:paraId="67EA28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D6F5967">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1.2.2</w:t>
            </w:r>
          </w:p>
        </w:tc>
        <w:tc>
          <w:tcPr>
            <w:tcW w:w="2293" w:type="dxa"/>
            <w:tcBorders>
              <w:top w:val="single" w:color="000000" w:sz="6" w:space="0"/>
              <w:left w:val="single" w:color="000000" w:sz="6" w:space="0"/>
              <w:bottom w:val="single" w:color="000000" w:sz="6" w:space="0"/>
              <w:right w:val="single" w:color="000000" w:sz="6" w:space="0"/>
            </w:tcBorders>
            <w:vAlign w:val="center"/>
          </w:tcPr>
          <w:p w14:paraId="294635DA">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出资比例</w:t>
            </w:r>
          </w:p>
        </w:tc>
        <w:tc>
          <w:tcPr>
            <w:tcW w:w="6930" w:type="dxa"/>
            <w:tcBorders>
              <w:top w:val="single" w:color="000000" w:sz="6" w:space="0"/>
              <w:left w:val="single" w:color="000000" w:sz="6" w:space="0"/>
              <w:bottom w:val="single" w:color="000000" w:sz="6" w:space="0"/>
              <w:right w:val="single" w:color="000000" w:sz="12" w:space="0"/>
            </w:tcBorders>
            <w:vAlign w:val="center"/>
          </w:tcPr>
          <w:p w14:paraId="2E706E13">
            <w:pPr>
              <w:spacing w:line="240" w:lineRule="auto"/>
              <w:rPr>
                <w:rStyle w:val="47"/>
                <w:rFonts w:hint="eastAsia" w:ascii="宋体" w:hAnsi="宋体" w:eastAsia="宋体" w:cs="宋体"/>
                <w:sz w:val="21"/>
                <w:szCs w:val="21"/>
                <w:u w:val="none"/>
              </w:rPr>
            </w:pPr>
            <w:r>
              <w:rPr>
                <w:rStyle w:val="47"/>
                <w:rFonts w:hint="eastAsia" w:ascii="宋体" w:hAnsi="宋体" w:eastAsia="宋体" w:cs="宋体"/>
                <w:sz w:val="21"/>
                <w:szCs w:val="21"/>
                <w:u w:val="none"/>
              </w:rPr>
              <w:t>100%</w:t>
            </w:r>
          </w:p>
        </w:tc>
      </w:tr>
      <w:tr w14:paraId="0D7BC2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9556763">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1.2.3</w:t>
            </w:r>
          </w:p>
        </w:tc>
        <w:tc>
          <w:tcPr>
            <w:tcW w:w="2293" w:type="dxa"/>
            <w:tcBorders>
              <w:top w:val="single" w:color="000000" w:sz="6" w:space="0"/>
              <w:left w:val="single" w:color="000000" w:sz="6" w:space="0"/>
              <w:bottom w:val="single" w:color="000000" w:sz="6" w:space="0"/>
              <w:right w:val="single" w:color="000000" w:sz="6" w:space="0"/>
            </w:tcBorders>
            <w:vAlign w:val="center"/>
          </w:tcPr>
          <w:p w14:paraId="6970208B">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资金落实情况</w:t>
            </w:r>
          </w:p>
        </w:tc>
        <w:tc>
          <w:tcPr>
            <w:tcW w:w="6930" w:type="dxa"/>
            <w:tcBorders>
              <w:top w:val="single" w:color="000000" w:sz="6" w:space="0"/>
              <w:left w:val="single" w:color="000000" w:sz="6" w:space="0"/>
              <w:bottom w:val="single" w:color="000000" w:sz="6" w:space="0"/>
              <w:right w:val="single" w:color="000000" w:sz="12" w:space="0"/>
            </w:tcBorders>
            <w:vAlign w:val="center"/>
          </w:tcPr>
          <w:p w14:paraId="6CE4CF9D">
            <w:pPr>
              <w:spacing w:line="240" w:lineRule="auto"/>
              <w:rPr>
                <w:rStyle w:val="47"/>
                <w:rFonts w:hint="eastAsia" w:ascii="宋体" w:hAnsi="宋体" w:eastAsia="宋体" w:cs="宋体"/>
                <w:sz w:val="21"/>
                <w:szCs w:val="21"/>
                <w:u w:val="none"/>
              </w:rPr>
            </w:pPr>
            <w:r>
              <w:rPr>
                <w:rStyle w:val="47"/>
                <w:rFonts w:hint="eastAsia" w:ascii="宋体" w:hAnsi="宋体" w:eastAsia="宋体" w:cs="宋体"/>
                <w:sz w:val="21"/>
                <w:szCs w:val="21"/>
                <w:u w:val="none"/>
              </w:rPr>
              <w:t>已落实</w:t>
            </w:r>
          </w:p>
        </w:tc>
      </w:tr>
      <w:tr w14:paraId="5FBDA4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7E8CD16">
            <w:pPr>
              <w:spacing w:line="240" w:lineRule="auto"/>
              <w:rPr>
                <w:rStyle w:val="47"/>
                <w:rFonts w:hint="eastAsia" w:ascii="宋体" w:hAnsi="宋体" w:eastAsia="宋体" w:cs="宋体"/>
                <w:sz w:val="21"/>
                <w:szCs w:val="21"/>
                <w:highlight w:val="none"/>
              </w:rPr>
            </w:pPr>
            <w:r>
              <w:rPr>
                <w:rStyle w:val="47"/>
                <w:rFonts w:hint="eastAsia" w:ascii="宋体" w:hAnsi="宋体" w:eastAsia="宋体" w:cs="宋体"/>
                <w:sz w:val="21"/>
                <w:szCs w:val="21"/>
                <w:highlight w:val="none"/>
              </w:rPr>
              <w:t>1.3.1</w:t>
            </w:r>
          </w:p>
        </w:tc>
        <w:tc>
          <w:tcPr>
            <w:tcW w:w="2293" w:type="dxa"/>
            <w:tcBorders>
              <w:top w:val="single" w:color="000000" w:sz="6" w:space="0"/>
              <w:left w:val="single" w:color="000000" w:sz="6" w:space="0"/>
              <w:bottom w:val="single" w:color="000000" w:sz="6" w:space="0"/>
              <w:right w:val="single" w:color="000000" w:sz="6" w:space="0"/>
            </w:tcBorders>
            <w:vAlign w:val="center"/>
          </w:tcPr>
          <w:p w14:paraId="6E1DDF96">
            <w:pPr>
              <w:spacing w:line="240" w:lineRule="auto"/>
              <w:rPr>
                <w:rStyle w:val="47"/>
                <w:rFonts w:hint="eastAsia" w:ascii="宋体" w:hAnsi="宋体" w:eastAsia="宋体" w:cs="宋体"/>
                <w:sz w:val="21"/>
                <w:szCs w:val="21"/>
                <w:highlight w:val="none"/>
              </w:rPr>
            </w:pPr>
            <w:r>
              <w:rPr>
                <w:rStyle w:val="47"/>
                <w:rFonts w:hint="eastAsia" w:ascii="宋体" w:hAnsi="宋体" w:eastAsia="宋体" w:cs="宋体"/>
                <w:sz w:val="21"/>
                <w:szCs w:val="21"/>
                <w:highlight w:val="none"/>
              </w:rPr>
              <w:t>招标范围</w:t>
            </w:r>
          </w:p>
        </w:tc>
        <w:tc>
          <w:tcPr>
            <w:tcW w:w="6930" w:type="dxa"/>
            <w:tcBorders>
              <w:top w:val="single" w:color="000000" w:sz="6" w:space="0"/>
              <w:left w:val="single" w:color="000000" w:sz="6" w:space="0"/>
              <w:bottom w:val="single" w:color="000000" w:sz="6" w:space="0"/>
              <w:right w:val="single" w:color="000000" w:sz="12" w:space="0"/>
            </w:tcBorders>
          </w:tcPr>
          <w:p w14:paraId="54C9A97E">
            <w:pPr>
              <w:pStyle w:val="11"/>
              <w:ind w:firstLine="420" w:firstLineChars="200"/>
              <w:rPr>
                <w:rStyle w:val="47"/>
                <w:rFonts w:hint="eastAsia" w:ascii="宋体" w:hAnsi="宋体" w:eastAsia="宋体" w:cs="宋体"/>
                <w:sz w:val="21"/>
                <w:szCs w:val="21"/>
                <w:u w:val="none"/>
                <w:lang w:val="en-US" w:eastAsia="zh-CN"/>
              </w:rPr>
            </w:pPr>
            <w:r>
              <w:rPr>
                <w:rStyle w:val="47"/>
                <w:rFonts w:hint="eastAsia" w:ascii="宋体" w:hAnsi="宋体" w:eastAsia="宋体" w:cs="宋体"/>
                <w:sz w:val="21"/>
                <w:szCs w:val="21"/>
                <w:u w:val="none"/>
                <w:lang w:val="en-US" w:eastAsia="zh-CN"/>
              </w:rPr>
              <w:t>重工集团信访接待室建设技改项目施工，主要内容：地面硬化、信访室板房、拆除吊装及围栏，包括板房电气安装及装饰工程等。</w:t>
            </w:r>
          </w:p>
          <w:p w14:paraId="17DB898E">
            <w:pPr>
              <w:pStyle w:val="11"/>
              <w:ind w:firstLine="420" w:firstLineChars="200"/>
              <w:rPr>
                <w:rFonts w:hint="eastAsia" w:eastAsia="楷体_GB2312"/>
                <w:lang w:eastAsia="zh-CN"/>
              </w:rPr>
            </w:pPr>
            <w:r>
              <w:rPr>
                <w:rStyle w:val="47"/>
                <w:rFonts w:hint="eastAsia" w:ascii="宋体" w:hAnsi="宋体" w:eastAsia="宋体" w:cs="宋体"/>
                <w:sz w:val="21"/>
                <w:szCs w:val="21"/>
                <w:u w:val="none"/>
                <w:lang w:val="en-US" w:eastAsia="zh-CN"/>
              </w:rPr>
              <w:t>本项目招标范围包括但不限于施工图纸范围内的全部工作内容，包括板房二次深化设计（深化设计方案需征得发包人认可后方可施工）、所有设备材料的采购供货、安装施工、调试、验收、质量保修、售后服务，以及清单外新增施工内容等。具体详见招标文件、图纸及工程量清单。</w:t>
            </w:r>
          </w:p>
        </w:tc>
      </w:tr>
      <w:tr w14:paraId="099BBD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0767B8CA">
            <w:pPr>
              <w:spacing w:line="240" w:lineRule="auto"/>
              <w:rPr>
                <w:rStyle w:val="47"/>
                <w:rFonts w:hint="eastAsia" w:ascii="宋体" w:hAnsi="宋体" w:eastAsia="宋体" w:cs="宋体"/>
                <w:sz w:val="21"/>
                <w:szCs w:val="21"/>
                <w:highlight w:val="none"/>
              </w:rPr>
            </w:pPr>
            <w:r>
              <w:rPr>
                <w:rStyle w:val="47"/>
                <w:rFonts w:hint="eastAsia" w:ascii="宋体" w:hAnsi="宋体" w:eastAsia="宋体" w:cs="宋体"/>
                <w:sz w:val="21"/>
                <w:szCs w:val="21"/>
                <w:highlight w:val="none"/>
              </w:rPr>
              <w:t>1.3.2</w:t>
            </w:r>
          </w:p>
        </w:tc>
        <w:tc>
          <w:tcPr>
            <w:tcW w:w="2293" w:type="dxa"/>
            <w:tcBorders>
              <w:top w:val="single" w:color="000000" w:sz="6" w:space="0"/>
              <w:left w:val="single" w:color="000000" w:sz="6" w:space="0"/>
              <w:bottom w:val="single" w:color="000000" w:sz="6" w:space="0"/>
              <w:right w:val="single" w:color="000000" w:sz="6" w:space="0"/>
            </w:tcBorders>
            <w:vAlign w:val="center"/>
          </w:tcPr>
          <w:p w14:paraId="4A773142">
            <w:pPr>
              <w:spacing w:line="240" w:lineRule="auto"/>
              <w:rPr>
                <w:rFonts w:hint="eastAsia" w:ascii="宋体" w:hAnsi="宋体" w:eastAsia="宋体" w:cs="宋体"/>
                <w:b/>
                <w:bCs/>
                <w:sz w:val="21"/>
                <w:szCs w:val="21"/>
                <w:highlight w:val="none"/>
              </w:rPr>
            </w:pPr>
            <w:r>
              <w:rPr>
                <w:rStyle w:val="47"/>
                <w:rFonts w:hint="eastAsia" w:ascii="宋体" w:hAnsi="宋体" w:eastAsia="宋体" w:cs="宋体"/>
                <w:color w:val="auto"/>
                <w:sz w:val="21"/>
                <w:szCs w:val="21"/>
                <w:highlight w:val="none"/>
              </w:rPr>
              <w:t>计划工期</w:t>
            </w:r>
          </w:p>
        </w:tc>
        <w:tc>
          <w:tcPr>
            <w:tcW w:w="6930" w:type="dxa"/>
            <w:tcBorders>
              <w:top w:val="single" w:color="000000" w:sz="6" w:space="0"/>
              <w:left w:val="single" w:color="000000" w:sz="6" w:space="0"/>
              <w:bottom w:val="single" w:color="000000" w:sz="6" w:space="0"/>
              <w:right w:val="single" w:color="000000" w:sz="12" w:space="0"/>
            </w:tcBorders>
          </w:tcPr>
          <w:p w14:paraId="7A5A1293">
            <w:pPr>
              <w:spacing w:line="240" w:lineRule="auto"/>
              <w:ind w:firstLine="210" w:firstLineChars="100"/>
              <w:rPr>
                <w:rFonts w:hint="eastAsia" w:ascii="宋体" w:hAnsi="宋体" w:eastAsia="宋体" w:cs="宋体"/>
                <w:sz w:val="21"/>
                <w:szCs w:val="21"/>
                <w:highlight w:val="none"/>
                <w:u w:val="none"/>
                <w:lang w:eastAsia="zh-CN"/>
              </w:rPr>
            </w:pPr>
            <w:r>
              <w:rPr>
                <w:rFonts w:hint="eastAsia" w:ascii="宋体" w:hAnsi="宋体" w:eastAsia="宋体" w:cs="宋体"/>
                <w:sz w:val="21"/>
                <w:szCs w:val="21"/>
                <w:highlight w:val="none"/>
                <w:u w:val="none"/>
              </w:rPr>
              <w:t>计划总工期：</w:t>
            </w:r>
            <w:r>
              <w:rPr>
                <w:rFonts w:hint="eastAsia" w:ascii="宋体" w:hAnsi="宋体" w:cs="宋体"/>
                <w:sz w:val="21"/>
                <w:szCs w:val="21"/>
                <w:highlight w:val="none"/>
                <w:u w:val="none"/>
                <w:lang w:val="en-US" w:eastAsia="zh-CN"/>
              </w:rPr>
              <w:t>30</w:t>
            </w:r>
            <w:r>
              <w:rPr>
                <w:rFonts w:hint="eastAsia" w:ascii="宋体" w:hAnsi="宋体" w:eastAsia="宋体" w:cs="宋体"/>
                <w:sz w:val="21"/>
                <w:szCs w:val="21"/>
                <w:highlight w:val="none"/>
                <w:u w:val="none"/>
              </w:rPr>
              <w:t>日历天</w:t>
            </w:r>
          </w:p>
          <w:p w14:paraId="2BDE4FED">
            <w:pPr>
              <w:spacing w:line="240" w:lineRule="auto"/>
              <w:ind w:firstLine="210" w:firstLineChars="100"/>
              <w:rPr>
                <w:rFonts w:hint="eastAsia" w:ascii="宋体" w:hAnsi="宋体" w:eastAsia="宋体" w:cs="宋体"/>
                <w:sz w:val="21"/>
                <w:szCs w:val="21"/>
                <w:highlight w:val="none"/>
                <w:u w:val="none"/>
              </w:rPr>
            </w:pPr>
            <w:r>
              <w:rPr>
                <w:rFonts w:hint="eastAsia" w:ascii="宋体" w:hAnsi="宋体" w:eastAsia="宋体" w:cs="宋体"/>
                <w:sz w:val="21"/>
                <w:szCs w:val="21"/>
                <w:highlight w:val="none"/>
                <w:u w:val="none"/>
              </w:rPr>
              <w:t>计划开工日期：202</w:t>
            </w:r>
            <w:r>
              <w:rPr>
                <w:rFonts w:hint="eastAsia" w:ascii="宋体" w:hAnsi="宋体" w:eastAsia="宋体" w:cs="宋体"/>
                <w:sz w:val="21"/>
                <w:szCs w:val="21"/>
                <w:highlight w:val="none"/>
                <w:u w:val="none"/>
                <w:lang w:val="en-US" w:eastAsia="zh-CN"/>
              </w:rPr>
              <w:t>5</w:t>
            </w:r>
            <w:r>
              <w:rPr>
                <w:rFonts w:hint="eastAsia" w:ascii="宋体" w:hAnsi="宋体" w:eastAsia="宋体" w:cs="宋体"/>
                <w:sz w:val="21"/>
                <w:szCs w:val="21"/>
                <w:highlight w:val="none"/>
                <w:u w:val="none"/>
              </w:rPr>
              <w:t>年</w:t>
            </w:r>
            <w:r>
              <w:rPr>
                <w:rFonts w:hint="eastAsia" w:ascii="宋体" w:hAnsi="宋体" w:cs="宋体"/>
                <w:sz w:val="21"/>
                <w:szCs w:val="21"/>
                <w:highlight w:val="none"/>
                <w:u w:val="none"/>
                <w:lang w:val="en-US" w:eastAsia="zh-CN"/>
              </w:rPr>
              <w:t>11</w:t>
            </w:r>
            <w:r>
              <w:rPr>
                <w:rFonts w:hint="eastAsia" w:ascii="宋体" w:hAnsi="宋体" w:eastAsia="宋体" w:cs="宋体"/>
                <w:sz w:val="21"/>
                <w:szCs w:val="21"/>
                <w:highlight w:val="none"/>
                <w:u w:val="none"/>
              </w:rPr>
              <w:t>月</w:t>
            </w:r>
            <w:r>
              <w:rPr>
                <w:rFonts w:hint="eastAsia" w:ascii="宋体" w:hAnsi="宋体" w:cs="宋体"/>
                <w:sz w:val="21"/>
                <w:szCs w:val="21"/>
                <w:highlight w:val="none"/>
                <w:u w:val="none"/>
                <w:lang w:val="en-US" w:eastAsia="zh-CN"/>
              </w:rPr>
              <w:t>21</w:t>
            </w:r>
            <w:r>
              <w:rPr>
                <w:rFonts w:hint="eastAsia" w:ascii="宋体" w:hAnsi="宋体" w:eastAsia="宋体" w:cs="宋体"/>
                <w:sz w:val="21"/>
                <w:szCs w:val="21"/>
                <w:highlight w:val="none"/>
                <w:u w:val="none"/>
              </w:rPr>
              <w:t>日（以招标人开工令为准）</w:t>
            </w:r>
          </w:p>
          <w:p w14:paraId="29D38641">
            <w:pPr>
              <w:spacing w:line="240" w:lineRule="auto"/>
              <w:ind w:firstLine="210" w:firstLineChars="100"/>
              <w:rPr>
                <w:rFonts w:hint="eastAsia"/>
              </w:rPr>
            </w:pPr>
            <w:r>
              <w:rPr>
                <w:rFonts w:hint="eastAsia" w:ascii="宋体" w:hAnsi="宋体" w:eastAsia="宋体" w:cs="宋体"/>
                <w:sz w:val="21"/>
                <w:szCs w:val="21"/>
                <w:highlight w:val="none"/>
                <w:u w:val="none"/>
              </w:rPr>
              <w:t>计划竣工日期：202</w:t>
            </w:r>
            <w:r>
              <w:rPr>
                <w:rFonts w:hint="eastAsia" w:ascii="宋体" w:hAnsi="宋体" w:cs="宋体"/>
                <w:sz w:val="21"/>
                <w:szCs w:val="21"/>
                <w:highlight w:val="none"/>
                <w:u w:val="none"/>
                <w:lang w:val="en-US" w:eastAsia="zh-CN"/>
              </w:rPr>
              <w:t>6</w:t>
            </w:r>
            <w:r>
              <w:rPr>
                <w:rFonts w:hint="eastAsia" w:ascii="宋体" w:hAnsi="宋体" w:eastAsia="宋体" w:cs="宋体"/>
                <w:sz w:val="21"/>
                <w:szCs w:val="21"/>
                <w:highlight w:val="none"/>
                <w:u w:val="none"/>
              </w:rPr>
              <w:t>年</w:t>
            </w:r>
            <w:r>
              <w:rPr>
                <w:rFonts w:hint="eastAsia" w:ascii="宋体" w:hAnsi="宋体" w:cs="宋体"/>
                <w:sz w:val="21"/>
                <w:szCs w:val="21"/>
                <w:highlight w:val="none"/>
                <w:u w:val="none"/>
                <w:lang w:val="en-US" w:eastAsia="zh-CN"/>
              </w:rPr>
              <w:t>12</w:t>
            </w:r>
            <w:r>
              <w:rPr>
                <w:rFonts w:hint="eastAsia" w:ascii="宋体" w:hAnsi="宋体" w:eastAsia="宋体" w:cs="宋体"/>
                <w:sz w:val="21"/>
                <w:szCs w:val="21"/>
                <w:highlight w:val="none"/>
                <w:u w:val="none"/>
              </w:rPr>
              <w:t>月</w:t>
            </w:r>
            <w:r>
              <w:rPr>
                <w:rFonts w:hint="eastAsia" w:ascii="宋体" w:hAnsi="宋体" w:cs="宋体"/>
                <w:sz w:val="21"/>
                <w:szCs w:val="21"/>
                <w:highlight w:val="none"/>
                <w:u w:val="none"/>
                <w:lang w:val="en-US" w:eastAsia="zh-CN"/>
              </w:rPr>
              <w:t>20</w:t>
            </w:r>
            <w:r>
              <w:rPr>
                <w:rFonts w:hint="eastAsia" w:ascii="宋体" w:hAnsi="宋体" w:eastAsia="宋体" w:cs="宋体"/>
                <w:sz w:val="21"/>
                <w:szCs w:val="21"/>
                <w:highlight w:val="none"/>
                <w:u w:val="none"/>
              </w:rPr>
              <w:t>日</w:t>
            </w:r>
          </w:p>
        </w:tc>
      </w:tr>
      <w:tr w14:paraId="7A7BE0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5FC0B23">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1.3.3</w:t>
            </w:r>
          </w:p>
        </w:tc>
        <w:tc>
          <w:tcPr>
            <w:tcW w:w="2293" w:type="dxa"/>
            <w:tcBorders>
              <w:top w:val="single" w:color="000000" w:sz="6" w:space="0"/>
              <w:left w:val="single" w:color="000000" w:sz="6" w:space="0"/>
              <w:bottom w:val="single" w:color="000000" w:sz="6" w:space="0"/>
              <w:right w:val="single" w:color="000000" w:sz="6" w:space="0"/>
            </w:tcBorders>
            <w:vAlign w:val="center"/>
          </w:tcPr>
          <w:p w14:paraId="5E445E44">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质量要求</w:t>
            </w:r>
          </w:p>
        </w:tc>
        <w:tc>
          <w:tcPr>
            <w:tcW w:w="6930" w:type="dxa"/>
            <w:tcBorders>
              <w:top w:val="single" w:color="000000" w:sz="6" w:space="0"/>
              <w:left w:val="single" w:color="000000" w:sz="6" w:space="0"/>
              <w:bottom w:val="single" w:color="000000" w:sz="6" w:space="0"/>
              <w:right w:val="single" w:color="000000" w:sz="12" w:space="0"/>
            </w:tcBorders>
          </w:tcPr>
          <w:p w14:paraId="3903F090">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质量标准：</w:t>
            </w:r>
            <w:r>
              <w:rPr>
                <w:rStyle w:val="47"/>
                <w:rFonts w:hint="eastAsia" w:ascii="宋体" w:hAnsi="宋体" w:eastAsia="宋体" w:cs="宋体"/>
                <w:sz w:val="21"/>
                <w:szCs w:val="21"/>
                <w:u w:val="single"/>
              </w:rPr>
              <w:t>合格</w:t>
            </w:r>
            <w:r>
              <w:rPr>
                <w:rStyle w:val="47"/>
                <w:rFonts w:hint="eastAsia" w:ascii="宋体" w:hAnsi="宋体" w:eastAsia="宋体" w:cs="宋体"/>
                <w:sz w:val="21"/>
                <w:szCs w:val="21"/>
              </w:rPr>
              <w:t>；</w:t>
            </w:r>
          </w:p>
          <w:p w14:paraId="46A72702">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关于质量要求的详细说明见第七章“技术标准和要求”。</w:t>
            </w:r>
          </w:p>
        </w:tc>
      </w:tr>
      <w:tr w14:paraId="3FA3C3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jc w:val="center"/>
        </w:trPr>
        <w:tc>
          <w:tcPr>
            <w:tcW w:w="962" w:type="dxa"/>
            <w:vMerge w:val="restart"/>
            <w:tcBorders>
              <w:top w:val="single" w:color="000000" w:sz="6" w:space="0"/>
              <w:left w:val="single" w:color="000000" w:sz="12" w:space="0"/>
              <w:bottom w:val="single" w:color="000000" w:sz="6" w:space="0"/>
              <w:right w:val="single" w:color="000000" w:sz="6" w:space="0"/>
            </w:tcBorders>
            <w:vAlign w:val="center"/>
          </w:tcPr>
          <w:p w14:paraId="4D82DD10">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1.4.1</w:t>
            </w:r>
          </w:p>
        </w:tc>
        <w:tc>
          <w:tcPr>
            <w:tcW w:w="2293" w:type="dxa"/>
            <w:tcBorders>
              <w:top w:val="single" w:color="000000" w:sz="6" w:space="0"/>
              <w:left w:val="single" w:color="000000" w:sz="6" w:space="0"/>
              <w:bottom w:val="single" w:color="000000" w:sz="6" w:space="0"/>
              <w:right w:val="single" w:color="000000" w:sz="6" w:space="0"/>
            </w:tcBorders>
            <w:vAlign w:val="center"/>
          </w:tcPr>
          <w:p w14:paraId="7B45A479">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投标人资格</w:t>
            </w:r>
          </w:p>
        </w:tc>
        <w:tc>
          <w:tcPr>
            <w:tcW w:w="6930" w:type="dxa"/>
            <w:tcBorders>
              <w:top w:val="single" w:color="000000" w:sz="6" w:space="0"/>
              <w:left w:val="single" w:color="000000" w:sz="6" w:space="0"/>
              <w:bottom w:val="single" w:color="000000" w:sz="6" w:space="0"/>
              <w:right w:val="single" w:color="000000" w:sz="12" w:space="0"/>
            </w:tcBorders>
          </w:tcPr>
          <w:p w14:paraId="5DBFAD30">
            <w:pPr>
              <w:widowControl/>
              <w:spacing w:line="24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（1）投标人必须是在中华人民共和国境内注册的独立法人机构，具有独立承担民事责任能力，注册资金不少于</w:t>
            </w:r>
            <w:r>
              <w:rPr>
                <w:rFonts w:hint="eastAsia" w:ascii="宋体" w:hAnsi="宋体" w:cs="宋体"/>
                <w:kern w:val="0"/>
                <w:sz w:val="21"/>
                <w:szCs w:val="21"/>
                <w:lang w:val="en-US" w:eastAsia="zh-CN" w:bidi="en-US"/>
              </w:rPr>
              <w:t>本项目标的额或不少于</w:t>
            </w:r>
            <w:r>
              <w:rPr>
                <w:rFonts w:hint="eastAsia" w:ascii="宋体" w:hAnsi="宋体" w:eastAsia="宋体" w:cs="宋体"/>
                <w:kern w:val="0"/>
                <w:sz w:val="21"/>
                <w:szCs w:val="21"/>
                <w:lang w:bidi="en-US"/>
              </w:rPr>
              <w:t>500万人民币；公司成立三年以上（以营业执照成立日期到开标当日满三年为准）；并在人员、设备、资金等方面具有承担本项目的能力；</w:t>
            </w:r>
          </w:p>
          <w:p w14:paraId="5DF5E018">
            <w:pPr>
              <w:widowControl/>
              <w:spacing w:line="24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（2）投标人资质要求：须具有建筑施工总承包三级或建筑机电安装工程专业承包三级及以上资质，并具有有效的安全生产许可证；</w:t>
            </w:r>
          </w:p>
          <w:p w14:paraId="7AAC8FD8">
            <w:pPr>
              <w:widowControl/>
              <w:spacing w:line="24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（3）投标人拟派项目负责人要求：须具备建筑或机电工程专业二级注册建造师证书，具有有效的安全考核合格B证且不得担任其他在施建设工程项目的项目经理；</w:t>
            </w:r>
          </w:p>
          <w:p w14:paraId="1CFB247F">
            <w:pPr>
              <w:widowControl/>
              <w:spacing w:line="24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（4）单位负责人为同一人或者存在控股、管理关系的不同投标人，不得同时报名参加本次招标活动，否则须另提供上级单位对本项目投标的授权；</w:t>
            </w:r>
          </w:p>
          <w:p w14:paraId="14CFE769">
            <w:pPr>
              <w:widowControl/>
              <w:spacing w:line="24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（5）财务要求：近三年财务状况良好（近三年指2022、2023、2024年，要求包含企业最近半年完税证明、中国人民银行征信报告、年度纳税信用评价信息、企业对外担保说明）；</w:t>
            </w:r>
          </w:p>
          <w:p w14:paraId="3EFC4159">
            <w:pPr>
              <w:widowControl/>
              <w:spacing w:line="24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（6）信誉要求：公司信誉良好，无行政处罚及失信记录等信息，无违法违规等不良行为，无招标违规、谎报年度报告信息、提供虚假资质资料等行为或其他行政处罚记录；</w:t>
            </w:r>
          </w:p>
          <w:p w14:paraId="1721A2D3">
            <w:pPr>
              <w:widowControl/>
              <w:spacing w:line="240" w:lineRule="auto"/>
              <w:ind w:firstLine="420" w:firstLineChars="200"/>
              <w:jc w:val="left"/>
              <w:rPr>
                <w:rFonts w:hint="eastAsia" w:ascii="宋体" w:hAnsi="宋体" w:eastAsia="宋体" w:cs="宋体"/>
                <w:kern w:val="0"/>
                <w:sz w:val="21"/>
                <w:szCs w:val="21"/>
                <w:highlight w:val="none"/>
                <w:lang w:bidi="en-US"/>
              </w:rPr>
            </w:pPr>
            <w:r>
              <w:rPr>
                <w:rFonts w:hint="eastAsia" w:ascii="宋体" w:hAnsi="宋体" w:eastAsia="宋体" w:cs="宋体"/>
                <w:kern w:val="0"/>
                <w:sz w:val="21"/>
                <w:szCs w:val="21"/>
                <w:lang w:bidi="en-US"/>
              </w:rPr>
              <w:t>（7）业绩</w:t>
            </w:r>
            <w:r>
              <w:rPr>
                <w:rFonts w:hint="eastAsia" w:ascii="宋体" w:hAnsi="宋体" w:eastAsia="宋体" w:cs="宋体"/>
                <w:kern w:val="0"/>
                <w:sz w:val="21"/>
                <w:szCs w:val="21"/>
                <w:highlight w:val="none"/>
                <w:lang w:bidi="en-US"/>
              </w:rPr>
              <w:t>要求：近一年（2024年10月1日以来，以验收时间为准）内不少于一个合同额在50万元以上的类似房屋建筑或装修施工业绩，报名时需提供合同原件的扫描件；</w:t>
            </w:r>
          </w:p>
          <w:p w14:paraId="2A14F12E">
            <w:pPr>
              <w:widowControl/>
              <w:spacing w:line="24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（8）供方的直接或间接股东、法定代表人、董事、监事、高管非重汽员工及其亲属；</w:t>
            </w:r>
          </w:p>
          <w:p w14:paraId="366080AE">
            <w:pPr>
              <w:widowControl/>
              <w:spacing w:line="24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（9）投标人没有被我公司列入黑名单；</w:t>
            </w:r>
          </w:p>
          <w:p w14:paraId="77286D63">
            <w:pPr>
              <w:widowControl/>
              <w:spacing w:line="24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（10）法律法规对合格投标人的其他要求、规定。</w:t>
            </w:r>
          </w:p>
          <w:p w14:paraId="3FFEE619">
            <w:pPr>
              <w:widowControl/>
              <w:spacing w:line="240" w:lineRule="auto"/>
              <w:ind w:firstLine="420" w:firstLineChars="200"/>
              <w:jc w:val="left"/>
              <w:rPr>
                <w:rStyle w:val="47"/>
                <w:rFonts w:hint="eastAsia" w:ascii="宋体" w:hAnsi="宋体" w:eastAsia="宋体" w:cs="宋体"/>
                <w:b/>
                <w:sz w:val="21"/>
                <w:szCs w:val="21"/>
              </w:rPr>
            </w:pPr>
            <w:r>
              <w:rPr>
                <w:rFonts w:hint="eastAsia" w:ascii="宋体" w:hAnsi="宋体" w:cs="宋体"/>
                <w:kern w:val="0"/>
                <w:sz w:val="21"/>
                <w:szCs w:val="21"/>
                <w:lang w:eastAsia="zh-CN" w:bidi="en-US"/>
              </w:rPr>
              <w:t>（</w:t>
            </w:r>
            <w:r>
              <w:rPr>
                <w:rFonts w:hint="eastAsia" w:ascii="宋体" w:hAnsi="宋体" w:cs="宋体"/>
                <w:kern w:val="0"/>
                <w:sz w:val="21"/>
                <w:szCs w:val="21"/>
                <w:lang w:val="en-US" w:eastAsia="zh-CN" w:bidi="en-US"/>
              </w:rPr>
              <w:t>11</w:t>
            </w:r>
            <w:r>
              <w:rPr>
                <w:rFonts w:hint="eastAsia" w:ascii="宋体" w:hAnsi="宋体" w:cs="宋体"/>
                <w:kern w:val="0"/>
                <w:sz w:val="21"/>
                <w:szCs w:val="21"/>
                <w:lang w:eastAsia="zh-CN" w:bidi="en-US"/>
              </w:rPr>
              <w:t>）</w:t>
            </w:r>
            <w:r>
              <w:rPr>
                <w:rFonts w:hint="eastAsia" w:ascii="宋体" w:hAnsi="宋体" w:eastAsia="宋体" w:cs="宋体"/>
                <w:kern w:val="0"/>
                <w:sz w:val="21"/>
                <w:szCs w:val="21"/>
                <w:lang w:bidi="en-US"/>
              </w:rPr>
              <w:t>投标单位</w:t>
            </w:r>
            <w:r>
              <w:rPr>
                <w:rFonts w:hint="eastAsia" w:ascii="宋体" w:hAnsi="宋体" w:eastAsia="宋体" w:cs="宋体"/>
                <w:kern w:val="0"/>
                <w:sz w:val="21"/>
                <w:szCs w:val="21"/>
                <w:u w:val="single"/>
                <w:lang w:bidi="en-US"/>
              </w:rPr>
              <w:t xml:space="preserve"> 不可以 </w:t>
            </w:r>
            <w:r>
              <w:rPr>
                <w:rFonts w:hint="eastAsia" w:ascii="宋体" w:hAnsi="宋体" w:eastAsia="宋体" w:cs="宋体"/>
                <w:kern w:val="0"/>
                <w:sz w:val="21"/>
                <w:szCs w:val="21"/>
                <w:lang w:bidi="en-US"/>
              </w:rPr>
              <w:t>组成联合体投标。</w:t>
            </w:r>
          </w:p>
        </w:tc>
      </w:tr>
      <w:tr w14:paraId="2BE62E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14:paraId="02A8CEE7">
            <w:pPr>
              <w:spacing w:line="240" w:lineRule="auto"/>
              <w:rPr>
                <w:rStyle w:val="47"/>
                <w:rFonts w:hint="eastAsia" w:ascii="宋体" w:hAnsi="宋体" w:eastAsia="宋体" w:cs="宋体"/>
                <w:sz w:val="21"/>
                <w:szCs w:val="21"/>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33317B14">
            <w:pPr>
              <w:spacing w:line="240" w:lineRule="auto"/>
              <w:rPr>
                <w:rStyle w:val="47"/>
                <w:rFonts w:hint="eastAsia" w:ascii="宋体" w:hAnsi="宋体" w:eastAsia="宋体" w:cs="宋体"/>
                <w:sz w:val="21"/>
                <w:szCs w:val="21"/>
                <w:u w:val="none"/>
              </w:rPr>
            </w:pPr>
            <w:r>
              <w:rPr>
                <w:rStyle w:val="47"/>
                <w:rFonts w:hint="eastAsia" w:ascii="宋体" w:hAnsi="宋体" w:eastAsia="宋体" w:cs="宋体"/>
                <w:sz w:val="21"/>
                <w:szCs w:val="21"/>
                <w:u w:val="none"/>
              </w:rPr>
              <w:t>近年财务状况的年份要求</w:t>
            </w:r>
          </w:p>
        </w:tc>
        <w:tc>
          <w:tcPr>
            <w:tcW w:w="6930" w:type="dxa"/>
            <w:tcBorders>
              <w:top w:val="single" w:color="000000" w:sz="6" w:space="0"/>
              <w:left w:val="single" w:color="000000" w:sz="6" w:space="0"/>
              <w:bottom w:val="single" w:color="000000" w:sz="6" w:space="0"/>
              <w:right w:val="single" w:color="000000" w:sz="12" w:space="0"/>
            </w:tcBorders>
            <w:vAlign w:val="center"/>
          </w:tcPr>
          <w:p w14:paraId="60EE6D7C">
            <w:pPr>
              <w:spacing w:line="240" w:lineRule="auto"/>
              <w:rPr>
                <w:rStyle w:val="47"/>
                <w:rFonts w:hint="eastAsia" w:ascii="宋体" w:hAnsi="宋体" w:eastAsia="宋体" w:cs="宋体"/>
                <w:sz w:val="21"/>
                <w:szCs w:val="21"/>
                <w:u w:val="none"/>
              </w:rPr>
            </w:pPr>
            <w:r>
              <w:rPr>
                <w:rFonts w:hint="eastAsia" w:ascii="宋体" w:hAnsi="宋体" w:eastAsia="宋体" w:cs="宋体"/>
                <w:color w:val="auto"/>
                <w:sz w:val="21"/>
                <w:szCs w:val="21"/>
              </w:rPr>
              <w:t>近三年财务状况良好（近三年指202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、202</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年），要求包含企业最近半年完税证明、信用证明材料（中国人民银行企业信用征信报告）、年度纳税信用评价信息</w:t>
            </w:r>
            <w:r>
              <w:rPr>
                <w:rStyle w:val="47"/>
                <w:rFonts w:hint="eastAsia" w:ascii="宋体" w:hAnsi="宋体" w:eastAsia="宋体" w:cs="宋体"/>
                <w:sz w:val="21"/>
                <w:szCs w:val="21"/>
                <w:u w:val="none"/>
              </w:rPr>
              <w:t>（可从电子税务局查询截图）</w:t>
            </w:r>
            <w:r>
              <w:rPr>
                <w:rFonts w:hint="eastAsia" w:ascii="宋体" w:hAnsi="宋体" w:eastAsia="宋体" w:cs="宋体"/>
                <w:color w:val="auto"/>
                <w:sz w:val="21"/>
                <w:szCs w:val="21"/>
              </w:rPr>
              <w:t>、企业对外担保说明</w:t>
            </w:r>
            <w:r>
              <w:rPr>
                <w:rStyle w:val="47"/>
                <w:rFonts w:hint="eastAsia" w:ascii="宋体" w:hAnsi="宋体" w:eastAsia="宋体" w:cs="宋体"/>
                <w:sz w:val="21"/>
                <w:szCs w:val="21"/>
                <w:u w:val="none"/>
              </w:rPr>
              <w:t>（写明贵单位对外有无对外担保和质押业务）</w:t>
            </w:r>
          </w:p>
        </w:tc>
      </w:tr>
      <w:tr w14:paraId="79EFF2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14:paraId="7F680D1A">
            <w:pPr>
              <w:spacing w:line="240" w:lineRule="auto"/>
              <w:rPr>
                <w:rStyle w:val="47"/>
                <w:rFonts w:hint="eastAsia" w:ascii="宋体" w:hAnsi="宋体" w:eastAsia="宋体" w:cs="宋体"/>
                <w:sz w:val="21"/>
                <w:szCs w:val="21"/>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41A90C6E">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近年承担的类似工程的年份要求</w:t>
            </w:r>
          </w:p>
        </w:tc>
        <w:tc>
          <w:tcPr>
            <w:tcW w:w="6930" w:type="dxa"/>
            <w:tcBorders>
              <w:top w:val="single" w:color="000000" w:sz="6" w:space="0"/>
              <w:left w:val="single" w:color="000000" w:sz="6" w:space="0"/>
              <w:bottom w:val="single" w:color="000000" w:sz="6" w:space="0"/>
              <w:right w:val="single" w:color="000000" w:sz="12" w:space="0"/>
            </w:tcBorders>
            <w:vAlign w:val="center"/>
          </w:tcPr>
          <w:p w14:paraId="1324FE7D">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u w:val="single"/>
              </w:rPr>
              <w:t xml:space="preserve"> 三 </w:t>
            </w:r>
            <w:r>
              <w:rPr>
                <w:rStyle w:val="47"/>
                <w:rFonts w:hint="eastAsia" w:ascii="宋体" w:hAnsi="宋体" w:eastAsia="宋体" w:cs="宋体"/>
                <w:sz w:val="21"/>
                <w:szCs w:val="21"/>
              </w:rPr>
              <w:t>年，指</w:t>
            </w:r>
            <w:r>
              <w:rPr>
                <w:rStyle w:val="47"/>
                <w:rFonts w:hint="eastAsia" w:ascii="宋体" w:hAnsi="宋体" w:eastAsia="宋体" w:cs="宋体"/>
                <w:sz w:val="21"/>
                <w:szCs w:val="21"/>
                <w:u w:val="single"/>
              </w:rPr>
              <w:t>202</w:t>
            </w:r>
            <w:r>
              <w:rPr>
                <w:rStyle w:val="47"/>
                <w:rFonts w:hint="eastAsia" w:ascii="宋体" w:hAnsi="宋体" w:eastAsia="宋体" w:cs="宋体"/>
                <w:sz w:val="21"/>
                <w:szCs w:val="21"/>
                <w:u w:val="single"/>
                <w:lang w:val="en-US" w:eastAsia="zh-CN"/>
              </w:rPr>
              <w:t>2</w:t>
            </w:r>
            <w:r>
              <w:rPr>
                <w:rStyle w:val="47"/>
                <w:rFonts w:hint="eastAsia" w:ascii="宋体" w:hAnsi="宋体" w:eastAsia="宋体" w:cs="宋体"/>
                <w:sz w:val="21"/>
                <w:szCs w:val="21"/>
                <w:highlight w:val="none"/>
              </w:rPr>
              <w:t>年</w:t>
            </w:r>
            <w:r>
              <w:rPr>
                <w:rStyle w:val="47"/>
                <w:rFonts w:hint="eastAsia" w:ascii="宋体" w:hAnsi="宋体" w:cs="宋体"/>
                <w:sz w:val="21"/>
                <w:szCs w:val="21"/>
                <w:highlight w:val="none"/>
                <w:u w:val="single"/>
                <w:lang w:val="en-US" w:eastAsia="zh-CN"/>
              </w:rPr>
              <w:t>10</w:t>
            </w:r>
            <w:r>
              <w:rPr>
                <w:rStyle w:val="47"/>
                <w:rFonts w:hint="eastAsia" w:ascii="宋体" w:hAnsi="宋体" w:eastAsia="宋体" w:cs="宋体"/>
                <w:sz w:val="21"/>
                <w:szCs w:val="21"/>
                <w:highlight w:val="none"/>
              </w:rPr>
              <w:t>月</w:t>
            </w:r>
            <w:r>
              <w:rPr>
                <w:rStyle w:val="47"/>
                <w:rFonts w:hint="eastAsia" w:ascii="宋体" w:hAnsi="宋体" w:eastAsia="宋体" w:cs="宋体"/>
                <w:sz w:val="21"/>
                <w:szCs w:val="21"/>
                <w:highlight w:val="none"/>
                <w:u w:val="single"/>
              </w:rPr>
              <w:t>1</w:t>
            </w:r>
            <w:r>
              <w:rPr>
                <w:rStyle w:val="47"/>
                <w:rFonts w:hint="eastAsia" w:ascii="宋体" w:hAnsi="宋体" w:eastAsia="宋体" w:cs="宋体"/>
                <w:sz w:val="21"/>
                <w:szCs w:val="21"/>
              </w:rPr>
              <w:t>日至开标之日（以</w:t>
            </w:r>
            <w:r>
              <w:rPr>
                <w:rStyle w:val="47"/>
                <w:rFonts w:hint="eastAsia" w:ascii="宋体" w:hAnsi="宋体" w:cs="宋体"/>
                <w:sz w:val="21"/>
                <w:szCs w:val="21"/>
                <w:lang w:val="en-US" w:eastAsia="zh-CN"/>
              </w:rPr>
              <w:t>验收时间</w:t>
            </w:r>
            <w:r>
              <w:rPr>
                <w:rStyle w:val="47"/>
                <w:rFonts w:hint="eastAsia" w:ascii="宋体" w:hAnsi="宋体" w:eastAsia="宋体" w:cs="宋体"/>
                <w:sz w:val="21"/>
                <w:szCs w:val="21"/>
              </w:rPr>
              <w:t>为准）。</w:t>
            </w:r>
          </w:p>
        </w:tc>
      </w:tr>
      <w:tr w14:paraId="3206AD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14:paraId="61C98ABF">
            <w:pPr>
              <w:spacing w:line="240" w:lineRule="auto"/>
              <w:rPr>
                <w:rStyle w:val="47"/>
                <w:rFonts w:hint="eastAsia" w:ascii="宋体" w:hAnsi="宋体" w:eastAsia="宋体" w:cs="宋体"/>
                <w:sz w:val="21"/>
                <w:szCs w:val="21"/>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41FDCC13">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近年发生的诉讼及仲裁情况的年份要求</w:t>
            </w:r>
          </w:p>
        </w:tc>
        <w:tc>
          <w:tcPr>
            <w:tcW w:w="6930" w:type="dxa"/>
            <w:tcBorders>
              <w:top w:val="single" w:color="000000" w:sz="6" w:space="0"/>
              <w:left w:val="single" w:color="000000" w:sz="6" w:space="0"/>
              <w:bottom w:val="single" w:color="000000" w:sz="6" w:space="0"/>
              <w:right w:val="single" w:color="000000" w:sz="12" w:space="0"/>
            </w:tcBorders>
            <w:vAlign w:val="center"/>
          </w:tcPr>
          <w:p w14:paraId="25AD54BA">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u w:val="single"/>
              </w:rPr>
              <w:t xml:space="preserve"> 三 </w:t>
            </w:r>
            <w:r>
              <w:rPr>
                <w:rStyle w:val="47"/>
                <w:rFonts w:hint="eastAsia" w:ascii="宋体" w:hAnsi="宋体" w:eastAsia="宋体" w:cs="宋体"/>
                <w:sz w:val="21"/>
                <w:szCs w:val="21"/>
              </w:rPr>
              <w:t>年，指</w:t>
            </w:r>
            <w:r>
              <w:rPr>
                <w:rStyle w:val="47"/>
                <w:rFonts w:hint="eastAsia" w:ascii="宋体" w:hAnsi="宋体" w:eastAsia="宋体" w:cs="宋体"/>
                <w:sz w:val="21"/>
                <w:szCs w:val="21"/>
                <w:u w:val="single"/>
              </w:rPr>
              <w:t>202</w:t>
            </w:r>
            <w:r>
              <w:rPr>
                <w:rStyle w:val="47"/>
                <w:rFonts w:hint="eastAsia" w:ascii="宋体" w:hAnsi="宋体" w:eastAsia="宋体" w:cs="宋体"/>
                <w:sz w:val="21"/>
                <w:szCs w:val="21"/>
                <w:u w:val="single"/>
                <w:lang w:val="en-US" w:eastAsia="zh-CN"/>
              </w:rPr>
              <w:t>2</w:t>
            </w:r>
            <w:r>
              <w:rPr>
                <w:rStyle w:val="47"/>
                <w:rFonts w:hint="eastAsia" w:ascii="宋体" w:hAnsi="宋体" w:eastAsia="宋体" w:cs="宋体"/>
                <w:sz w:val="21"/>
                <w:szCs w:val="21"/>
                <w:highlight w:val="none"/>
              </w:rPr>
              <w:t>年</w:t>
            </w:r>
            <w:r>
              <w:rPr>
                <w:rStyle w:val="47"/>
                <w:rFonts w:hint="eastAsia" w:ascii="宋体" w:hAnsi="宋体" w:cs="宋体"/>
                <w:sz w:val="21"/>
                <w:szCs w:val="21"/>
                <w:highlight w:val="none"/>
                <w:lang w:val="en-US" w:eastAsia="zh-CN"/>
              </w:rPr>
              <w:t>1</w:t>
            </w:r>
            <w:r>
              <w:rPr>
                <w:rStyle w:val="47"/>
                <w:rFonts w:hint="eastAsia" w:ascii="宋体" w:hAnsi="宋体" w:cs="宋体"/>
                <w:sz w:val="21"/>
                <w:szCs w:val="21"/>
                <w:highlight w:val="none"/>
                <w:u w:val="single"/>
                <w:lang w:val="en-US" w:eastAsia="zh-CN"/>
              </w:rPr>
              <w:t>0</w:t>
            </w:r>
            <w:r>
              <w:rPr>
                <w:rStyle w:val="47"/>
                <w:rFonts w:hint="eastAsia" w:ascii="宋体" w:hAnsi="宋体" w:eastAsia="宋体" w:cs="宋体"/>
                <w:sz w:val="21"/>
                <w:szCs w:val="21"/>
                <w:highlight w:val="none"/>
              </w:rPr>
              <w:t>月</w:t>
            </w:r>
            <w:r>
              <w:rPr>
                <w:rStyle w:val="47"/>
                <w:rFonts w:hint="eastAsia" w:ascii="宋体" w:hAnsi="宋体" w:eastAsia="宋体" w:cs="宋体"/>
                <w:sz w:val="21"/>
                <w:szCs w:val="21"/>
                <w:highlight w:val="none"/>
                <w:u w:val="single"/>
              </w:rPr>
              <w:t>1</w:t>
            </w:r>
            <w:r>
              <w:rPr>
                <w:rStyle w:val="47"/>
                <w:rFonts w:hint="eastAsia" w:ascii="宋体" w:hAnsi="宋体" w:eastAsia="宋体" w:cs="宋体"/>
                <w:sz w:val="21"/>
                <w:szCs w:val="21"/>
              </w:rPr>
              <w:t>日至开标之日。</w:t>
            </w:r>
          </w:p>
        </w:tc>
      </w:tr>
      <w:tr w14:paraId="09D98D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0" w:hRule="atLeas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14:paraId="7DE9E3E3">
            <w:pPr>
              <w:spacing w:line="240" w:lineRule="auto"/>
              <w:rPr>
                <w:rStyle w:val="47"/>
                <w:rFonts w:hint="eastAsia" w:ascii="宋体" w:hAnsi="宋体" w:eastAsia="宋体" w:cs="宋体"/>
                <w:sz w:val="21"/>
                <w:szCs w:val="21"/>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090A759A">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是否允许递交备选投标方案</w:t>
            </w:r>
          </w:p>
        </w:tc>
        <w:tc>
          <w:tcPr>
            <w:tcW w:w="6930" w:type="dxa"/>
            <w:tcBorders>
              <w:top w:val="single" w:color="000000" w:sz="6" w:space="0"/>
              <w:left w:val="single" w:color="000000" w:sz="6" w:space="0"/>
              <w:bottom w:val="single" w:color="000000" w:sz="6" w:space="0"/>
              <w:right w:val="single" w:color="000000" w:sz="12" w:space="0"/>
            </w:tcBorders>
            <w:vAlign w:val="center"/>
          </w:tcPr>
          <w:p w14:paraId="563C746A">
            <w:pPr>
              <w:spacing w:line="240" w:lineRule="auto"/>
              <w:rPr>
                <w:rStyle w:val="47"/>
                <w:rFonts w:hint="eastAsia" w:ascii="宋体" w:hAnsi="宋体" w:eastAsia="宋体" w:cs="宋体"/>
                <w:sz w:val="21"/>
                <w:szCs w:val="21"/>
                <w:u w:val="single"/>
              </w:rPr>
            </w:pPr>
            <w:r>
              <w:rPr>
                <w:rStyle w:val="47"/>
                <w:rFonts w:hint="eastAsia" w:ascii="宋体" w:hAnsi="宋体" w:eastAsia="宋体" w:cs="宋体"/>
                <w:sz w:val="21"/>
                <w:szCs w:val="21"/>
              </w:rPr>
              <w:t>不允许</w:t>
            </w:r>
          </w:p>
        </w:tc>
      </w:tr>
      <w:tr w14:paraId="672CEC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22A7DD12">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1.4.2</w:t>
            </w:r>
          </w:p>
        </w:tc>
        <w:tc>
          <w:tcPr>
            <w:tcW w:w="2293" w:type="dxa"/>
            <w:tcBorders>
              <w:top w:val="single" w:color="000000" w:sz="6" w:space="0"/>
              <w:left w:val="single" w:color="000000" w:sz="6" w:space="0"/>
              <w:bottom w:val="single" w:color="000000" w:sz="6" w:space="0"/>
              <w:right w:val="single" w:color="000000" w:sz="6" w:space="0"/>
            </w:tcBorders>
            <w:vAlign w:val="center"/>
          </w:tcPr>
          <w:p w14:paraId="1B59CEBF">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是否接受联合体投标</w:t>
            </w:r>
          </w:p>
        </w:tc>
        <w:tc>
          <w:tcPr>
            <w:tcW w:w="6930" w:type="dxa"/>
            <w:tcBorders>
              <w:top w:val="single" w:color="000000" w:sz="6" w:space="0"/>
              <w:left w:val="single" w:color="000000" w:sz="6" w:space="0"/>
              <w:bottom w:val="single" w:color="000000" w:sz="6" w:space="0"/>
              <w:right w:val="single" w:color="000000" w:sz="12" w:space="0"/>
            </w:tcBorders>
            <w:vAlign w:val="center"/>
          </w:tcPr>
          <w:p w14:paraId="5E06ADD3">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不接受</w:t>
            </w:r>
          </w:p>
        </w:tc>
      </w:tr>
      <w:tr w14:paraId="6F1BAA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7D5EFE0E">
            <w:pPr>
              <w:spacing w:line="240" w:lineRule="auto"/>
              <w:rPr>
                <w:rStyle w:val="47"/>
                <w:rFonts w:hint="eastAsia" w:ascii="宋体" w:hAnsi="宋体" w:eastAsia="宋体" w:cs="宋体"/>
                <w:sz w:val="21"/>
                <w:szCs w:val="21"/>
                <w:highlight w:val="none"/>
              </w:rPr>
            </w:pPr>
            <w:r>
              <w:rPr>
                <w:rStyle w:val="47"/>
                <w:rFonts w:hint="eastAsia" w:ascii="宋体" w:hAnsi="宋体" w:eastAsia="宋体" w:cs="宋体"/>
                <w:sz w:val="21"/>
                <w:szCs w:val="21"/>
                <w:highlight w:val="none"/>
              </w:rPr>
              <w:t>1.9.1</w:t>
            </w:r>
          </w:p>
        </w:tc>
        <w:tc>
          <w:tcPr>
            <w:tcW w:w="2293" w:type="dxa"/>
            <w:tcBorders>
              <w:top w:val="single" w:color="000000" w:sz="6" w:space="0"/>
              <w:left w:val="single" w:color="000000" w:sz="6" w:space="0"/>
              <w:bottom w:val="single" w:color="000000" w:sz="6" w:space="0"/>
              <w:right w:val="single" w:color="000000" w:sz="6" w:space="0"/>
            </w:tcBorders>
            <w:vAlign w:val="center"/>
          </w:tcPr>
          <w:p w14:paraId="4478469F">
            <w:pPr>
              <w:spacing w:line="240" w:lineRule="auto"/>
              <w:rPr>
                <w:rStyle w:val="47"/>
                <w:rFonts w:hint="eastAsia" w:ascii="宋体" w:hAnsi="宋体" w:eastAsia="宋体" w:cs="宋体"/>
                <w:sz w:val="21"/>
                <w:szCs w:val="21"/>
                <w:highlight w:val="none"/>
              </w:rPr>
            </w:pPr>
            <w:r>
              <w:rPr>
                <w:rStyle w:val="47"/>
                <w:rFonts w:hint="eastAsia" w:ascii="宋体" w:hAnsi="宋体" w:eastAsia="宋体" w:cs="宋体"/>
                <w:sz w:val="21"/>
                <w:szCs w:val="21"/>
                <w:highlight w:val="none"/>
              </w:rPr>
              <w:t>踏勘现场</w:t>
            </w:r>
          </w:p>
        </w:tc>
        <w:tc>
          <w:tcPr>
            <w:tcW w:w="6930" w:type="dxa"/>
            <w:tcBorders>
              <w:top w:val="single" w:color="000000" w:sz="6" w:space="0"/>
              <w:left w:val="single" w:color="000000" w:sz="6" w:space="0"/>
              <w:bottom w:val="single" w:color="000000" w:sz="6" w:space="0"/>
              <w:right w:val="single" w:color="000000" w:sz="12" w:space="0"/>
            </w:tcBorders>
            <w:vAlign w:val="center"/>
          </w:tcPr>
          <w:p w14:paraId="06C53CEC">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组织统一踏勘</w:t>
            </w:r>
          </w:p>
          <w:p w14:paraId="749C0CD0">
            <w:pPr>
              <w:spacing w:line="240" w:lineRule="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现场踏勘联系人及联系方式：</w:t>
            </w:r>
            <w:r>
              <w:rPr>
                <w:rFonts w:hint="eastAsia" w:ascii="宋体" w:hAnsi="宋体" w:cs="宋体"/>
                <w:sz w:val="21"/>
                <w:szCs w:val="21"/>
                <w:highlight w:val="yellow"/>
                <w:u w:val="single"/>
                <w:lang w:val="en-US" w:eastAsia="zh-CN"/>
              </w:rPr>
              <w:t xml:space="preserve">  韩锐13964112772   </w:t>
            </w:r>
          </w:p>
          <w:p w14:paraId="34C624E4">
            <w:pPr>
              <w:spacing w:line="240" w:lineRule="auto"/>
              <w:rPr>
                <w:rStyle w:val="47"/>
                <w:rFonts w:hint="eastAsia" w:ascii="宋体" w:hAnsi="宋体" w:eastAsia="宋体" w:cs="宋体"/>
                <w:sz w:val="21"/>
                <w:szCs w:val="21"/>
                <w:highlight w:val="none"/>
                <w:u w:val="single"/>
              </w:rPr>
            </w:pPr>
            <w:r>
              <w:rPr>
                <w:rFonts w:hint="eastAsia" w:ascii="宋体" w:hAnsi="宋体" w:eastAsia="宋体" w:cs="宋体"/>
                <w:sz w:val="21"/>
                <w:szCs w:val="21"/>
                <w:highlight w:val="none"/>
              </w:rPr>
              <w:t>时间：</w:t>
            </w:r>
            <w:r>
              <w:rPr>
                <w:rFonts w:hint="eastAsia" w:ascii="宋体" w:hAnsi="宋体" w:eastAsia="宋体" w:cs="宋体"/>
                <w:sz w:val="21"/>
                <w:szCs w:val="21"/>
                <w:highlight w:val="none"/>
                <w:u w:val="single"/>
              </w:rPr>
              <w:t>202</w:t>
            </w:r>
            <w:r>
              <w:rPr>
                <w:rFonts w:hint="eastAsia" w:ascii="宋体" w:hAnsi="宋体" w:eastAsia="宋体" w:cs="宋体"/>
                <w:sz w:val="21"/>
                <w:szCs w:val="21"/>
                <w:highlight w:val="none"/>
                <w:u w:val="single"/>
                <w:lang w:val="en-US" w:eastAsia="zh-CN"/>
              </w:rPr>
              <w:t>5</w:t>
            </w:r>
            <w:r>
              <w:rPr>
                <w:rFonts w:hint="eastAsia" w:ascii="宋体" w:hAnsi="宋体" w:eastAsia="宋体" w:cs="宋体"/>
                <w:sz w:val="21"/>
                <w:szCs w:val="21"/>
                <w:highlight w:val="none"/>
                <w:u w:val="single"/>
              </w:rPr>
              <w:t>年</w:t>
            </w:r>
            <w:r>
              <w:rPr>
                <w:rFonts w:hint="eastAsia" w:ascii="宋体" w:hAnsi="宋体" w:cs="宋体"/>
                <w:sz w:val="21"/>
                <w:szCs w:val="21"/>
                <w:highlight w:val="none"/>
                <w:u w:val="single"/>
                <w:lang w:val="en-US" w:eastAsia="zh-CN"/>
              </w:rPr>
              <w:t xml:space="preserve">11 </w:t>
            </w:r>
            <w:r>
              <w:rPr>
                <w:rFonts w:hint="eastAsia" w:ascii="宋体" w:hAnsi="宋体" w:eastAsia="宋体" w:cs="宋体"/>
                <w:sz w:val="21"/>
                <w:szCs w:val="21"/>
                <w:highlight w:val="none"/>
                <w:u w:val="single"/>
              </w:rPr>
              <w:t>月</w:t>
            </w:r>
            <w:r>
              <w:rPr>
                <w:rFonts w:hint="eastAsia" w:ascii="宋体" w:hAnsi="宋体" w:cs="宋体"/>
                <w:sz w:val="21"/>
                <w:szCs w:val="21"/>
                <w:highlight w:val="none"/>
                <w:u w:val="single"/>
                <w:lang w:val="en-US" w:eastAsia="zh-CN"/>
              </w:rPr>
              <w:t xml:space="preserve"> 7</w:t>
            </w:r>
            <w:r>
              <w:rPr>
                <w:rFonts w:hint="eastAsia" w:ascii="宋体" w:hAnsi="宋体" w:eastAsia="宋体" w:cs="宋体"/>
                <w:sz w:val="21"/>
                <w:szCs w:val="21"/>
                <w:highlight w:val="none"/>
                <w:u w:val="single"/>
              </w:rPr>
              <w:t>日</w:t>
            </w:r>
            <w:r>
              <w:rPr>
                <w:rFonts w:hint="eastAsia" w:ascii="宋体" w:hAnsi="宋体" w:eastAsia="宋体" w:cs="宋体"/>
                <w:sz w:val="21"/>
                <w:szCs w:val="21"/>
                <w:highlight w:val="none"/>
                <w:u w:val="single"/>
                <w:lang w:val="en-US" w:eastAsia="zh-CN"/>
              </w:rPr>
              <w:t>上</w:t>
            </w:r>
            <w:r>
              <w:rPr>
                <w:rFonts w:hint="eastAsia" w:ascii="宋体" w:hAnsi="宋体" w:eastAsia="宋体" w:cs="宋体"/>
                <w:sz w:val="21"/>
                <w:szCs w:val="21"/>
                <w:highlight w:val="none"/>
                <w:u w:val="single"/>
              </w:rPr>
              <w:t>午</w:t>
            </w:r>
            <w:r>
              <w:rPr>
                <w:rFonts w:hint="eastAsia" w:ascii="宋体" w:hAnsi="宋体" w:cs="宋体"/>
                <w:sz w:val="21"/>
                <w:szCs w:val="21"/>
                <w:highlight w:val="none"/>
                <w:u w:val="single"/>
                <w:lang w:val="en-US" w:eastAsia="zh-CN"/>
              </w:rPr>
              <w:t>9</w:t>
            </w:r>
            <w:r>
              <w:rPr>
                <w:rFonts w:hint="eastAsia" w:ascii="宋体" w:hAnsi="宋体" w:eastAsia="宋体" w:cs="宋体"/>
                <w:sz w:val="21"/>
                <w:szCs w:val="21"/>
                <w:highlight w:val="none"/>
                <w:u w:val="single"/>
              </w:rPr>
              <w:t>:00</w:t>
            </w:r>
            <w:r>
              <w:rPr>
                <w:rFonts w:hint="eastAsia" w:ascii="宋体" w:hAnsi="宋体" w:cs="宋体"/>
                <w:sz w:val="21"/>
                <w:szCs w:val="21"/>
                <w:highlight w:val="none"/>
                <w:u w:val="single"/>
                <w:lang w:eastAsia="zh-CN"/>
              </w:rPr>
              <w:t>（</w:t>
            </w:r>
            <w:r>
              <w:rPr>
                <w:rFonts w:hint="eastAsia" w:ascii="宋体" w:hAnsi="宋体" w:cs="宋体"/>
                <w:sz w:val="21"/>
                <w:szCs w:val="21"/>
                <w:highlight w:val="none"/>
                <w:u w:val="single"/>
                <w:lang w:val="en-US" w:eastAsia="zh-CN"/>
              </w:rPr>
              <w:t>参考</w:t>
            </w:r>
            <w:r>
              <w:rPr>
                <w:rFonts w:hint="eastAsia" w:ascii="宋体" w:hAnsi="宋体" w:cs="宋体"/>
                <w:sz w:val="21"/>
                <w:szCs w:val="21"/>
                <w:highlight w:val="none"/>
                <w:u w:val="single"/>
                <w:lang w:eastAsia="zh-CN"/>
              </w:rPr>
              <w:t>）</w:t>
            </w:r>
            <w:r>
              <w:rPr>
                <w:rFonts w:hint="eastAsia" w:ascii="宋体" w:hAnsi="宋体" w:cs="宋体"/>
                <w:sz w:val="21"/>
                <w:szCs w:val="21"/>
                <w:highlight w:val="green"/>
                <w:u w:val="single"/>
                <w:lang w:val="en-US" w:eastAsia="zh-CN"/>
              </w:rPr>
              <w:t>报名期间或报名结束后第2天</w:t>
            </w:r>
            <w:r>
              <w:rPr>
                <w:rFonts w:hint="eastAsia" w:ascii="宋体" w:hAnsi="宋体" w:eastAsia="宋体" w:cs="宋体"/>
                <w:sz w:val="21"/>
                <w:szCs w:val="21"/>
                <w:highlight w:val="none"/>
              </w:rPr>
              <w:t>，</w:t>
            </w:r>
            <w:r>
              <w:rPr>
                <w:rFonts w:hint="eastAsia" w:ascii="宋体" w:hAnsi="宋体" w:eastAsia="宋体" w:cs="宋体"/>
                <w:color w:val="auto"/>
                <w:sz w:val="21"/>
                <w:szCs w:val="21"/>
                <w:highlight w:val="none"/>
              </w:rPr>
              <w:t>请自行前往，提前</w:t>
            </w:r>
            <w:r>
              <w:rPr>
                <w:rFonts w:hint="eastAsia" w:ascii="宋体" w:hAnsi="宋体" w:cs="宋体"/>
                <w:color w:val="auto"/>
                <w:sz w:val="21"/>
                <w:szCs w:val="21"/>
                <w:highlight w:val="none"/>
                <w:lang w:val="en-US" w:eastAsia="zh-CN"/>
              </w:rPr>
              <w:t>一天</w:t>
            </w:r>
            <w:r>
              <w:rPr>
                <w:rFonts w:hint="eastAsia" w:ascii="宋体" w:hAnsi="宋体" w:eastAsia="宋体" w:cs="宋体"/>
                <w:color w:val="auto"/>
                <w:sz w:val="21"/>
                <w:szCs w:val="21"/>
                <w:highlight w:val="none"/>
              </w:rPr>
              <w:t>对接踏勘联系人进行入厂报备。</w:t>
            </w:r>
            <w:r>
              <w:rPr>
                <w:rStyle w:val="47"/>
                <w:rFonts w:hint="eastAsia" w:ascii="宋体" w:hAnsi="宋体" w:eastAsia="宋体" w:cs="宋体"/>
                <w:b/>
                <w:bCs/>
                <w:color w:val="auto"/>
                <w:sz w:val="21"/>
                <w:szCs w:val="21"/>
                <w:highlight w:val="none"/>
              </w:rPr>
              <w:t>如因对现场情况了解、考虑不周造成的投标风险和一切后果由投标人自行承担。</w:t>
            </w:r>
          </w:p>
        </w:tc>
      </w:tr>
      <w:tr w14:paraId="13E83C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12E8B902">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1.10.1</w:t>
            </w:r>
          </w:p>
        </w:tc>
        <w:tc>
          <w:tcPr>
            <w:tcW w:w="2293" w:type="dxa"/>
            <w:tcBorders>
              <w:top w:val="single" w:color="000000" w:sz="6" w:space="0"/>
              <w:left w:val="single" w:color="000000" w:sz="6" w:space="0"/>
              <w:bottom w:val="single" w:color="000000" w:sz="6" w:space="0"/>
              <w:right w:val="single" w:color="000000" w:sz="6" w:space="0"/>
            </w:tcBorders>
            <w:vAlign w:val="center"/>
          </w:tcPr>
          <w:p w14:paraId="63D0E74B">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投标预备会</w:t>
            </w:r>
          </w:p>
        </w:tc>
        <w:tc>
          <w:tcPr>
            <w:tcW w:w="6930" w:type="dxa"/>
            <w:tcBorders>
              <w:top w:val="single" w:color="000000" w:sz="6" w:space="0"/>
              <w:left w:val="single" w:color="000000" w:sz="6" w:space="0"/>
              <w:bottom w:val="single" w:color="000000" w:sz="6" w:space="0"/>
              <w:right w:val="single" w:color="000000" w:sz="12" w:space="0"/>
            </w:tcBorders>
            <w:vAlign w:val="center"/>
          </w:tcPr>
          <w:p w14:paraId="1887698B">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不召开</w:t>
            </w:r>
          </w:p>
        </w:tc>
      </w:tr>
      <w:tr w14:paraId="4E7467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37"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3F4B51B1">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1.10.2</w:t>
            </w:r>
          </w:p>
        </w:tc>
        <w:tc>
          <w:tcPr>
            <w:tcW w:w="2293" w:type="dxa"/>
            <w:tcBorders>
              <w:top w:val="single" w:color="000000" w:sz="6" w:space="0"/>
              <w:left w:val="single" w:color="000000" w:sz="6" w:space="0"/>
              <w:bottom w:val="single" w:color="000000" w:sz="6" w:space="0"/>
              <w:right w:val="single" w:color="000000" w:sz="6" w:space="0"/>
            </w:tcBorders>
            <w:vAlign w:val="center"/>
          </w:tcPr>
          <w:p w14:paraId="3BA709FE">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投标人提出问题的截止时间</w:t>
            </w:r>
          </w:p>
        </w:tc>
        <w:tc>
          <w:tcPr>
            <w:tcW w:w="6930" w:type="dxa"/>
            <w:tcBorders>
              <w:top w:val="single" w:color="000000" w:sz="6" w:space="0"/>
              <w:left w:val="single" w:color="000000" w:sz="6" w:space="0"/>
              <w:bottom w:val="single" w:color="000000" w:sz="6" w:space="0"/>
              <w:right w:val="single" w:color="000000" w:sz="12" w:space="0"/>
            </w:tcBorders>
          </w:tcPr>
          <w:p w14:paraId="1BD0CE1F">
            <w:pPr>
              <w:pStyle w:val="1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Style w:val="47"/>
                <w:rFonts w:hint="eastAsia" w:ascii="宋体" w:hAnsi="宋体" w:eastAsia="宋体" w:cs="宋体"/>
                <w:sz w:val="21"/>
                <w:szCs w:val="21"/>
                <w:highlight w:val="none"/>
              </w:rPr>
            </w:pP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 xml:space="preserve"> 11 </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 xml:space="preserve"> 12</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eastAsia" w:hAnsi="Courier New" w:cs="Times New Roman"/>
                <w:highlight w:val="none"/>
                <w:u w:val="none"/>
                <w:lang w:val="en-US" w:eastAsia="zh-CN"/>
              </w:rPr>
              <w:t>前</w:t>
            </w:r>
            <w:r>
              <w:rPr>
                <w:rFonts w:hint="eastAsia" w:cs="Times New Roman"/>
                <w:highlight w:val="none"/>
                <w:lang w:val="en-US" w:eastAsia="zh-CN"/>
              </w:rPr>
              <w:t>将答疑问题以word文件格式发送至联系人邮件内，并电话联系工作人员查收。</w:t>
            </w:r>
          </w:p>
        </w:tc>
      </w:tr>
      <w:tr w14:paraId="3A4AFC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16297166">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1.10.3</w:t>
            </w:r>
          </w:p>
        </w:tc>
        <w:tc>
          <w:tcPr>
            <w:tcW w:w="2293" w:type="dxa"/>
            <w:tcBorders>
              <w:top w:val="single" w:color="000000" w:sz="6" w:space="0"/>
              <w:left w:val="single" w:color="000000" w:sz="6" w:space="0"/>
              <w:bottom w:val="single" w:color="000000" w:sz="6" w:space="0"/>
              <w:right w:val="single" w:color="000000" w:sz="6" w:space="0"/>
            </w:tcBorders>
            <w:vAlign w:val="center"/>
          </w:tcPr>
          <w:p w14:paraId="38898A8B">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招标人书面澄清时间</w:t>
            </w:r>
          </w:p>
        </w:tc>
        <w:tc>
          <w:tcPr>
            <w:tcW w:w="6930" w:type="dxa"/>
            <w:tcBorders>
              <w:top w:val="single" w:color="000000" w:sz="6" w:space="0"/>
              <w:left w:val="single" w:color="000000" w:sz="6" w:space="0"/>
              <w:bottom w:val="single" w:color="000000" w:sz="6" w:space="0"/>
              <w:right w:val="single" w:color="000000" w:sz="12" w:space="0"/>
            </w:tcBorders>
            <w:vAlign w:val="center"/>
          </w:tcPr>
          <w:p w14:paraId="101D2138">
            <w:pPr>
              <w:pStyle w:val="1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Style w:val="47"/>
                <w:rFonts w:hint="eastAsia" w:ascii="宋体" w:hAnsi="宋体" w:eastAsia="宋体" w:cs="宋体"/>
                <w:sz w:val="21"/>
                <w:szCs w:val="21"/>
                <w:highlight w:val="none"/>
                <w:u w:val="single"/>
              </w:rPr>
            </w:pP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 xml:space="preserve"> 11 月 12 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hAnsi="Courier New" w:cs="Times New Roman"/>
                <w:highlight w:val="none"/>
                <w:u w:val="none"/>
                <w:lang w:val="en-US" w:eastAsia="zh-CN"/>
              </w:rPr>
              <w:t>电话联系或者</w:t>
            </w:r>
            <w:r>
              <w:rPr>
                <w:rFonts w:hint="eastAsia" w:ascii="宋体" w:hAnsi="Courier New" w:eastAsia="宋体" w:cs="Times New Roman"/>
                <w:highlight w:val="none"/>
                <w:lang w:val="en-US" w:eastAsia="zh-CN"/>
              </w:rPr>
              <w:t>招标人将以电子邮件的方式将招标文件的答疑澄清文件发送至答疑文件提交时登记的电子邮箱。</w:t>
            </w:r>
          </w:p>
        </w:tc>
      </w:tr>
      <w:tr w14:paraId="76C0B6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5036B5C">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1.11</w:t>
            </w:r>
          </w:p>
        </w:tc>
        <w:tc>
          <w:tcPr>
            <w:tcW w:w="2293" w:type="dxa"/>
            <w:tcBorders>
              <w:top w:val="single" w:color="000000" w:sz="6" w:space="0"/>
              <w:left w:val="single" w:color="000000" w:sz="6" w:space="0"/>
              <w:bottom w:val="single" w:color="000000" w:sz="6" w:space="0"/>
              <w:right w:val="single" w:color="000000" w:sz="6" w:space="0"/>
            </w:tcBorders>
            <w:vAlign w:val="center"/>
          </w:tcPr>
          <w:p w14:paraId="175497A4">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工程分包</w:t>
            </w:r>
          </w:p>
        </w:tc>
        <w:tc>
          <w:tcPr>
            <w:tcW w:w="6930" w:type="dxa"/>
            <w:tcBorders>
              <w:top w:val="single" w:color="000000" w:sz="6" w:space="0"/>
              <w:left w:val="single" w:color="000000" w:sz="6" w:space="0"/>
              <w:bottom w:val="single" w:color="000000" w:sz="6" w:space="0"/>
              <w:right w:val="single" w:color="000000" w:sz="12" w:space="0"/>
            </w:tcBorders>
            <w:vAlign w:val="center"/>
          </w:tcPr>
          <w:p w14:paraId="63DCE080">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highlight w:val="none"/>
              </w:rPr>
              <w:t>原则上不允许，如需专业分包须经招标人审核同意</w:t>
            </w:r>
          </w:p>
        </w:tc>
      </w:tr>
      <w:tr w14:paraId="619E18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62" w:type="dxa"/>
            <w:tcBorders>
              <w:top w:val="single" w:color="000000" w:sz="6" w:space="0"/>
              <w:left w:val="single" w:color="000000" w:sz="12" w:space="0"/>
              <w:bottom w:val="single" w:color="000000" w:sz="12" w:space="0"/>
              <w:right w:val="single" w:color="000000" w:sz="6" w:space="0"/>
            </w:tcBorders>
            <w:vAlign w:val="center"/>
          </w:tcPr>
          <w:p w14:paraId="31EBB678">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1.12</w:t>
            </w:r>
          </w:p>
        </w:tc>
        <w:tc>
          <w:tcPr>
            <w:tcW w:w="2293" w:type="dxa"/>
            <w:tcBorders>
              <w:top w:val="single" w:color="000000" w:sz="6" w:space="0"/>
              <w:left w:val="single" w:color="000000" w:sz="6" w:space="0"/>
              <w:bottom w:val="single" w:color="000000" w:sz="12" w:space="0"/>
              <w:right w:val="single" w:color="000000" w:sz="6" w:space="0"/>
            </w:tcBorders>
            <w:vAlign w:val="center"/>
          </w:tcPr>
          <w:p w14:paraId="438F9C98">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偏离</w:t>
            </w:r>
          </w:p>
        </w:tc>
        <w:tc>
          <w:tcPr>
            <w:tcW w:w="6930" w:type="dxa"/>
            <w:tcBorders>
              <w:top w:val="single" w:color="000000" w:sz="6" w:space="0"/>
              <w:left w:val="single" w:color="000000" w:sz="6" w:space="0"/>
              <w:bottom w:val="single" w:color="000000" w:sz="12" w:space="0"/>
              <w:right w:val="single" w:color="000000" w:sz="12" w:space="0"/>
            </w:tcBorders>
            <w:vAlign w:val="center"/>
          </w:tcPr>
          <w:p w14:paraId="1D6A187B">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不允许</w:t>
            </w:r>
          </w:p>
        </w:tc>
      </w:tr>
      <w:tr w14:paraId="02829E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12" w:space="0"/>
              <w:left w:val="single" w:color="000000" w:sz="12" w:space="0"/>
              <w:bottom w:val="single" w:color="000000" w:sz="6" w:space="0"/>
              <w:right w:val="single" w:color="000000" w:sz="6" w:space="0"/>
            </w:tcBorders>
            <w:vAlign w:val="center"/>
          </w:tcPr>
          <w:p w14:paraId="1A92BC27">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2.1</w:t>
            </w:r>
          </w:p>
        </w:tc>
        <w:tc>
          <w:tcPr>
            <w:tcW w:w="2293" w:type="dxa"/>
            <w:tcBorders>
              <w:top w:val="single" w:color="000000" w:sz="12" w:space="0"/>
              <w:left w:val="single" w:color="000000" w:sz="6" w:space="0"/>
              <w:bottom w:val="single" w:color="000000" w:sz="6" w:space="0"/>
              <w:right w:val="single" w:color="000000" w:sz="6" w:space="0"/>
            </w:tcBorders>
            <w:vAlign w:val="center"/>
          </w:tcPr>
          <w:p w14:paraId="25E83C13">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构成招标文件的其他材料</w:t>
            </w:r>
          </w:p>
        </w:tc>
        <w:tc>
          <w:tcPr>
            <w:tcW w:w="6930" w:type="dxa"/>
            <w:tcBorders>
              <w:top w:val="single" w:color="000000" w:sz="12" w:space="0"/>
              <w:left w:val="single" w:color="000000" w:sz="6" w:space="0"/>
              <w:bottom w:val="single" w:color="000000" w:sz="6" w:space="0"/>
              <w:right w:val="single" w:color="000000" w:sz="12" w:space="0"/>
            </w:tcBorders>
            <w:vAlign w:val="center"/>
          </w:tcPr>
          <w:p w14:paraId="309D41E1">
            <w:pPr>
              <w:spacing w:line="240" w:lineRule="auto"/>
              <w:rPr>
                <w:rStyle w:val="47"/>
                <w:rFonts w:hint="eastAsia" w:ascii="宋体" w:hAnsi="宋体" w:eastAsia="宋体" w:cs="宋体"/>
                <w:sz w:val="21"/>
                <w:szCs w:val="21"/>
                <w:shd w:val="pct10" w:color="auto" w:fill="FFFFFF"/>
              </w:rPr>
            </w:pPr>
            <w:r>
              <w:rPr>
                <w:rStyle w:val="47"/>
                <w:rFonts w:hint="eastAsia" w:ascii="宋体" w:hAnsi="宋体" w:eastAsia="宋体" w:cs="宋体"/>
                <w:sz w:val="21"/>
                <w:szCs w:val="21"/>
              </w:rPr>
              <w:t>本项目的招标答疑文件及补充通知（如有）</w:t>
            </w:r>
          </w:p>
        </w:tc>
      </w:tr>
      <w:tr w14:paraId="08A95D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33886286">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2.2.1</w:t>
            </w:r>
          </w:p>
        </w:tc>
        <w:tc>
          <w:tcPr>
            <w:tcW w:w="2293" w:type="dxa"/>
            <w:tcBorders>
              <w:top w:val="single" w:color="000000" w:sz="6" w:space="0"/>
              <w:left w:val="single" w:color="000000" w:sz="6" w:space="0"/>
              <w:bottom w:val="single" w:color="000000" w:sz="6" w:space="0"/>
              <w:right w:val="single" w:color="000000" w:sz="6" w:space="0"/>
            </w:tcBorders>
            <w:vAlign w:val="center"/>
          </w:tcPr>
          <w:p w14:paraId="32953311">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投标人要求澄清招标文件的截止时间</w:t>
            </w:r>
          </w:p>
        </w:tc>
        <w:tc>
          <w:tcPr>
            <w:tcW w:w="6930" w:type="dxa"/>
            <w:tcBorders>
              <w:top w:val="single" w:color="000000" w:sz="6" w:space="0"/>
              <w:left w:val="single" w:color="000000" w:sz="6" w:space="0"/>
              <w:bottom w:val="single" w:color="000000" w:sz="6" w:space="0"/>
              <w:right w:val="single" w:color="000000" w:sz="12" w:space="0"/>
            </w:tcBorders>
            <w:vAlign w:val="center"/>
          </w:tcPr>
          <w:p w14:paraId="18ED5FD9">
            <w:pPr>
              <w:spacing w:line="240" w:lineRule="auto"/>
              <w:rPr>
                <w:rStyle w:val="47"/>
                <w:rFonts w:hint="eastAsia" w:ascii="宋体" w:hAnsi="宋体" w:eastAsia="宋体" w:cs="宋体"/>
                <w:sz w:val="21"/>
                <w:szCs w:val="21"/>
                <w:u w:val="single"/>
              </w:rPr>
            </w:pPr>
            <w:r>
              <w:rPr>
                <w:rFonts w:hint="eastAsia" w:ascii="Times New Roman" w:hAnsi="Times New Roman" w:eastAsia="宋体" w:cs="Times New Roman"/>
                <w:highlight w:val="none"/>
                <w:u w:val="none"/>
                <w:lang w:val="en-US" w:eastAsia="zh-CN"/>
              </w:rPr>
              <w:t>202</w:t>
            </w:r>
            <w:r>
              <w:rPr>
                <w:rFonts w:hint="eastAsia" w:cs="Times New Roman"/>
                <w:highlight w:val="none"/>
                <w:u w:val="none"/>
                <w:lang w:val="en-US" w:eastAsia="zh-CN"/>
              </w:rPr>
              <w:t>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 xml:space="preserve"> 11 </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 xml:space="preserve"> 12 </w:t>
            </w:r>
            <w:r>
              <w:rPr>
                <w:rFonts w:hint="eastAsia" w:ascii="宋体" w:hAnsi="Courier New" w:eastAsia="宋体" w:cs="Times New Roman"/>
                <w:highlight w:val="none"/>
                <w:u w:val="none"/>
                <w:lang w:val="en-US" w:eastAsia="zh-CN"/>
              </w:rPr>
              <w:t>日</w:t>
            </w:r>
            <w:r>
              <w:rPr>
                <w:rFonts w:hint="default" w:ascii="Times New Roman" w:hAnsi="Times New Roman" w:eastAsia="宋体" w:cs="Times New Roman"/>
                <w:highlight w:val="none"/>
                <w:u w:val="none"/>
                <w:lang w:val="en-US" w:eastAsia="zh-CN"/>
              </w:rPr>
              <w:t>12:00</w:t>
            </w:r>
            <w:r>
              <w:rPr>
                <w:rFonts w:hint="eastAsia" w:ascii="Times New Roman" w:hAnsi="Times New Roman" w:eastAsia="宋体" w:cs="Times New Roman"/>
                <w:highlight w:val="none"/>
                <w:u w:val="none"/>
                <w:lang w:val="en-US" w:eastAsia="zh-CN"/>
              </w:rPr>
              <w:t>:00</w:t>
            </w:r>
            <w:r>
              <w:rPr>
                <w:rFonts w:hint="default" w:ascii="Times New Roman" w:hAnsi="Times New Roman" w:eastAsia="宋体" w:cs="Times New Roman"/>
                <w:highlight w:val="none"/>
                <w:u w:val="none"/>
                <w:lang w:val="en-US" w:eastAsia="zh-CN"/>
              </w:rPr>
              <w:t>（</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tc>
      </w:tr>
      <w:tr w14:paraId="7C8EB1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00E7240">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2.2.2</w:t>
            </w:r>
          </w:p>
        </w:tc>
        <w:tc>
          <w:tcPr>
            <w:tcW w:w="2293" w:type="dxa"/>
            <w:tcBorders>
              <w:top w:val="single" w:color="000000" w:sz="6" w:space="0"/>
              <w:left w:val="single" w:color="000000" w:sz="6" w:space="0"/>
              <w:bottom w:val="single" w:color="000000" w:sz="6" w:space="0"/>
              <w:right w:val="single" w:color="000000" w:sz="6" w:space="0"/>
            </w:tcBorders>
            <w:vAlign w:val="center"/>
          </w:tcPr>
          <w:p w14:paraId="5E67782F">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highlight w:val="yellow"/>
              </w:rPr>
              <w:t>投标截止时间</w:t>
            </w:r>
          </w:p>
        </w:tc>
        <w:tc>
          <w:tcPr>
            <w:tcW w:w="6930" w:type="dxa"/>
            <w:tcBorders>
              <w:top w:val="single" w:color="000000" w:sz="6" w:space="0"/>
              <w:left w:val="single" w:color="000000" w:sz="6" w:space="0"/>
              <w:bottom w:val="single" w:color="000000" w:sz="6" w:space="0"/>
              <w:right w:val="single" w:color="000000" w:sz="12" w:space="0"/>
            </w:tcBorders>
            <w:vAlign w:val="center"/>
          </w:tcPr>
          <w:p w14:paraId="64983093">
            <w:pPr>
              <w:spacing w:line="240" w:lineRule="auto"/>
              <w:rPr>
                <w:rStyle w:val="47"/>
                <w:rFonts w:hint="default" w:ascii="宋体" w:hAnsi="宋体" w:eastAsia="宋体" w:cs="宋体"/>
                <w:sz w:val="21"/>
                <w:szCs w:val="21"/>
                <w:highlight w:val="none"/>
                <w:u w:val="single"/>
                <w:lang w:val="en-US"/>
              </w:rPr>
            </w:pPr>
            <w:r>
              <w:rPr>
                <w:rFonts w:hint="eastAsia" w:ascii="Times New Roman" w:hAnsi="Times New Roman" w:eastAsia="宋体" w:cs="Times New Roman"/>
                <w:highlight w:val="yellow"/>
                <w:u w:val="none"/>
                <w:lang w:val="en-US" w:eastAsia="zh-CN"/>
              </w:rPr>
              <w:t>2025年11月</w:t>
            </w:r>
            <w:r>
              <w:rPr>
                <w:rFonts w:hint="eastAsia" w:cs="Times New Roman"/>
                <w:highlight w:val="yellow"/>
                <w:u w:val="none"/>
                <w:lang w:val="en-US" w:eastAsia="zh-CN"/>
              </w:rPr>
              <w:t>14</w:t>
            </w:r>
            <w:r>
              <w:rPr>
                <w:rFonts w:hint="eastAsia" w:ascii="Times New Roman" w:hAnsi="Times New Roman" w:eastAsia="宋体" w:cs="Times New Roman"/>
                <w:highlight w:val="yellow"/>
                <w:u w:val="none"/>
                <w:lang w:val="en-US" w:eastAsia="zh-CN"/>
              </w:rPr>
              <w:t>日</w:t>
            </w:r>
            <w:r>
              <w:rPr>
                <w:rFonts w:hint="eastAsia" w:cs="Times New Roman"/>
                <w:highlight w:val="yellow"/>
                <w:u w:val="none"/>
                <w:lang w:val="en-US" w:eastAsia="zh-CN"/>
              </w:rPr>
              <w:t>9：</w:t>
            </w:r>
            <w:r>
              <w:rPr>
                <w:rFonts w:hint="eastAsia" w:ascii="Times New Roman" w:hAnsi="Times New Roman" w:eastAsia="宋体" w:cs="Times New Roman"/>
                <w:highlight w:val="yellow"/>
                <w:u w:val="none"/>
                <w:lang w:val="en-US" w:eastAsia="zh-CN"/>
              </w:rPr>
              <w:t>00:00</w:t>
            </w:r>
            <w:r>
              <w:rPr>
                <w:rFonts w:hint="default" w:ascii="Times New Roman" w:hAnsi="Times New Roman" w:eastAsia="宋体" w:cs="Times New Roman"/>
                <w:highlight w:val="yellow"/>
                <w:u w:val="none"/>
                <w:lang w:val="en-US" w:eastAsia="zh-CN"/>
              </w:rPr>
              <w:t>（北京时间）</w:t>
            </w:r>
          </w:p>
        </w:tc>
      </w:tr>
      <w:tr w14:paraId="2FB574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263C43A6">
            <w:pPr>
              <w:spacing w:line="240" w:lineRule="auto"/>
              <w:rPr>
                <w:rStyle w:val="47"/>
                <w:rFonts w:hint="eastAsia" w:ascii="宋体" w:hAnsi="宋体" w:eastAsia="宋体" w:cs="宋体"/>
                <w:strike w:val="0"/>
                <w:dstrike w:val="0"/>
                <w:sz w:val="21"/>
                <w:szCs w:val="21"/>
                <w:highlight w:val="none"/>
              </w:rPr>
            </w:pPr>
            <w:r>
              <w:rPr>
                <w:rStyle w:val="47"/>
                <w:rFonts w:hint="eastAsia" w:ascii="宋体" w:hAnsi="宋体" w:eastAsia="宋体" w:cs="宋体"/>
                <w:strike w:val="0"/>
                <w:dstrike w:val="0"/>
                <w:sz w:val="21"/>
                <w:szCs w:val="21"/>
                <w:highlight w:val="none"/>
              </w:rPr>
              <w:t>2.2.3</w:t>
            </w:r>
          </w:p>
        </w:tc>
        <w:tc>
          <w:tcPr>
            <w:tcW w:w="2293" w:type="dxa"/>
            <w:tcBorders>
              <w:top w:val="single" w:color="000000" w:sz="6" w:space="0"/>
              <w:left w:val="single" w:color="000000" w:sz="6" w:space="0"/>
              <w:bottom w:val="single" w:color="000000" w:sz="6" w:space="0"/>
              <w:right w:val="single" w:color="000000" w:sz="6" w:space="0"/>
            </w:tcBorders>
            <w:vAlign w:val="center"/>
          </w:tcPr>
          <w:p w14:paraId="4AE75C93">
            <w:pPr>
              <w:spacing w:line="240" w:lineRule="auto"/>
              <w:rPr>
                <w:rStyle w:val="47"/>
                <w:rFonts w:hint="eastAsia" w:ascii="宋体" w:hAnsi="宋体" w:eastAsia="宋体" w:cs="宋体"/>
                <w:strike w:val="0"/>
                <w:dstrike w:val="0"/>
                <w:sz w:val="21"/>
                <w:szCs w:val="21"/>
                <w:highlight w:val="none"/>
              </w:rPr>
            </w:pPr>
            <w:r>
              <w:rPr>
                <w:rStyle w:val="47"/>
                <w:rFonts w:hint="eastAsia" w:ascii="宋体" w:hAnsi="宋体" w:eastAsia="宋体" w:cs="宋体"/>
                <w:strike w:val="0"/>
                <w:dstrike w:val="0"/>
                <w:sz w:val="21"/>
                <w:szCs w:val="21"/>
                <w:highlight w:val="none"/>
              </w:rPr>
              <w:t>投标人确认收到招标文件澄清的时间及方式</w:t>
            </w:r>
          </w:p>
        </w:tc>
        <w:tc>
          <w:tcPr>
            <w:tcW w:w="6930" w:type="dxa"/>
            <w:tcBorders>
              <w:top w:val="single" w:color="000000" w:sz="6" w:space="0"/>
              <w:left w:val="single" w:color="000000" w:sz="6" w:space="0"/>
              <w:bottom w:val="single" w:color="000000" w:sz="6" w:space="0"/>
              <w:right w:val="single" w:color="000000" w:sz="12" w:space="0"/>
            </w:tcBorders>
            <w:vAlign w:val="center"/>
          </w:tcPr>
          <w:p w14:paraId="65990C35">
            <w:pPr>
              <w:spacing w:line="240" w:lineRule="auto"/>
              <w:ind w:left="-2" w:leftChars="-1" w:firstLine="2" w:firstLineChars="1"/>
              <w:rPr>
                <w:rStyle w:val="47"/>
                <w:rFonts w:hint="eastAsia" w:ascii="宋体" w:hAnsi="宋体" w:eastAsia="宋体" w:cs="宋体"/>
                <w:strike w:val="0"/>
                <w:dstrike w:val="0"/>
                <w:sz w:val="21"/>
                <w:szCs w:val="21"/>
                <w:highlight w:val="none"/>
                <w:u w:val="single"/>
              </w:rPr>
            </w:pPr>
            <w:r>
              <w:rPr>
                <w:rStyle w:val="47"/>
                <w:rFonts w:hint="eastAsia" w:ascii="宋体" w:hAnsi="宋体" w:eastAsia="宋体" w:cs="宋体"/>
                <w:strike w:val="0"/>
                <w:dstrike w:val="0"/>
                <w:sz w:val="21"/>
                <w:szCs w:val="21"/>
                <w:highlight w:val="none"/>
              </w:rPr>
              <w:t>在收到相应澄清文件后</w:t>
            </w:r>
            <w:r>
              <w:rPr>
                <w:rStyle w:val="47"/>
                <w:rFonts w:hint="eastAsia" w:ascii="宋体" w:hAnsi="宋体" w:eastAsia="宋体" w:cs="宋体"/>
                <w:strike w:val="0"/>
                <w:dstrike w:val="0"/>
                <w:sz w:val="21"/>
                <w:szCs w:val="21"/>
                <w:highlight w:val="none"/>
                <w:u w:val="single"/>
              </w:rPr>
              <w:t>24</w:t>
            </w:r>
            <w:r>
              <w:rPr>
                <w:rStyle w:val="47"/>
                <w:rFonts w:hint="eastAsia" w:ascii="宋体" w:hAnsi="宋体" w:eastAsia="宋体" w:cs="宋体"/>
                <w:strike w:val="0"/>
                <w:dstrike w:val="0"/>
                <w:sz w:val="21"/>
                <w:szCs w:val="21"/>
                <w:highlight w:val="none"/>
              </w:rPr>
              <w:t>小时内；在回执单上盖上单位公章，以书面方式回执。</w:t>
            </w:r>
          </w:p>
        </w:tc>
      </w:tr>
      <w:tr w14:paraId="3EA2C9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D1D64D3">
            <w:pPr>
              <w:spacing w:line="240" w:lineRule="auto"/>
              <w:rPr>
                <w:rStyle w:val="47"/>
                <w:rFonts w:hint="eastAsia" w:ascii="宋体" w:hAnsi="宋体" w:eastAsia="宋体" w:cs="宋体"/>
                <w:strike w:val="0"/>
                <w:dstrike w:val="0"/>
                <w:sz w:val="21"/>
                <w:szCs w:val="21"/>
                <w:highlight w:val="none"/>
              </w:rPr>
            </w:pPr>
            <w:r>
              <w:rPr>
                <w:rStyle w:val="47"/>
                <w:rFonts w:hint="eastAsia" w:ascii="宋体" w:hAnsi="宋体" w:eastAsia="宋体" w:cs="宋体"/>
                <w:strike w:val="0"/>
                <w:dstrike w:val="0"/>
                <w:sz w:val="21"/>
                <w:szCs w:val="21"/>
                <w:highlight w:val="none"/>
              </w:rPr>
              <w:t>2.3.2</w:t>
            </w:r>
          </w:p>
        </w:tc>
        <w:tc>
          <w:tcPr>
            <w:tcW w:w="2293" w:type="dxa"/>
            <w:tcBorders>
              <w:top w:val="single" w:color="000000" w:sz="6" w:space="0"/>
              <w:left w:val="single" w:color="000000" w:sz="6" w:space="0"/>
              <w:bottom w:val="single" w:color="000000" w:sz="6" w:space="0"/>
              <w:right w:val="single" w:color="000000" w:sz="6" w:space="0"/>
            </w:tcBorders>
            <w:vAlign w:val="center"/>
          </w:tcPr>
          <w:p w14:paraId="22A6AB9D">
            <w:pPr>
              <w:spacing w:line="240" w:lineRule="auto"/>
              <w:rPr>
                <w:rStyle w:val="47"/>
                <w:rFonts w:hint="eastAsia" w:ascii="宋体" w:hAnsi="宋体" w:eastAsia="宋体" w:cs="宋体"/>
                <w:strike w:val="0"/>
                <w:dstrike w:val="0"/>
                <w:sz w:val="21"/>
                <w:szCs w:val="21"/>
                <w:highlight w:val="none"/>
              </w:rPr>
            </w:pPr>
            <w:r>
              <w:rPr>
                <w:rStyle w:val="47"/>
                <w:rFonts w:hint="eastAsia" w:ascii="宋体" w:hAnsi="宋体" w:eastAsia="宋体" w:cs="宋体"/>
                <w:strike w:val="0"/>
                <w:dstrike w:val="0"/>
                <w:sz w:val="21"/>
                <w:szCs w:val="21"/>
                <w:highlight w:val="none"/>
              </w:rPr>
              <w:t>投标人确认收到招标文件修改的时间及方式</w:t>
            </w:r>
          </w:p>
        </w:tc>
        <w:tc>
          <w:tcPr>
            <w:tcW w:w="6930" w:type="dxa"/>
            <w:tcBorders>
              <w:top w:val="single" w:color="000000" w:sz="6" w:space="0"/>
              <w:left w:val="single" w:color="000000" w:sz="6" w:space="0"/>
              <w:bottom w:val="single" w:color="000000" w:sz="6" w:space="0"/>
              <w:right w:val="single" w:color="000000" w:sz="12" w:space="0"/>
            </w:tcBorders>
            <w:vAlign w:val="center"/>
          </w:tcPr>
          <w:p w14:paraId="19DBD2A3">
            <w:pPr>
              <w:spacing w:line="240" w:lineRule="auto"/>
              <w:rPr>
                <w:rStyle w:val="47"/>
                <w:rFonts w:hint="eastAsia" w:ascii="宋体" w:hAnsi="宋体" w:eastAsia="宋体" w:cs="宋体"/>
                <w:strike w:val="0"/>
                <w:dstrike w:val="0"/>
                <w:sz w:val="21"/>
                <w:szCs w:val="21"/>
                <w:highlight w:val="none"/>
              </w:rPr>
            </w:pPr>
            <w:r>
              <w:rPr>
                <w:rStyle w:val="47"/>
                <w:rFonts w:hint="eastAsia" w:ascii="宋体" w:hAnsi="宋体" w:eastAsia="宋体" w:cs="宋体"/>
                <w:strike w:val="0"/>
                <w:dstrike w:val="0"/>
                <w:sz w:val="21"/>
                <w:szCs w:val="21"/>
                <w:highlight w:val="none"/>
              </w:rPr>
              <w:t>在收到相应修改文件后</w:t>
            </w:r>
            <w:r>
              <w:rPr>
                <w:rStyle w:val="47"/>
                <w:rFonts w:hint="eastAsia" w:ascii="宋体" w:hAnsi="宋体" w:eastAsia="宋体" w:cs="宋体"/>
                <w:strike w:val="0"/>
                <w:dstrike w:val="0"/>
                <w:sz w:val="21"/>
                <w:szCs w:val="21"/>
                <w:highlight w:val="none"/>
                <w:u w:val="single"/>
              </w:rPr>
              <w:t>24</w:t>
            </w:r>
            <w:r>
              <w:rPr>
                <w:rStyle w:val="47"/>
                <w:rFonts w:hint="eastAsia" w:ascii="宋体" w:hAnsi="宋体" w:eastAsia="宋体" w:cs="宋体"/>
                <w:strike w:val="0"/>
                <w:dstrike w:val="0"/>
                <w:sz w:val="21"/>
                <w:szCs w:val="21"/>
                <w:highlight w:val="none"/>
              </w:rPr>
              <w:t>小时内；在回执单上盖上单位公章，以书面方式回执。</w:t>
            </w:r>
          </w:p>
        </w:tc>
      </w:tr>
      <w:tr w14:paraId="01B73E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62AC358">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3.1.1</w:t>
            </w:r>
          </w:p>
        </w:tc>
        <w:tc>
          <w:tcPr>
            <w:tcW w:w="2293" w:type="dxa"/>
            <w:tcBorders>
              <w:top w:val="single" w:color="000000" w:sz="6" w:space="0"/>
              <w:left w:val="single" w:color="000000" w:sz="6" w:space="0"/>
              <w:bottom w:val="single" w:color="000000" w:sz="6" w:space="0"/>
              <w:right w:val="single" w:color="000000" w:sz="6" w:space="0"/>
            </w:tcBorders>
            <w:vAlign w:val="center"/>
          </w:tcPr>
          <w:p w14:paraId="1F8D73C7">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构成投标文件的其他材料</w:t>
            </w:r>
          </w:p>
        </w:tc>
        <w:tc>
          <w:tcPr>
            <w:tcW w:w="6930" w:type="dxa"/>
            <w:tcBorders>
              <w:top w:val="single" w:color="000000" w:sz="6" w:space="0"/>
              <w:left w:val="single" w:color="000000" w:sz="6" w:space="0"/>
              <w:bottom w:val="single" w:color="000000" w:sz="6" w:space="0"/>
              <w:right w:val="single" w:color="000000" w:sz="12" w:space="0"/>
            </w:tcBorders>
            <w:vAlign w:val="center"/>
          </w:tcPr>
          <w:p w14:paraId="26854FD9">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投标人的澄清及承诺（如果有）</w:t>
            </w:r>
          </w:p>
        </w:tc>
      </w:tr>
      <w:tr w14:paraId="3ED3CA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5482D31">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3.3.1</w:t>
            </w:r>
          </w:p>
        </w:tc>
        <w:tc>
          <w:tcPr>
            <w:tcW w:w="2293" w:type="dxa"/>
            <w:tcBorders>
              <w:top w:val="single" w:color="000000" w:sz="6" w:space="0"/>
              <w:left w:val="single" w:color="000000" w:sz="6" w:space="0"/>
              <w:bottom w:val="single" w:color="000000" w:sz="6" w:space="0"/>
              <w:right w:val="single" w:color="000000" w:sz="6" w:space="0"/>
            </w:tcBorders>
            <w:vAlign w:val="center"/>
          </w:tcPr>
          <w:p w14:paraId="360F118C">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投标有效期</w:t>
            </w:r>
          </w:p>
        </w:tc>
        <w:tc>
          <w:tcPr>
            <w:tcW w:w="6930" w:type="dxa"/>
            <w:tcBorders>
              <w:top w:val="single" w:color="000000" w:sz="6" w:space="0"/>
              <w:left w:val="single" w:color="000000" w:sz="6" w:space="0"/>
              <w:bottom w:val="single" w:color="000000" w:sz="6" w:space="0"/>
              <w:right w:val="single" w:color="000000" w:sz="12" w:space="0"/>
            </w:tcBorders>
            <w:vAlign w:val="center"/>
          </w:tcPr>
          <w:p w14:paraId="6B0E7A0F">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u w:val="single"/>
              </w:rPr>
              <w:t>90</w:t>
            </w:r>
            <w:r>
              <w:rPr>
                <w:rStyle w:val="47"/>
                <w:rFonts w:hint="eastAsia" w:ascii="宋体" w:hAnsi="宋体" w:eastAsia="宋体" w:cs="宋体"/>
                <w:sz w:val="21"/>
                <w:szCs w:val="21"/>
              </w:rPr>
              <w:t>天</w:t>
            </w:r>
          </w:p>
        </w:tc>
      </w:tr>
      <w:tr w14:paraId="5AB934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DFFEFB3">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3.4.1</w:t>
            </w:r>
          </w:p>
        </w:tc>
        <w:tc>
          <w:tcPr>
            <w:tcW w:w="2293" w:type="dxa"/>
            <w:tcBorders>
              <w:top w:val="single" w:color="000000" w:sz="6" w:space="0"/>
              <w:left w:val="single" w:color="000000" w:sz="6" w:space="0"/>
              <w:bottom w:val="single" w:color="000000" w:sz="6" w:space="0"/>
              <w:right w:val="single" w:color="000000" w:sz="6" w:space="0"/>
            </w:tcBorders>
            <w:vAlign w:val="center"/>
          </w:tcPr>
          <w:p w14:paraId="7DC1C582">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投标保证金的递交及相关费用的收取</w:t>
            </w:r>
          </w:p>
        </w:tc>
        <w:tc>
          <w:tcPr>
            <w:tcW w:w="6930" w:type="dxa"/>
            <w:tcBorders>
              <w:top w:val="single" w:color="000000" w:sz="6" w:space="0"/>
              <w:left w:val="single" w:color="000000" w:sz="6" w:space="0"/>
              <w:bottom w:val="single" w:color="000000" w:sz="6" w:space="0"/>
              <w:right w:val="single" w:color="000000" w:sz="12" w:space="0"/>
            </w:tcBorders>
          </w:tcPr>
          <w:p w14:paraId="021ADBC0">
            <w:pPr>
              <w:pStyle w:val="1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3"/>
              <w:rPr>
                <w:rFonts w:hint="eastAsia" w:ascii="宋体" w:hAnsi="宋体" w:eastAsia="宋体" w:cs="宋体"/>
                <w:b w:val="0"/>
                <w:bCs w:val="0"/>
                <w:sz w:val="21"/>
                <w:szCs w:val="21"/>
                <w:highlight w:val="none"/>
                <w:u w:val="single"/>
                <w:lang w:val="en-US" w:eastAsia="zh-CN"/>
              </w:rPr>
            </w:pPr>
            <w:r>
              <w:rPr>
                <w:rFonts w:hint="eastAsia" w:cs="宋体"/>
                <w:b w:val="0"/>
                <w:bCs w:val="0"/>
                <w:sz w:val="21"/>
                <w:szCs w:val="21"/>
                <w:highlight w:val="none"/>
                <w:lang w:val="en-US" w:eastAsia="zh-CN"/>
              </w:rPr>
              <w:t>1、</w:t>
            </w: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从银行基本账户转账</w:t>
            </w:r>
          </w:p>
          <w:p w14:paraId="25AC0430">
            <w:pPr>
              <w:pStyle w:val="1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1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3"/>
              <w:rPr>
                <w:rFonts w:hint="default"/>
                <w:highlight w:val="none"/>
                <w:lang w:val="en-US" w:eastAsia="zh-CN"/>
              </w:rPr>
            </w:pPr>
            <w:r>
              <w:rPr>
                <w:rFonts w:hint="eastAsia"/>
                <w:highlight w:val="none"/>
                <w:lang w:val="en-US" w:eastAsia="zh-CN"/>
              </w:rPr>
              <w:t>2、</w:t>
            </w:r>
            <w:r>
              <w:rPr>
                <w:rFonts w:hint="eastAsia"/>
                <w:highlight w:val="none"/>
              </w:rPr>
              <w:t>投标保证金的金额：人民币</w:t>
            </w:r>
            <w:r>
              <w:rPr>
                <w:rFonts w:hint="eastAsia" w:cs="宋体"/>
                <w:sz w:val="21"/>
                <w:szCs w:val="21"/>
                <w:highlight w:val="none"/>
                <w:u w:val="single"/>
                <w:lang w:val="en-US" w:eastAsia="zh-CN"/>
              </w:rPr>
              <w:t xml:space="preserve">   </w:t>
            </w:r>
            <w:r>
              <w:rPr>
                <w:rFonts w:hint="eastAsia" w:cs="宋体"/>
                <w:sz w:val="21"/>
                <w:szCs w:val="21"/>
                <w:highlight w:val="yellow"/>
                <w:u w:val="single"/>
                <w:lang w:val="en-US" w:eastAsia="zh-CN"/>
              </w:rPr>
              <w:t xml:space="preserve"> 5000  </w:t>
            </w:r>
            <w:r>
              <w:rPr>
                <w:rFonts w:hint="eastAsia"/>
                <w:highlight w:val="yellow"/>
              </w:rPr>
              <w:t>元</w:t>
            </w:r>
          </w:p>
          <w:p w14:paraId="45E56B3E">
            <w:pPr>
              <w:pStyle w:val="111"/>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hint="eastAsia" w:cs="Times New Roman"/>
              </w:rPr>
              <w:t>单位名称：中国重汽集团济南动力有限公司</w:t>
            </w:r>
          </w:p>
          <w:p w14:paraId="4ED57A68">
            <w:pPr>
              <w:pStyle w:val="111"/>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rPr>
            </w:pPr>
            <w:r>
              <w:rPr>
                <w:rFonts w:hint="eastAsia" w:cs="Times New Roman"/>
              </w:rPr>
              <w:t>收款账号：37001616508050150300</w:t>
            </w:r>
          </w:p>
          <w:p w14:paraId="3B3FF89A">
            <w:pPr>
              <w:pStyle w:val="111"/>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rPr>
            </w:pPr>
            <w:r>
              <w:rPr>
                <w:rFonts w:hint="eastAsia" w:cs="Times New Roman"/>
              </w:rPr>
              <w:t>开户行名称：中国建设银行股份有限公司济南天桥支行</w:t>
            </w:r>
          </w:p>
          <w:p w14:paraId="3565EE07">
            <w:pPr>
              <w:pStyle w:val="111"/>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hint="eastAsia" w:cs="Times New Roman"/>
              </w:rPr>
              <w:t>开户行行号：105451000362</w:t>
            </w:r>
          </w:p>
          <w:p w14:paraId="147335E7">
            <w:pPr>
              <w:pStyle w:val="1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3"/>
              <w:rPr>
                <w:rFonts w:hint="eastAsia" w:ascii="宋体" w:hAnsi="宋体" w:eastAsia="宋体" w:cs="宋体"/>
                <w:sz w:val="21"/>
                <w:szCs w:val="21"/>
              </w:rPr>
            </w:pPr>
            <w:r>
              <w:rPr>
                <w:rFonts w:hint="eastAsia"/>
                <w:b/>
                <w:bCs/>
                <w:lang w:val="en-US" w:eastAsia="zh-CN"/>
              </w:rPr>
              <w:t>转账附言：公司名称+项目名称+投标保证金</w:t>
            </w:r>
            <w:r>
              <w:rPr>
                <w:rFonts w:hint="eastAsia"/>
                <w:b/>
                <w:bCs/>
                <w:lang w:val="en-US" w:eastAsia="zh-CN"/>
              </w:rPr>
              <w:br w:type="textWrapping"/>
            </w:r>
            <w:r>
              <w:rPr>
                <w:rFonts w:hint="eastAsia" w:cs="Times New Roman"/>
                <w:highlight w:val="none"/>
                <w:lang w:val="en-US" w:eastAsia="zh-CN"/>
              </w:rPr>
              <w:t>3、</w:t>
            </w: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cs="宋体"/>
                <w:b w:val="0"/>
                <w:bCs w:val="0"/>
                <w:sz w:val="21"/>
                <w:szCs w:val="21"/>
                <w:highlight w:val="none"/>
                <w:lang w:val="en-US" w:eastAsia="zh-CN"/>
              </w:rPr>
              <w:t>11</w:t>
            </w:r>
            <w:r>
              <w:rPr>
                <w:rFonts w:hint="eastAsia" w:ascii="宋体" w:hAnsi="宋体" w:eastAsia="宋体" w:cs="宋体"/>
                <w:b w:val="0"/>
                <w:bCs w:val="0"/>
                <w:sz w:val="21"/>
                <w:szCs w:val="21"/>
                <w:highlight w:val="none"/>
              </w:rPr>
              <w:t>月</w:t>
            </w:r>
            <w:r>
              <w:rPr>
                <w:rFonts w:hint="eastAsia" w:cs="宋体"/>
                <w:b w:val="0"/>
                <w:bCs w:val="0"/>
                <w:sz w:val="21"/>
                <w:szCs w:val="21"/>
                <w:highlight w:val="none"/>
                <w:lang w:val="en-US" w:eastAsia="zh-CN"/>
              </w:rPr>
              <w:t xml:space="preserve">  10</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u w:val="none"/>
                <w:lang w:val="en-US" w:eastAsia="zh-CN"/>
              </w:rPr>
              <w:t>:00:00</w:t>
            </w:r>
            <w:r>
              <w:rPr>
                <w:rFonts w:hint="default" w:ascii="宋体" w:hAnsi="Courier New" w:eastAsia="宋体" w:cs="Times New Roman"/>
                <w:highlight w:val="none"/>
                <w:u w:val="none"/>
                <w:lang w:val="en-US" w:eastAsia="zh-CN"/>
              </w:rPr>
              <w:t>（北京时间）</w:t>
            </w:r>
          </w:p>
          <w:p w14:paraId="188D5634">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cs="宋体"/>
                <w:sz w:val="21"/>
                <w:szCs w:val="21"/>
                <w:lang w:val="en-US" w:eastAsia="zh-CN"/>
              </w:rPr>
            </w:pPr>
            <w:r>
              <w:rPr>
                <w:rFonts w:hint="eastAsia" w:cs="宋体"/>
                <w:sz w:val="21"/>
                <w:szCs w:val="21"/>
                <w:lang w:val="en-US" w:eastAsia="zh-CN"/>
              </w:rPr>
              <w:t>4、保证金的退还</w:t>
            </w:r>
          </w:p>
          <w:p w14:paraId="474FDF4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按照招投标法保证</w:t>
            </w:r>
            <w:r>
              <w:rPr>
                <w:rFonts w:hint="eastAsia" w:ascii="宋体" w:hAnsi="宋体" w:eastAsia="宋体" w:cs="宋体"/>
                <w:b w:val="0"/>
                <w:bCs w:val="0"/>
                <w:kern w:val="2"/>
                <w:sz w:val="21"/>
                <w:szCs w:val="21"/>
                <w:highlight w:val="none"/>
                <w:lang w:val="en-US" w:eastAsia="zh-CN" w:bidi="ar-SA"/>
              </w:rPr>
              <w:t>金返还相关条款约定，结合我公司财务管理流程等综合因素，保证金退款流程申请成功退款到账时间为：</w:t>
            </w:r>
            <w:r>
              <w:rPr>
                <w:rFonts w:hint="eastAsia" w:ascii="宋体" w:hAnsi="宋体" w:eastAsia="宋体" w:cs="宋体"/>
                <w:sz w:val="21"/>
                <w:szCs w:val="21"/>
              </w:rPr>
              <w:t xml:space="preserve"> </w:t>
            </w:r>
          </w:p>
          <w:p w14:paraId="6D8BBE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rPr>
              <w:sym w:font="Wingdings 2" w:char="F052"/>
            </w:r>
            <w:r>
              <w:rPr>
                <w:rFonts w:hint="eastAsia" w:ascii="宋体" w:hAnsi="宋体" w:eastAsia="宋体" w:cs="宋体"/>
                <w:sz w:val="21"/>
                <w:szCs w:val="21"/>
              </w:rPr>
              <w:t>未中标的投标人投标保证金将在中标通知书发出后60日内予以无息退还；</w:t>
            </w:r>
            <w:r>
              <w:rPr>
                <w:rFonts w:hint="eastAsia" w:ascii="宋体" w:hAnsi="宋体" w:eastAsia="宋体" w:cs="宋体"/>
                <w:sz w:val="21"/>
                <w:szCs w:val="21"/>
              </w:rPr>
              <w:sym w:font="Wingdings 2" w:char="F052"/>
            </w:r>
            <w:r>
              <w:rPr>
                <w:rFonts w:hint="eastAsia" w:ascii="宋体" w:hAnsi="宋体" w:eastAsia="宋体" w:cs="宋体"/>
                <w:sz w:val="21"/>
                <w:szCs w:val="21"/>
              </w:rPr>
              <w:t>中标人的投标保证金自动转为履约保证金，待竣工验收后根据履约情况予以退还</w:t>
            </w:r>
            <w:r>
              <w:rPr>
                <w:rFonts w:hint="eastAsia" w:ascii="宋体" w:hAnsi="宋体" w:eastAsia="宋体" w:cs="宋体"/>
                <w:sz w:val="21"/>
                <w:szCs w:val="21"/>
                <w:lang w:eastAsia="zh-CN"/>
              </w:rPr>
              <w:t>。</w:t>
            </w:r>
          </w:p>
          <w:p w14:paraId="24576EB8">
            <w:pPr>
              <w:pStyle w:val="11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请各投标单位知悉且视为认同此条款。</w:t>
            </w:r>
          </w:p>
        </w:tc>
      </w:tr>
      <w:tr w14:paraId="53E129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7ADC701D">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3.6.3</w:t>
            </w:r>
          </w:p>
        </w:tc>
        <w:tc>
          <w:tcPr>
            <w:tcW w:w="2293" w:type="dxa"/>
            <w:tcBorders>
              <w:top w:val="single" w:color="000000" w:sz="6" w:space="0"/>
              <w:left w:val="single" w:color="000000" w:sz="6" w:space="0"/>
              <w:bottom w:val="single" w:color="000000" w:sz="6" w:space="0"/>
              <w:right w:val="single" w:color="000000" w:sz="6" w:space="0"/>
            </w:tcBorders>
            <w:vAlign w:val="center"/>
          </w:tcPr>
          <w:p w14:paraId="31EE55CA">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签字和（或）盖章要求</w:t>
            </w:r>
          </w:p>
        </w:tc>
        <w:tc>
          <w:tcPr>
            <w:tcW w:w="6930" w:type="dxa"/>
            <w:tcBorders>
              <w:top w:val="single" w:color="000000" w:sz="6" w:space="0"/>
              <w:left w:val="single" w:color="000000" w:sz="6" w:space="0"/>
              <w:bottom w:val="single" w:color="000000" w:sz="6" w:space="0"/>
              <w:right w:val="single" w:color="000000" w:sz="12" w:space="0"/>
            </w:tcBorders>
          </w:tcPr>
          <w:p w14:paraId="1752AD3C">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投标文件封面处及投标函均应加盖投标人印章并经法定代表人或其委托代理人签字或盖章。</w:t>
            </w:r>
          </w:p>
        </w:tc>
      </w:tr>
      <w:tr w14:paraId="293E9D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E54C88A">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3.6.4</w:t>
            </w:r>
          </w:p>
        </w:tc>
        <w:tc>
          <w:tcPr>
            <w:tcW w:w="2293" w:type="dxa"/>
            <w:tcBorders>
              <w:top w:val="single" w:color="000000" w:sz="6" w:space="0"/>
              <w:left w:val="single" w:color="000000" w:sz="6" w:space="0"/>
              <w:bottom w:val="single" w:color="000000" w:sz="6" w:space="0"/>
              <w:right w:val="single" w:color="000000" w:sz="6" w:space="0"/>
            </w:tcBorders>
            <w:vAlign w:val="center"/>
          </w:tcPr>
          <w:p w14:paraId="57925CD5">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投标文件副本份数</w:t>
            </w:r>
          </w:p>
        </w:tc>
        <w:tc>
          <w:tcPr>
            <w:tcW w:w="6930" w:type="dxa"/>
            <w:tcBorders>
              <w:top w:val="single" w:color="000000" w:sz="6" w:space="0"/>
              <w:left w:val="single" w:color="000000" w:sz="6" w:space="0"/>
              <w:bottom w:val="single" w:color="000000" w:sz="6" w:space="0"/>
              <w:right w:val="single" w:color="000000" w:sz="12" w:space="0"/>
            </w:tcBorders>
            <w:vAlign w:val="center"/>
          </w:tcPr>
          <w:p w14:paraId="00D80FF2">
            <w:pPr>
              <w:spacing w:line="240" w:lineRule="auto"/>
              <w:rPr>
                <w:rStyle w:val="47"/>
                <w:rFonts w:hint="eastAsia" w:ascii="宋体" w:hAnsi="宋体" w:eastAsia="宋体" w:cs="宋体"/>
                <w:sz w:val="21"/>
                <w:szCs w:val="21"/>
                <w:lang w:val="en-US" w:eastAsia="zh-CN"/>
              </w:rPr>
            </w:pPr>
            <w:r>
              <w:rPr>
                <w:rStyle w:val="47"/>
                <w:rFonts w:hint="eastAsia" w:ascii="宋体" w:hAnsi="宋体" w:eastAsia="宋体" w:cs="宋体"/>
                <w:sz w:val="21"/>
                <w:szCs w:val="21"/>
                <w:lang w:val="en-US" w:eastAsia="zh-CN"/>
              </w:rPr>
              <w:t>详见3.6.5要求</w:t>
            </w:r>
          </w:p>
        </w:tc>
      </w:tr>
      <w:tr w14:paraId="49B945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5AEEF23D">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3.6.5</w:t>
            </w:r>
          </w:p>
        </w:tc>
        <w:tc>
          <w:tcPr>
            <w:tcW w:w="2293" w:type="dxa"/>
            <w:tcBorders>
              <w:top w:val="single" w:color="000000" w:sz="6" w:space="0"/>
              <w:left w:val="single" w:color="000000" w:sz="6" w:space="0"/>
              <w:bottom w:val="single" w:color="000000" w:sz="6" w:space="0"/>
              <w:right w:val="single" w:color="000000" w:sz="6" w:space="0"/>
            </w:tcBorders>
            <w:vAlign w:val="center"/>
          </w:tcPr>
          <w:p w14:paraId="2D5EB5F2">
            <w:pPr>
              <w:spacing w:line="240" w:lineRule="auto"/>
              <w:rPr>
                <w:rFonts w:hint="eastAsia" w:ascii="宋体" w:hAnsi="宋体" w:eastAsia="宋体" w:cs="宋体"/>
                <w:sz w:val="21"/>
                <w:szCs w:val="21"/>
              </w:rPr>
            </w:pPr>
            <w:r>
              <w:rPr>
                <w:rFonts w:hint="eastAsia" w:ascii="宋体" w:hAnsi="宋体" w:eastAsia="宋体" w:cs="宋体"/>
                <w:sz w:val="21"/>
                <w:szCs w:val="21"/>
              </w:rPr>
              <w:t>装订要求</w:t>
            </w:r>
          </w:p>
        </w:tc>
        <w:tc>
          <w:tcPr>
            <w:tcW w:w="6930" w:type="dxa"/>
            <w:tcBorders>
              <w:top w:val="single" w:color="000000" w:sz="6" w:space="0"/>
              <w:left w:val="single" w:color="000000" w:sz="6" w:space="0"/>
              <w:bottom w:val="single" w:color="000000" w:sz="6" w:space="0"/>
              <w:right w:val="single" w:color="000000" w:sz="12" w:space="0"/>
            </w:tcBorders>
          </w:tcPr>
          <w:p w14:paraId="5CE17B94">
            <w:pPr>
              <w:spacing w:line="240" w:lineRule="auto"/>
              <w:rPr>
                <w:rFonts w:hint="eastAsia" w:ascii="宋体" w:hAnsi="宋体" w:eastAsia="宋体" w:cs="宋体"/>
                <w:sz w:val="21"/>
                <w:szCs w:val="21"/>
              </w:rPr>
            </w:pPr>
            <w:r>
              <w:rPr>
                <w:rFonts w:hint="eastAsia" w:ascii="宋体" w:hAnsi="宋体" w:eastAsia="宋体" w:cs="宋体"/>
                <w:sz w:val="21"/>
                <w:szCs w:val="21"/>
              </w:rPr>
              <w:t>按照总则、投标人须知第3.1.1项规定的投标文件组成内容，投标文件应按以下要求装订；</w:t>
            </w:r>
          </w:p>
          <w:p w14:paraId="051F7127">
            <w:pPr>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b/>
                <w:bCs/>
                <w:sz w:val="21"/>
                <w:szCs w:val="21"/>
              </w:rPr>
              <w:t>工程唱标单</w:t>
            </w:r>
            <w:r>
              <w:rPr>
                <w:rFonts w:hint="eastAsia" w:ascii="宋体" w:hAnsi="宋体" w:eastAsia="宋体" w:cs="宋体"/>
                <w:sz w:val="21"/>
                <w:szCs w:val="21"/>
              </w:rPr>
              <w:t>：一式二份，单独密封。</w:t>
            </w:r>
          </w:p>
          <w:p w14:paraId="0C87C56C">
            <w:pPr>
              <w:spacing w:line="240" w:lineRule="auto"/>
              <w:rPr>
                <w:rStyle w:val="47"/>
                <w:rFonts w:hint="eastAsia" w:ascii="宋体" w:hAnsi="宋体" w:eastAsia="宋体" w:cs="宋体"/>
                <w:b/>
                <w:bCs/>
                <w:color w:val="auto"/>
                <w:sz w:val="21"/>
                <w:szCs w:val="21"/>
                <w:highlight w:val="cyan"/>
                <w:lang w:val="en-US" w:eastAsia="zh-CN"/>
              </w:rPr>
            </w:pPr>
            <w:r>
              <w:rPr>
                <w:rFonts w:hint="eastAsia" w:ascii="宋体" w:hAnsi="宋体" w:eastAsia="宋体" w:cs="宋体"/>
                <w:sz w:val="21"/>
                <w:szCs w:val="21"/>
              </w:rPr>
              <w:t>（2）</w:t>
            </w:r>
            <w:r>
              <w:rPr>
                <w:rFonts w:hint="eastAsia" w:ascii="宋体" w:hAnsi="宋体" w:eastAsia="宋体" w:cs="宋体"/>
                <w:b/>
                <w:bCs/>
                <w:sz w:val="21"/>
                <w:szCs w:val="21"/>
              </w:rPr>
              <w:t>投标文件电子版</w:t>
            </w:r>
            <w:r>
              <w:rPr>
                <w:rFonts w:hint="eastAsia" w:ascii="宋体" w:hAnsi="宋体" w:eastAsia="宋体" w:cs="宋体"/>
                <w:sz w:val="21"/>
                <w:szCs w:val="21"/>
              </w:rPr>
              <w:t>：</w:t>
            </w:r>
            <w:r>
              <w:rPr>
                <w:rStyle w:val="47"/>
                <w:rFonts w:hint="eastAsia" w:ascii="宋体" w:hAnsi="宋体" w:eastAsia="宋体" w:cs="宋体"/>
                <w:sz w:val="21"/>
                <w:szCs w:val="21"/>
              </w:rPr>
              <w:t>U盘，</w:t>
            </w:r>
            <w:r>
              <w:rPr>
                <w:rStyle w:val="47"/>
                <w:rFonts w:hint="eastAsia" w:ascii="宋体" w:hAnsi="宋体" w:eastAsia="宋体" w:cs="宋体"/>
                <w:sz w:val="21"/>
                <w:szCs w:val="21"/>
                <w:lang w:val="en-US" w:eastAsia="zh-CN"/>
              </w:rPr>
              <w:t>两</w:t>
            </w:r>
            <w:r>
              <w:rPr>
                <w:rStyle w:val="47"/>
                <w:rFonts w:hint="eastAsia" w:ascii="宋体" w:hAnsi="宋体" w:eastAsia="宋体" w:cs="宋体"/>
                <w:sz w:val="21"/>
                <w:szCs w:val="21"/>
              </w:rPr>
              <w:t>份，单独放入一个密封袋中。投标文件电子版应包含PDF、WORD、EXCEL格式（PDF版需逐页加盖公章</w:t>
            </w:r>
            <w:r>
              <w:rPr>
                <w:rStyle w:val="47"/>
                <w:rFonts w:hint="eastAsia" w:ascii="宋体" w:hAnsi="宋体" w:eastAsia="宋体" w:cs="宋体"/>
                <w:sz w:val="21"/>
                <w:szCs w:val="21"/>
                <w:lang w:eastAsia="zh-CN"/>
              </w:rPr>
              <w:t>，</w:t>
            </w:r>
            <w:r>
              <w:rPr>
                <w:rStyle w:val="47"/>
                <w:rFonts w:hint="eastAsia" w:ascii="宋体" w:hAnsi="宋体" w:eastAsia="宋体" w:cs="宋体"/>
                <w:sz w:val="21"/>
                <w:szCs w:val="21"/>
                <w:lang w:val="en-US" w:eastAsia="zh-CN"/>
              </w:rPr>
              <w:t>或者扫描后统一加盖电子章</w:t>
            </w:r>
            <w:r>
              <w:rPr>
                <w:rStyle w:val="47"/>
                <w:rFonts w:hint="eastAsia" w:ascii="宋体" w:hAnsi="宋体" w:eastAsia="宋体" w:cs="宋体"/>
                <w:sz w:val="21"/>
                <w:szCs w:val="21"/>
              </w:rPr>
              <w:t>），确保与上传重汽e采通的投标文件电子版一致。其中，</w:t>
            </w:r>
            <w:r>
              <w:rPr>
                <w:rStyle w:val="47"/>
                <w:rFonts w:hint="eastAsia" w:ascii="宋体" w:hAnsi="宋体" w:eastAsia="宋体" w:cs="宋体"/>
                <w:b/>
                <w:bCs/>
                <w:sz w:val="21"/>
                <w:szCs w:val="21"/>
              </w:rPr>
              <w:t>《分部分项</w:t>
            </w:r>
            <w:r>
              <w:rPr>
                <w:rStyle w:val="47"/>
                <w:rFonts w:hint="eastAsia" w:ascii="宋体" w:hAnsi="宋体" w:eastAsia="宋体" w:cs="宋体"/>
                <w:b/>
                <w:bCs/>
                <w:color w:val="auto"/>
                <w:sz w:val="21"/>
                <w:szCs w:val="21"/>
              </w:rPr>
              <w:t>工程量清单与计价表》应为EXCEL格式，并</w:t>
            </w:r>
            <w:r>
              <w:rPr>
                <w:rStyle w:val="47"/>
                <w:rFonts w:hint="eastAsia" w:ascii="宋体" w:hAnsi="宋体" w:eastAsia="宋体" w:cs="宋体"/>
                <w:b/>
                <w:bCs/>
                <w:color w:val="auto"/>
                <w:sz w:val="21"/>
                <w:szCs w:val="21"/>
                <w:highlight w:val="yellow"/>
              </w:rPr>
              <w:t>应包含广联达软件版报价文件</w:t>
            </w:r>
            <w:r>
              <w:rPr>
                <w:rStyle w:val="47"/>
                <w:rFonts w:hint="eastAsia" w:ascii="宋体" w:hAnsi="宋体" w:eastAsia="宋体" w:cs="宋体"/>
                <w:color w:val="auto"/>
                <w:sz w:val="21"/>
                <w:szCs w:val="21"/>
              </w:rPr>
              <w:t>。</w:t>
            </w:r>
            <w:r>
              <w:rPr>
                <w:rStyle w:val="47"/>
                <w:rFonts w:hint="eastAsia" w:ascii="宋体" w:hAnsi="宋体" w:eastAsia="宋体" w:cs="宋体"/>
                <w:b/>
                <w:bCs/>
                <w:color w:val="auto"/>
                <w:sz w:val="21"/>
                <w:szCs w:val="21"/>
                <w:highlight w:val="none"/>
                <w:lang w:val="en-US" w:eastAsia="zh-CN"/>
              </w:rPr>
              <w:t>电子版与上传到e采通的文件不一致的，以上传到e采通的为准。</w:t>
            </w:r>
          </w:p>
          <w:p w14:paraId="33BB5330">
            <w:pPr>
              <w:spacing w:line="240" w:lineRule="auto"/>
              <w:rPr>
                <w:rFonts w:hint="eastAsia" w:ascii="宋体" w:hAnsi="宋体" w:eastAsia="宋体" w:cs="宋体"/>
                <w:sz w:val="21"/>
                <w:szCs w:val="21"/>
              </w:rPr>
            </w:pPr>
            <w:r>
              <w:rPr>
                <w:rFonts w:hint="eastAsia" w:ascii="宋体" w:hAnsi="宋体" w:eastAsia="宋体" w:cs="宋体"/>
                <w:color w:val="auto"/>
                <w:sz w:val="21"/>
                <w:szCs w:val="21"/>
                <w:highlight w:val="none"/>
              </w:rPr>
              <w:t>（3）</w:t>
            </w:r>
            <w:r>
              <w:rPr>
                <w:rFonts w:hint="eastAsia" w:ascii="宋体" w:hAnsi="宋体" w:cs="宋体"/>
                <w:b/>
                <w:bCs/>
                <w:sz w:val="21"/>
                <w:szCs w:val="21"/>
                <w:lang w:val="en-US" w:eastAsia="zh-CN"/>
              </w:rPr>
              <w:t>投标文件纸质版</w:t>
            </w:r>
            <w:r>
              <w:rPr>
                <w:rFonts w:hint="eastAsia" w:ascii="宋体" w:hAnsi="宋体" w:eastAsia="宋体" w:cs="宋体"/>
                <w:sz w:val="21"/>
                <w:szCs w:val="21"/>
              </w:rPr>
              <w:t>（</w:t>
            </w:r>
            <w:r>
              <w:rPr>
                <w:rFonts w:hint="eastAsia" w:ascii="宋体" w:hAnsi="宋体" w:eastAsia="宋体" w:cs="宋体"/>
                <w:b/>
                <w:bCs/>
                <w:sz w:val="21"/>
                <w:szCs w:val="21"/>
              </w:rPr>
              <w:t>一正二副</w:t>
            </w:r>
            <w:r>
              <w:rPr>
                <w:rFonts w:hint="eastAsia" w:ascii="宋体" w:hAnsi="宋体" w:eastAsia="宋体" w:cs="宋体"/>
                <w:sz w:val="21"/>
                <w:szCs w:val="21"/>
              </w:rPr>
              <w:t>）</w:t>
            </w:r>
          </w:p>
          <w:p w14:paraId="4C408ED9">
            <w:pPr>
              <w:spacing w:line="240" w:lineRule="auto"/>
              <w:rPr>
                <w:rFonts w:hint="eastAsia" w:ascii="宋体" w:hAnsi="宋体" w:eastAsia="宋体" w:cs="宋体"/>
                <w:sz w:val="21"/>
                <w:szCs w:val="21"/>
              </w:rPr>
            </w:pPr>
            <w:r>
              <w:rPr>
                <w:rFonts w:hint="eastAsia" w:ascii="宋体" w:hAnsi="宋体" w:eastAsia="宋体" w:cs="宋体"/>
                <w:sz w:val="21"/>
                <w:szCs w:val="21"/>
              </w:rPr>
              <w:t>以上文件每册采用胶装方式装订，应牢固、不易拆散和换页，不得采用活页装订。</w:t>
            </w:r>
          </w:p>
        </w:tc>
      </w:tr>
      <w:tr w14:paraId="7F81EE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0BC4F25B">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4.1.2</w:t>
            </w:r>
          </w:p>
        </w:tc>
        <w:tc>
          <w:tcPr>
            <w:tcW w:w="2293" w:type="dxa"/>
            <w:tcBorders>
              <w:top w:val="single" w:color="000000" w:sz="6" w:space="0"/>
              <w:left w:val="single" w:color="000000" w:sz="6" w:space="0"/>
              <w:bottom w:val="single" w:color="000000" w:sz="6" w:space="0"/>
              <w:right w:val="single" w:color="000000" w:sz="6" w:space="0"/>
            </w:tcBorders>
            <w:vAlign w:val="center"/>
          </w:tcPr>
          <w:p w14:paraId="37B9AAB9">
            <w:pPr>
              <w:spacing w:line="240" w:lineRule="auto"/>
              <w:rPr>
                <w:rFonts w:hint="eastAsia" w:ascii="宋体" w:hAnsi="宋体" w:eastAsia="宋体" w:cs="宋体"/>
                <w:sz w:val="21"/>
                <w:szCs w:val="21"/>
              </w:rPr>
            </w:pPr>
            <w:r>
              <w:rPr>
                <w:rFonts w:hint="eastAsia" w:ascii="宋体" w:hAnsi="宋体" w:eastAsia="宋体" w:cs="宋体"/>
                <w:sz w:val="21"/>
                <w:szCs w:val="21"/>
              </w:rPr>
              <w:t>封套上写明</w:t>
            </w:r>
          </w:p>
        </w:tc>
        <w:tc>
          <w:tcPr>
            <w:tcW w:w="6930" w:type="dxa"/>
            <w:tcBorders>
              <w:top w:val="single" w:color="000000" w:sz="6" w:space="0"/>
              <w:left w:val="single" w:color="000000" w:sz="6" w:space="0"/>
              <w:bottom w:val="single" w:color="000000" w:sz="6" w:space="0"/>
              <w:right w:val="single" w:color="000000" w:sz="12" w:space="0"/>
            </w:tcBorders>
          </w:tcPr>
          <w:p w14:paraId="3BB11C3C">
            <w:pPr>
              <w:spacing w:line="240" w:lineRule="auto"/>
              <w:rPr>
                <w:rFonts w:hint="eastAsia" w:ascii="宋体" w:hAnsi="宋体" w:eastAsia="宋体" w:cs="宋体"/>
                <w:sz w:val="21"/>
                <w:szCs w:val="21"/>
              </w:rPr>
            </w:pPr>
            <w:r>
              <w:rPr>
                <w:rFonts w:hint="eastAsia" w:ascii="宋体" w:hAnsi="宋体" w:eastAsia="宋体" w:cs="宋体"/>
                <w:sz w:val="21"/>
                <w:szCs w:val="21"/>
              </w:rPr>
              <w:t>1) 项目编号、项目名称；</w:t>
            </w:r>
          </w:p>
          <w:p w14:paraId="14892492">
            <w:pPr>
              <w:spacing w:line="240" w:lineRule="auto"/>
              <w:rPr>
                <w:rFonts w:hint="eastAsia" w:ascii="宋体" w:hAnsi="宋体" w:eastAsia="宋体" w:cs="宋体"/>
                <w:sz w:val="21"/>
                <w:szCs w:val="21"/>
              </w:rPr>
            </w:pPr>
            <w:r>
              <w:rPr>
                <w:rFonts w:hint="eastAsia" w:ascii="宋体" w:hAnsi="宋体" w:eastAsia="宋体" w:cs="宋体"/>
                <w:sz w:val="21"/>
                <w:szCs w:val="21"/>
              </w:rPr>
              <w:t xml:space="preserve">2) </w:t>
            </w:r>
            <w:r>
              <w:rPr>
                <w:rFonts w:hint="eastAsia" w:ascii="宋体" w:hAnsi="宋体" w:cs="宋体"/>
                <w:sz w:val="21"/>
                <w:szCs w:val="21"/>
                <w:lang w:val="en-US" w:eastAsia="zh-CN"/>
              </w:rPr>
              <w:t>投标文件</w:t>
            </w:r>
            <w:r>
              <w:rPr>
                <w:rFonts w:hint="eastAsia" w:ascii="宋体" w:hAnsi="宋体" w:eastAsia="宋体" w:cs="宋体"/>
                <w:sz w:val="21"/>
                <w:szCs w:val="21"/>
              </w:rPr>
              <w:t>、唱标单、投标文件电子版；</w:t>
            </w:r>
          </w:p>
          <w:p w14:paraId="54186139">
            <w:pPr>
              <w:spacing w:line="240" w:lineRule="auto"/>
              <w:rPr>
                <w:rFonts w:hint="eastAsia" w:ascii="宋体" w:hAnsi="宋体" w:eastAsia="宋体" w:cs="宋体"/>
                <w:sz w:val="21"/>
                <w:szCs w:val="21"/>
              </w:rPr>
            </w:pPr>
            <w:r>
              <w:rPr>
                <w:rFonts w:hint="eastAsia" w:ascii="宋体" w:hAnsi="宋体" w:eastAsia="宋体" w:cs="宋体"/>
                <w:sz w:val="21"/>
                <w:szCs w:val="21"/>
              </w:rPr>
              <w:t>3) 投标人名称（加盖公章）、地址、固定电话、授权人手机号；</w:t>
            </w:r>
          </w:p>
          <w:p w14:paraId="2F94F9D2">
            <w:pPr>
              <w:spacing w:line="240" w:lineRule="auto"/>
              <w:rPr>
                <w:rFonts w:hint="eastAsia" w:ascii="宋体" w:hAnsi="宋体" w:eastAsia="宋体" w:cs="宋体"/>
                <w:sz w:val="21"/>
                <w:szCs w:val="21"/>
              </w:rPr>
            </w:pPr>
            <w:r>
              <w:rPr>
                <w:rFonts w:hint="eastAsia" w:ascii="宋体" w:hAnsi="宋体" w:eastAsia="宋体" w:cs="宋体"/>
                <w:sz w:val="21"/>
                <w:szCs w:val="21"/>
              </w:rPr>
              <w:t>4）每一密封件在封口处注明“于    年  月   日  时  分（按实际开标时间填写）之前不准启封”字样。</w:t>
            </w:r>
          </w:p>
          <w:p w14:paraId="7BE82656">
            <w:pPr>
              <w:spacing w:line="240" w:lineRule="auto"/>
              <w:rPr>
                <w:rFonts w:hint="eastAsia" w:ascii="宋体" w:hAnsi="宋体" w:eastAsia="宋体" w:cs="宋体"/>
                <w:sz w:val="21"/>
                <w:szCs w:val="21"/>
              </w:rPr>
            </w:pPr>
            <w:r>
              <w:rPr>
                <w:rFonts w:hint="eastAsia" w:ascii="宋体" w:hAnsi="宋体" w:eastAsia="宋体" w:cs="宋体"/>
                <w:sz w:val="21"/>
                <w:szCs w:val="21"/>
              </w:rPr>
              <w:t>5）工程唱标单需准备一式二份，并单独密封。</w:t>
            </w:r>
          </w:p>
        </w:tc>
      </w:tr>
      <w:tr w14:paraId="27A713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00CD469A">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4.2.2</w:t>
            </w:r>
          </w:p>
        </w:tc>
        <w:tc>
          <w:tcPr>
            <w:tcW w:w="2293" w:type="dxa"/>
            <w:tcBorders>
              <w:top w:val="single" w:color="000000" w:sz="6" w:space="0"/>
              <w:left w:val="single" w:color="000000" w:sz="6" w:space="0"/>
              <w:bottom w:val="single" w:color="000000" w:sz="6" w:space="0"/>
              <w:right w:val="single" w:color="000000" w:sz="6" w:space="0"/>
            </w:tcBorders>
            <w:vAlign w:val="center"/>
          </w:tcPr>
          <w:p w14:paraId="435B5AD9">
            <w:pPr>
              <w:spacing w:line="240" w:lineRule="auto"/>
              <w:jc w:val="both"/>
              <w:rPr>
                <w:rStyle w:val="47"/>
                <w:rFonts w:hint="default" w:ascii="宋体" w:hAnsi="宋体" w:eastAsia="宋体" w:cs="宋体"/>
                <w:sz w:val="21"/>
                <w:szCs w:val="21"/>
                <w:lang w:val="en-US" w:eastAsia="zh-CN"/>
              </w:rPr>
            </w:pPr>
            <w:r>
              <w:rPr>
                <w:rStyle w:val="47"/>
                <w:rFonts w:hint="eastAsia" w:ascii="宋体" w:hAnsi="宋体" w:eastAsia="宋体" w:cs="宋体"/>
                <w:strike w:val="0"/>
                <w:dstrike w:val="0"/>
                <w:sz w:val="21"/>
                <w:szCs w:val="21"/>
              </w:rPr>
              <w:t>递交投标文件地点</w:t>
            </w:r>
          </w:p>
        </w:tc>
        <w:tc>
          <w:tcPr>
            <w:tcW w:w="6930" w:type="dxa"/>
            <w:tcBorders>
              <w:top w:val="single" w:color="000000" w:sz="6" w:space="0"/>
              <w:left w:val="single" w:color="000000" w:sz="6" w:space="0"/>
              <w:bottom w:val="single" w:color="000000" w:sz="6" w:space="0"/>
              <w:right w:val="single" w:color="000000" w:sz="12" w:space="0"/>
            </w:tcBorders>
          </w:tcPr>
          <w:p w14:paraId="069B1CE4">
            <w:pPr>
              <w:snapToGrid w:val="0"/>
              <w:spacing w:line="240" w:lineRule="auto"/>
              <w:rPr>
                <w:rFonts w:hint="eastAsia" w:ascii="宋体" w:hAnsi="宋体" w:eastAsia="宋体" w:cs="宋体"/>
                <w:b/>
                <w:bCs/>
                <w:i/>
                <w:iCs/>
                <w:color w:val="auto"/>
                <w:sz w:val="28"/>
                <w:szCs w:val="28"/>
              </w:rPr>
            </w:pPr>
            <w:r>
              <w:rPr>
                <w:rFonts w:hint="eastAsia" w:ascii="宋体" w:hAnsi="宋体" w:eastAsia="宋体" w:cs="宋体"/>
                <w:b/>
                <w:bCs/>
                <w:i/>
                <w:iCs/>
                <w:color w:val="auto"/>
                <w:sz w:val="28"/>
                <w:szCs w:val="28"/>
              </w:rPr>
              <w:t>e采通全程同步开标，请仔细阅读以下说明，并按要求注册或修改账号、按时提交应标及投标资料，否则即使提交了纸质标书，一律视为放弃本次投标。</w:t>
            </w:r>
          </w:p>
          <w:p w14:paraId="161094CC">
            <w:pPr>
              <w:pStyle w:val="25"/>
              <w:rPr>
                <w:rFonts w:hint="eastAsia"/>
              </w:rPr>
            </w:pPr>
          </w:p>
          <w:p w14:paraId="4499662C">
            <w:pPr>
              <w:numPr>
                <w:ilvl w:val="0"/>
                <w:numId w:val="5"/>
              </w:numPr>
              <w:snapToGrid w:val="0"/>
              <w:spacing w:line="240" w:lineRule="auto"/>
              <w:rPr>
                <w:rFonts w:hint="eastAsia" w:ascii="宋体" w:hAnsi="宋体" w:eastAsia="宋体" w:cs="宋体"/>
                <w:b/>
                <w:bCs/>
                <w:color w:val="FF0000"/>
                <w:sz w:val="21"/>
                <w:szCs w:val="21"/>
              </w:rPr>
            </w:pPr>
            <w:r>
              <w:rPr>
                <w:rFonts w:hint="eastAsia" w:ascii="宋体" w:hAnsi="宋体" w:eastAsia="宋体" w:cs="宋体"/>
                <w:b/>
                <w:bCs/>
                <w:sz w:val="21"/>
                <w:szCs w:val="21"/>
              </w:rPr>
              <w:t>e采通账号注册</w:t>
            </w:r>
          </w:p>
          <w:p w14:paraId="7E137B33">
            <w:pPr>
              <w:snapToGrid w:val="0"/>
              <w:spacing w:line="240" w:lineRule="auto"/>
              <w:rPr>
                <w:rFonts w:hint="eastAsia" w:ascii="宋体" w:hAnsi="宋体" w:eastAsia="宋体" w:cs="宋体"/>
                <w:b/>
                <w:bCs/>
                <w:color w:val="FF0000"/>
                <w:sz w:val="21"/>
                <w:szCs w:val="21"/>
              </w:rPr>
            </w:pPr>
            <w:r>
              <w:rPr>
                <w:rFonts w:hint="eastAsia" w:ascii="宋体" w:hAnsi="宋体" w:eastAsia="宋体" w:cs="宋体"/>
                <w:sz w:val="21"/>
                <w:szCs w:val="21"/>
              </w:rPr>
              <w:t>投标人必须在报名时根据《非生产供应商注册操作手册》完成账号注册</w:t>
            </w:r>
            <w:r>
              <w:rPr>
                <w:rFonts w:hint="eastAsia" w:ascii="宋体" w:hAnsi="宋体" w:eastAsia="宋体" w:cs="宋体"/>
                <w:color w:val="auto"/>
                <w:sz w:val="21"/>
                <w:szCs w:val="21"/>
              </w:rPr>
              <w:t>，</w:t>
            </w:r>
            <w:r>
              <w:rPr>
                <w:rFonts w:hint="eastAsia" w:ascii="宋体" w:hAnsi="宋体" w:eastAsia="宋体" w:cs="宋体"/>
                <w:b/>
                <w:bCs/>
                <w:color w:val="auto"/>
                <w:sz w:val="21"/>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53734916">
            <w:pPr>
              <w:snapToGrid w:val="0"/>
              <w:spacing w:line="240" w:lineRule="auto"/>
              <w:rPr>
                <w:rFonts w:hint="eastAsia" w:ascii="宋体" w:hAnsi="宋体" w:eastAsia="宋体" w:cs="宋体"/>
                <w:b/>
                <w:bCs/>
                <w:sz w:val="21"/>
                <w:szCs w:val="21"/>
              </w:rPr>
            </w:pPr>
            <w:r>
              <w:rPr>
                <w:rFonts w:hint="eastAsia" w:ascii="宋体" w:hAnsi="宋体" w:eastAsia="宋体" w:cs="宋体"/>
                <w:b/>
                <w:bCs/>
                <w:sz w:val="21"/>
                <w:szCs w:val="21"/>
              </w:rPr>
              <w:t>投标单位名称带有括号的，应确保括号的样式（区分英文或汉字输入法）与银行预留的、e采通注册的完全一致，不一致的请自行在e采通中修改，否则影响后续退保证金及付款。</w:t>
            </w:r>
          </w:p>
          <w:p w14:paraId="4A6DB17B">
            <w:pPr>
              <w:snapToGrid w:val="0"/>
              <w:spacing w:line="240"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EF79614">
            <w:pPr>
              <w:snapToGrid w:val="0"/>
              <w:spacing w:line="240" w:lineRule="auto"/>
              <w:rPr>
                <w:rFonts w:hint="eastAsia" w:ascii="宋体" w:hAnsi="宋体" w:eastAsia="宋体" w:cs="宋体"/>
                <w:b/>
                <w:bCs/>
                <w:color w:val="0000FF"/>
                <w:sz w:val="21"/>
                <w:szCs w:val="21"/>
              </w:rPr>
            </w:pPr>
          </w:p>
          <w:p w14:paraId="5124D8E0">
            <w:pPr>
              <w:numPr>
                <w:ilvl w:val="0"/>
                <w:numId w:val="5"/>
              </w:numPr>
              <w:snapToGrid w:val="0"/>
              <w:spacing w:line="240" w:lineRule="auto"/>
              <w:rPr>
                <w:rFonts w:hint="eastAsia" w:ascii="宋体" w:hAnsi="宋体" w:eastAsia="宋体" w:cs="宋体"/>
                <w:b/>
                <w:bCs/>
                <w:sz w:val="21"/>
                <w:szCs w:val="21"/>
              </w:rPr>
            </w:pPr>
            <w:r>
              <w:rPr>
                <w:rFonts w:hint="eastAsia" w:ascii="宋体" w:hAnsi="宋体" w:eastAsia="宋体" w:cs="宋体"/>
                <w:b/>
                <w:bCs/>
                <w:sz w:val="21"/>
                <w:szCs w:val="21"/>
              </w:rPr>
              <w:t>e采通应标（线上资格审查环节，不需要上传投标文件，请按要求提供相应资料）</w:t>
            </w:r>
          </w:p>
          <w:p w14:paraId="55450E80">
            <w:pPr>
              <w:snapToGrid w:val="0"/>
              <w:spacing w:line="240" w:lineRule="auto"/>
              <w:rPr>
                <w:rFonts w:hint="eastAsia" w:ascii="宋体" w:hAnsi="宋体" w:cs="宋体"/>
                <w:b/>
                <w:bCs/>
                <w:color w:val="FF0000"/>
                <w:sz w:val="21"/>
                <w:szCs w:val="21"/>
                <w:lang w:eastAsia="zh-CN"/>
              </w:rPr>
            </w:pPr>
            <w:r>
              <w:rPr>
                <w:rFonts w:hint="eastAsia" w:ascii="宋体" w:hAnsi="宋体" w:eastAsia="宋体" w:cs="宋体"/>
                <w:sz w:val="21"/>
                <w:szCs w:val="21"/>
              </w:rPr>
              <w:t>投标单位进入e采通“</w:t>
            </w:r>
            <w:r>
              <w:rPr>
                <w:rFonts w:hint="eastAsia" w:ascii="宋体" w:hAnsi="宋体" w:eastAsia="宋体" w:cs="宋体"/>
                <w:b/>
                <w:bCs/>
                <w:color w:val="C00000"/>
                <w:sz w:val="21"/>
                <w:szCs w:val="21"/>
                <w:highlight w:val="yellow"/>
              </w:rPr>
              <w:t>招投标中心-非生产类招投标-供应商应标</w:t>
            </w:r>
            <w:r>
              <w:rPr>
                <w:rFonts w:hint="eastAsia" w:ascii="宋体" w:hAnsi="宋体" w:eastAsia="宋体" w:cs="宋体"/>
                <w:sz w:val="21"/>
                <w:szCs w:val="21"/>
              </w:rPr>
              <w:t>”，上传资格审查资料后通知招标人审核，</w:t>
            </w:r>
            <w:r>
              <w:rPr>
                <w:rFonts w:hint="eastAsia" w:ascii="宋体" w:hAnsi="宋体" w:eastAsia="宋体" w:cs="宋体"/>
                <w:b/>
                <w:bCs/>
                <w:color w:val="FF0000"/>
                <w:sz w:val="21"/>
                <w:szCs w:val="21"/>
              </w:rPr>
              <w:t>e采通应标审核通过后方为正式报名成功，方可参加投标</w:t>
            </w:r>
            <w:r>
              <w:rPr>
                <w:rFonts w:hint="eastAsia" w:ascii="宋体" w:hAnsi="宋体" w:cs="宋体"/>
                <w:b/>
                <w:bCs/>
                <w:color w:val="FF0000"/>
                <w:sz w:val="21"/>
                <w:szCs w:val="21"/>
                <w:lang w:eastAsia="zh-CN"/>
              </w:rPr>
              <w:t>。</w:t>
            </w:r>
          </w:p>
          <w:p w14:paraId="41E85A9F">
            <w:pPr>
              <w:snapToGrid w:val="0"/>
              <w:spacing w:line="240" w:lineRule="auto"/>
              <w:rPr>
                <w:rFonts w:hint="eastAsia" w:eastAsia="宋体" w:cs="宋体"/>
                <w:b/>
                <w:bCs/>
                <w:color w:val="auto"/>
                <w:highlight w:val="none"/>
              </w:rPr>
            </w:pPr>
            <w:r>
              <w:rPr>
                <w:rFonts w:hint="eastAsia" w:ascii="宋体" w:hAnsi="宋体" w:eastAsia="宋体" w:cs="宋体"/>
                <w:b/>
                <w:bCs/>
                <w:color w:val="auto"/>
                <w:sz w:val="21"/>
                <w:szCs w:val="21"/>
                <w:highlight w:val="yellow"/>
              </w:rPr>
              <w:t>应标截止时间为202</w:t>
            </w:r>
            <w:r>
              <w:rPr>
                <w:rFonts w:hint="eastAsia" w:ascii="宋体" w:hAnsi="宋体" w:eastAsia="宋体" w:cs="宋体"/>
                <w:b/>
                <w:bCs/>
                <w:color w:val="auto"/>
                <w:sz w:val="21"/>
                <w:szCs w:val="21"/>
                <w:highlight w:val="yellow"/>
                <w:lang w:val="en-US" w:eastAsia="zh-CN"/>
              </w:rPr>
              <w:t>5</w:t>
            </w:r>
            <w:r>
              <w:rPr>
                <w:rFonts w:hint="eastAsia" w:ascii="宋体" w:hAnsi="宋体" w:eastAsia="宋体" w:cs="宋体"/>
                <w:b/>
                <w:bCs/>
                <w:color w:val="auto"/>
                <w:sz w:val="21"/>
                <w:szCs w:val="21"/>
                <w:highlight w:val="yellow"/>
              </w:rPr>
              <w:t>年</w:t>
            </w:r>
            <w:r>
              <w:rPr>
                <w:rFonts w:hint="eastAsia" w:ascii="宋体" w:hAnsi="宋体" w:cs="宋体"/>
                <w:b/>
                <w:bCs/>
                <w:color w:val="auto"/>
                <w:sz w:val="21"/>
                <w:szCs w:val="21"/>
                <w:highlight w:val="yellow"/>
                <w:lang w:val="en-US" w:eastAsia="zh-CN"/>
              </w:rPr>
              <w:t>11</w:t>
            </w:r>
            <w:r>
              <w:rPr>
                <w:rFonts w:hint="eastAsia" w:ascii="宋体" w:hAnsi="宋体" w:eastAsia="宋体" w:cs="宋体"/>
                <w:b/>
                <w:bCs/>
                <w:color w:val="auto"/>
                <w:sz w:val="21"/>
                <w:szCs w:val="21"/>
                <w:highlight w:val="yellow"/>
              </w:rPr>
              <w:t>月</w:t>
            </w:r>
            <w:r>
              <w:rPr>
                <w:rFonts w:hint="eastAsia" w:ascii="宋体" w:hAnsi="宋体" w:cs="宋体"/>
                <w:b/>
                <w:bCs/>
                <w:color w:val="auto"/>
                <w:sz w:val="21"/>
                <w:szCs w:val="21"/>
                <w:highlight w:val="yellow"/>
                <w:lang w:val="en-US" w:eastAsia="zh-CN"/>
              </w:rPr>
              <w:t>9</w:t>
            </w:r>
            <w:r>
              <w:rPr>
                <w:rFonts w:hint="eastAsia" w:ascii="宋体" w:hAnsi="宋体" w:eastAsia="宋体" w:cs="宋体"/>
                <w:b/>
                <w:bCs/>
                <w:color w:val="auto"/>
                <w:sz w:val="21"/>
                <w:szCs w:val="21"/>
                <w:highlight w:val="yellow"/>
                <w:lang w:val="en-US" w:eastAsia="zh-CN"/>
              </w:rPr>
              <w:t xml:space="preserve">日 17:00:00 </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rPr>
              <w:t>请务必在应标截止时间前完成注册及应标操作，注册审核需2-4日，应标截止时间精确到秒，逾期将无法应标。请自行掌握时间，避免无法应标。</w:t>
            </w:r>
          </w:p>
          <w:p w14:paraId="21015B3D">
            <w:pPr>
              <w:pStyle w:val="20"/>
              <w:spacing w:line="240" w:lineRule="auto"/>
              <w:rPr>
                <w:rFonts w:hint="eastAsia" w:ascii="宋体" w:hAnsi="宋体" w:eastAsia="宋体" w:cs="宋体"/>
                <w:sz w:val="21"/>
                <w:szCs w:val="21"/>
              </w:rPr>
            </w:pPr>
            <w:r>
              <w:rPr>
                <w:rFonts w:hint="eastAsia" w:ascii="宋体" w:hAnsi="宋体" w:eastAsia="宋体" w:cs="宋体"/>
                <w:sz w:val="21"/>
                <w:szCs w:val="21"/>
              </w:rPr>
              <w:t>注：资格审查未通过，不允许进入技术和商务开标、评审。</w:t>
            </w:r>
          </w:p>
          <w:p w14:paraId="15263800">
            <w:pPr>
              <w:pStyle w:val="17"/>
              <w:spacing w:line="240" w:lineRule="auto"/>
              <w:rPr>
                <w:rFonts w:hint="eastAsia" w:ascii="宋体" w:hAnsi="宋体" w:eastAsia="宋体" w:cs="宋体"/>
                <w:sz w:val="21"/>
                <w:szCs w:val="21"/>
              </w:rPr>
            </w:pPr>
          </w:p>
          <w:p w14:paraId="146C1677">
            <w:pPr>
              <w:numPr>
                <w:ilvl w:val="0"/>
                <w:numId w:val="5"/>
              </w:numPr>
              <w:snapToGrid w:val="0"/>
              <w:spacing w:line="240" w:lineRule="auto"/>
              <w:rPr>
                <w:rFonts w:hint="eastAsia" w:ascii="宋体" w:hAnsi="宋体" w:eastAsia="宋体" w:cs="宋体"/>
                <w:b/>
                <w:bCs/>
                <w:sz w:val="21"/>
                <w:szCs w:val="21"/>
              </w:rPr>
            </w:pPr>
            <w:r>
              <w:rPr>
                <w:rFonts w:hint="eastAsia" w:ascii="宋体" w:hAnsi="宋体" w:eastAsia="宋体" w:cs="宋体"/>
                <w:b/>
                <w:bCs/>
                <w:sz w:val="21"/>
                <w:szCs w:val="21"/>
              </w:rPr>
              <w:t>供应商投标</w:t>
            </w:r>
          </w:p>
          <w:p w14:paraId="164FBF1D">
            <w:pPr>
              <w:numPr>
                <w:ilvl w:val="0"/>
                <w:numId w:val="0"/>
              </w:numPr>
              <w:snapToGrid w:val="0"/>
              <w:spacing w:line="240" w:lineRule="auto"/>
              <w:rPr>
                <w:rFonts w:hint="eastAsia" w:ascii="黑体" w:hAnsi="黑体" w:eastAsia="黑体" w:cs="黑体"/>
                <w:b/>
                <w:bCs/>
                <w:color w:val="FF0000"/>
                <w:sz w:val="28"/>
                <w:szCs w:val="28"/>
                <w:highlight w:val="none"/>
                <w:lang w:eastAsia="zh-CN"/>
              </w:rPr>
            </w:pPr>
            <w:r>
              <w:rPr>
                <w:rFonts w:hint="eastAsia" w:ascii="黑体" w:hAnsi="黑体" w:eastAsia="黑体" w:cs="黑体"/>
                <w:b/>
                <w:bCs/>
                <w:color w:val="FF0000"/>
                <w:sz w:val="28"/>
                <w:szCs w:val="28"/>
                <w:highlight w:val="none"/>
                <w:lang w:eastAsia="zh-CN"/>
              </w:rPr>
              <w:t>（</w:t>
            </w:r>
            <w:r>
              <w:rPr>
                <w:rFonts w:hint="eastAsia" w:ascii="黑体" w:hAnsi="黑体" w:eastAsia="黑体" w:cs="黑体"/>
                <w:b/>
                <w:bCs/>
                <w:color w:val="FF0000"/>
                <w:sz w:val="28"/>
                <w:szCs w:val="28"/>
                <w:highlight w:val="none"/>
                <w:lang w:val="en-US" w:eastAsia="zh-CN"/>
              </w:rPr>
              <w:t>园区内禁止吸烟，每发现一次罚款5000元！</w:t>
            </w:r>
            <w:r>
              <w:rPr>
                <w:rFonts w:hint="eastAsia" w:ascii="黑体" w:hAnsi="黑体" w:eastAsia="黑体" w:cs="黑体"/>
                <w:b/>
                <w:bCs/>
                <w:color w:val="FF0000"/>
                <w:sz w:val="28"/>
                <w:szCs w:val="28"/>
                <w:highlight w:val="none"/>
                <w:lang w:eastAsia="zh-CN"/>
              </w:rPr>
              <w:t>）</w:t>
            </w:r>
          </w:p>
          <w:p w14:paraId="3BC0BA04">
            <w:pPr>
              <w:pStyle w:val="25"/>
              <w:rPr>
                <w:rFonts w:hint="eastAsia"/>
              </w:rPr>
            </w:pPr>
          </w:p>
          <w:p w14:paraId="3EFEB4C5">
            <w:pPr>
              <w:snapToGrid w:val="0"/>
              <w:spacing w:line="240" w:lineRule="auto"/>
              <w:rPr>
                <w:rFonts w:hint="eastAsia" w:ascii="宋体" w:hAnsi="宋体" w:eastAsia="宋体" w:cs="宋体"/>
                <w:b/>
                <w:bCs/>
                <w:sz w:val="21"/>
                <w:szCs w:val="21"/>
              </w:rPr>
            </w:pPr>
            <w:r>
              <w:rPr>
                <w:rFonts w:hint="eastAsia" w:ascii="宋体" w:hAnsi="宋体" w:eastAsia="宋体" w:cs="宋体"/>
                <w:b/>
                <w:bCs/>
                <w:sz w:val="21"/>
                <w:szCs w:val="21"/>
              </w:rPr>
              <w:t>纸版投标文件递交地点：济南市高新区华奥路777号重汽科技大厦会议室</w:t>
            </w:r>
            <w:r>
              <w:rPr>
                <w:rFonts w:hint="eastAsia" w:ascii="宋体" w:hAnsi="宋体" w:cs="宋体"/>
                <w:b/>
                <w:bCs/>
                <w:sz w:val="21"/>
                <w:szCs w:val="21"/>
                <w:lang w:eastAsia="zh-CN"/>
              </w:rPr>
              <w:t>（</w:t>
            </w:r>
            <w:r>
              <w:rPr>
                <w:rFonts w:hint="eastAsia" w:ascii="宋体" w:hAnsi="宋体" w:cs="宋体"/>
                <w:b/>
                <w:bCs/>
                <w:sz w:val="21"/>
                <w:szCs w:val="21"/>
                <w:lang w:val="en-US" w:eastAsia="zh-CN"/>
              </w:rPr>
              <w:t>具体地点另行通知</w:t>
            </w:r>
            <w:r>
              <w:rPr>
                <w:rFonts w:hint="eastAsia" w:ascii="宋体" w:hAnsi="宋体" w:cs="宋体"/>
                <w:b/>
                <w:bCs/>
                <w:sz w:val="21"/>
                <w:szCs w:val="21"/>
                <w:lang w:eastAsia="zh-CN"/>
              </w:rPr>
              <w:t>）</w:t>
            </w:r>
            <w:r>
              <w:rPr>
                <w:rFonts w:hint="eastAsia" w:ascii="宋体" w:hAnsi="宋体" w:eastAsia="宋体" w:cs="宋体"/>
                <w:b/>
                <w:bCs/>
                <w:sz w:val="21"/>
                <w:szCs w:val="21"/>
              </w:rPr>
              <w:t>，e采通同时开标</w:t>
            </w:r>
            <w:r>
              <w:rPr>
                <w:rFonts w:hint="eastAsia" w:ascii="宋体" w:hAnsi="宋体" w:cs="宋体"/>
                <w:b/>
                <w:bCs/>
                <w:sz w:val="21"/>
                <w:szCs w:val="21"/>
                <w:lang w:eastAsia="zh-CN"/>
              </w:rPr>
              <w:t>，</w:t>
            </w:r>
            <w:r>
              <w:rPr>
                <w:rFonts w:hint="eastAsia" w:ascii="宋体" w:hAnsi="宋体" w:cs="宋体"/>
                <w:b/>
                <w:bCs/>
                <w:sz w:val="21"/>
                <w:szCs w:val="21"/>
                <w:lang w:val="en-US" w:eastAsia="zh-CN"/>
              </w:rPr>
              <w:t>请自带电脑等设备前来参加</w:t>
            </w:r>
            <w:r>
              <w:rPr>
                <w:rFonts w:hint="eastAsia" w:ascii="宋体" w:hAnsi="宋体" w:eastAsia="宋体" w:cs="宋体"/>
                <w:b/>
                <w:bCs/>
                <w:sz w:val="21"/>
                <w:szCs w:val="21"/>
              </w:rPr>
              <w:t>。</w:t>
            </w:r>
          </w:p>
          <w:p w14:paraId="48A4143D">
            <w:pPr>
              <w:snapToGrid w:val="0"/>
              <w:spacing w:line="240" w:lineRule="auto"/>
              <w:rPr>
                <w:rFonts w:hint="eastAsia" w:ascii="宋体" w:hAnsi="宋体" w:eastAsia="宋体" w:cs="宋体"/>
                <w:b/>
                <w:bCs/>
                <w:sz w:val="21"/>
                <w:szCs w:val="21"/>
              </w:rPr>
            </w:pPr>
          </w:p>
          <w:p w14:paraId="783F5D2F">
            <w:pPr>
              <w:snapToGrid w:val="0"/>
              <w:spacing w:line="240" w:lineRule="auto"/>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rPr>
              <w:t>e采通流程不可逆，</w:t>
            </w:r>
            <w:r>
              <w:rPr>
                <w:rFonts w:hint="eastAsia" w:ascii="宋体" w:hAnsi="宋体" w:cs="宋体"/>
                <w:b/>
                <w:bCs/>
                <w:sz w:val="21"/>
                <w:szCs w:val="21"/>
                <w:highlight w:val="none"/>
                <w:lang w:val="en-US" w:eastAsia="zh-CN"/>
              </w:rPr>
              <w:t>应标以后</w:t>
            </w:r>
            <w:r>
              <w:rPr>
                <w:rFonts w:hint="eastAsia" w:ascii="宋体" w:hAnsi="宋体" w:eastAsia="宋体" w:cs="宋体"/>
                <w:b/>
                <w:bCs/>
                <w:sz w:val="21"/>
                <w:szCs w:val="21"/>
                <w:highlight w:val="none"/>
              </w:rPr>
              <w:t>上传的所有资料一旦提交没有修改的机会，请检查无误后再提交</w:t>
            </w:r>
            <w:r>
              <w:rPr>
                <w:rFonts w:hint="eastAsia" w:ascii="宋体" w:hAnsi="宋体" w:cs="宋体"/>
                <w:b/>
                <w:bCs/>
                <w:sz w:val="21"/>
                <w:szCs w:val="21"/>
                <w:highlight w:val="none"/>
                <w:lang w:eastAsia="zh-CN"/>
              </w:rPr>
              <w:t>。</w:t>
            </w:r>
          </w:p>
          <w:p w14:paraId="52AF94D7">
            <w:pPr>
              <w:rPr>
                <w:rFonts w:hint="eastAsia"/>
              </w:rPr>
            </w:pPr>
          </w:p>
          <w:p w14:paraId="0B794637">
            <w:pPr>
              <w:spacing w:line="240" w:lineRule="auto"/>
              <w:rPr>
                <w:rFonts w:hint="eastAsia"/>
              </w:rPr>
            </w:pPr>
            <w:r>
              <w:rPr>
                <w:rFonts w:hint="eastAsia" w:ascii="宋体" w:hAnsi="宋体" w:eastAsia="宋体" w:cs="宋体"/>
                <w:sz w:val="21"/>
                <w:szCs w:val="21"/>
              </w:rPr>
              <w:t>注意：投标人须在投标截止日期前</w:t>
            </w:r>
            <w:r>
              <w:rPr>
                <w:rFonts w:hint="eastAsia" w:ascii="宋体" w:hAnsi="宋体" w:eastAsia="宋体" w:cs="宋体"/>
                <w:color w:val="FF0000"/>
                <w:sz w:val="21"/>
                <w:szCs w:val="21"/>
              </w:rPr>
              <w:t>（</w:t>
            </w:r>
            <w:r>
              <w:rPr>
                <w:rFonts w:hint="eastAsia" w:ascii="宋体" w:hAnsi="宋体" w:eastAsia="宋体" w:cs="宋体"/>
                <w:b/>
                <w:bCs/>
                <w:color w:val="FF0000"/>
                <w:sz w:val="21"/>
                <w:szCs w:val="21"/>
              </w:rPr>
              <w:t>为避免网络或电脑设备等临时出现问题，建议在投标截止日期前至少一天</w:t>
            </w:r>
            <w:r>
              <w:rPr>
                <w:rFonts w:hint="eastAsia" w:ascii="宋体" w:hAnsi="宋体" w:eastAsia="宋体" w:cs="宋体"/>
                <w:color w:val="FF0000"/>
                <w:sz w:val="21"/>
                <w:szCs w:val="21"/>
              </w:rPr>
              <w:t>）</w:t>
            </w:r>
            <w:r>
              <w:rPr>
                <w:rFonts w:hint="eastAsia" w:ascii="宋体" w:hAnsi="宋体" w:eastAsia="宋体" w:cs="宋体"/>
                <w:sz w:val="21"/>
                <w:szCs w:val="21"/>
              </w:rPr>
              <w:t>将电子标书上传到重汽e采通平台</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"http://ecaitong.sinotruk.com:8012/%20normalLink" </w:instrText>
            </w:r>
            <w:r>
              <w:rPr>
                <w:rFonts w:hint="eastAsia" w:ascii="宋体" w:hAnsi="宋体" w:eastAsia="宋体" w:cs="宋体"/>
                <w:sz w:val="21"/>
                <w:szCs w:val="21"/>
              </w:rPr>
              <w:fldChar w:fldCharType="separate"/>
            </w:r>
            <w:r>
              <w:rPr>
                <w:rFonts w:hint="eastAsia" w:ascii="宋体" w:hAnsi="宋体" w:eastAsia="宋体" w:cs="宋体"/>
                <w:sz w:val="21"/>
                <w:szCs w:val="21"/>
              </w:rPr>
              <w:t>https://ecaitong.sinotruk.com:8012/</w:t>
            </w:r>
            <w:r>
              <w:rPr>
                <w:rFonts w:hint="eastAsia" w:ascii="宋体" w:hAnsi="宋体" w:eastAsia="宋体" w:cs="宋体"/>
                <w:sz w:val="21"/>
                <w:szCs w:val="21"/>
              </w:rPr>
              <w:fldChar w:fldCharType="end"/>
            </w:r>
            <w:r>
              <w:rPr>
                <w:rFonts w:hint="eastAsia" w:ascii="宋体" w:hAnsi="宋体" w:eastAsia="宋体" w:cs="宋体"/>
                <w:sz w:val="21"/>
                <w:szCs w:val="21"/>
              </w:rPr>
              <w:t>，操作方式详见《SRM-系统用户手册-非生产招投标（供应商使用）》。</w:t>
            </w:r>
            <w:r>
              <w:rPr>
                <w:rFonts w:hint="eastAsia" w:ascii="宋体" w:hAnsi="宋体" w:eastAsia="宋体" w:cs="宋体"/>
                <w:b/>
                <w:bCs/>
                <w:color w:val="FF0000"/>
                <w:sz w:val="21"/>
                <w:szCs w:val="21"/>
                <w:em w:val="dot"/>
              </w:rPr>
              <w:t>若逾期未完成重汽e采通上传标书，开标时间截止之后投标系统自动关闭，即便递交了纸版投标文件，一律视为自动放弃本次投标</w:t>
            </w:r>
            <w:r>
              <w:rPr>
                <w:rFonts w:hint="eastAsia" w:ascii="宋体" w:hAnsi="宋体" w:eastAsia="宋体" w:cs="宋体"/>
                <w:b/>
                <w:bCs/>
                <w:color w:val="FF0000"/>
                <w:sz w:val="21"/>
                <w:szCs w:val="21"/>
              </w:rPr>
              <w:t>。</w:t>
            </w:r>
          </w:p>
        </w:tc>
      </w:tr>
      <w:tr w14:paraId="2A2CAE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300F1127">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4.2.3</w:t>
            </w:r>
          </w:p>
        </w:tc>
        <w:tc>
          <w:tcPr>
            <w:tcW w:w="2293" w:type="dxa"/>
            <w:tcBorders>
              <w:top w:val="single" w:color="000000" w:sz="6" w:space="0"/>
              <w:left w:val="single" w:color="000000" w:sz="6" w:space="0"/>
              <w:bottom w:val="single" w:color="000000" w:sz="6" w:space="0"/>
              <w:right w:val="single" w:color="000000" w:sz="6" w:space="0"/>
            </w:tcBorders>
          </w:tcPr>
          <w:p w14:paraId="52DC2420">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是否退还投标文件</w:t>
            </w:r>
          </w:p>
        </w:tc>
        <w:tc>
          <w:tcPr>
            <w:tcW w:w="6930" w:type="dxa"/>
            <w:tcBorders>
              <w:top w:val="single" w:color="000000" w:sz="6" w:space="0"/>
              <w:left w:val="single" w:color="000000" w:sz="6" w:space="0"/>
              <w:bottom w:val="single" w:color="000000" w:sz="6" w:space="0"/>
              <w:right w:val="single" w:color="000000" w:sz="12" w:space="0"/>
            </w:tcBorders>
          </w:tcPr>
          <w:p w14:paraId="13C8E9B8">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否</w:t>
            </w:r>
          </w:p>
        </w:tc>
      </w:tr>
      <w:tr w14:paraId="5AC679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F1936DB">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5.1</w:t>
            </w:r>
          </w:p>
        </w:tc>
        <w:tc>
          <w:tcPr>
            <w:tcW w:w="2293" w:type="dxa"/>
            <w:tcBorders>
              <w:top w:val="single" w:color="000000" w:sz="6" w:space="0"/>
              <w:left w:val="single" w:color="000000" w:sz="6" w:space="0"/>
              <w:bottom w:val="single" w:color="000000" w:sz="6" w:space="0"/>
              <w:right w:val="single" w:color="000000" w:sz="6" w:space="0"/>
            </w:tcBorders>
          </w:tcPr>
          <w:p w14:paraId="7EB19593">
            <w:pPr>
              <w:spacing w:line="240" w:lineRule="auto"/>
              <w:rPr>
                <w:rStyle w:val="47"/>
                <w:rFonts w:hint="eastAsia" w:ascii="宋体" w:hAnsi="宋体" w:eastAsia="宋体" w:cs="宋体"/>
                <w:sz w:val="21"/>
                <w:szCs w:val="21"/>
                <w:highlight w:val="yellow"/>
              </w:rPr>
            </w:pPr>
            <w:r>
              <w:rPr>
                <w:rStyle w:val="47"/>
                <w:rFonts w:hint="eastAsia" w:ascii="宋体" w:hAnsi="宋体" w:eastAsia="宋体" w:cs="宋体"/>
                <w:sz w:val="21"/>
                <w:szCs w:val="21"/>
                <w:highlight w:val="yellow"/>
              </w:rPr>
              <w:t>开标时间和地点</w:t>
            </w:r>
          </w:p>
        </w:tc>
        <w:tc>
          <w:tcPr>
            <w:tcW w:w="6930" w:type="dxa"/>
            <w:tcBorders>
              <w:top w:val="single" w:color="000000" w:sz="6" w:space="0"/>
              <w:left w:val="single" w:color="000000" w:sz="6" w:space="0"/>
              <w:bottom w:val="single" w:color="000000" w:sz="6" w:space="0"/>
              <w:right w:val="single" w:color="000000" w:sz="12" w:space="0"/>
            </w:tcBorders>
          </w:tcPr>
          <w:p w14:paraId="6B6CF61C">
            <w:pPr>
              <w:spacing w:line="240" w:lineRule="auto"/>
              <w:rPr>
                <w:rStyle w:val="47"/>
                <w:rFonts w:hint="default" w:ascii="宋体" w:hAnsi="宋体" w:eastAsia="宋体" w:cs="宋体"/>
                <w:sz w:val="21"/>
                <w:szCs w:val="21"/>
                <w:highlight w:val="yellow"/>
                <w:lang w:val="en-US" w:eastAsia="zh-CN"/>
              </w:rPr>
            </w:pPr>
            <w:r>
              <w:rPr>
                <w:rStyle w:val="47"/>
                <w:rFonts w:hint="eastAsia" w:ascii="宋体" w:hAnsi="宋体" w:eastAsia="宋体" w:cs="宋体"/>
                <w:sz w:val="21"/>
                <w:szCs w:val="21"/>
                <w:highlight w:val="yellow"/>
              </w:rPr>
              <w:t>开标时间：</w:t>
            </w:r>
            <w:r>
              <w:rPr>
                <w:rStyle w:val="47"/>
                <w:rFonts w:hint="eastAsia" w:ascii="宋体" w:hAnsi="宋体" w:cs="宋体"/>
                <w:sz w:val="21"/>
                <w:szCs w:val="21"/>
                <w:highlight w:val="yellow"/>
                <w:lang w:val="en-US" w:eastAsia="zh-CN"/>
              </w:rPr>
              <w:t>2025年11月14号9点00分</w:t>
            </w:r>
          </w:p>
          <w:p w14:paraId="792D914E">
            <w:pPr>
              <w:spacing w:line="240" w:lineRule="auto"/>
              <w:rPr>
                <w:rStyle w:val="47"/>
                <w:rFonts w:hint="default" w:ascii="宋体" w:hAnsi="宋体" w:eastAsia="宋体" w:cs="宋体"/>
                <w:sz w:val="21"/>
                <w:szCs w:val="21"/>
                <w:highlight w:val="yellow"/>
                <w:lang w:val="en-US" w:eastAsia="zh-CN"/>
              </w:rPr>
            </w:pPr>
            <w:r>
              <w:rPr>
                <w:rStyle w:val="47"/>
                <w:rFonts w:hint="eastAsia" w:ascii="宋体" w:hAnsi="宋体" w:eastAsia="宋体" w:cs="宋体"/>
                <w:sz w:val="21"/>
                <w:szCs w:val="21"/>
                <w:highlight w:val="yellow"/>
              </w:rPr>
              <w:t>开标地点：</w:t>
            </w:r>
            <w:r>
              <w:rPr>
                <w:rStyle w:val="47"/>
                <w:rFonts w:hint="eastAsia" w:ascii="宋体" w:hAnsi="宋体" w:eastAsia="宋体" w:cs="宋体"/>
                <w:sz w:val="21"/>
                <w:szCs w:val="21"/>
                <w:highlight w:val="yellow"/>
                <w:u w:val="single"/>
              </w:rPr>
              <w:t>济南市华奥路777号重汽科技大厦</w:t>
            </w:r>
            <w:r>
              <w:rPr>
                <w:rStyle w:val="47"/>
                <w:rFonts w:hint="eastAsia" w:ascii="宋体" w:hAnsi="宋体" w:cs="宋体"/>
                <w:sz w:val="21"/>
                <w:szCs w:val="21"/>
                <w:highlight w:val="yellow"/>
                <w:u w:val="single"/>
                <w:lang w:val="en-US" w:eastAsia="zh-CN"/>
              </w:rPr>
              <w:t>会议室或者线上会议</w:t>
            </w:r>
          </w:p>
        </w:tc>
      </w:tr>
      <w:tr w14:paraId="695DC9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1FE61B39">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5.2</w:t>
            </w:r>
          </w:p>
        </w:tc>
        <w:tc>
          <w:tcPr>
            <w:tcW w:w="2293" w:type="dxa"/>
            <w:tcBorders>
              <w:top w:val="single" w:color="000000" w:sz="6" w:space="0"/>
              <w:left w:val="single" w:color="000000" w:sz="6" w:space="0"/>
              <w:bottom w:val="single" w:color="000000" w:sz="6" w:space="0"/>
              <w:right w:val="single" w:color="000000" w:sz="6" w:space="0"/>
            </w:tcBorders>
          </w:tcPr>
          <w:p w14:paraId="0C8C4AD3">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开标程序</w:t>
            </w:r>
          </w:p>
        </w:tc>
        <w:tc>
          <w:tcPr>
            <w:tcW w:w="6930" w:type="dxa"/>
            <w:tcBorders>
              <w:top w:val="single" w:color="000000" w:sz="6" w:space="0"/>
              <w:left w:val="single" w:color="000000" w:sz="6" w:space="0"/>
              <w:bottom w:val="single" w:color="000000" w:sz="6" w:space="0"/>
              <w:right w:val="single" w:color="000000" w:sz="12" w:space="0"/>
            </w:tcBorders>
          </w:tcPr>
          <w:p w14:paraId="067DA4A2">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详见投标人须知</w:t>
            </w:r>
          </w:p>
        </w:tc>
      </w:tr>
      <w:tr w14:paraId="35CDF9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638AFEF6">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6.1.1</w:t>
            </w:r>
          </w:p>
        </w:tc>
        <w:tc>
          <w:tcPr>
            <w:tcW w:w="2293" w:type="dxa"/>
            <w:tcBorders>
              <w:top w:val="single" w:color="000000" w:sz="6" w:space="0"/>
              <w:left w:val="single" w:color="000000" w:sz="6" w:space="0"/>
              <w:bottom w:val="single" w:color="000000" w:sz="6" w:space="0"/>
              <w:right w:val="single" w:color="000000" w:sz="6" w:space="0"/>
            </w:tcBorders>
          </w:tcPr>
          <w:p w14:paraId="7C264241">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评标委员会的组建</w:t>
            </w:r>
          </w:p>
        </w:tc>
        <w:tc>
          <w:tcPr>
            <w:tcW w:w="6930" w:type="dxa"/>
            <w:tcBorders>
              <w:top w:val="single" w:color="000000" w:sz="6" w:space="0"/>
              <w:left w:val="single" w:color="000000" w:sz="6" w:space="0"/>
              <w:bottom w:val="single" w:color="000000" w:sz="6" w:space="0"/>
              <w:right w:val="single" w:color="000000" w:sz="12" w:space="0"/>
            </w:tcBorders>
          </w:tcPr>
          <w:p w14:paraId="43A1EBB5">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评标委员会构成：</w:t>
            </w:r>
            <w:r>
              <w:rPr>
                <w:rStyle w:val="47"/>
                <w:rFonts w:hint="eastAsia" w:ascii="宋体" w:hAnsi="宋体" w:cs="宋体"/>
                <w:sz w:val="21"/>
                <w:szCs w:val="21"/>
                <w:lang w:val="en-US" w:eastAsia="zh-CN"/>
              </w:rPr>
              <w:t>3</w:t>
            </w:r>
            <w:r>
              <w:rPr>
                <w:rStyle w:val="47"/>
                <w:rFonts w:hint="eastAsia" w:ascii="宋体" w:hAnsi="宋体" w:eastAsia="宋体" w:cs="宋体"/>
                <w:sz w:val="21"/>
                <w:szCs w:val="21"/>
              </w:rPr>
              <w:t>人或以上单数。</w:t>
            </w:r>
          </w:p>
        </w:tc>
      </w:tr>
      <w:tr w14:paraId="08EB29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4E6428BE">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7.1</w:t>
            </w:r>
          </w:p>
        </w:tc>
        <w:tc>
          <w:tcPr>
            <w:tcW w:w="2293" w:type="dxa"/>
            <w:tcBorders>
              <w:top w:val="single" w:color="000000" w:sz="6" w:space="0"/>
              <w:left w:val="single" w:color="000000" w:sz="6" w:space="0"/>
              <w:bottom w:val="single" w:color="000000" w:sz="6" w:space="0"/>
              <w:right w:val="single" w:color="000000" w:sz="6" w:space="0"/>
            </w:tcBorders>
          </w:tcPr>
          <w:p w14:paraId="59D5A8E4">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是否授权评标委员会确定中标人</w:t>
            </w:r>
          </w:p>
        </w:tc>
        <w:tc>
          <w:tcPr>
            <w:tcW w:w="6930" w:type="dxa"/>
            <w:tcBorders>
              <w:top w:val="single" w:color="000000" w:sz="6" w:space="0"/>
              <w:left w:val="single" w:color="000000" w:sz="6" w:space="0"/>
              <w:bottom w:val="single" w:color="000000" w:sz="6" w:space="0"/>
              <w:right w:val="single" w:color="000000" w:sz="12" w:space="0"/>
            </w:tcBorders>
            <w:vAlign w:val="center"/>
          </w:tcPr>
          <w:p w14:paraId="6797D1AF">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否</w:t>
            </w:r>
          </w:p>
        </w:tc>
      </w:tr>
      <w:tr w14:paraId="664FE7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35139E57">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7.3.1</w:t>
            </w:r>
          </w:p>
        </w:tc>
        <w:tc>
          <w:tcPr>
            <w:tcW w:w="2293" w:type="dxa"/>
            <w:tcBorders>
              <w:top w:val="single" w:color="000000" w:sz="6" w:space="0"/>
              <w:left w:val="single" w:color="000000" w:sz="6" w:space="0"/>
              <w:bottom w:val="single" w:color="000000" w:sz="6" w:space="0"/>
              <w:right w:val="single" w:color="000000" w:sz="6" w:space="0"/>
            </w:tcBorders>
          </w:tcPr>
          <w:p w14:paraId="6840AB8D">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履约担保</w:t>
            </w:r>
          </w:p>
        </w:tc>
        <w:tc>
          <w:tcPr>
            <w:tcW w:w="6930" w:type="dxa"/>
            <w:tcBorders>
              <w:top w:val="single" w:color="000000" w:sz="6" w:space="0"/>
              <w:left w:val="single" w:color="000000" w:sz="6" w:space="0"/>
              <w:bottom w:val="single" w:color="000000" w:sz="6" w:space="0"/>
              <w:right w:val="single" w:color="000000" w:sz="12" w:space="0"/>
            </w:tcBorders>
          </w:tcPr>
          <w:p w14:paraId="79BD9DB3">
            <w:pPr>
              <w:pStyle w:val="11"/>
              <w:spacing w:line="240" w:lineRule="auto"/>
              <w:rPr>
                <w:rFonts w:hint="eastAsia" w:ascii="宋体" w:hAnsi="宋体" w:eastAsia="宋体" w:cs="宋体"/>
                <w:sz w:val="21"/>
                <w:szCs w:val="21"/>
              </w:rPr>
            </w:pPr>
            <w:r>
              <w:rPr>
                <w:rFonts w:hint="eastAsia" w:ascii="宋体" w:hAnsi="宋体" w:eastAsia="宋体" w:cs="宋体"/>
                <w:sz w:val="21"/>
                <w:szCs w:val="21"/>
                <w:highlight w:val="none"/>
              </w:rPr>
              <w:sym w:font="Wingdings 2" w:char="F052"/>
            </w:r>
            <w:r>
              <w:rPr>
                <w:rFonts w:hint="eastAsia" w:ascii="宋体" w:hAnsi="宋体" w:eastAsia="宋体" w:cs="宋体"/>
                <w:sz w:val="21"/>
                <w:szCs w:val="21"/>
                <w:highlight w:val="none"/>
              </w:rPr>
              <w:t>投标保证金转为履约保证金</w:t>
            </w:r>
          </w:p>
        </w:tc>
      </w:tr>
      <w:tr w14:paraId="6A6F03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2ED84655">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 需要补充的其他内容</w:t>
            </w:r>
          </w:p>
        </w:tc>
      </w:tr>
      <w:tr w14:paraId="78E7F9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34385BF2">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10.1词语定义</w:t>
            </w:r>
          </w:p>
        </w:tc>
      </w:tr>
      <w:tr w14:paraId="7D41FF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1A456CC9">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10.1.1</w:t>
            </w:r>
          </w:p>
        </w:tc>
        <w:tc>
          <w:tcPr>
            <w:tcW w:w="2293" w:type="dxa"/>
            <w:tcBorders>
              <w:top w:val="single" w:color="000000" w:sz="6" w:space="0"/>
              <w:left w:val="single" w:color="000000" w:sz="6" w:space="0"/>
              <w:bottom w:val="single" w:color="000000" w:sz="6" w:space="0"/>
              <w:right w:val="single" w:color="000000" w:sz="6" w:space="0"/>
            </w:tcBorders>
            <w:vAlign w:val="center"/>
          </w:tcPr>
          <w:p w14:paraId="055829AF">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类似工程</w:t>
            </w:r>
          </w:p>
        </w:tc>
        <w:tc>
          <w:tcPr>
            <w:tcW w:w="6930" w:type="dxa"/>
            <w:tcBorders>
              <w:top w:val="single" w:color="000000" w:sz="6" w:space="0"/>
              <w:left w:val="single" w:color="000000" w:sz="6" w:space="0"/>
              <w:bottom w:val="single" w:color="000000" w:sz="6" w:space="0"/>
              <w:right w:val="single" w:color="000000" w:sz="12" w:space="0"/>
            </w:tcBorders>
            <w:vAlign w:val="center"/>
          </w:tcPr>
          <w:p w14:paraId="48FA2E2C">
            <w:pPr>
              <w:spacing w:line="240" w:lineRule="auto"/>
              <w:rPr>
                <w:rStyle w:val="47"/>
                <w:rFonts w:hint="eastAsia" w:ascii="宋体" w:hAnsi="宋体" w:eastAsia="宋体" w:cs="宋体"/>
                <w:sz w:val="21"/>
                <w:szCs w:val="21"/>
                <w:lang w:val="en-US" w:eastAsia="zh-CN"/>
              </w:rPr>
            </w:pPr>
            <w:r>
              <w:rPr>
                <w:rStyle w:val="47"/>
                <w:rFonts w:hint="eastAsia" w:ascii="宋体" w:hAnsi="宋体" w:eastAsia="宋体" w:cs="宋体"/>
                <w:b/>
                <w:bCs/>
                <w:sz w:val="21"/>
                <w:szCs w:val="21"/>
              </w:rPr>
              <w:t>类似工程是指：近一年（2024年10月1日以来，以验收时间为准）内不少于一个合同额在50万元以上的类似房屋建筑或装修施工业绩</w:t>
            </w:r>
            <w:r>
              <w:rPr>
                <w:rStyle w:val="47"/>
                <w:rFonts w:hint="eastAsia" w:ascii="宋体" w:hAnsi="宋体" w:cs="宋体"/>
                <w:b/>
                <w:bCs/>
                <w:sz w:val="21"/>
                <w:szCs w:val="21"/>
                <w:lang w:eastAsia="zh-CN"/>
              </w:rPr>
              <w:t>。</w:t>
            </w:r>
          </w:p>
        </w:tc>
      </w:tr>
      <w:tr w14:paraId="52CB46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14:paraId="2EF989A0">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10.1.2</w:t>
            </w:r>
          </w:p>
        </w:tc>
        <w:tc>
          <w:tcPr>
            <w:tcW w:w="2293" w:type="dxa"/>
            <w:tcBorders>
              <w:top w:val="single" w:color="000000" w:sz="6" w:space="0"/>
              <w:left w:val="single" w:color="000000" w:sz="6" w:space="0"/>
              <w:bottom w:val="single" w:color="000000" w:sz="6" w:space="0"/>
              <w:right w:val="single" w:color="000000" w:sz="6" w:space="0"/>
            </w:tcBorders>
            <w:vAlign w:val="center"/>
          </w:tcPr>
          <w:p w14:paraId="68E0CED6">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不良行为记录</w:t>
            </w:r>
          </w:p>
        </w:tc>
        <w:tc>
          <w:tcPr>
            <w:tcW w:w="6930" w:type="dxa"/>
            <w:tcBorders>
              <w:top w:val="single" w:color="000000" w:sz="6" w:space="0"/>
              <w:left w:val="single" w:color="000000" w:sz="6" w:space="0"/>
              <w:bottom w:val="single" w:color="000000" w:sz="6" w:space="0"/>
              <w:right w:val="single" w:color="000000" w:sz="12" w:space="0"/>
            </w:tcBorders>
            <w:vAlign w:val="center"/>
          </w:tcPr>
          <w:p w14:paraId="1E32C037">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不良行为记录是指：</w:t>
            </w:r>
          </w:p>
          <w:p w14:paraId="2060F75A">
            <w:pPr>
              <w:numPr>
                <w:ilvl w:val="0"/>
                <w:numId w:val="6"/>
              </w:num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企业不良行为记录情况主要是近年投标人在工程建设过程中因违反有关工程建设的法律、法规、规章或强制性标准和执业行为规范，经县级以上建设行政主管部门或其委托的执法监督机构查实和行政处罚，形成的不良行为记录。</w:t>
            </w:r>
          </w:p>
          <w:p w14:paraId="400D1741">
            <w:pPr>
              <w:numPr>
                <w:ilvl w:val="0"/>
                <w:numId w:val="6"/>
              </w:numPr>
              <w:spacing w:line="240" w:lineRule="auto"/>
              <w:rPr>
                <w:rStyle w:val="47"/>
                <w:rFonts w:hint="eastAsia" w:ascii="宋体" w:hAnsi="宋体" w:eastAsia="宋体" w:cs="宋体"/>
                <w:sz w:val="21"/>
                <w:szCs w:val="21"/>
              </w:rPr>
            </w:pPr>
            <w:r>
              <w:rPr>
                <w:rStyle w:val="47"/>
                <w:rFonts w:hint="eastAsia" w:ascii="宋体" w:hAnsi="宋体" w:eastAsia="宋体" w:cs="宋体"/>
                <w:b/>
                <w:sz w:val="21"/>
                <w:szCs w:val="21"/>
              </w:rPr>
              <w:t>经中国裁判文书网查询投标人有单位行贿犯罪记录的（投标人自行查询，并附在投标文件中）。</w:t>
            </w:r>
          </w:p>
        </w:tc>
      </w:tr>
      <w:tr w14:paraId="5C3A34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12" w:space="0"/>
              <w:right w:val="single" w:color="000000" w:sz="12" w:space="0"/>
            </w:tcBorders>
            <w:vAlign w:val="center"/>
          </w:tcPr>
          <w:p w14:paraId="59E8C473">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10.2 “暗标”评审</w:t>
            </w:r>
          </w:p>
        </w:tc>
      </w:tr>
      <w:tr w14:paraId="71CA16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12" w:space="0"/>
              <w:left w:val="single" w:color="000000" w:sz="12" w:space="0"/>
              <w:bottom w:val="single" w:color="000000" w:sz="6" w:space="0"/>
              <w:right w:val="single" w:color="000000" w:sz="6" w:space="0"/>
            </w:tcBorders>
          </w:tcPr>
          <w:p w14:paraId="7E153757">
            <w:pPr>
              <w:spacing w:line="240" w:lineRule="auto"/>
              <w:rPr>
                <w:rStyle w:val="47"/>
                <w:rFonts w:hint="eastAsia" w:ascii="宋体" w:hAnsi="宋体" w:eastAsia="宋体" w:cs="宋体"/>
                <w:sz w:val="21"/>
                <w:szCs w:val="21"/>
              </w:rPr>
            </w:pPr>
          </w:p>
        </w:tc>
        <w:tc>
          <w:tcPr>
            <w:tcW w:w="2293" w:type="dxa"/>
            <w:tcBorders>
              <w:top w:val="single" w:color="000000" w:sz="12" w:space="0"/>
              <w:left w:val="single" w:color="000000" w:sz="6" w:space="0"/>
              <w:bottom w:val="single" w:color="000000" w:sz="6" w:space="0"/>
              <w:right w:val="single" w:color="000000" w:sz="6" w:space="0"/>
            </w:tcBorders>
          </w:tcPr>
          <w:p w14:paraId="597F9D77">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施工组织设计是否采用“暗标”评审方式</w:t>
            </w:r>
          </w:p>
        </w:tc>
        <w:tc>
          <w:tcPr>
            <w:tcW w:w="6930" w:type="dxa"/>
            <w:tcBorders>
              <w:top w:val="single" w:color="000000" w:sz="12" w:space="0"/>
              <w:left w:val="single" w:color="000000" w:sz="6" w:space="0"/>
              <w:bottom w:val="single" w:color="000000" w:sz="6" w:space="0"/>
              <w:right w:val="single" w:color="000000" w:sz="12" w:space="0"/>
            </w:tcBorders>
            <w:vAlign w:val="center"/>
          </w:tcPr>
          <w:p w14:paraId="462A5A09">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不采用</w:t>
            </w:r>
          </w:p>
        </w:tc>
      </w:tr>
      <w:tr w14:paraId="67E420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5362EAA6">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10.3  投标文件电子版</w:t>
            </w:r>
          </w:p>
        </w:tc>
      </w:tr>
      <w:tr w14:paraId="294867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tcPr>
          <w:p w14:paraId="63A0A5EE">
            <w:pPr>
              <w:spacing w:line="240" w:lineRule="auto"/>
              <w:rPr>
                <w:rStyle w:val="47"/>
                <w:rFonts w:hint="eastAsia" w:ascii="宋体" w:hAnsi="宋体" w:eastAsia="宋体" w:cs="宋体"/>
                <w:sz w:val="21"/>
                <w:szCs w:val="21"/>
              </w:rPr>
            </w:pPr>
          </w:p>
        </w:tc>
        <w:tc>
          <w:tcPr>
            <w:tcW w:w="2293" w:type="dxa"/>
            <w:tcBorders>
              <w:top w:val="single" w:color="000000" w:sz="6" w:space="0"/>
              <w:left w:val="single" w:color="000000" w:sz="6" w:space="0"/>
              <w:bottom w:val="single" w:color="000000" w:sz="6" w:space="0"/>
              <w:right w:val="single" w:color="000000" w:sz="6" w:space="0"/>
            </w:tcBorders>
            <w:vAlign w:val="center"/>
          </w:tcPr>
          <w:p w14:paraId="7F8B7461">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是否要求投标人在递交投标文件时，同时递交投标文件电子版</w:t>
            </w:r>
          </w:p>
        </w:tc>
        <w:tc>
          <w:tcPr>
            <w:tcW w:w="6930" w:type="dxa"/>
            <w:tcBorders>
              <w:top w:val="single" w:color="000000" w:sz="6" w:space="0"/>
              <w:left w:val="single" w:color="000000" w:sz="6" w:space="0"/>
              <w:bottom w:val="single" w:color="000000" w:sz="6" w:space="0"/>
              <w:right w:val="single" w:color="000000" w:sz="12" w:space="0"/>
            </w:tcBorders>
            <w:vAlign w:val="center"/>
          </w:tcPr>
          <w:p w14:paraId="1011A53A">
            <w:pPr>
              <w:spacing w:line="240" w:lineRule="auto"/>
              <w:jc w:val="both"/>
              <w:rPr>
                <w:rStyle w:val="47"/>
                <w:rFonts w:hint="eastAsia" w:ascii="宋体" w:hAnsi="宋体" w:eastAsia="宋体" w:cs="宋体"/>
                <w:sz w:val="21"/>
                <w:szCs w:val="21"/>
                <w:lang w:val="en-US" w:eastAsia="zh-CN"/>
              </w:rPr>
            </w:pPr>
            <w:r>
              <w:rPr>
                <w:rStyle w:val="47"/>
                <w:rFonts w:hint="eastAsia" w:ascii="宋体" w:hAnsi="宋体" w:eastAsia="宋体" w:cs="宋体"/>
                <w:sz w:val="21"/>
                <w:szCs w:val="21"/>
                <w:lang w:val="en-US" w:eastAsia="zh-CN"/>
              </w:rPr>
              <w:t>是，</w:t>
            </w:r>
            <w:r>
              <w:rPr>
                <w:rStyle w:val="47"/>
                <w:rFonts w:hint="eastAsia" w:ascii="宋体" w:hAnsi="宋体" w:eastAsia="宋体" w:cs="宋体"/>
                <w:sz w:val="21"/>
                <w:szCs w:val="21"/>
                <w:highlight w:val="none"/>
                <w:lang w:val="en-US" w:eastAsia="zh-CN"/>
              </w:rPr>
              <w:t>详见3.6.5要求</w:t>
            </w:r>
          </w:p>
        </w:tc>
      </w:tr>
      <w:tr w14:paraId="0FBD87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0C579E21">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10.4 计算机辅助评标</w:t>
            </w:r>
          </w:p>
        </w:tc>
      </w:tr>
      <w:tr w14:paraId="05F34C9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tcPr>
          <w:p w14:paraId="1A0E5B33">
            <w:pPr>
              <w:spacing w:line="240" w:lineRule="auto"/>
              <w:rPr>
                <w:rStyle w:val="47"/>
                <w:rFonts w:hint="eastAsia" w:ascii="宋体" w:hAnsi="宋体" w:eastAsia="宋体" w:cs="宋体"/>
                <w:sz w:val="21"/>
                <w:szCs w:val="21"/>
              </w:rPr>
            </w:pPr>
          </w:p>
        </w:tc>
        <w:tc>
          <w:tcPr>
            <w:tcW w:w="2293" w:type="dxa"/>
            <w:tcBorders>
              <w:top w:val="single" w:color="000000" w:sz="6" w:space="0"/>
              <w:left w:val="single" w:color="000000" w:sz="6" w:space="0"/>
              <w:bottom w:val="single" w:color="000000" w:sz="6" w:space="0"/>
              <w:right w:val="single" w:color="000000" w:sz="6" w:space="0"/>
            </w:tcBorders>
          </w:tcPr>
          <w:p w14:paraId="6CED6FF7">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是否实行计算机辅助评标</w:t>
            </w:r>
          </w:p>
        </w:tc>
        <w:tc>
          <w:tcPr>
            <w:tcW w:w="6930" w:type="dxa"/>
            <w:tcBorders>
              <w:top w:val="single" w:color="000000" w:sz="6" w:space="0"/>
              <w:left w:val="single" w:color="000000" w:sz="6" w:space="0"/>
              <w:bottom w:val="single" w:color="000000" w:sz="6" w:space="0"/>
              <w:right w:val="single" w:color="000000" w:sz="12" w:space="0"/>
            </w:tcBorders>
            <w:vAlign w:val="center"/>
          </w:tcPr>
          <w:p w14:paraId="0B8143C8">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否</w:t>
            </w:r>
          </w:p>
        </w:tc>
      </w:tr>
      <w:tr w14:paraId="56554BA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53C70874">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10.5 投标人代表出席开标会</w:t>
            </w:r>
          </w:p>
        </w:tc>
      </w:tr>
      <w:tr w14:paraId="167FD3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tcPr>
          <w:p w14:paraId="7A687E9E">
            <w:pPr>
              <w:spacing w:line="240" w:lineRule="auto"/>
              <w:rPr>
                <w:rStyle w:val="47"/>
                <w:rFonts w:hint="eastAsia" w:ascii="宋体" w:hAnsi="宋体" w:eastAsia="宋体" w:cs="宋体"/>
                <w:sz w:val="21"/>
                <w:szCs w:val="21"/>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6101A404">
            <w:pPr>
              <w:spacing w:line="240" w:lineRule="auto"/>
              <w:rPr>
                <w:rFonts w:hint="eastAsia" w:ascii="宋体" w:hAnsi="宋体" w:eastAsia="宋体" w:cs="宋体"/>
                <w:b/>
                <w:bCs/>
                <w:sz w:val="21"/>
                <w:szCs w:val="21"/>
              </w:rPr>
            </w:pPr>
            <w:r>
              <w:rPr>
                <w:rFonts w:hint="eastAsia" w:ascii="宋体" w:hAnsi="宋体" w:eastAsia="宋体" w:cs="宋体"/>
                <w:b w:val="0"/>
                <w:bCs w:val="0"/>
                <w:sz w:val="21"/>
                <w:szCs w:val="21"/>
                <w:highlight w:val="none"/>
              </w:rPr>
              <w:t>按照本须知</w:t>
            </w:r>
            <w:r>
              <w:rPr>
                <w:rFonts w:hint="eastAsia" w:ascii="宋体" w:hAnsi="宋体" w:eastAsia="宋体" w:cs="宋体"/>
                <w:b w:val="0"/>
                <w:bCs w:val="0"/>
                <w:sz w:val="21"/>
                <w:szCs w:val="21"/>
                <w:highlight w:val="none"/>
              </w:rPr>
              <w:fldChar w:fldCharType="begin"/>
            </w:r>
            <w:r>
              <w:rPr>
                <w:rFonts w:hint="eastAsia" w:ascii="宋体" w:hAnsi="宋体" w:eastAsia="宋体" w:cs="宋体"/>
                <w:b w:val="0"/>
                <w:bCs w:val="0"/>
                <w:sz w:val="21"/>
                <w:szCs w:val="21"/>
                <w:highlight w:val="none"/>
              </w:rPr>
              <w:instrText xml:space="preserve"> HYPERLINK \l "开标时间和地点" </w:instrText>
            </w:r>
            <w:r>
              <w:rPr>
                <w:rFonts w:hint="eastAsia" w:ascii="宋体" w:hAnsi="宋体" w:eastAsia="宋体" w:cs="宋体"/>
                <w:b w:val="0"/>
                <w:bCs w:val="0"/>
                <w:sz w:val="21"/>
                <w:szCs w:val="21"/>
                <w:highlight w:val="none"/>
              </w:rPr>
              <w:fldChar w:fldCharType="separate"/>
            </w:r>
            <w:r>
              <w:rPr>
                <w:rFonts w:hint="eastAsia" w:ascii="宋体" w:hAnsi="宋体" w:eastAsia="宋体" w:cs="宋体"/>
                <w:b w:val="0"/>
                <w:bCs w:val="0"/>
                <w:sz w:val="21"/>
                <w:szCs w:val="21"/>
                <w:highlight w:val="none"/>
              </w:rPr>
              <w:t>第</w:t>
            </w:r>
            <w:bookmarkStart w:id="16" w:name="_Hlt363566421"/>
            <w:r>
              <w:rPr>
                <w:rFonts w:hint="eastAsia" w:ascii="宋体" w:hAnsi="宋体" w:eastAsia="宋体" w:cs="宋体"/>
                <w:b w:val="0"/>
                <w:bCs w:val="0"/>
                <w:sz w:val="21"/>
                <w:szCs w:val="21"/>
                <w:highlight w:val="none"/>
              </w:rPr>
              <w:t>5</w:t>
            </w:r>
            <w:bookmarkEnd w:id="16"/>
            <w:r>
              <w:rPr>
                <w:rFonts w:hint="eastAsia" w:ascii="宋体" w:hAnsi="宋体" w:eastAsia="宋体" w:cs="宋体"/>
                <w:b w:val="0"/>
                <w:bCs w:val="0"/>
                <w:sz w:val="21"/>
                <w:szCs w:val="21"/>
                <w:highlight w:val="none"/>
              </w:rPr>
              <w:t>.</w:t>
            </w:r>
            <w:bookmarkStart w:id="17" w:name="_Hlt364843077"/>
            <w:bookmarkStart w:id="18" w:name="_Hlt363565524"/>
            <w:bookmarkStart w:id="19" w:name="_Hlt364843078"/>
            <w:r>
              <w:rPr>
                <w:rFonts w:hint="eastAsia" w:ascii="宋体" w:hAnsi="宋体" w:eastAsia="宋体" w:cs="宋体"/>
                <w:b w:val="0"/>
                <w:bCs w:val="0"/>
                <w:sz w:val="21"/>
                <w:szCs w:val="21"/>
                <w:highlight w:val="none"/>
              </w:rPr>
              <w:t>1</w:t>
            </w:r>
            <w:bookmarkEnd w:id="17"/>
            <w:bookmarkEnd w:id="18"/>
            <w:bookmarkEnd w:id="19"/>
            <w:r>
              <w:rPr>
                <w:rFonts w:hint="eastAsia" w:ascii="宋体" w:hAnsi="宋体" w:eastAsia="宋体" w:cs="宋体"/>
                <w:b w:val="0"/>
                <w:bCs w:val="0"/>
                <w:sz w:val="21"/>
                <w:szCs w:val="21"/>
                <w:highlight w:val="none"/>
              </w:rPr>
              <w:t>款</w:t>
            </w:r>
            <w:r>
              <w:rPr>
                <w:rFonts w:hint="eastAsia" w:ascii="宋体" w:hAnsi="宋体" w:eastAsia="宋体" w:cs="宋体"/>
                <w:b w:val="0"/>
                <w:bCs w:val="0"/>
                <w:sz w:val="21"/>
                <w:szCs w:val="21"/>
                <w:highlight w:val="none"/>
              </w:rPr>
              <w:fldChar w:fldCharType="end"/>
            </w:r>
            <w:r>
              <w:rPr>
                <w:rFonts w:hint="eastAsia" w:ascii="宋体" w:hAnsi="宋体" w:eastAsia="宋体" w:cs="宋体"/>
                <w:b w:val="0"/>
                <w:bCs w:val="0"/>
                <w:sz w:val="21"/>
                <w:szCs w:val="21"/>
                <w:highlight w:val="none"/>
              </w:rPr>
              <w:t>的规定，招标人邀请</w:t>
            </w:r>
            <w:r>
              <w:rPr>
                <w:rFonts w:hint="eastAsia" w:ascii="宋体" w:hAnsi="宋体" w:eastAsia="宋体" w:cs="宋体"/>
                <w:b/>
                <w:bCs/>
                <w:sz w:val="21"/>
                <w:szCs w:val="21"/>
                <w:highlight w:val="none"/>
              </w:rPr>
              <w:t>所有投标人的法定代表人或其委托代理人</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拟派到本项目的项目经理及技术和商务负责人</w:t>
            </w:r>
            <w:r>
              <w:rPr>
                <w:rFonts w:hint="eastAsia" w:ascii="宋体" w:hAnsi="宋体" w:eastAsia="宋体" w:cs="宋体"/>
                <w:b w:val="0"/>
                <w:bCs w:val="0"/>
                <w:sz w:val="21"/>
                <w:szCs w:val="21"/>
                <w:highlight w:val="none"/>
              </w:rPr>
              <w:t>参加现场开标会，同时登录重汽e采通平台。投标人的法定代表人或其委托代理人应当按时参加开标会，并在招标人按开标程序进行点名时，向招标人提交法定代表人身份证明文件（或法定代表人授权委托书）原件及本人身份证原件供校验。</w:t>
            </w:r>
          </w:p>
        </w:tc>
      </w:tr>
      <w:tr w14:paraId="70BD9E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68E3AFB9">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10.6 中标公示</w:t>
            </w:r>
          </w:p>
        </w:tc>
      </w:tr>
      <w:tr w14:paraId="544132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tcPr>
          <w:p w14:paraId="2AA570EF">
            <w:pPr>
              <w:spacing w:line="240" w:lineRule="auto"/>
              <w:rPr>
                <w:rStyle w:val="47"/>
                <w:rFonts w:hint="eastAsia" w:ascii="宋体" w:hAnsi="宋体" w:eastAsia="宋体" w:cs="宋体"/>
                <w:sz w:val="21"/>
                <w:szCs w:val="21"/>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7661E454">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w:t>
            </w:r>
          </w:p>
        </w:tc>
      </w:tr>
      <w:tr w14:paraId="29DCD6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6D523452">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10.7 知识产权</w:t>
            </w:r>
          </w:p>
        </w:tc>
      </w:tr>
      <w:tr w14:paraId="7886D6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tcPr>
          <w:p w14:paraId="035490A8">
            <w:pPr>
              <w:spacing w:line="240" w:lineRule="auto"/>
              <w:rPr>
                <w:rStyle w:val="47"/>
                <w:rFonts w:hint="eastAsia" w:ascii="宋体" w:hAnsi="宋体" w:eastAsia="宋体" w:cs="宋体"/>
                <w:sz w:val="21"/>
                <w:szCs w:val="21"/>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00ABAC3A">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04FA0B3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5B115D66">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10.8 重新招标的其他情形</w:t>
            </w:r>
          </w:p>
        </w:tc>
      </w:tr>
      <w:tr w14:paraId="21AB16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tcPr>
          <w:p w14:paraId="65AAABAD">
            <w:pPr>
              <w:spacing w:line="240" w:lineRule="auto"/>
              <w:rPr>
                <w:rStyle w:val="47"/>
                <w:rFonts w:hint="eastAsia" w:ascii="宋体" w:hAnsi="宋体" w:eastAsia="宋体" w:cs="宋体"/>
                <w:sz w:val="21"/>
                <w:szCs w:val="21"/>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6DE30358">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除</w:t>
            </w:r>
            <w:r>
              <w:rPr>
                <w:rStyle w:val="47"/>
                <w:rFonts w:hint="eastAsia" w:ascii="宋体" w:hAnsi="宋体" w:eastAsia="宋体" w:cs="宋体"/>
                <w:sz w:val="21"/>
                <w:szCs w:val="21"/>
                <w:highlight w:val="none"/>
              </w:rPr>
              <w:t>投标人须知正文第8条规定</w:t>
            </w:r>
            <w:r>
              <w:rPr>
                <w:rStyle w:val="47"/>
                <w:rFonts w:hint="eastAsia" w:ascii="宋体" w:hAnsi="宋体" w:eastAsia="宋体" w:cs="宋体"/>
                <w:sz w:val="21"/>
                <w:szCs w:val="21"/>
              </w:rPr>
              <w:t>的情形外，除非已经产生中标候选人，在投标有效期内同意延长投标有效期的投标人少于三个的，招标人应当依法重新招标。</w:t>
            </w:r>
          </w:p>
        </w:tc>
      </w:tr>
      <w:tr w14:paraId="6AB63A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48F1A38F">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10.9 同义词语</w:t>
            </w:r>
          </w:p>
        </w:tc>
      </w:tr>
      <w:tr w14:paraId="2A078A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962" w:type="dxa"/>
            <w:tcBorders>
              <w:top w:val="single" w:color="000000" w:sz="6" w:space="0"/>
              <w:left w:val="single" w:color="000000" w:sz="12" w:space="0"/>
              <w:bottom w:val="single" w:color="000000" w:sz="6" w:space="0"/>
              <w:right w:val="single" w:color="000000" w:sz="6" w:space="0"/>
            </w:tcBorders>
          </w:tcPr>
          <w:p w14:paraId="00C9CAB5">
            <w:pPr>
              <w:spacing w:line="240" w:lineRule="auto"/>
              <w:rPr>
                <w:rStyle w:val="47"/>
                <w:rFonts w:hint="eastAsia" w:ascii="宋体" w:hAnsi="宋体" w:eastAsia="宋体" w:cs="宋体"/>
                <w:sz w:val="21"/>
                <w:szCs w:val="21"/>
              </w:rPr>
            </w:pPr>
          </w:p>
        </w:tc>
        <w:tc>
          <w:tcPr>
            <w:tcW w:w="9223" w:type="dxa"/>
            <w:gridSpan w:val="2"/>
            <w:tcBorders>
              <w:top w:val="single" w:color="000000" w:sz="6" w:space="0"/>
              <w:left w:val="single" w:color="000000" w:sz="6" w:space="0"/>
              <w:bottom w:val="single" w:color="000000" w:sz="6" w:space="0"/>
              <w:right w:val="single" w:color="000000" w:sz="12" w:space="0"/>
            </w:tcBorders>
          </w:tcPr>
          <w:p w14:paraId="06037FBC">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构成招标文件组成部分的“通用合同条款”、“专用合同条款”、“技术标准和要求”和“工程量清单”等章节中出现的措辞“发包人”和“承包人”，在招标投标阶段应当分别按“招标人”和“投标人”进行理解。</w:t>
            </w:r>
          </w:p>
        </w:tc>
      </w:tr>
      <w:tr w14:paraId="1F7C6F8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109C60D2">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10.10 解释权</w:t>
            </w:r>
          </w:p>
        </w:tc>
      </w:tr>
      <w:tr w14:paraId="3A90AB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tcPr>
          <w:p w14:paraId="0367863F">
            <w:pPr>
              <w:spacing w:line="240" w:lineRule="auto"/>
              <w:ind w:firstLine="420" w:firstLineChars="200"/>
              <w:rPr>
                <w:rStyle w:val="47"/>
                <w:rFonts w:hint="eastAsia" w:ascii="宋体" w:hAnsi="宋体" w:eastAsia="宋体" w:cs="宋体"/>
                <w:sz w:val="21"/>
                <w:szCs w:val="21"/>
              </w:rPr>
            </w:pPr>
            <w:r>
              <w:rPr>
                <w:rStyle w:val="47"/>
                <w:rFonts w:hint="eastAsia" w:ascii="宋体" w:hAnsi="宋体" w:eastAsia="宋体" w:cs="宋体"/>
                <w:sz w:val="21"/>
                <w:szCs w:val="21"/>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790D57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14:paraId="5908E307">
            <w:pPr>
              <w:spacing w:line="240" w:lineRule="auto"/>
              <w:rPr>
                <w:rStyle w:val="47"/>
                <w:rFonts w:hint="eastAsia" w:ascii="宋体" w:hAnsi="宋体" w:eastAsia="宋体" w:cs="宋体"/>
                <w:sz w:val="21"/>
                <w:szCs w:val="21"/>
              </w:rPr>
            </w:pPr>
            <w:r>
              <w:rPr>
                <w:rStyle w:val="47"/>
                <w:rFonts w:hint="eastAsia" w:ascii="宋体" w:hAnsi="宋体" w:eastAsia="宋体" w:cs="宋体"/>
                <w:sz w:val="21"/>
                <w:szCs w:val="21"/>
              </w:rPr>
              <w:t>10.11 招标人补充的其他内容</w:t>
            </w:r>
          </w:p>
        </w:tc>
      </w:tr>
      <w:tr w14:paraId="64105B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10185" w:type="dxa"/>
            <w:gridSpan w:val="3"/>
            <w:tcBorders>
              <w:top w:val="single" w:color="000000" w:sz="6" w:space="0"/>
              <w:left w:val="single" w:color="000000" w:sz="12" w:space="0"/>
              <w:bottom w:val="single" w:color="000000" w:sz="12" w:space="0"/>
              <w:right w:val="single" w:color="000000" w:sz="12" w:space="0"/>
            </w:tcBorders>
          </w:tcPr>
          <w:p w14:paraId="3DD2DBE5">
            <w:pPr>
              <w:pStyle w:val="56"/>
              <w:numPr>
                <w:ilvl w:val="0"/>
                <w:numId w:val="7"/>
              </w:numPr>
              <w:snapToGrid w:val="0"/>
              <w:spacing w:line="240" w:lineRule="auto"/>
              <w:ind w:left="0" w:firstLine="0" w:firstLineChars="0"/>
              <w:rPr>
                <w:rFonts w:hint="eastAsia" w:ascii="宋体" w:hAnsi="宋体" w:eastAsia="宋体" w:cs="宋体"/>
                <w:b/>
                <w:bCs/>
                <w:sz w:val="21"/>
                <w:szCs w:val="21"/>
              </w:rPr>
            </w:pPr>
            <w:r>
              <w:rPr>
                <w:rFonts w:hint="eastAsia" w:ascii="宋体" w:hAnsi="宋体" w:eastAsia="宋体" w:cs="宋体"/>
                <w:sz w:val="21"/>
                <w:szCs w:val="21"/>
              </w:rPr>
              <w:t>预中标单位放弃中标、因不可抗力不能履行合同、不按照招标文件要求提交履约保证金，或者被查实存在影响中标结果的违法行为等情形，不符合中标条件的，招标人可以按照评标委员会提出的中标候选人名单择优确定其他中标候选人为中标人，也可以重新招标。</w:t>
            </w:r>
          </w:p>
          <w:p w14:paraId="13166016">
            <w:pPr>
              <w:pStyle w:val="56"/>
              <w:numPr>
                <w:ilvl w:val="0"/>
                <w:numId w:val="0"/>
              </w:numPr>
              <w:snapToGrid w:val="0"/>
              <w:spacing w:line="240" w:lineRule="auto"/>
              <w:ind w:leftChars="0"/>
              <w:rPr>
                <w:rFonts w:hint="eastAsia" w:ascii="宋体" w:hAnsi="宋体" w:eastAsia="宋体" w:cs="宋体"/>
                <w:b/>
                <w:bCs/>
                <w:sz w:val="21"/>
                <w:szCs w:val="21"/>
              </w:rPr>
            </w:pPr>
          </w:p>
          <w:p w14:paraId="1BF0DD1A">
            <w:pPr>
              <w:pStyle w:val="56"/>
              <w:numPr>
                <w:ilvl w:val="0"/>
                <w:numId w:val="7"/>
              </w:numPr>
              <w:snapToGrid w:val="0"/>
              <w:spacing w:line="240" w:lineRule="auto"/>
              <w:ind w:left="0" w:firstLine="0" w:firstLineChars="0"/>
              <w:rPr>
                <w:rFonts w:hint="eastAsia" w:ascii="宋体" w:hAnsi="宋体" w:eastAsia="宋体" w:cs="宋体"/>
                <w:b/>
                <w:bCs/>
                <w:sz w:val="21"/>
                <w:szCs w:val="21"/>
              </w:rPr>
            </w:pPr>
            <w:r>
              <w:rPr>
                <w:rFonts w:hint="eastAsia" w:ascii="宋体" w:hAnsi="宋体" w:eastAsia="宋体" w:cs="宋体"/>
                <w:b/>
                <w:bCs/>
                <w:sz w:val="21"/>
                <w:szCs w:val="21"/>
              </w:rPr>
              <w:t>工程量清单编制及</w:t>
            </w:r>
            <w:r>
              <w:rPr>
                <w:rFonts w:hint="eastAsia" w:ascii="宋体" w:hAnsi="宋体" w:eastAsia="宋体" w:cs="宋体"/>
                <w:b/>
                <w:bCs/>
                <w:sz w:val="21"/>
                <w:szCs w:val="21"/>
                <w:lang w:val="en-US" w:eastAsia="zh-CN"/>
              </w:rPr>
              <w:t>施工阶段造价咨询（不驻场跟踪服务）</w:t>
            </w:r>
            <w:r>
              <w:rPr>
                <w:rFonts w:hint="eastAsia" w:ascii="宋体" w:hAnsi="宋体" w:eastAsia="宋体" w:cs="宋体"/>
                <w:b/>
                <w:bCs/>
                <w:sz w:val="21"/>
                <w:szCs w:val="21"/>
              </w:rPr>
              <w:t>以中标人的中标价为依据。</w:t>
            </w:r>
          </w:p>
          <w:p w14:paraId="57D9E6A3">
            <w:pPr>
              <w:numPr>
                <w:ilvl w:val="0"/>
                <w:numId w:val="0"/>
              </w:numPr>
              <w:snapToGrid w:val="0"/>
              <w:spacing w:line="24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其中：</w:t>
            </w:r>
          </w:p>
          <w:p w14:paraId="1DCACBC3">
            <w:pPr>
              <w:numPr>
                <w:ilvl w:val="0"/>
                <w:numId w:val="0"/>
              </w:numPr>
              <w:snapToGrid w:val="0"/>
              <w:spacing w:line="24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招标阶段清单编制：固定费率0.218‰，施工单位中标并签订施工合同后一次性支付。</w:t>
            </w:r>
          </w:p>
          <w:p w14:paraId="14942123">
            <w:pPr>
              <w:snapToGrid w:val="0"/>
              <w:spacing w:line="24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施工阶段造价咨询（不驻场跟踪服务）：固定费率0.109</w:t>
            </w:r>
            <w:r>
              <w:rPr>
                <w:rFonts w:hint="eastAsia" w:ascii="宋体" w:hAnsi="宋体" w:eastAsia="宋体" w:cs="宋体"/>
                <w:b/>
                <w:bCs/>
                <w:sz w:val="21"/>
                <w:szCs w:val="21"/>
              </w:rPr>
              <w:t xml:space="preserve"> </w:t>
            </w:r>
            <w:r>
              <w:rPr>
                <w:rFonts w:hint="eastAsia" w:ascii="宋体" w:hAnsi="宋体" w:eastAsia="宋体" w:cs="宋体"/>
                <w:b/>
                <w:bCs/>
                <w:sz w:val="21"/>
                <w:szCs w:val="21"/>
                <w:lang w:val="en-US" w:eastAsia="zh-CN"/>
              </w:rPr>
              <w:t>‰，待所跟踪合同完成竣工结算正式报审后一次性支付。</w:t>
            </w:r>
          </w:p>
          <w:p w14:paraId="70CEA8A7">
            <w:pPr>
              <w:snapToGrid w:val="0"/>
              <w:spacing w:line="24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上述费用由中标人单独向造价咨询单位缴纳，持相应收费凭证，按招标文件约定时间申请退还投标保证金，</w:t>
            </w:r>
            <w:r>
              <w:rPr>
                <w:rFonts w:hint="eastAsia" w:ascii="宋体" w:hAnsi="宋体" w:eastAsia="宋体" w:cs="宋体"/>
                <w:b/>
                <w:bCs/>
                <w:sz w:val="21"/>
                <w:szCs w:val="21"/>
                <w:lang w:val="en-US" w:eastAsia="zh-CN"/>
              </w:rPr>
              <w:t>投标</w:t>
            </w:r>
            <w:r>
              <w:rPr>
                <w:rFonts w:hint="eastAsia" w:ascii="宋体" w:hAnsi="宋体" w:eastAsia="宋体" w:cs="宋体"/>
                <w:b/>
                <w:bCs/>
                <w:sz w:val="21"/>
                <w:szCs w:val="21"/>
              </w:rPr>
              <w:t>人无需将本项费用单独列项，但应将其综合考虑到报价中。</w:t>
            </w:r>
          </w:p>
          <w:p w14:paraId="21D7037F">
            <w:pPr>
              <w:snapToGrid w:val="0"/>
              <w:spacing w:line="240" w:lineRule="auto"/>
              <w:ind w:firstLine="422" w:firstLineChars="200"/>
              <w:rPr>
                <w:rFonts w:hint="eastAsia" w:ascii="宋体" w:hAnsi="宋体" w:eastAsia="宋体" w:cs="宋体"/>
                <w:b/>
                <w:bCs/>
                <w:sz w:val="21"/>
                <w:szCs w:val="21"/>
              </w:rPr>
            </w:pPr>
          </w:p>
          <w:p w14:paraId="619B60FD">
            <w:pPr>
              <w:pStyle w:val="56"/>
              <w:numPr>
                <w:ilvl w:val="0"/>
                <w:numId w:val="7"/>
              </w:numPr>
              <w:snapToGrid w:val="0"/>
              <w:spacing w:line="240" w:lineRule="auto"/>
              <w:ind w:left="0" w:firstLine="0" w:firstLineChars="0"/>
              <w:rPr>
                <w:rFonts w:hint="eastAsia" w:ascii="宋体" w:hAnsi="宋体" w:eastAsia="宋体" w:cs="宋体"/>
                <w:sz w:val="21"/>
                <w:szCs w:val="21"/>
              </w:rPr>
            </w:pPr>
            <w:r>
              <w:rPr>
                <w:rFonts w:hint="eastAsia" w:ascii="宋体" w:hAnsi="宋体" w:eastAsia="宋体" w:cs="宋体"/>
                <w:sz w:val="21"/>
                <w:szCs w:val="21"/>
              </w:rPr>
              <w:t>投标人应到工地踏勘以充分了解工地位置、周边情况、地质水文、道路、储存空间、装卸限制及任何其它足以影响投标报价的情况。任何因忽视或误解工地情况而导致的索赔或工期延长申请将不予批准。施工期间服从、配合招标人厂区生产要求。</w:t>
            </w:r>
          </w:p>
          <w:p w14:paraId="7A474FF4">
            <w:pPr>
              <w:pStyle w:val="56"/>
              <w:numPr>
                <w:ilvl w:val="0"/>
                <w:numId w:val="0"/>
              </w:numPr>
              <w:snapToGrid w:val="0"/>
              <w:spacing w:line="240" w:lineRule="auto"/>
              <w:ind w:leftChars="0"/>
              <w:rPr>
                <w:rFonts w:hint="eastAsia" w:ascii="宋体" w:hAnsi="宋体" w:eastAsia="宋体" w:cs="宋体"/>
                <w:sz w:val="21"/>
                <w:szCs w:val="21"/>
              </w:rPr>
            </w:pPr>
          </w:p>
          <w:p w14:paraId="5942DF72">
            <w:pPr>
              <w:pStyle w:val="56"/>
              <w:numPr>
                <w:ilvl w:val="0"/>
                <w:numId w:val="7"/>
              </w:numPr>
              <w:snapToGrid w:val="0"/>
              <w:spacing w:line="240" w:lineRule="auto"/>
              <w:ind w:left="0" w:firstLine="0" w:firstLineChars="0"/>
              <w:rPr>
                <w:rFonts w:hint="eastAsia" w:ascii="宋体" w:hAnsi="宋体" w:eastAsia="宋体" w:cs="宋体"/>
                <w:b/>
                <w:bCs/>
                <w:color w:val="FF0000"/>
                <w:sz w:val="21"/>
                <w:szCs w:val="21"/>
              </w:rPr>
            </w:pPr>
            <w:r>
              <w:rPr>
                <w:rFonts w:hint="eastAsia" w:ascii="宋体" w:hAnsi="宋体" w:eastAsia="宋体" w:cs="宋体"/>
                <w:b/>
                <w:bCs/>
                <w:sz w:val="21"/>
                <w:szCs w:val="21"/>
              </w:rPr>
              <w:t>现场施工要求</w:t>
            </w:r>
          </w:p>
          <w:p w14:paraId="4C0231B1">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投标人投报的项目班子成员必须始终在工地现场管理，不得擅自更换、不得兼职其他项目，否则按合同条款执行。施工过程中如发现另行设立执行项目经理的情况，给予警告或违约金处罚，若仍不整改，视为承包人违约，招标人有权终止协议并要求赔偿损失。</w:t>
            </w:r>
          </w:p>
          <w:p w14:paraId="59C1C4A0">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现场不提供办公区、生活区，施工方自行考虑。</w:t>
            </w:r>
          </w:p>
          <w:p w14:paraId="78E8362B">
            <w:pPr>
              <w:spacing w:line="240" w:lineRule="auto"/>
              <w:ind w:firstLine="420" w:firstLineChars="200"/>
              <w:rPr>
                <w:rFonts w:hint="default" w:ascii="宋体" w:hAnsi="宋体" w:eastAsia="宋体" w:cs="宋体"/>
                <w:b/>
                <w:bCs/>
                <w:color w:val="FF0000"/>
                <w:sz w:val="21"/>
                <w:szCs w:val="21"/>
                <w:highlight w:val="none"/>
                <w:lang w:val="en-US" w:eastAsia="zh-CN"/>
              </w:rPr>
            </w:pPr>
            <w:r>
              <w:rPr>
                <w:rFonts w:hint="eastAsia" w:ascii="宋体" w:hAnsi="宋体" w:eastAsia="宋体" w:cs="宋体"/>
                <w:sz w:val="21"/>
                <w:szCs w:val="21"/>
              </w:rPr>
              <w:sym w:font="Wingdings 2" w:char="0052"/>
            </w:r>
            <w:r>
              <w:rPr>
                <w:rFonts w:hint="eastAsia" w:ascii="宋体" w:hAnsi="宋体" w:eastAsia="宋体" w:cs="宋体"/>
                <w:sz w:val="21"/>
                <w:szCs w:val="21"/>
              </w:rPr>
              <w:t>发包人在施工范围周边指定水电接驳点，由承包人自行敷设至施工区</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并</w:t>
            </w:r>
            <w:r>
              <w:rPr>
                <w:rFonts w:hint="eastAsia" w:ascii="宋体" w:hAnsi="宋体" w:eastAsia="宋体" w:cs="宋体"/>
                <w:sz w:val="21"/>
                <w:szCs w:val="21"/>
              </w:rPr>
              <w:t>自行考虑临时停水、停电的应急预案</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费用已在投标报价中综合考虑，不再另计</w:t>
            </w: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eastAsia="宋体" w:cs="宋体"/>
                <w:b/>
                <w:bCs/>
                <w:color w:val="auto"/>
                <w:sz w:val="21"/>
                <w:szCs w:val="21"/>
                <w:highlight w:val="none"/>
                <w:lang w:val="en-US" w:eastAsia="zh-CN"/>
              </w:rPr>
              <w:t>施工水电费</w:t>
            </w:r>
            <w:r>
              <w:rPr>
                <w:rFonts w:hint="eastAsia" w:ascii="宋体" w:hAnsi="宋体" w:cs="宋体"/>
                <w:b/>
                <w:bCs/>
                <w:color w:val="auto"/>
                <w:sz w:val="21"/>
                <w:szCs w:val="21"/>
                <w:highlight w:val="none"/>
                <w:lang w:val="en-US" w:eastAsia="zh-CN"/>
              </w:rPr>
              <w:t>按工程直接费结算值的0.5‰</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从结算审计中扣除。</w:t>
            </w:r>
          </w:p>
          <w:p w14:paraId="7D4F39AC">
            <w:pPr>
              <w:pStyle w:val="11"/>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施工期间应服从厂区安全文明管理规定，车辆人员进出管理规定（物流运输、施工车辆，必须选用重汽品牌）以及一切厂区管理制度，如人员登记、防疫管理、禁止吸烟、特种作业、动火审批用电审批、登高审批及相关安全环保检查等。</w:t>
            </w:r>
          </w:p>
          <w:p w14:paraId="36D82677">
            <w:pPr>
              <w:widowControl/>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中标人自行负责进场设备材料物资的看护责任，若现场发生的丢失损坏，不得以此向招标人索赔工期和费用。</w:t>
            </w:r>
          </w:p>
          <w:p w14:paraId="0016629D">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中标人自进场施工开始至交接验收前负责施工范围内的成品保护工作，包括自身自己的成品及其它施工单位的成品、半成品等，如发生损坏、更改变化，由中标人负责免费进行恢复原状。尤其是施工区域地下管网工程，须采取成品保护措施，施工前提前告知报备，同时施工前要采取相关技术手段，结合厂区原有管网图纸对施工场地区域的地下管网进行提前探测，地下管线探测清楚后，再进行后续施工，施工过程安排人员旁站监督，施工结束及时与相关方交接见证，严禁野蛮施工。因施工造成地下原有管网破坏需要无条件的进行免费维修，同时承担影响生产带来的相关损失。</w:t>
            </w:r>
          </w:p>
          <w:p w14:paraId="1DFCC58A">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sym w:font="Wingdings 2" w:char="F052"/>
            </w:r>
            <w:r>
              <w:rPr>
                <w:rFonts w:hint="eastAsia" w:ascii="宋体" w:hAnsi="宋体" w:eastAsia="宋体" w:cs="宋体"/>
                <w:sz w:val="21"/>
                <w:szCs w:val="21"/>
              </w:rPr>
              <w:t>施工期间不得以进入冬雨季施工、秋冬季大气污染应急响应（均为可预见因素）、法定节假日等作为工期延误的理由，必须采取施工措施保证施工质量和进度。</w:t>
            </w:r>
          </w:p>
          <w:p w14:paraId="4C2B6468">
            <w:pPr>
              <w:pStyle w:val="39"/>
              <w:spacing w:line="240" w:lineRule="auto"/>
              <w:rPr>
                <w:rFonts w:hint="eastAsia" w:ascii="宋体" w:hAnsi="宋体" w:eastAsia="宋体" w:cs="宋体"/>
                <w:b/>
                <w:bCs/>
                <w:sz w:val="21"/>
                <w:szCs w:val="21"/>
              </w:rPr>
            </w:pPr>
            <w:r>
              <w:rPr>
                <w:rFonts w:hint="eastAsia" w:ascii="宋体" w:hAnsi="宋体" w:eastAsia="宋体" w:cs="宋体"/>
                <w:b/>
                <w:bCs/>
                <w:sz w:val="21"/>
                <w:szCs w:val="21"/>
              </w:rPr>
              <w:sym w:font="Wingdings 2" w:char="0052"/>
            </w:r>
            <w:r>
              <w:rPr>
                <w:rFonts w:hint="eastAsia" w:ascii="宋体" w:hAnsi="宋体" w:eastAsia="宋体" w:cs="宋体"/>
                <w:b/>
                <w:bCs/>
                <w:sz w:val="21"/>
                <w:szCs w:val="21"/>
              </w:rPr>
              <w:t>施工期间必须采取降尘措施，施工区域采用封闭围挡进行封闭施工，与生产交叉时应采取保生产措施，服从厂区生产需要，充分考虑施工机械多次进场，积极采取夜间施工、加班加人等赶工措施。不得以此申请延长工期和增加费用。</w:t>
            </w:r>
            <w:r>
              <w:rPr>
                <w:rFonts w:hint="eastAsia"/>
                <w:b/>
                <w:bCs/>
                <w:highlight w:val="none"/>
                <w:lang w:val="en-US" w:eastAsia="zh-CN"/>
              </w:rPr>
              <w:t>工作日期间必须采取降噪措施，较大噪音施工应避开工作时间，采取夜间施工措施，综合考虑降效因素。</w:t>
            </w:r>
          </w:p>
          <w:p w14:paraId="53CEA6CE">
            <w:pPr>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投标人须认可招标人的工作指令，包括节、假日能正常开展工作的要求。</w:t>
            </w:r>
          </w:p>
          <w:p w14:paraId="4ABEB967">
            <w:pPr>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sym w:font="Wingdings 2" w:char="F052"/>
            </w:r>
            <w:r>
              <w:rPr>
                <w:rFonts w:hint="eastAsia" w:ascii="宋体" w:hAnsi="宋体" w:eastAsia="宋体" w:cs="宋体"/>
                <w:sz w:val="21"/>
                <w:szCs w:val="21"/>
              </w:rPr>
              <w:t>施工期间应严格落实项目所在地的政府安全文明标准、渣土处置标准、扬尘环保、重污染天气应急响应等标准，做到六个百分百，采取湿法作业，冲洗设备、密目网裸土全覆盖，施工结束每日及时恢复，运输期间，中标人负责运输路线上道路的及时清理、冲洗，确保文明卫生。相关费用均包含在安全文明措施费中。承包人负责渣土处置的一切手续办理，投标时综合考虑，相关费用亦包含在投标总报价中。</w:t>
            </w:r>
          </w:p>
          <w:p w14:paraId="7F2D07B6">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现场分区域分段施工、交叉施工、错时施工是必然的，必须服从厂区生产安排、建设方统一指挥，施工降效等费用综合考虑到措施费用中。</w:t>
            </w:r>
          </w:p>
          <w:p w14:paraId="555D4EB3">
            <w:pPr>
              <w:pStyle w:val="25"/>
              <w:snapToGrid w:val="0"/>
              <w:spacing w:after="0" w:line="240" w:lineRule="auto"/>
              <w:ind w:left="0" w:leftChars="0" w:firstLine="420"/>
              <w:jc w:val="both"/>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现场施工人员登高、电工、焊工等作业必须持证上岗，并保证证书在有效期内且在专业允许范围内。</w:t>
            </w:r>
          </w:p>
          <w:p w14:paraId="40FB91AD">
            <w:pPr>
              <w:pStyle w:val="25"/>
              <w:snapToGrid w:val="0"/>
              <w:spacing w:after="0" w:line="240" w:lineRule="auto"/>
              <w:ind w:left="0" w:leftChars="0" w:firstLine="420"/>
              <w:jc w:val="both"/>
              <w:rPr>
                <w:rFonts w:hint="eastAsia" w:ascii="宋体" w:hAnsi="宋体" w:eastAsia="宋体" w:cs="宋体"/>
                <w:sz w:val="21"/>
                <w:szCs w:val="21"/>
              </w:rPr>
            </w:pPr>
            <w:r>
              <w:rPr>
                <w:rFonts w:hint="eastAsia" w:ascii="宋体" w:hAnsi="宋体" w:eastAsia="宋体" w:cs="宋体"/>
                <w:b/>
                <w:bCs/>
                <w:sz w:val="21"/>
                <w:szCs w:val="21"/>
              </w:rPr>
              <w:sym w:font="Wingdings 2" w:char="0052"/>
            </w:r>
            <w:r>
              <w:rPr>
                <w:rFonts w:hint="eastAsia" w:ascii="宋体" w:hAnsi="宋体" w:eastAsia="宋体" w:cs="宋体"/>
                <w:b/>
                <w:bCs/>
                <w:sz w:val="21"/>
                <w:szCs w:val="21"/>
              </w:rPr>
              <w:t>施工期间采取成品保护、防尘遮盖措施并做到每日收工的现场清洁，以及分段、错时施工</w:t>
            </w:r>
            <w:r>
              <w:rPr>
                <w:rFonts w:hint="eastAsia" w:ascii="宋体" w:hAnsi="宋体" w:eastAsia="宋体" w:cs="宋体"/>
                <w:b/>
                <w:bCs/>
                <w:sz w:val="21"/>
                <w:szCs w:val="21"/>
                <w:lang w:val="en-US" w:eastAsia="zh-CN"/>
              </w:rPr>
              <w:t>降效、抢工</w:t>
            </w:r>
            <w:r>
              <w:rPr>
                <w:rFonts w:hint="eastAsia" w:ascii="宋体" w:hAnsi="宋体" w:eastAsia="宋体" w:cs="宋体"/>
                <w:b/>
                <w:bCs/>
                <w:sz w:val="21"/>
                <w:szCs w:val="21"/>
              </w:rPr>
              <w:t>等相关费用已综合考虑。</w:t>
            </w:r>
          </w:p>
          <w:p w14:paraId="1E48F58E">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若承包人施工进度严重滞后且无有效抢工措施，施工进度无明显改善的，经发包人函告后仍未在通知的时间内积极采取有效措施达到现场进度要求的，发包人有权自行委托其他施工单位（第三方）替代施工，而不构成违约，承包人须无条件服从。第三方施工单位施工所发生的费用，由发包人书面认可即视为有效且承包人亦认可，最终由承包人承担，承担方式：承包人直接向第三方支付或由发包人代为支付，在承包人的竣工结算中对成本增加部分（双方价差）予以扣减。</w:t>
            </w:r>
          </w:p>
          <w:p w14:paraId="601CC547">
            <w:pPr>
              <w:widowControl/>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现场开挖产生的土方必须及时清运出厂，回填需要的土方暂存场地需要自行考虑。</w:t>
            </w:r>
          </w:p>
          <w:p w14:paraId="242DE7A6">
            <w:pPr>
              <w:pStyle w:val="1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施工要充分满足厂区安全文明施工要求，考虑施工区域内材料多次倒运。</w:t>
            </w:r>
          </w:p>
          <w:p w14:paraId="3AC7597E">
            <w:pPr>
              <w:pStyle w:val="10"/>
              <w:spacing w:line="240" w:lineRule="auto"/>
              <w:ind w:firstLine="420" w:firstLineChars="200"/>
              <w:rPr>
                <w:rFonts w:hint="eastAsia" w:ascii="宋体" w:hAnsi="宋体" w:cs="宋体"/>
                <w:sz w:val="21"/>
                <w:szCs w:val="21"/>
                <w:lang w:val="en-US" w:eastAsia="zh-CN"/>
              </w:rPr>
            </w:pPr>
            <w:r>
              <w:rPr>
                <w:rFonts w:hint="eastAsia" w:ascii="宋体" w:hAnsi="宋体" w:eastAsia="宋体" w:cs="宋体"/>
                <w:sz w:val="21"/>
                <w:szCs w:val="21"/>
              </w:rPr>
              <w:sym w:font="Wingdings 2" w:char="0052"/>
            </w:r>
            <w:r>
              <w:rPr>
                <w:rFonts w:hint="eastAsia" w:ascii="宋体" w:hAnsi="宋体" w:eastAsia="宋体" w:cs="宋体"/>
                <w:sz w:val="21"/>
                <w:szCs w:val="21"/>
              </w:rPr>
              <w:t>施工</w:t>
            </w:r>
            <w:r>
              <w:rPr>
                <w:rFonts w:hint="eastAsia" w:ascii="宋体" w:hAnsi="宋体" w:cs="宋体"/>
                <w:sz w:val="21"/>
                <w:szCs w:val="21"/>
                <w:lang w:val="en-US" w:eastAsia="zh-CN"/>
              </w:rPr>
              <w:t>过程产生的有价值废旧物资（如钢材等金属材料），运至指定地点交付甲方处置。</w:t>
            </w:r>
          </w:p>
          <w:p w14:paraId="6072A731">
            <w:pPr>
              <w:widowControl/>
              <w:snapToGrid w:val="0"/>
              <w:spacing w:line="276" w:lineRule="auto"/>
              <w:ind w:firstLine="420" w:firstLineChars="200"/>
              <w:rPr>
                <w:rFonts w:hint="eastAsia" w:ascii="宋体" w:hAnsi="宋体" w:cs="宋体"/>
                <w:szCs w:val="21"/>
              </w:rPr>
            </w:pPr>
            <w:r>
              <w:rPr>
                <w:rFonts w:hint="eastAsia" w:ascii="宋体" w:hAnsi="宋体" w:eastAsia="宋体" w:cs="宋体"/>
                <w:sz w:val="21"/>
                <w:szCs w:val="21"/>
              </w:rPr>
              <w:sym w:font="Wingdings 2" w:char="0052"/>
            </w:r>
            <w:r>
              <w:rPr>
                <w:rFonts w:hint="eastAsia" w:ascii="宋体" w:hAnsi="宋体" w:cs="宋体"/>
                <w:szCs w:val="21"/>
              </w:rPr>
              <w:t>所有施工人员，进出场物料、车辆、机具等统一在科技大厦园区东二门进出，进出所有施工车辆须为重汽品牌</w:t>
            </w:r>
            <w:r>
              <w:rPr>
                <w:rFonts w:hint="eastAsia" w:ascii="宋体" w:hAnsi="宋体" w:cs="宋体"/>
                <w:szCs w:val="21"/>
                <w:lang w:eastAsia="zh-CN"/>
              </w:rPr>
              <w:t>。</w:t>
            </w:r>
            <w:r>
              <w:rPr>
                <w:rFonts w:hint="eastAsia" w:ascii="宋体" w:hAnsi="宋体" w:cs="宋体"/>
                <w:szCs w:val="21"/>
              </w:rPr>
              <w:t>进入园区施工及管理人员要求穿着统一马甲，佩戴施工胸牌，做好管理、施工人员信息录入后进场施工。</w:t>
            </w:r>
          </w:p>
          <w:p w14:paraId="24557FEB">
            <w:pPr>
              <w:widowControl/>
              <w:snapToGrid w:val="0"/>
              <w:spacing w:line="276" w:lineRule="auto"/>
              <w:ind w:firstLine="420" w:firstLineChars="200"/>
              <w:rPr>
                <w:rFonts w:hint="eastAsia" w:ascii="宋体" w:hAnsi="宋体" w:cs="宋体"/>
                <w:szCs w:val="21"/>
              </w:rPr>
            </w:pPr>
            <w:r>
              <w:rPr>
                <w:rFonts w:hint="eastAsia" w:ascii="宋体" w:hAnsi="宋体" w:eastAsia="宋体" w:cs="宋体"/>
                <w:sz w:val="21"/>
                <w:szCs w:val="21"/>
              </w:rPr>
              <w:sym w:font="Wingdings 2" w:char="0052"/>
            </w:r>
            <w:r>
              <w:rPr>
                <w:rFonts w:hint="eastAsia" w:ascii="宋体" w:hAnsi="宋体" w:cs="宋体"/>
                <w:szCs w:val="21"/>
              </w:rPr>
              <w:t>施工人员、物料运输</w:t>
            </w:r>
            <w:r>
              <w:rPr>
                <w:rFonts w:hint="eastAsia" w:ascii="宋体" w:hAnsi="宋体" w:cs="宋体"/>
                <w:szCs w:val="21"/>
                <w:lang w:eastAsia="zh-CN"/>
              </w:rPr>
              <w:t>需要使用</w:t>
            </w:r>
            <w:r>
              <w:rPr>
                <w:rFonts w:hint="eastAsia" w:ascii="宋体" w:hAnsi="宋体" w:cs="宋体"/>
                <w:szCs w:val="21"/>
              </w:rPr>
              <w:t>我方电梯</w:t>
            </w:r>
            <w:r>
              <w:rPr>
                <w:rFonts w:hint="eastAsia" w:ascii="宋体" w:hAnsi="宋体" w:cs="宋体"/>
                <w:szCs w:val="21"/>
                <w:lang w:eastAsia="zh-CN"/>
              </w:rPr>
              <w:t>的</w:t>
            </w:r>
            <w:r>
              <w:rPr>
                <w:rFonts w:hint="eastAsia" w:ascii="宋体" w:hAnsi="宋体" w:cs="宋体"/>
                <w:szCs w:val="21"/>
              </w:rPr>
              <w:t>，电梯内由承包人做好电梯硬质防护。施工期间因使用不当、管理不当等所有造成的电梯损坏由承包人负责维修，归还时须经维保单位确认电梯状况，以维保单位意见为准。</w:t>
            </w:r>
          </w:p>
          <w:p w14:paraId="41CB84C8">
            <w:pPr>
              <w:widowControl/>
              <w:snapToGrid w:val="0"/>
              <w:spacing w:line="276" w:lineRule="auto"/>
              <w:ind w:firstLine="420" w:firstLineChars="200"/>
              <w:rPr>
                <w:rFonts w:hint="eastAsia" w:ascii="宋体" w:hAnsi="宋体" w:cs="宋体"/>
                <w:szCs w:val="21"/>
              </w:rPr>
            </w:pPr>
            <w:r>
              <w:rPr>
                <w:rFonts w:hint="eastAsia" w:ascii="宋体" w:hAnsi="宋体" w:eastAsia="宋体" w:cs="宋体"/>
                <w:sz w:val="21"/>
                <w:szCs w:val="21"/>
              </w:rPr>
              <w:sym w:font="Wingdings 2" w:char="0052"/>
            </w:r>
            <w:r>
              <w:rPr>
                <w:rFonts w:hint="eastAsia" w:ascii="宋体" w:hAnsi="宋体" w:cs="宋体"/>
                <w:szCs w:val="21"/>
                <w:lang w:val="en-US" w:eastAsia="zh-CN"/>
              </w:rPr>
              <w:t>园区内</w:t>
            </w:r>
            <w:r>
              <w:rPr>
                <w:rFonts w:hint="eastAsia" w:ascii="宋体" w:hAnsi="宋体" w:cs="宋体"/>
                <w:szCs w:val="21"/>
              </w:rPr>
              <w:t>夜间不得就地住宿，严禁抽烟，发现一人抽烟按5000元/次/人进行经济考核。</w:t>
            </w:r>
          </w:p>
          <w:p w14:paraId="308433C7">
            <w:pPr>
              <w:widowControl/>
              <w:snapToGrid w:val="0"/>
              <w:spacing w:line="276" w:lineRule="auto"/>
              <w:ind w:firstLine="420" w:firstLineChars="200"/>
              <w:rPr>
                <w:rFonts w:hint="eastAsia" w:ascii="宋体" w:hAnsi="宋体" w:cs="宋体"/>
                <w:szCs w:val="21"/>
              </w:rPr>
            </w:pPr>
            <w:r>
              <w:rPr>
                <w:rFonts w:hint="eastAsia" w:ascii="宋体" w:hAnsi="宋体" w:eastAsia="宋体" w:cs="宋体"/>
                <w:sz w:val="21"/>
                <w:szCs w:val="21"/>
              </w:rPr>
              <w:sym w:font="Wingdings 2" w:char="0052"/>
            </w:r>
            <w:r>
              <w:rPr>
                <w:rFonts w:hint="eastAsia" w:ascii="宋体" w:hAnsi="宋体" w:cs="宋体"/>
                <w:szCs w:val="21"/>
              </w:rPr>
              <w:t>所有拆除及废旧物资出门必须报备至集团保卫保障部，并拍照取证、经门岗核验后运离园区外。</w:t>
            </w:r>
          </w:p>
          <w:p w14:paraId="3E9B7F07">
            <w:pPr>
              <w:widowControl/>
              <w:snapToGrid w:val="0"/>
              <w:spacing w:line="276" w:lineRule="auto"/>
              <w:ind w:firstLine="420" w:firstLineChars="200"/>
              <w:rPr>
                <w:rFonts w:hint="eastAsia" w:ascii="宋体" w:hAnsi="宋体" w:cs="宋体"/>
                <w:szCs w:val="21"/>
                <w:lang w:eastAsia="zh-CN"/>
              </w:rPr>
            </w:pPr>
            <w:r>
              <w:rPr>
                <w:rFonts w:hint="eastAsia" w:ascii="宋体" w:hAnsi="宋体" w:eastAsia="宋体" w:cs="宋体"/>
                <w:sz w:val="21"/>
                <w:szCs w:val="21"/>
              </w:rPr>
              <w:sym w:font="Wingdings 2" w:char="0052"/>
            </w:r>
            <w:r>
              <w:rPr>
                <w:rFonts w:hint="eastAsia" w:ascii="宋体" w:hAnsi="宋体" w:cs="宋体"/>
                <w:szCs w:val="21"/>
              </w:rPr>
              <w:t>各施工楼层施工单位应做好消防设施的防护，施工前向消防控制室报备。</w:t>
            </w:r>
            <w:r>
              <w:rPr>
                <w:rFonts w:hint="eastAsia" w:ascii="宋体" w:hAnsi="宋体" w:cs="宋体"/>
                <w:szCs w:val="21"/>
                <w:lang w:val="en-US" w:eastAsia="zh-CN"/>
              </w:rPr>
              <w:t>消防停水期间，需现场配置临时消防设施，确保现场消防安全。</w:t>
            </w:r>
            <w:r>
              <w:rPr>
                <w:rFonts w:hint="eastAsia" w:ascii="宋体" w:hAnsi="宋体" w:cs="宋体"/>
                <w:szCs w:val="21"/>
              </w:rPr>
              <w:t>施工进场时须办理施工手续，签订安全协议并缴纳施工保证金（5000元）</w:t>
            </w:r>
            <w:r>
              <w:rPr>
                <w:rFonts w:hint="eastAsia" w:ascii="宋体" w:hAnsi="宋体" w:cs="宋体"/>
                <w:szCs w:val="21"/>
                <w:lang w:eastAsia="zh-CN"/>
              </w:rPr>
              <w:t>。</w:t>
            </w:r>
          </w:p>
          <w:p w14:paraId="5AE4E2A5">
            <w:pPr>
              <w:pStyle w:val="25"/>
              <w:rPr>
                <w:rFonts w:hint="eastAsia"/>
                <w:lang w:eastAsia="zh-CN"/>
              </w:rPr>
            </w:pPr>
          </w:p>
          <w:p w14:paraId="7BFFA92B">
            <w:pPr>
              <w:pStyle w:val="56"/>
              <w:numPr>
                <w:ilvl w:val="0"/>
                <w:numId w:val="7"/>
              </w:numPr>
              <w:snapToGrid w:val="0"/>
              <w:spacing w:line="240" w:lineRule="auto"/>
              <w:ind w:left="0" w:firstLine="0" w:firstLineChars="0"/>
              <w:rPr>
                <w:rFonts w:hint="eastAsia" w:ascii="宋体" w:hAnsi="宋体" w:eastAsia="宋体" w:cs="宋体"/>
                <w:b/>
                <w:bCs/>
                <w:sz w:val="21"/>
                <w:szCs w:val="21"/>
              </w:rPr>
            </w:pPr>
            <w:r>
              <w:rPr>
                <w:rFonts w:hint="eastAsia" w:ascii="宋体" w:hAnsi="宋体" w:eastAsia="宋体" w:cs="宋体"/>
                <w:b/>
                <w:bCs/>
                <w:sz w:val="21"/>
                <w:szCs w:val="21"/>
              </w:rPr>
              <w:t>商务报价注意内容</w:t>
            </w:r>
          </w:p>
          <w:p w14:paraId="56E475B5">
            <w:pPr>
              <w:spacing w:line="24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sym w:font="Wingdings 2" w:char="0052"/>
            </w:r>
            <w:r>
              <w:rPr>
                <w:rFonts w:hint="eastAsia" w:ascii="宋体" w:hAnsi="宋体" w:eastAsia="宋体" w:cs="宋体"/>
                <w:b/>
                <w:bCs/>
                <w:sz w:val="21"/>
                <w:szCs w:val="21"/>
              </w:rPr>
              <w:t>本工程不设暂列金。</w:t>
            </w:r>
          </w:p>
          <w:p w14:paraId="23562EB1">
            <w:pPr>
              <w:snapToGrid w:val="0"/>
              <w:spacing w:line="24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sym w:font="Wingdings 2" w:char="0052"/>
            </w:r>
            <w:r>
              <w:rPr>
                <w:rFonts w:hint="eastAsia" w:ascii="宋体" w:hAnsi="宋体" w:eastAsia="宋体" w:cs="宋体"/>
                <w:b/>
                <w:bCs/>
                <w:sz w:val="21"/>
                <w:szCs w:val="21"/>
              </w:rPr>
              <w:t>本次招标无甲供材料设备，所有材料设备均包含在投标单位报价范围之内。</w:t>
            </w:r>
          </w:p>
          <w:p w14:paraId="550E42DC">
            <w:pPr>
              <w:pStyle w:val="21"/>
              <w:spacing w:line="240" w:lineRule="auto"/>
              <w:ind w:left="0" w:leftChars="0" w:firstLine="422" w:firstLineChars="200"/>
              <w:rPr>
                <w:rFonts w:hint="eastAsia" w:ascii="宋体" w:hAnsi="宋体" w:eastAsia="宋体" w:cs="宋体"/>
                <w:b/>
                <w:bCs/>
                <w:kern w:val="2"/>
                <w:sz w:val="21"/>
                <w:szCs w:val="21"/>
                <w:highlight w:val="yellow"/>
                <w:lang w:val="en-US" w:eastAsia="zh-CN" w:bidi="ar-SA"/>
              </w:rPr>
            </w:pPr>
            <w:r>
              <w:rPr>
                <w:rFonts w:hint="eastAsia" w:ascii="宋体" w:hAnsi="宋体" w:eastAsia="宋体" w:cs="宋体"/>
                <w:b/>
                <w:bCs/>
                <w:sz w:val="21"/>
                <w:szCs w:val="21"/>
                <w:highlight w:val="yellow"/>
              </w:rPr>
              <w:sym w:font="Wingdings 2" w:char="0052"/>
            </w:r>
            <w:r>
              <w:rPr>
                <w:rFonts w:hint="eastAsia" w:ascii="宋体" w:hAnsi="宋体" w:eastAsia="宋体" w:cs="宋体"/>
                <w:b/>
                <w:bCs/>
                <w:kern w:val="2"/>
                <w:sz w:val="21"/>
                <w:szCs w:val="21"/>
                <w:highlight w:val="yellow"/>
                <w:lang w:val="en-US" w:eastAsia="zh-CN" w:bidi="ar-SA"/>
              </w:rPr>
              <w:t>最高投标限价（招标控制价）：人民币</w:t>
            </w:r>
            <w:r>
              <w:rPr>
                <w:rFonts w:hint="eastAsia" w:ascii="宋体" w:hAnsi="宋体" w:cs="宋体"/>
                <w:b/>
                <w:bCs/>
                <w:kern w:val="2"/>
                <w:sz w:val="21"/>
                <w:szCs w:val="21"/>
                <w:highlight w:val="yellow"/>
                <w:lang w:val="en-US" w:eastAsia="zh-CN" w:bidi="ar-SA"/>
              </w:rPr>
              <w:t>21.8</w:t>
            </w:r>
            <w:r>
              <w:rPr>
                <w:rFonts w:hint="eastAsia" w:ascii="宋体" w:hAnsi="宋体" w:eastAsia="宋体" w:cs="宋体"/>
                <w:b/>
                <w:bCs/>
                <w:kern w:val="2"/>
                <w:sz w:val="21"/>
                <w:szCs w:val="21"/>
                <w:highlight w:val="yellow"/>
                <w:lang w:val="en-US" w:eastAsia="zh-CN" w:bidi="ar-SA"/>
              </w:rPr>
              <w:t>万元（含9%增值税）。</w:t>
            </w:r>
          </w:p>
          <w:p w14:paraId="47E3F742">
            <w:pPr>
              <w:rPr>
                <w:rFonts w:hint="eastAsia"/>
              </w:rPr>
            </w:pPr>
          </w:p>
          <w:p w14:paraId="7A5F99D3">
            <w:pPr>
              <w:pStyle w:val="56"/>
              <w:numPr>
                <w:ilvl w:val="0"/>
                <w:numId w:val="7"/>
              </w:numPr>
              <w:snapToGrid w:val="0"/>
              <w:spacing w:line="240" w:lineRule="auto"/>
              <w:ind w:left="0" w:firstLine="0" w:firstLineChars="0"/>
              <w:rPr>
                <w:rFonts w:hint="eastAsia" w:ascii="宋体" w:hAnsi="宋体" w:eastAsia="宋体" w:cs="宋体"/>
                <w:b/>
                <w:bCs/>
                <w:sz w:val="21"/>
                <w:szCs w:val="21"/>
              </w:rPr>
            </w:pPr>
            <w:r>
              <w:rPr>
                <w:rFonts w:hint="eastAsia" w:ascii="宋体" w:hAnsi="宋体" w:eastAsia="宋体" w:cs="宋体"/>
                <w:b/>
                <w:bCs/>
                <w:sz w:val="21"/>
                <w:szCs w:val="21"/>
              </w:rPr>
              <w:t>合同付款条件</w:t>
            </w:r>
          </w:p>
          <w:p w14:paraId="2E5C5C3D">
            <w:pPr>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付款方式：半年期商业汇票（包含银行承兑汇票和商业承兑汇票）。</w:t>
            </w:r>
          </w:p>
          <w:p w14:paraId="110998F6">
            <w:pPr>
              <w:snapToGrid w:val="0"/>
              <w:spacing w:line="240" w:lineRule="auto"/>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工程款支付按月形象进度报表，经监理工程师、发包人审核后次月付至工程月形象进度造价的75%。累计进度款最高付至合同签约价的75%；完成工程竣工资料移交、竣工结算申报且竣工验收合格后付至已完成形象进度产值的80%，且最高付至合同签约价80%；竣工结算审计完毕经双方签字认可后付款至工程结算款的97%，结算款的3%作为质量保修金。工程竣工验收合格之日起两年且无质量问题，且经工程使用单位或发包人签署质量保修金支付证明后，无息返还质量保修金。</w:t>
            </w:r>
          </w:p>
          <w:p w14:paraId="41BA4A53">
            <w:pPr>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发包人所有款项的支付均需承包人持当批付款金额一致的符合国家要求的增值税专用发票、收据、授权委托书、经办人身份证明原件及复印件等其他发包人财务制度要求的资料办理。</w:t>
            </w:r>
          </w:p>
          <w:p w14:paraId="27C8DCC4">
            <w:pPr>
              <w:snapToGrid w:val="0"/>
              <w:spacing w:line="240" w:lineRule="auto"/>
              <w:ind w:firstLine="420" w:firstLineChars="200"/>
              <w:rPr>
                <w:rFonts w:hint="eastAsia" w:ascii="宋体" w:hAnsi="宋体" w:eastAsia="宋体" w:cs="宋体"/>
                <w:sz w:val="21"/>
                <w:szCs w:val="21"/>
              </w:rPr>
            </w:pPr>
          </w:p>
          <w:p w14:paraId="29F88A4B">
            <w:pPr>
              <w:pStyle w:val="56"/>
              <w:numPr>
                <w:ilvl w:val="0"/>
                <w:numId w:val="7"/>
              </w:numPr>
              <w:snapToGrid w:val="0"/>
              <w:spacing w:line="240" w:lineRule="auto"/>
              <w:ind w:left="0" w:firstLine="0" w:firstLineChars="0"/>
              <w:rPr>
                <w:rFonts w:hint="eastAsia" w:ascii="宋体" w:hAnsi="宋体" w:eastAsia="宋体" w:cs="宋体"/>
                <w:b/>
                <w:bCs/>
                <w:sz w:val="21"/>
                <w:szCs w:val="21"/>
              </w:rPr>
            </w:pPr>
            <w:r>
              <w:rPr>
                <w:rFonts w:hint="eastAsia" w:ascii="宋体" w:hAnsi="宋体" w:eastAsia="宋体" w:cs="宋体"/>
                <w:b/>
                <w:bCs/>
                <w:sz w:val="21"/>
                <w:szCs w:val="21"/>
              </w:rPr>
              <w:t>其他</w:t>
            </w:r>
          </w:p>
          <w:p w14:paraId="33C41CD6">
            <w:pPr>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中标人应严格落实项目所在地的最新农民工工资保证金管理规定，建筑工程项目农民工实名制和工资专用账户管理制度，负责按规定及时全额缴纳，并负责将进度款中的人工费及时转账至农民工工资专用账户中，确保账户金额充足。同时杜绝层层分包，转包行为，确保工资及时发放到劳务工人本人手中，并负责及时办理工伤保险。否则视为严重违约，除承担违约责任外，对造成的一切后果和责任自行承担。若本项目中标人发生农民工欠薪，产生政府投诉、堵门、阻挠施工等事件的，每发生一起，除妥善及时处理、消除影响外还有承担违约责任，视情节严重情况给予1万-5万元/次考核。</w:t>
            </w:r>
          </w:p>
          <w:p w14:paraId="5DFBCA1D">
            <w:pPr>
              <w:snapToGrid w:val="0"/>
              <w:spacing w:line="24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sym w:font="Wingdings 2" w:char="0052"/>
            </w:r>
            <w:r>
              <w:rPr>
                <w:rFonts w:hint="eastAsia" w:ascii="宋体" w:hAnsi="宋体" w:eastAsia="宋体" w:cs="宋体"/>
                <w:b/>
                <w:bCs/>
                <w:sz w:val="21"/>
                <w:szCs w:val="21"/>
              </w:rPr>
              <w:t>项目施工所有（不含甲供材料设备、甲分包部分）试验检测费用均已综合考虑并包含在承包人投标总价中。根据《建设工程质量检测管理办法》第二十一条及《山东省住房和城乡建设厅关于压实建设单位工程质量首要责任的实施办法》，非建设单位委托的检测机构出具的检测报告不得作为工程质量验收资料。乙购材料设备的见证取样送检及施工专项检测（如焊缝探伤等），由发包人委托具有相应资质的第三方检测单位进行检测。若所发生的检测费用由发包人按检测委托合同支付的，在竣工结算时按实际发生检测总费用予以扣除。若所发生的检测费由发包人委托人直接垫付的，由承包人支付给发包人委托人。</w:t>
            </w:r>
          </w:p>
          <w:p w14:paraId="2C425D78">
            <w:pPr>
              <w:snapToGrid w:val="0"/>
              <w:spacing w:line="276" w:lineRule="auto"/>
              <w:ind w:firstLine="422" w:firstLineChars="200"/>
              <w:rPr>
                <w:rFonts w:hint="eastAsia"/>
                <w:b/>
                <w:bCs/>
              </w:rPr>
            </w:pPr>
            <w:r>
              <w:rPr>
                <w:rFonts w:hint="eastAsia"/>
                <w:b/>
                <w:bCs/>
              </w:rPr>
              <w:sym w:font="Wingdings 2" w:char="0052"/>
            </w:r>
            <w:r>
              <w:rPr>
                <w:rFonts w:hint="eastAsia"/>
                <w:b/>
                <w:bCs/>
              </w:rPr>
              <w:t>承包人申请工程款支付时需按发包人要求同步完善工程技术及质量控制资料，因资料不完善影响工程款支付的，不得以此为由影响施工进度。</w:t>
            </w:r>
          </w:p>
          <w:p w14:paraId="45276C25">
            <w:pPr>
              <w:snapToGrid w:val="0"/>
              <w:spacing w:line="240" w:lineRule="auto"/>
              <w:ind w:firstLine="422" w:firstLineChars="200"/>
              <w:rPr>
                <w:rFonts w:hint="eastAsia" w:ascii="宋体" w:hAnsi="宋体" w:eastAsia="宋体" w:cs="宋体"/>
                <w:b/>
                <w:bCs/>
                <w:sz w:val="21"/>
                <w:szCs w:val="21"/>
                <w:lang w:eastAsia="zh-CN"/>
              </w:rPr>
            </w:pPr>
            <w:r>
              <w:rPr>
                <w:rFonts w:hint="eastAsia"/>
                <w:b/>
                <w:bCs/>
              </w:rPr>
              <w:sym w:font="Wingdings 2" w:char="0052"/>
            </w:r>
            <w:r>
              <w:rPr>
                <w:rFonts w:hint="eastAsia" w:ascii="宋体" w:hAnsi="宋体" w:eastAsia="宋体" w:cs="宋体"/>
                <w:b/>
                <w:bCs/>
                <w:sz w:val="21"/>
                <w:szCs w:val="21"/>
              </w:rPr>
              <w:t>工程结算审计，由发包人委托造价咨询单位审计或自行审计，基本审计费由发包人支付。对审减额超过5%的部分，按审减额的5%计取审计费，由承包人支付</w:t>
            </w:r>
            <w:r>
              <w:rPr>
                <w:rFonts w:hint="eastAsia" w:ascii="宋体" w:hAnsi="宋体" w:cs="宋体"/>
                <w:b/>
                <w:bCs/>
                <w:sz w:val="21"/>
                <w:szCs w:val="21"/>
                <w:lang w:eastAsia="zh-CN"/>
              </w:rPr>
              <w:t>；</w:t>
            </w:r>
            <w:r>
              <w:rPr>
                <w:rFonts w:hint="eastAsia" w:ascii="宋体" w:hAnsi="宋体" w:eastAsia="宋体" w:cs="宋体"/>
                <w:b/>
                <w:bCs/>
                <w:sz w:val="21"/>
                <w:szCs w:val="21"/>
              </w:rPr>
              <w:t>审增部分按实际审增额的5%计取审计费，由承包人支付。承包人应支付的审计费，由发包人在工程款中代扣代缴或者由承包人直接支付</w:t>
            </w:r>
            <w:r>
              <w:rPr>
                <w:rFonts w:hint="eastAsia" w:ascii="宋体" w:hAnsi="宋体" w:cs="宋体"/>
                <w:b/>
                <w:bCs/>
                <w:sz w:val="21"/>
                <w:szCs w:val="21"/>
                <w:lang w:eastAsia="zh-CN"/>
              </w:rPr>
              <w:t>。</w:t>
            </w:r>
          </w:p>
          <w:p w14:paraId="4D61CA90">
            <w:pPr>
              <w:snapToGrid w:val="0"/>
              <w:spacing w:line="240" w:lineRule="auto"/>
              <w:ind w:firstLine="422" w:firstLineChars="200"/>
              <w:rPr>
                <w:rFonts w:hint="eastAsia" w:ascii="宋体" w:hAnsi="宋体" w:eastAsia="宋体" w:cs="宋体"/>
                <w:b/>
                <w:bCs/>
                <w:sz w:val="21"/>
                <w:szCs w:val="21"/>
              </w:rPr>
            </w:pPr>
          </w:p>
          <w:p w14:paraId="6BC9EA70">
            <w:pPr>
              <w:pStyle w:val="56"/>
              <w:numPr>
                <w:ilvl w:val="0"/>
                <w:numId w:val="7"/>
              </w:numPr>
              <w:snapToGrid w:val="0"/>
              <w:spacing w:line="240" w:lineRule="auto"/>
              <w:ind w:left="0" w:firstLine="0" w:firstLineChars="0"/>
              <w:rPr>
                <w:rFonts w:hint="eastAsia" w:ascii="宋体" w:hAnsi="宋体" w:eastAsia="宋体" w:cs="宋体"/>
                <w:b/>
                <w:bCs/>
                <w:sz w:val="21"/>
                <w:szCs w:val="21"/>
              </w:rPr>
            </w:pPr>
            <w:r>
              <w:rPr>
                <w:rFonts w:hint="eastAsia" w:ascii="宋体" w:hAnsi="宋体" w:eastAsia="宋体" w:cs="宋体"/>
                <w:b/>
                <w:bCs/>
                <w:sz w:val="21"/>
                <w:szCs w:val="21"/>
              </w:rPr>
              <w:t>开标进场注意事项</w:t>
            </w:r>
          </w:p>
          <w:p w14:paraId="04C4E720">
            <w:pPr>
              <w:snapToGrid w:val="0"/>
              <w:spacing w:line="240" w:lineRule="auto"/>
              <w:ind w:firstLine="420" w:firstLineChars="200"/>
              <w:rPr>
                <w:rFonts w:hint="eastAsia" w:ascii="宋体" w:hAnsi="宋体" w:eastAsia="宋体" w:cs="宋体"/>
                <w:b/>
                <w:bCs/>
                <w:sz w:val="21"/>
                <w:szCs w:val="21"/>
              </w:rPr>
            </w:pPr>
            <w:r>
              <w:rPr>
                <w:rFonts w:hint="eastAsia" w:ascii="宋体" w:hAnsi="宋体" w:eastAsia="宋体" w:cs="宋体"/>
                <w:sz w:val="21"/>
                <w:szCs w:val="21"/>
              </w:rPr>
              <w:sym w:font="Wingdings 2" w:char="0052"/>
            </w:r>
            <w:r>
              <w:rPr>
                <w:rFonts w:hint="eastAsia" w:ascii="宋体" w:hAnsi="宋体" w:eastAsia="宋体" w:cs="宋体"/>
                <w:sz w:val="21"/>
                <w:szCs w:val="21"/>
              </w:rPr>
              <w:t>开标当日，投标单位的授权委托人及</w:t>
            </w:r>
            <w:r>
              <w:rPr>
                <w:rFonts w:hint="eastAsia" w:ascii="宋体" w:hAnsi="宋体" w:eastAsia="宋体" w:cs="宋体"/>
                <w:b/>
                <w:bCs/>
                <w:sz w:val="21"/>
                <w:szCs w:val="21"/>
              </w:rPr>
              <w:t>投标项目经理、</w:t>
            </w:r>
            <w:r>
              <w:rPr>
                <w:rFonts w:hint="eastAsia" w:ascii="宋体" w:hAnsi="宋体" w:cs="宋体"/>
                <w:b/>
                <w:bCs/>
                <w:sz w:val="21"/>
                <w:szCs w:val="21"/>
                <w:lang w:val="en-US" w:eastAsia="zh-CN"/>
              </w:rPr>
              <w:t>标书</w:t>
            </w:r>
            <w:r>
              <w:rPr>
                <w:rFonts w:hint="eastAsia" w:ascii="宋体" w:hAnsi="宋体" w:eastAsia="宋体" w:cs="宋体"/>
                <w:b/>
                <w:bCs/>
                <w:sz w:val="21"/>
                <w:szCs w:val="21"/>
              </w:rPr>
              <w:t>编制人员</w:t>
            </w:r>
            <w:r>
              <w:rPr>
                <w:rFonts w:hint="eastAsia" w:ascii="宋体" w:hAnsi="宋体" w:eastAsia="宋体" w:cs="宋体"/>
                <w:sz w:val="21"/>
                <w:szCs w:val="21"/>
              </w:rPr>
              <w:t>必须到场。且所有到场人员必须出具在本单位连续缴纳不低于1年的社保记录和证明，否则不予进入开标现场。</w:t>
            </w:r>
          </w:p>
          <w:p w14:paraId="7C224008">
            <w:pPr>
              <w:pStyle w:val="21"/>
              <w:spacing w:line="240" w:lineRule="auto"/>
              <w:ind w:left="420"/>
              <w:rPr>
                <w:rFonts w:hint="eastAsia" w:ascii="宋体" w:hAnsi="宋体" w:eastAsia="宋体" w:cs="宋体"/>
                <w:sz w:val="21"/>
                <w:szCs w:val="21"/>
              </w:rPr>
            </w:pPr>
          </w:p>
          <w:p w14:paraId="47792A4B">
            <w:pPr>
              <w:spacing w:line="240" w:lineRule="auto"/>
              <w:rPr>
                <w:rFonts w:hint="eastAsia" w:ascii="宋体" w:hAnsi="宋体" w:eastAsia="宋体" w:cs="宋体"/>
                <w:b/>
                <w:bCs/>
                <w:sz w:val="21"/>
                <w:szCs w:val="21"/>
              </w:rPr>
            </w:pPr>
            <w:r>
              <w:rPr>
                <w:rFonts w:hint="eastAsia" w:ascii="宋体" w:hAnsi="宋体" w:eastAsia="宋体" w:cs="宋体"/>
                <w:b/>
                <w:bCs/>
                <w:sz w:val="21"/>
                <w:szCs w:val="21"/>
              </w:rPr>
              <w:t>特别着重提醒：投标时须提交杜绝挂靠、转包承诺函（详见投标函附录-4），函必须经公司法务部门/人员签字及法定代表人签字盖公章。</w:t>
            </w:r>
          </w:p>
          <w:p w14:paraId="4B9DCADE">
            <w:pPr>
              <w:spacing w:line="240" w:lineRule="auto"/>
              <w:rPr>
                <w:rFonts w:hint="eastAsia" w:ascii="宋体" w:hAnsi="宋体" w:eastAsia="宋体" w:cs="宋体"/>
                <w:b/>
                <w:bCs/>
                <w:sz w:val="21"/>
                <w:szCs w:val="21"/>
              </w:rPr>
            </w:pPr>
            <w:r>
              <w:rPr>
                <w:rFonts w:hint="eastAsia" w:ascii="宋体" w:hAnsi="宋体" w:cs="宋体"/>
                <w:b/>
                <w:bCs/>
                <w:sz w:val="21"/>
                <w:szCs w:val="21"/>
                <w:lang w:val="en-US" w:eastAsia="zh-CN"/>
              </w:rPr>
              <w:t xml:space="preserve">   </w:t>
            </w:r>
            <w:r>
              <w:rPr>
                <w:rFonts w:hint="eastAsia" w:ascii="宋体" w:hAnsi="宋体" w:cs="宋体"/>
                <w:b/>
                <w:bCs/>
                <w:color w:val="FF0000"/>
                <w:sz w:val="21"/>
                <w:szCs w:val="21"/>
                <w:lang w:val="en-US" w:eastAsia="zh-CN"/>
              </w:rPr>
              <w:t>成品定制房屋需要进行深化设计，最终经业主审核确认后方可加工，装修外观样式满足业主要求，价格不做调整。房屋加工厂家须通过招标人的考察后确定。</w:t>
            </w:r>
          </w:p>
        </w:tc>
      </w:tr>
    </w:tbl>
    <w:p w14:paraId="6B12CF17">
      <w:pPr>
        <w:pStyle w:val="11"/>
        <w:rPr>
          <w:lang w:bidi="en-US"/>
        </w:rPr>
      </w:pPr>
      <w:bookmarkStart w:id="20" w:name="_Toc28870"/>
      <w:bookmarkStart w:id="21" w:name="_Toc17817323"/>
      <w:bookmarkStart w:id="22" w:name="_Toc16063893"/>
      <w:r>
        <w:rPr>
          <w:lang w:bidi="en-US"/>
        </w:rPr>
        <w:br w:type="page"/>
      </w:r>
    </w:p>
    <w:p w14:paraId="439EC686">
      <w:pPr>
        <w:pStyle w:val="5"/>
        <w:spacing w:before="0" w:after="0" w:line="360" w:lineRule="auto"/>
        <w:jc w:val="center"/>
        <w:rPr>
          <w:sz w:val="30"/>
          <w:szCs w:val="30"/>
        </w:rPr>
      </w:pPr>
      <w:bookmarkStart w:id="23" w:name="_Toc10889"/>
      <w:r>
        <w:rPr>
          <w:sz w:val="30"/>
          <w:szCs w:val="30"/>
        </w:rPr>
        <w:t>1. 总则</w:t>
      </w:r>
      <w:bookmarkEnd w:id="20"/>
      <w:bookmarkEnd w:id="21"/>
      <w:bookmarkEnd w:id="22"/>
      <w:bookmarkEnd w:id="23"/>
    </w:p>
    <w:p w14:paraId="4151A83E">
      <w:pPr>
        <w:pStyle w:val="51"/>
        <w:spacing w:before="0" w:after="0" w:line="360" w:lineRule="auto"/>
        <w:rPr>
          <w:rStyle w:val="47"/>
          <w:rFonts w:ascii="宋体" w:hAnsi="宋体"/>
        </w:rPr>
      </w:pPr>
      <w:r>
        <w:rPr>
          <w:rStyle w:val="47"/>
          <w:rFonts w:ascii="宋体" w:hAnsi="宋体"/>
        </w:rPr>
        <w:t>1.1 项目概况</w:t>
      </w:r>
    </w:p>
    <w:p w14:paraId="1F2B0A2C">
      <w:pPr>
        <w:spacing w:line="360" w:lineRule="auto"/>
        <w:ind w:firstLine="420" w:firstLineChars="200"/>
        <w:rPr>
          <w:rStyle w:val="47"/>
          <w:rFonts w:ascii="宋体" w:hAnsi="宋体"/>
        </w:rPr>
      </w:pPr>
      <w:r>
        <w:rPr>
          <w:rStyle w:val="47"/>
          <w:rFonts w:ascii="宋体" w:hAnsi="宋体"/>
        </w:rPr>
        <w:t>1.1.1根据《中华人民共和国招标投标法》等有关法律、法规和规章的规定，本招标项目已具备招标条件，现对本项目施工进行招标。</w:t>
      </w:r>
    </w:p>
    <w:p w14:paraId="09F55D46">
      <w:pPr>
        <w:spacing w:line="360" w:lineRule="auto"/>
        <w:ind w:firstLine="420" w:firstLineChars="200"/>
        <w:rPr>
          <w:rStyle w:val="47"/>
          <w:rFonts w:ascii="宋体" w:hAnsi="宋体"/>
        </w:rPr>
      </w:pPr>
      <w:r>
        <w:rPr>
          <w:rStyle w:val="47"/>
          <w:rFonts w:ascii="宋体" w:hAnsi="宋体"/>
        </w:rPr>
        <w:t>1.1.2 本招标项目招标人：见投标人须知前附表。</w:t>
      </w:r>
    </w:p>
    <w:p w14:paraId="1F721DE3">
      <w:pPr>
        <w:spacing w:line="360" w:lineRule="auto"/>
        <w:ind w:firstLine="420" w:firstLineChars="200"/>
        <w:rPr>
          <w:rStyle w:val="47"/>
          <w:rFonts w:ascii="宋体" w:hAnsi="宋体"/>
        </w:rPr>
      </w:pPr>
      <w:r>
        <w:rPr>
          <w:rStyle w:val="47"/>
          <w:rFonts w:ascii="宋体" w:hAnsi="宋体"/>
        </w:rPr>
        <w:t>1.1.</w:t>
      </w:r>
      <w:r>
        <w:rPr>
          <w:rStyle w:val="47"/>
          <w:rFonts w:hint="eastAsia" w:ascii="宋体" w:hAnsi="宋体"/>
          <w:lang w:val="en-US" w:eastAsia="zh-CN"/>
        </w:rPr>
        <w:t>3</w:t>
      </w:r>
      <w:r>
        <w:rPr>
          <w:rStyle w:val="47"/>
          <w:rFonts w:ascii="宋体" w:hAnsi="宋体"/>
        </w:rPr>
        <w:t xml:space="preserve"> 本招标项目名称：见投标人须知前附表。</w:t>
      </w:r>
    </w:p>
    <w:p w14:paraId="2A0A3BC2">
      <w:pPr>
        <w:spacing w:line="360" w:lineRule="auto"/>
        <w:ind w:firstLine="420" w:firstLineChars="200"/>
        <w:rPr>
          <w:rStyle w:val="47"/>
          <w:rFonts w:ascii="宋体" w:hAnsi="宋体"/>
        </w:rPr>
      </w:pPr>
      <w:r>
        <w:rPr>
          <w:rStyle w:val="47"/>
          <w:rFonts w:ascii="宋体" w:hAnsi="宋体"/>
        </w:rPr>
        <w:t>1.1.</w:t>
      </w:r>
      <w:r>
        <w:rPr>
          <w:rStyle w:val="47"/>
          <w:rFonts w:hint="eastAsia" w:ascii="宋体" w:hAnsi="宋体"/>
          <w:lang w:val="en-US" w:eastAsia="zh-CN"/>
        </w:rPr>
        <w:t>4</w:t>
      </w:r>
      <w:r>
        <w:rPr>
          <w:rStyle w:val="47"/>
          <w:rFonts w:ascii="宋体" w:hAnsi="宋体"/>
        </w:rPr>
        <w:t xml:space="preserve"> 本招标项目建设规模：见投标人须知前附表。</w:t>
      </w:r>
    </w:p>
    <w:p w14:paraId="44570FC5">
      <w:pPr>
        <w:spacing w:line="360" w:lineRule="auto"/>
        <w:ind w:firstLine="420" w:firstLineChars="200"/>
        <w:rPr>
          <w:rStyle w:val="47"/>
          <w:rFonts w:ascii="宋体" w:hAnsi="宋体"/>
        </w:rPr>
      </w:pPr>
      <w:r>
        <w:rPr>
          <w:rStyle w:val="47"/>
          <w:rFonts w:ascii="宋体" w:hAnsi="宋体"/>
        </w:rPr>
        <w:t>1.1.</w:t>
      </w:r>
      <w:r>
        <w:rPr>
          <w:rStyle w:val="47"/>
          <w:rFonts w:hint="eastAsia" w:ascii="宋体" w:hAnsi="宋体"/>
          <w:lang w:val="en-US" w:eastAsia="zh-CN"/>
        </w:rPr>
        <w:t>5</w:t>
      </w:r>
      <w:r>
        <w:rPr>
          <w:rStyle w:val="47"/>
          <w:rFonts w:ascii="宋体" w:hAnsi="宋体"/>
        </w:rPr>
        <w:t xml:space="preserve"> 本项目建设地点：见投标人须知前附表。</w:t>
      </w:r>
    </w:p>
    <w:p w14:paraId="13406EBC">
      <w:pPr>
        <w:pStyle w:val="51"/>
        <w:spacing w:before="0" w:after="0" w:line="360" w:lineRule="auto"/>
        <w:rPr>
          <w:rStyle w:val="47"/>
          <w:rFonts w:ascii="宋体" w:hAnsi="宋体"/>
          <w:sz w:val="24"/>
        </w:rPr>
      </w:pPr>
      <w:r>
        <w:rPr>
          <w:rStyle w:val="47"/>
          <w:rFonts w:ascii="宋体" w:hAnsi="宋体"/>
          <w:sz w:val="24"/>
        </w:rPr>
        <w:t>1.2 资金来源和落实情况</w:t>
      </w:r>
    </w:p>
    <w:p w14:paraId="5808B715">
      <w:pPr>
        <w:spacing w:line="360" w:lineRule="auto"/>
        <w:ind w:firstLine="420" w:firstLineChars="200"/>
        <w:rPr>
          <w:rStyle w:val="47"/>
          <w:rFonts w:ascii="宋体" w:hAnsi="宋体"/>
        </w:rPr>
      </w:pPr>
      <w:r>
        <w:rPr>
          <w:rStyle w:val="47"/>
          <w:rFonts w:ascii="宋体" w:hAnsi="宋体"/>
        </w:rPr>
        <w:t>1.2.1 本招标项目的资金来源：见投标人须知前附表。</w:t>
      </w:r>
    </w:p>
    <w:p w14:paraId="6A59AF89">
      <w:pPr>
        <w:spacing w:line="360" w:lineRule="auto"/>
        <w:ind w:firstLine="420" w:firstLineChars="200"/>
        <w:rPr>
          <w:rStyle w:val="47"/>
          <w:rFonts w:ascii="宋体" w:hAnsi="宋体"/>
        </w:rPr>
      </w:pPr>
      <w:r>
        <w:rPr>
          <w:rStyle w:val="47"/>
          <w:rFonts w:ascii="宋体" w:hAnsi="宋体"/>
        </w:rPr>
        <w:t>1.2.2 本招标项目的出资比例：见投标人须知前附表。</w:t>
      </w:r>
    </w:p>
    <w:p w14:paraId="35174F1F">
      <w:pPr>
        <w:spacing w:line="360" w:lineRule="auto"/>
        <w:ind w:firstLine="420" w:firstLineChars="200"/>
        <w:rPr>
          <w:rStyle w:val="47"/>
          <w:rFonts w:ascii="宋体" w:hAnsi="宋体"/>
        </w:rPr>
      </w:pPr>
      <w:r>
        <w:rPr>
          <w:rStyle w:val="47"/>
          <w:rFonts w:ascii="宋体" w:hAnsi="宋体"/>
        </w:rPr>
        <w:t>1.2.3 本招标项目的资金落实情况：见投标人须知前附表。</w:t>
      </w:r>
    </w:p>
    <w:p w14:paraId="4889C0E2">
      <w:pPr>
        <w:pStyle w:val="51"/>
        <w:spacing w:before="0" w:after="0" w:line="360" w:lineRule="auto"/>
        <w:rPr>
          <w:rStyle w:val="47"/>
          <w:rFonts w:ascii="宋体" w:hAnsi="宋体"/>
          <w:sz w:val="24"/>
        </w:rPr>
      </w:pPr>
      <w:r>
        <w:rPr>
          <w:rStyle w:val="47"/>
          <w:rFonts w:ascii="宋体" w:hAnsi="宋体"/>
          <w:sz w:val="24"/>
        </w:rPr>
        <w:t>1.3 招标范围、计划工期和质量要求</w:t>
      </w:r>
    </w:p>
    <w:p w14:paraId="7CC91D66">
      <w:pPr>
        <w:spacing w:line="360" w:lineRule="auto"/>
        <w:ind w:firstLine="420" w:firstLineChars="200"/>
        <w:rPr>
          <w:rStyle w:val="47"/>
          <w:rFonts w:ascii="宋体" w:hAnsi="宋体"/>
        </w:rPr>
      </w:pPr>
      <w:r>
        <w:rPr>
          <w:rStyle w:val="47"/>
          <w:rFonts w:ascii="宋体" w:hAnsi="宋体"/>
        </w:rPr>
        <w:t>1.3.1 本次招标范围：见投标人须知前附表。</w:t>
      </w:r>
    </w:p>
    <w:p w14:paraId="1AFDFC5B">
      <w:pPr>
        <w:spacing w:line="360" w:lineRule="auto"/>
        <w:ind w:firstLine="420" w:firstLineChars="200"/>
        <w:rPr>
          <w:rStyle w:val="47"/>
          <w:rFonts w:ascii="宋体" w:hAnsi="宋体"/>
        </w:rPr>
      </w:pPr>
      <w:r>
        <w:rPr>
          <w:rStyle w:val="47"/>
          <w:rFonts w:ascii="宋体" w:hAnsi="宋体"/>
        </w:rPr>
        <w:t>1.3.2 本项目的计划工期：见投标人须知前附表。</w:t>
      </w:r>
    </w:p>
    <w:p w14:paraId="461A490F">
      <w:pPr>
        <w:spacing w:line="360" w:lineRule="auto"/>
        <w:ind w:firstLine="420" w:firstLineChars="200"/>
        <w:rPr>
          <w:rStyle w:val="47"/>
          <w:rFonts w:ascii="宋体" w:hAnsi="宋体"/>
        </w:rPr>
      </w:pPr>
      <w:r>
        <w:rPr>
          <w:rStyle w:val="47"/>
          <w:rFonts w:ascii="宋体" w:hAnsi="宋体"/>
        </w:rPr>
        <w:t>1.3.3 本项目的质量要求：见投标人须知前附表。</w:t>
      </w:r>
    </w:p>
    <w:p w14:paraId="5007663E">
      <w:pPr>
        <w:pStyle w:val="51"/>
        <w:spacing w:before="0" w:after="0" w:line="360" w:lineRule="auto"/>
        <w:rPr>
          <w:rStyle w:val="47"/>
          <w:rFonts w:ascii="宋体" w:hAnsi="宋体"/>
          <w:sz w:val="24"/>
        </w:rPr>
      </w:pPr>
      <w:r>
        <w:rPr>
          <w:rStyle w:val="47"/>
          <w:rFonts w:ascii="宋体" w:hAnsi="宋体"/>
          <w:sz w:val="24"/>
        </w:rPr>
        <w:t>1.4 投标人资格要求</w:t>
      </w:r>
    </w:p>
    <w:p w14:paraId="570EF792">
      <w:pPr>
        <w:spacing w:line="360" w:lineRule="auto"/>
        <w:ind w:firstLine="420" w:firstLineChars="200"/>
        <w:rPr>
          <w:rStyle w:val="47"/>
          <w:rFonts w:ascii="宋体" w:hAnsi="宋体"/>
        </w:rPr>
      </w:pPr>
      <w:r>
        <w:rPr>
          <w:rStyle w:val="47"/>
          <w:rFonts w:ascii="宋体" w:hAnsi="宋体"/>
        </w:rPr>
        <w:t>1.4.1投标人应具备承担本项目施工的资质条件、能力和信誉。</w:t>
      </w:r>
    </w:p>
    <w:p w14:paraId="7546E556">
      <w:pPr>
        <w:spacing w:line="360" w:lineRule="auto"/>
        <w:ind w:firstLine="718" w:firstLineChars="342"/>
        <w:rPr>
          <w:rStyle w:val="47"/>
          <w:rFonts w:ascii="宋体" w:hAnsi="宋体"/>
        </w:rPr>
      </w:pPr>
      <w:r>
        <w:rPr>
          <w:rStyle w:val="47"/>
          <w:rFonts w:ascii="宋体" w:hAnsi="宋体"/>
        </w:rPr>
        <w:t>（1）资质条件：见投标人须知前附表；</w:t>
      </w:r>
    </w:p>
    <w:p w14:paraId="08158DEE">
      <w:pPr>
        <w:spacing w:line="360" w:lineRule="auto"/>
        <w:ind w:firstLine="718" w:firstLineChars="342"/>
        <w:rPr>
          <w:rStyle w:val="47"/>
          <w:rFonts w:ascii="宋体" w:hAnsi="宋体"/>
        </w:rPr>
      </w:pPr>
      <w:r>
        <w:rPr>
          <w:rStyle w:val="47"/>
          <w:rFonts w:ascii="宋体" w:hAnsi="宋体"/>
        </w:rPr>
        <w:t>（2）财务要求：见投标人须知前附表；</w:t>
      </w:r>
    </w:p>
    <w:p w14:paraId="097D684F">
      <w:pPr>
        <w:spacing w:line="360" w:lineRule="auto"/>
        <w:ind w:firstLine="718" w:firstLineChars="342"/>
        <w:rPr>
          <w:rStyle w:val="47"/>
          <w:rFonts w:ascii="宋体" w:hAnsi="宋体"/>
        </w:rPr>
      </w:pPr>
      <w:r>
        <w:rPr>
          <w:rStyle w:val="47"/>
          <w:rFonts w:ascii="宋体" w:hAnsi="宋体"/>
        </w:rPr>
        <w:t>（3）信誉要求：见投标人须知前附表；</w:t>
      </w:r>
    </w:p>
    <w:p w14:paraId="5736E61A">
      <w:pPr>
        <w:spacing w:line="360" w:lineRule="auto"/>
        <w:ind w:firstLine="735" w:firstLineChars="350"/>
        <w:rPr>
          <w:rStyle w:val="47"/>
          <w:rFonts w:ascii="宋体" w:hAnsi="宋体"/>
        </w:rPr>
      </w:pPr>
      <w:r>
        <w:rPr>
          <w:rStyle w:val="47"/>
          <w:rFonts w:ascii="宋体" w:hAnsi="宋体"/>
        </w:rPr>
        <w:t>（4）项目经理资格：见投标人须知前附表；</w:t>
      </w:r>
    </w:p>
    <w:p w14:paraId="444F428A">
      <w:pPr>
        <w:spacing w:line="360" w:lineRule="auto"/>
        <w:ind w:firstLine="735" w:firstLineChars="350"/>
        <w:rPr>
          <w:rStyle w:val="47"/>
          <w:rFonts w:ascii="宋体" w:hAnsi="宋体"/>
        </w:rPr>
      </w:pPr>
      <w:r>
        <w:rPr>
          <w:rStyle w:val="47"/>
          <w:rFonts w:ascii="宋体" w:hAnsi="宋体"/>
        </w:rPr>
        <w:t>（5）其他要求：见投标人须知前附表。</w:t>
      </w:r>
    </w:p>
    <w:p w14:paraId="0D4ACCE7">
      <w:pPr>
        <w:spacing w:line="360" w:lineRule="auto"/>
        <w:rPr>
          <w:rStyle w:val="47"/>
          <w:rFonts w:ascii="宋体" w:hAnsi="宋体"/>
        </w:rPr>
      </w:pPr>
      <w:r>
        <w:rPr>
          <w:rStyle w:val="47"/>
          <w:rFonts w:ascii="宋体" w:hAnsi="宋体"/>
        </w:rPr>
        <w:t xml:space="preserve">    1.4.2 本工程</w:t>
      </w:r>
      <w:r>
        <w:rPr>
          <w:rStyle w:val="47"/>
          <w:rFonts w:hint="eastAsia" w:ascii="宋体" w:hAnsi="宋体"/>
          <w:u w:val="single"/>
        </w:rPr>
        <w:t>不接受</w:t>
      </w:r>
      <w:r>
        <w:rPr>
          <w:rStyle w:val="47"/>
          <w:rFonts w:ascii="宋体" w:hAnsi="宋体"/>
        </w:rPr>
        <w:t>联合体投标；</w:t>
      </w:r>
    </w:p>
    <w:p w14:paraId="14E933CB">
      <w:pPr>
        <w:spacing w:line="360" w:lineRule="auto"/>
        <w:ind w:firstLine="420" w:firstLineChars="200"/>
        <w:rPr>
          <w:rStyle w:val="47"/>
          <w:rFonts w:ascii="宋体" w:hAnsi="宋体"/>
        </w:rPr>
      </w:pPr>
      <w:r>
        <w:rPr>
          <w:rStyle w:val="47"/>
          <w:rFonts w:ascii="宋体" w:hAnsi="宋体"/>
        </w:rPr>
        <w:t>1.4.3 投标人不得存在下列情形之一：</w:t>
      </w:r>
    </w:p>
    <w:p w14:paraId="0AB3CF72">
      <w:pPr>
        <w:spacing w:line="360" w:lineRule="auto"/>
        <w:ind w:firstLine="718" w:firstLineChars="342"/>
        <w:rPr>
          <w:rStyle w:val="47"/>
          <w:rFonts w:ascii="宋体" w:hAnsi="宋体"/>
        </w:rPr>
      </w:pPr>
      <w:r>
        <w:rPr>
          <w:rStyle w:val="47"/>
          <w:rFonts w:ascii="宋体" w:hAnsi="宋体"/>
        </w:rPr>
        <w:t xml:space="preserve">（1）为招标人不具有独立法人资格的附属机构（单位）； </w:t>
      </w:r>
    </w:p>
    <w:p w14:paraId="69ACC53A">
      <w:pPr>
        <w:spacing w:line="360" w:lineRule="auto"/>
        <w:ind w:firstLine="718" w:firstLineChars="342"/>
        <w:rPr>
          <w:rStyle w:val="47"/>
          <w:rFonts w:ascii="宋体" w:hAnsi="宋体"/>
        </w:rPr>
      </w:pPr>
      <w:r>
        <w:rPr>
          <w:rStyle w:val="47"/>
          <w:rFonts w:ascii="宋体" w:hAnsi="宋体"/>
        </w:rPr>
        <w:t xml:space="preserve">（2）为本项目前期准备提供设计或咨询服务的，但设计施工总承包的除外； </w:t>
      </w:r>
    </w:p>
    <w:p w14:paraId="1208C854">
      <w:pPr>
        <w:spacing w:line="360" w:lineRule="auto"/>
        <w:ind w:firstLine="718" w:firstLineChars="342"/>
        <w:rPr>
          <w:rStyle w:val="47"/>
          <w:rFonts w:ascii="宋体" w:hAnsi="宋体"/>
        </w:rPr>
      </w:pPr>
      <w:r>
        <w:rPr>
          <w:rStyle w:val="47"/>
          <w:rFonts w:ascii="宋体" w:hAnsi="宋体"/>
        </w:rPr>
        <w:t>（3）为本项目的监理人；</w:t>
      </w:r>
    </w:p>
    <w:p w14:paraId="5CEECE5F">
      <w:pPr>
        <w:spacing w:line="360" w:lineRule="auto"/>
        <w:ind w:firstLine="718" w:firstLineChars="342"/>
        <w:rPr>
          <w:rStyle w:val="47"/>
          <w:rFonts w:ascii="宋体" w:hAnsi="宋体"/>
        </w:rPr>
      </w:pPr>
      <w:r>
        <w:rPr>
          <w:rStyle w:val="47"/>
          <w:rFonts w:ascii="宋体" w:hAnsi="宋体"/>
        </w:rPr>
        <w:t>（4）为本项目的代建人；</w:t>
      </w:r>
    </w:p>
    <w:p w14:paraId="0FCA13AB">
      <w:pPr>
        <w:spacing w:line="360" w:lineRule="auto"/>
        <w:ind w:firstLine="718" w:firstLineChars="342"/>
        <w:rPr>
          <w:rStyle w:val="47"/>
          <w:rFonts w:ascii="宋体" w:hAnsi="宋体"/>
        </w:rPr>
      </w:pPr>
      <w:r>
        <w:rPr>
          <w:rStyle w:val="47"/>
          <w:rFonts w:ascii="宋体" w:hAnsi="宋体"/>
        </w:rPr>
        <w:t xml:space="preserve">（5）为本项目提供招标代理服务的； </w:t>
      </w:r>
    </w:p>
    <w:p w14:paraId="2FCE1855">
      <w:pPr>
        <w:spacing w:line="360" w:lineRule="auto"/>
        <w:ind w:firstLine="718" w:firstLineChars="342"/>
        <w:rPr>
          <w:rStyle w:val="47"/>
          <w:rFonts w:ascii="宋体" w:hAnsi="宋体"/>
        </w:rPr>
      </w:pPr>
      <w:r>
        <w:rPr>
          <w:rStyle w:val="47"/>
          <w:rFonts w:ascii="宋体" w:hAnsi="宋体"/>
        </w:rPr>
        <w:t>（6）与本项目的监理人或代建人或招标代理机构同为一个法定代表人的；</w:t>
      </w:r>
    </w:p>
    <w:p w14:paraId="2A7414A5">
      <w:pPr>
        <w:spacing w:line="360" w:lineRule="auto"/>
        <w:ind w:firstLine="718" w:firstLineChars="342"/>
        <w:rPr>
          <w:rStyle w:val="47"/>
          <w:rFonts w:ascii="宋体" w:hAnsi="宋体"/>
        </w:rPr>
      </w:pPr>
      <w:r>
        <w:rPr>
          <w:rStyle w:val="47"/>
          <w:rFonts w:ascii="宋体" w:hAnsi="宋体"/>
        </w:rPr>
        <w:t>（7）与本项目的监理人或代建人或招标代理机构相互控股或参股的；</w:t>
      </w:r>
    </w:p>
    <w:p w14:paraId="5CFE835A">
      <w:pPr>
        <w:spacing w:line="360" w:lineRule="auto"/>
        <w:ind w:firstLine="718" w:firstLineChars="342"/>
        <w:rPr>
          <w:rStyle w:val="47"/>
          <w:rFonts w:ascii="宋体" w:hAnsi="宋体"/>
        </w:rPr>
      </w:pPr>
      <w:r>
        <w:rPr>
          <w:rStyle w:val="47"/>
          <w:rFonts w:ascii="宋体" w:hAnsi="宋体"/>
        </w:rPr>
        <w:t>（8）与本项目的监理人或代建人或招标代理机构相互任职或工作的；</w:t>
      </w:r>
    </w:p>
    <w:p w14:paraId="3B48C8DB">
      <w:pPr>
        <w:spacing w:line="360" w:lineRule="auto"/>
        <w:ind w:firstLine="718" w:firstLineChars="342"/>
        <w:rPr>
          <w:rStyle w:val="47"/>
          <w:rFonts w:ascii="宋体" w:hAnsi="宋体"/>
        </w:rPr>
      </w:pPr>
      <w:r>
        <w:rPr>
          <w:rStyle w:val="47"/>
          <w:rFonts w:ascii="宋体" w:hAnsi="宋体"/>
        </w:rPr>
        <w:t xml:space="preserve">（9）被责令停业的； </w:t>
      </w:r>
    </w:p>
    <w:p w14:paraId="7A23737F">
      <w:pPr>
        <w:spacing w:line="360" w:lineRule="auto"/>
        <w:ind w:firstLine="718" w:firstLineChars="342"/>
        <w:rPr>
          <w:rStyle w:val="47"/>
          <w:rFonts w:ascii="宋体" w:hAnsi="宋体"/>
        </w:rPr>
      </w:pPr>
      <w:r>
        <w:rPr>
          <w:rStyle w:val="47"/>
          <w:rFonts w:ascii="宋体" w:hAnsi="宋体"/>
        </w:rPr>
        <w:t xml:space="preserve">（10）被暂停或取消投标资格的； </w:t>
      </w:r>
    </w:p>
    <w:p w14:paraId="4FE40546">
      <w:pPr>
        <w:spacing w:line="360" w:lineRule="auto"/>
        <w:ind w:firstLine="718" w:firstLineChars="342"/>
        <w:rPr>
          <w:rStyle w:val="47"/>
          <w:rFonts w:ascii="宋体" w:hAnsi="宋体"/>
        </w:rPr>
      </w:pPr>
      <w:r>
        <w:rPr>
          <w:rStyle w:val="47"/>
          <w:rFonts w:ascii="宋体" w:hAnsi="宋体"/>
        </w:rPr>
        <w:t>（11）财产被接管或冻结的；</w:t>
      </w:r>
    </w:p>
    <w:p w14:paraId="13620D87">
      <w:pPr>
        <w:spacing w:line="360" w:lineRule="auto"/>
        <w:ind w:firstLine="718" w:firstLineChars="342"/>
        <w:rPr>
          <w:rStyle w:val="47"/>
          <w:rFonts w:ascii="宋体" w:hAnsi="宋体"/>
        </w:rPr>
      </w:pPr>
      <w:r>
        <w:rPr>
          <w:rStyle w:val="47"/>
          <w:rFonts w:ascii="宋体" w:hAnsi="宋体"/>
        </w:rPr>
        <w:t>（12）在最近三年内有骗取中标或严重违约或重大工程质量问题的。</w:t>
      </w:r>
    </w:p>
    <w:p w14:paraId="6F6FCBB2">
      <w:pPr>
        <w:pStyle w:val="51"/>
        <w:spacing w:before="0" w:after="0" w:line="360" w:lineRule="auto"/>
        <w:rPr>
          <w:rStyle w:val="47"/>
          <w:rFonts w:ascii="宋体" w:hAnsi="宋体"/>
          <w:sz w:val="24"/>
        </w:rPr>
      </w:pPr>
      <w:r>
        <w:rPr>
          <w:rStyle w:val="47"/>
          <w:rFonts w:ascii="宋体" w:hAnsi="宋体"/>
          <w:sz w:val="24"/>
        </w:rPr>
        <w:t>1.5 费用承担</w:t>
      </w:r>
    </w:p>
    <w:p w14:paraId="5F62895A">
      <w:pPr>
        <w:spacing w:line="360" w:lineRule="auto"/>
        <w:ind w:firstLine="420" w:firstLineChars="200"/>
        <w:rPr>
          <w:rStyle w:val="47"/>
          <w:rFonts w:ascii="宋体" w:hAnsi="宋体"/>
        </w:rPr>
      </w:pPr>
      <w:r>
        <w:rPr>
          <w:rStyle w:val="47"/>
          <w:rFonts w:ascii="宋体" w:hAnsi="宋体"/>
        </w:rPr>
        <w:t>投标人准备和参加投标活动发生的费用自理。</w:t>
      </w:r>
    </w:p>
    <w:p w14:paraId="5E1452DC">
      <w:pPr>
        <w:pStyle w:val="51"/>
        <w:spacing w:before="0" w:after="0" w:line="360" w:lineRule="auto"/>
        <w:rPr>
          <w:rStyle w:val="47"/>
          <w:rFonts w:ascii="宋体" w:hAnsi="宋体"/>
          <w:sz w:val="24"/>
        </w:rPr>
      </w:pPr>
      <w:r>
        <w:rPr>
          <w:rStyle w:val="47"/>
          <w:rFonts w:ascii="宋体" w:hAnsi="宋体"/>
          <w:sz w:val="24"/>
        </w:rPr>
        <w:t>1.6 保密</w:t>
      </w:r>
    </w:p>
    <w:p w14:paraId="0C75C373">
      <w:pPr>
        <w:spacing w:line="360" w:lineRule="auto"/>
        <w:ind w:firstLine="420" w:firstLineChars="200"/>
        <w:rPr>
          <w:rStyle w:val="47"/>
          <w:rFonts w:ascii="宋体" w:hAnsi="宋体"/>
        </w:rPr>
      </w:pPr>
      <w:r>
        <w:rPr>
          <w:rStyle w:val="47"/>
          <w:rFonts w:ascii="宋体" w:hAnsi="宋体"/>
        </w:rPr>
        <w:t xml:space="preserve">参与招标投标活动的各方应对招标文件和投标文件中的商业和技术等秘密保密，违者应对由此造成的后果承担法律责任。 </w:t>
      </w:r>
    </w:p>
    <w:p w14:paraId="2902F298">
      <w:pPr>
        <w:pStyle w:val="51"/>
        <w:spacing w:before="0" w:after="0" w:line="360" w:lineRule="auto"/>
        <w:rPr>
          <w:rStyle w:val="47"/>
          <w:rFonts w:ascii="宋体" w:hAnsi="宋体"/>
          <w:sz w:val="24"/>
        </w:rPr>
      </w:pPr>
      <w:r>
        <w:rPr>
          <w:rStyle w:val="47"/>
          <w:rFonts w:ascii="宋体" w:hAnsi="宋体"/>
          <w:sz w:val="24"/>
        </w:rPr>
        <w:t>1.7 语言文字</w:t>
      </w:r>
    </w:p>
    <w:p w14:paraId="38C9DDF6">
      <w:pPr>
        <w:spacing w:line="360" w:lineRule="auto"/>
        <w:ind w:firstLine="420" w:firstLineChars="200"/>
        <w:rPr>
          <w:rStyle w:val="47"/>
          <w:rFonts w:ascii="宋体" w:hAnsi="宋体"/>
        </w:rPr>
      </w:pPr>
      <w:r>
        <w:rPr>
          <w:rStyle w:val="47"/>
          <w:rFonts w:ascii="宋体" w:hAnsi="宋体"/>
        </w:rPr>
        <w:t>除专用术语外，与招标投标有关的语言均使用中文。必要时专用术语应附有中文注释。</w:t>
      </w:r>
    </w:p>
    <w:p w14:paraId="193E9D40">
      <w:pPr>
        <w:pStyle w:val="51"/>
        <w:spacing w:before="0" w:after="0" w:line="360" w:lineRule="auto"/>
        <w:rPr>
          <w:rStyle w:val="47"/>
          <w:rFonts w:ascii="宋体" w:hAnsi="宋体"/>
          <w:sz w:val="24"/>
        </w:rPr>
      </w:pPr>
      <w:r>
        <w:rPr>
          <w:rStyle w:val="47"/>
          <w:rFonts w:ascii="宋体" w:hAnsi="宋体"/>
          <w:sz w:val="24"/>
        </w:rPr>
        <w:t>1.8 计量单位</w:t>
      </w:r>
    </w:p>
    <w:p w14:paraId="7756D767">
      <w:pPr>
        <w:spacing w:line="360" w:lineRule="auto"/>
        <w:ind w:firstLine="420" w:firstLineChars="200"/>
        <w:rPr>
          <w:rStyle w:val="47"/>
          <w:rFonts w:ascii="宋体" w:hAnsi="宋体"/>
        </w:rPr>
      </w:pPr>
      <w:r>
        <w:rPr>
          <w:rStyle w:val="47"/>
          <w:rFonts w:ascii="宋体" w:hAnsi="宋体"/>
        </w:rPr>
        <w:t>所有计量均采用中华人民共和国法定计量单位。</w:t>
      </w:r>
    </w:p>
    <w:p w14:paraId="09A5C396">
      <w:pPr>
        <w:pStyle w:val="51"/>
        <w:spacing w:before="0" w:after="0" w:line="360" w:lineRule="auto"/>
        <w:rPr>
          <w:rStyle w:val="47"/>
          <w:rFonts w:ascii="宋体" w:hAnsi="宋体"/>
          <w:sz w:val="24"/>
        </w:rPr>
      </w:pPr>
      <w:r>
        <w:rPr>
          <w:rStyle w:val="47"/>
          <w:rFonts w:ascii="宋体" w:hAnsi="宋体"/>
          <w:sz w:val="24"/>
        </w:rPr>
        <w:t>1.9 踏勘现场</w:t>
      </w:r>
    </w:p>
    <w:p w14:paraId="1A8C50B0">
      <w:pPr>
        <w:spacing w:line="360" w:lineRule="auto"/>
        <w:ind w:firstLine="420" w:firstLineChars="200"/>
        <w:rPr>
          <w:rStyle w:val="47"/>
          <w:rFonts w:ascii="宋体" w:hAnsi="宋体"/>
        </w:rPr>
      </w:pPr>
      <w:r>
        <w:rPr>
          <w:rStyle w:val="47"/>
          <w:rFonts w:ascii="宋体" w:hAnsi="宋体"/>
        </w:rPr>
        <w:t xml:space="preserve">1.9.1 投标人须知前附表规定组织踏勘现场的，招标人按投标人须知前附表规定的时间、地点组织投标人踏勘项目现场。 </w:t>
      </w:r>
    </w:p>
    <w:p w14:paraId="15A69D80">
      <w:pPr>
        <w:spacing w:line="360" w:lineRule="auto"/>
        <w:ind w:firstLine="420" w:firstLineChars="200"/>
        <w:rPr>
          <w:rStyle w:val="47"/>
          <w:rFonts w:ascii="宋体" w:hAnsi="宋体"/>
        </w:rPr>
      </w:pPr>
      <w:r>
        <w:rPr>
          <w:rStyle w:val="47"/>
          <w:rFonts w:ascii="宋体" w:hAnsi="宋体"/>
        </w:rPr>
        <w:t>1.9.2 投标人踏勘现场发生的费用自理。</w:t>
      </w:r>
    </w:p>
    <w:p w14:paraId="7F782361">
      <w:pPr>
        <w:spacing w:line="360" w:lineRule="auto"/>
        <w:ind w:firstLine="420" w:firstLineChars="200"/>
        <w:rPr>
          <w:rStyle w:val="47"/>
          <w:rFonts w:ascii="宋体" w:hAnsi="宋体"/>
        </w:rPr>
      </w:pPr>
      <w:r>
        <w:rPr>
          <w:rStyle w:val="47"/>
          <w:rFonts w:ascii="宋体" w:hAnsi="宋体"/>
        </w:rPr>
        <w:t>1.9.3 除招标人的原因外，投标人自行负责在踏勘现场中所发生的人员伤亡和财产损失。</w:t>
      </w:r>
    </w:p>
    <w:p w14:paraId="0B8321EB">
      <w:pPr>
        <w:spacing w:line="360" w:lineRule="auto"/>
        <w:ind w:firstLine="420" w:firstLineChars="200"/>
        <w:rPr>
          <w:rStyle w:val="47"/>
          <w:rFonts w:ascii="宋体" w:hAnsi="宋体"/>
        </w:rPr>
      </w:pPr>
      <w:r>
        <w:rPr>
          <w:rStyle w:val="47"/>
          <w:rFonts w:ascii="宋体" w:hAnsi="宋体"/>
        </w:rPr>
        <w:t>1.9.4 招标人在踏勘现场中介绍的工程场地和相关的周边环境情况，供投标人在编制投标文件时参考，招标人不对投标人据此作出的判断和决策负责。</w:t>
      </w:r>
    </w:p>
    <w:p w14:paraId="1CDE2D10">
      <w:pPr>
        <w:pStyle w:val="51"/>
        <w:spacing w:before="0" w:after="0" w:line="360" w:lineRule="auto"/>
        <w:rPr>
          <w:rStyle w:val="47"/>
          <w:rFonts w:ascii="宋体" w:hAnsi="宋体"/>
          <w:sz w:val="24"/>
        </w:rPr>
      </w:pPr>
      <w:r>
        <w:rPr>
          <w:rStyle w:val="47"/>
          <w:rFonts w:ascii="宋体" w:hAnsi="宋体"/>
          <w:sz w:val="24"/>
        </w:rPr>
        <w:t>1.10 投标预备会</w:t>
      </w:r>
    </w:p>
    <w:p w14:paraId="661EE159">
      <w:pPr>
        <w:spacing w:line="360" w:lineRule="auto"/>
        <w:ind w:firstLine="567" w:firstLineChars="270"/>
        <w:rPr>
          <w:rStyle w:val="47"/>
          <w:rFonts w:ascii="宋体" w:hAnsi="宋体"/>
        </w:rPr>
      </w:pPr>
      <w:r>
        <w:rPr>
          <w:rStyle w:val="47"/>
          <w:rFonts w:ascii="宋体" w:hAnsi="宋体"/>
        </w:rPr>
        <w:t>按投标人须知前附表规定不召开投标预备会。</w:t>
      </w:r>
    </w:p>
    <w:p w14:paraId="6FEB7E7E">
      <w:pPr>
        <w:pStyle w:val="51"/>
        <w:spacing w:before="0" w:after="0" w:line="360" w:lineRule="auto"/>
        <w:rPr>
          <w:rStyle w:val="47"/>
          <w:rFonts w:ascii="宋体" w:hAnsi="宋体"/>
          <w:sz w:val="24"/>
        </w:rPr>
      </w:pPr>
      <w:r>
        <w:rPr>
          <w:rStyle w:val="47"/>
          <w:rFonts w:ascii="宋体" w:hAnsi="宋体"/>
          <w:sz w:val="24"/>
        </w:rPr>
        <w:t>1.11 工程分包</w:t>
      </w:r>
    </w:p>
    <w:p w14:paraId="45984DE0">
      <w:pPr>
        <w:spacing w:line="360" w:lineRule="auto"/>
        <w:ind w:firstLine="567" w:firstLineChars="270"/>
        <w:rPr>
          <w:rStyle w:val="47"/>
          <w:rFonts w:ascii="宋体" w:hAnsi="宋体"/>
        </w:rPr>
      </w:pPr>
      <w:r>
        <w:rPr>
          <w:rStyle w:val="47"/>
          <w:rFonts w:ascii="宋体" w:hAnsi="宋体"/>
        </w:rPr>
        <w:t>详见投标人须知前附表。</w:t>
      </w:r>
    </w:p>
    <w:p w14:paraId="70B83726">
      <w:pPr>
        <w:pStyle w:val="51"/>
        <w:spacing w:before="0" w:after="0" w:line="360" w:lineRule="auto"/>
        <w:rPr>
          <w:rStyle w:val="47"/>
          <w:rFonts w:ascii="宋体" w:hAnsi="宋体"/>
          <w:sz w:val="24"/>
        </w:rPr>
      </w:pPr>
      <w:r>
        <w:rPr>
          <w:rStyle w:val="47"/>
          <w:rFonts w:ascii="宋体" w:hAnsi="宋体"/>
          <w:sz w:val="24"/>
        </w:rPr>
        <w:t>1.12 偏离</w:t>
      </w:r>
    </w:p>
    <w:p w14:paraId="4DE8D815">
      <w:pPr>
        <w:spacing w:line="360" w:lineRule="auto"/>
        <w:ind w:firstLine="464" w:firstLineChars="221"/>
        <w:rPr>
          <w:rStyle w:val="47"/>
          <w:rFonts w:ascii="宋体" w:hAnsi="宋体"/>
        </w:rPr>
      </w:pPr>
      <w:r>
        <w:rPr>
          <w:rStyle w:val="47"/>
          <w:rFonts w:ascii="宋体" w:hAnsi="宋体"/>
        </w:rPr>
        <w:t>不允许。</w:t>
      </w:r>
    </w:p>
    <w:p w14:paraId="51AF0217">
      <w:pPr>
        <w:pStyle w:val="5"/>
        <w:spacing w:before="0" w:after="0" w:line="360" w:lineRule="auto"/>
        <w:jc w:val="center"/>
        <w:rPr>
          <w:sz w:val="30"/>
          <w:szCs w:val="30"/>
        </w:rPr>
      </w:pPr>
      <w:bookmarkStart w:id="24" w:name="_Toc11696"/>
      <w:bookmarkStart w:id="25" w:name="_Toc9332"/>
      <w:bookmarkStart w:id="26" w:name="_Toc17817324"/>
      <w:bookmarkStart w:id="27" w:name="_Toc16063894"/>
      <w:r>
        <w:rPr>
          <w:sz w:val="30"/>
          <w:szCs w:val="30"/>
        </w:rPr>
        <w:t>2. 招标文件</w:t>
      </w:r>
      <w:bookmarkEnd w:id="24"/>
      <w:bookmarkEnd w:id="25"/>
      <w:bookmarkEnd w:id="26"/>
      <w:bookmarkEnd w:id="27"/>
    </w:p>
    <w:p w14:paraId="02F49928">
      <w:pPr>
        <w:pStyle w:val="51"/>
        <w:spacing w:before="0" w:after="0" w:line="360" w:lineRule="auto"/>
        <w:rPr>
          <w:rStyle w:val="47"/>
          <w:rFonts w:ascii="宋体" w:hAnsi="宋体"/>
          <w:sz w:val="24"/>
        </w:rPr>
      </w:pPr>
      <w:r>
        <w:rPr>
          <w:rStyle w:val="47"/>
          <w:rFonts w:ascii="宋体" w:hAnsi="宋体"/>
          <w:sz w:val="24"/>
        </w:rPr>
        <w:t>2.1 招标文件的组成</w:t>
      </w:r>
    </w:p>
    <w:p w14:paraId="586ABD51">
      <w:pPr>
        <w:spacing w:line="360" w:lineRule="auto"/>
        <w:ind w:firstLine="420" w:firstLineChars="200"/>
        <w:rPr>
          <w:rStyle w:val="47"/>
          <w:rFonts w:ascii="宋体" w:hAnsi="宋体"/>
        </w:rPr>
      </w:pPr>
      <w:r>
        <w:rPr>
          <w:rStyle w:val="47"/>
          <w:rFonts w:ascii="宋体" w:hAnsi="宋体"/>
        </w:rPr>
        <w:t>本招标文件包括：</w:t>
      </w:r>
    </w:p>
    <w:p w14:paraId="11C9FAE7">
      <w:pPr>
        <w:spacing w:line="360" w:lineRule="auto"/>
        <w:ind w:firstLine="359" w:firstLineChars="171"/>
        <w:rPr>
          <w:rStyle w:val="47"/>
          <w:rFonts w:ascii="宋体" w:hAnsi="宋体"/>
        </w:rPr>
      </w:pPr>
      <w:r>
        <w:rPr>
          <w:rStyle w:val="47"/>
          <w:rFonts w:ascii="宋体" w:hAnsi="宋体"/>
        </w:rPr>
        <w:t>（1）</w:t>
      </w:r>
      <w:r>
        <w:rPr>
          <w:rStyle w:val="47"/>
          <w:rFonts w:hint="eastAsia" w:ascii="宋体" w:hAnsi="宋体"/>
        </w:rPr>
        <w:t>招标公告</w:t>
      </w:r>
      <w:r>
        <w:rPr>
          <w:rStyle w:val="47"/>
          <w:rFonts w:ascii="宋体" w:hAnsi="宋体"/>
        </w:rPr>
        <w:t>；</w:t>
      </w:r>
    </w:p>
    <w:p w14:paraId="00F2A4F8">
      <w:pPr>
        <w:spacing w:line="360" w:lineRule="auto"/>
        <w:ind w:firstLine="359" w:firstLineChars="171"/>
        <w:rPr>
          <w:rStyle w:val="47"/>
          <w:rFonts w:ascii="宋体" w:hAnsi="宋体"/>
        </w:rPr>
      </w:pPr>
      <w:r>
        <w:rPr>
          <w:rStyle w:val="47"/>
          <w:rFonts w:ascii="宋体" w:hAnsi="宋体"/>
        </w:rPr>
        <w:t>（2）投标人须知；</w:t>
      </w:r>
    </w:p>
    <w:p w14:paraId="2F006BF2">
      <w:pPr>
        <w:spacing w:line="360" w:lineRule="auto"/>
        <w:ind w:firstLine="359" w:firstLineChars="171"/>
        <w:rPr>
          <w:rStyle w:val="47"/>
          <w:rFonts w:ascii="宋体" w:hAnsi="宋体"/>
        </w:rPr>
      </w:pPr>
      <w:r>
        <w:rPr>
          <w:rStyle w:val="47"/>
          <w:rFonts w:ascii="宋体" w:hAnsi="宋体"/>
        </w:rPr>
        <w:t>（3）评标办法；</w:t>
      </w:r>
    </w:p>
    <w:p w14:paraId="2F0AEFC6">
      <w:pPr>
        <w:spacing w:line="360" w:lineRule="auto"/>
        <w:ind w:firstLine="359" w:firstLineChars="171"/>
        <w:rPr>
          <w:rStyle w:val="47"/>
          <w:rFonts w:ascii="宋体" w:hAnsi="宋体"/>
        </w:rPr>
      </w:pPr>
      <w:r>
        <w:rPr>
          <w:rStyle w:val="47"/>
          <w:rFonts w:ascii="宋体" w:hAnsi="宋体"/>
        </w:rPr>
        <w:t>（4）合同条款及格式；</w:t>
      </w:r>
    </w:p>
    <w:p w14:paraId="5BF6D190">
      <w:pPr>
        <w:spacing w:line="360" w:lineRule="auto"/>
        <w:ind w:firstLine="359" w:firstLineChars="171"/>
        <w:rPr>
          <w:rStyle w:val="47"/>
          <w:rFonts w:ascii="宋体" w:hAnsi="宋体"/>
        </w:rPr>
      </w:pPr>
      <w:r>
        <w:rPr>
          <w:rStyle w:val="47"/>
          <w:rFonts w:ascii="宋体" w:hAnsi="宋体"/>
        </w:rPr>
        <w:t xml:space="preserve">（5）工程量清单； </w:t>
      </w:r>
    </w:p>
    <w:p w14:paraId="5776D296">
      <w:pPr>
        <w:spacing w:line="360" w:lineRule="auto"/>
        <w:ind w:firstLine="359" w:firstLineChars="171"/>
        <w:rPr>
          <w:rStyle w:val="47"/>
          <w:rFonts w:ascii="宋体" w:hAnsi="宋体"/>
        </w:rPr>
      </w:pPr>
      <w:r>
        <w:rPr>
          <w:rStyle w:val="47"/>
          <w:rFonts w:ascii="宋体" w:hAnsi="宋体"/>
        </w:rPr>
        <w:t xml:space="preserve">（6）图纸； </w:t>
      </w:r>
    </w:p>
    <w:p w14:paraId="129D4FA6">
      <w:pPr>
        <w:spacing w:line="360" w:lineRule="auto"/>
        <w:ind w:firstLine="359" w:firstLineChars="171"/>
        <w:rPr>
          <w:rStyle w:val="47"/>
          <w:rFonts w:ascii="宋体" w:hAnsi="宋体"/>
        </w:rPr>
      </w:pPr>
      <w:r>
        <w:rPr>
          <w:rStyle w:val="47"/>
          <w:rFonts w:ascii="宋体" w:hAnsi="宋体"/>
        </w:rPr>
        <w:t xml:space="preserve">（7）技术标准和要求； </w:t>
      </w:r>
    </w:p>
    <w:p w14:paraId="1862F9AA">
      <w:pPr>
        <w:spacing w:line="360" w:lineRule="auto"/>
        <w:ind w:firstLine="359" w:firstLineChars="171"/>
        <w:rPr>
          <w:rStyle w:val="47"/>
          <w:rFonts w:ascii="宋体" w:hAnsi="宋体"/>
        </w:rPr>
      </w:pPr>
      <w:r>
        <w:rPr>
          <w:rStyle w:val="47"/>
          <w:rFonts w:ascii="宋体" w:hAnsi="宋体"/>
        </w:rPr>
        <w:t>（8）投标文件格式；</w:t>
      </w:r>
    </w:p>
    <w:p w14:paraId="0FF25364">
      <w:pPr>
        <w:spacing w:line="360" w:lineRule="auto"/>
        <w:ind w:firstLine="359" w:firstLineChars="171"/>
        <w:rPr>
          <w:rStyle w:val="47"/>
          <w:rFonts w:ascii="宋体" w:hAnsi="宋体"/>
        </w:rPr>
      </w:pPr>
      <w:r>
        <w:rPr>
          <w:rStyle w:val="47"/>
          <w:rFonts w:ascii="宋体" w:hAnsi="宋体"/>
        </w:rPr>
        <w:t>（9）投标人须知前附表规定的其他材料。</w:t>
      </w:r>
    </w:p>
    <w:p w14:paraId="150FA45E">
      <w:pPr>
        <w:spacing w:line="360" w:lineRule="auto"/>
        <w:ind w:firstLine="420" w:firstLineChars="200"/>
        <w:rPr>
          <w:rStyle w:val="47"/>
          <w:rFonts w:ascii="宋体" w:hAnsi="宋体"/>
        </w:rPr>
      </w:pPr>
      <w:r>
        <w:rPr>
          <w:rStyle w:val="47"/>
          <w:rFonts w:ascii="宋体" w:hAnsi="宋体"/>
        </w:rPr>
        <w:t>根据本章</w:t>
      </w:r>
      <w:r>
        <w:rPr>
          <w:rStyle w:val="33"/>
          <w:rFonts w:ascii="宋体" w:hAnsi="宋体"/>
          <w:color w:val="auto"/>
          <w:sz w:val="21"/>
        </w:rPr>
        <w:t>第</w:t>
      </w:r>
      <w:r>
        <w:rPr>
          <w:rStyle w:val="33"/>
          <w:rFonts w:ascii="宋体" w:hAnsi="宋体"/>
          <w:color w:val="auto"/>
          <w:sz w:val="21"/>
          <w:highlight w:val="none"/>
        </w:rPr>
        <w:t>2.2款</w:t>
      </w:r>
      <w:r>
        <w:rPr>
          <w:rStyle w:val="47"/>
          <w:rFonts w:ascii="宋体" w:hAnsi="宋体"/>
          <w:highlight w:val="none"/>
        </w:rPr>
        <w:t>和</w:t>
      </w:r>
      <w:r>
        <w:rPr>
          <w:rStyle w:val="33"/>
          <w:rFonts w:ascii="宋体" w:hAnsi="宋体"/>
          <w:color w:val="auto"/>
          <w:sz w:val="21"/>
          <w:highlight w:val="none"/>
        </w:rPr>
        <w:t>第2.3款</w:t>
      </w:r>
      <w:r>
        <w:rPr>
          <w:rStyle w:val="47"/>
          <w:rFonts w:ascii="宋体" w:hAnsi="宋体"/>
        </w:rPr>
        <w:t>对招标文件所作的澄清、修改，构成招标文件的组成部分。</w:t>
      </w:r>
    </w:p>
    <w:p w14:paraId="6E23DE77">
      <w:pPr>
        <w:pStyle w:val="51"/>
        <w:spacing w:before="0" w:after="0" w:line="360" w:lineRule="auto"/>
        <w:rPr>
          <w:rStyle w:val="47"/>
          <w:rFonts w:ascii="宋体" w:hAnsi="宋体"/>
          <w:sz w:val="24"/>
        </w:rPr>
      </w:pPr>
      <w:r>
        <w:rPr>
          <w:rStyle w:val="47"/>
          <w:rFonts w:ascii="宋体" w:hAnsi="宋体"/>
          <w:sz w:val="24"/>
        </w:rPr>
        <w:t>2.2 招标文件的澄清</w:t>
      </w:r>
    </w:p>
    <w:p w14:paraId="4E99F30B">
      <w:pPr>
        <w:spacing w:line="360" w:lineRule="auto"/>
        <w:ind w:firstLine="420" w:firstLineChars="200"/>
        <w:rPr>
          <w:rStyle w:val="47"/>
          <w:rFonts w:ascii="宋体" w:hAnsi="宋体"/>
        </w:rPr>
      </w:pPr>
      <w:r>
        <w:rPr>
          <w:rStyle w:val="47"/>
          <w:rFonts w:ascii="宋体" w:hAnsi="宋体"/>
        </w:rPr>
        <w:t>2.2.1投标人应仔细阅读和检查招标文件的全部内容。</w:t>
      </w:r>
      <w:r>
        <w:rPr>
          <w:rStyle w:val="47"/>
          <w:rFonts w:ascii="宋体" w:hAnsi="宋体"/>
          <w:szCs w:val="21"/>
        </w:rPr>
        <w:t>如发现缺页或附件不全，应及时向招标人提出，以便补齐。</w:t>
      </w:r>
      <w:r>
        <w:rPr>
          <w:rStyle w:val="47"/>
          <w:rFonts w:ascii="宋体" w:hAnsi="宋体"/>
        </w:rPr>
        <w:t>如有疑问，应在投标人须知前附表规定的时间前以书面形式（包括邮件、传真等可以有形地表现所载内容的形式，下同），要求招标人对招标文件予以澄清。</w:t>
      </w:r>
    </w:p>
    <w:p w14:paraId="7956A21F">
      <w:pPr>
        <w:spacing w:line="360" w:lineRule="auto"/>
        <w:ind w:firstLine="420" w:firstLineChars="200"/>
        <w:rPr>
          <w:rStyle w:val="47"/>
          <w:rFonts w:ascii="宋体" w:hAnsi="宋体"/>
        </w:rPr>
      </w:pPr>
      <w:r>
        <w:rPr>
          <w:rStyle w:val="47"/>
          <w:rFonts w:ascii="宋体" w:hAnsi="宋体"/>
        </w:rPr>
        <w:t>2.2.2 招标文件的澄清将在投标人须知前附表规定的投标截止时间</w:t>
      </w:r>
      <w:r>
        <w:rPr>
          <w:rStyle w:val="47"/>
          <w:rFonts w:hint="eastAsia" w:ascii="宋体" w:hAnsi="宋体"/>
          <w:b/>
          <w:bCs/>
          <w:highlight w:val="none"/>
          <w:lang w:val="en-US" w:eastAsia="zh-CN"/>
        </w:rPr>
        <w:t>3</w:t>
      </w:r>
      <w:r>
        <w:rPr>
          <w:rStyle w:val="47"/>
          <w:rFonts w:ascii="宋体" w:hAnsi="宋体"/>
          <w:b/>
          <w:bCs/>
          <w:highlight w:val="none"/>
        </w:rPr>
        <w:t>天前</w:t>
      </w:r>
      <w:r>
        <w:rPr>
          <w:rStyle w:val="47"/>
          <w:rFonts w:ascii="宋体" w:hAnsi="宋体"/>
        </w:rPr>
        <w:t>以书面形式发给所有购买招标文件的投标人，但不指明澄清问题的来源。如果澄清发出的时间距投标截止时间不足</w:t>
      </w:r>
      <w:r>
        <w:rPr>
          <w:rStyle w:val="47"/>
          <w:rFonts w:hint="eastAsia" w:ascii="宋体" w:hAnsi="宋体"/>
          <w:lang w:val="en-US" w:eastAsia="zh-CN"/>
        </w:rPr>
        <w:t>3</w:t>
      </w:r>
      <w:r>
        <w:rPr>
          <w:rStyle w:val="47"/>
          <w:rFonts w:ascii="宋体" w:hAnsi="宋体"/>
        </w:rPr>
        <w:t>天，相应延长投标截止时间。</w:t>
      </w:r>
    </w:p>
    <w:p w14:paraId="49D7EB7C">
      <w:pPr>
        <w:spacing w:line="360" w:lineRule="auto"/>
        <w:ind w:firstLine="420" w:firstLineChars="200"/>
        <w:rPr>
          <w:rStyle w:val="47"/>
          <w:rFonts w:ascii="宋体" w:hAnsi="宋体"/>
        </w:rPr>
      </w:pPr>
      <w:r>
        <w:rPr>
          <w:rStyle w:val="47"/>
          <w:rFonts w:ascii="宋体" w:hAnsi="宋体"/>
        </w:rPr>
        <w:t>2.2.3 投标人在收到澄清后，应在投标人须知前附表规定的时间内以书面形式通知招标人，确认已收到该澄清。</w:t>
      </w:r>
    </w:p>
    <w:p w14:paraId="7C385753">
      <w:pPr>
        <w:pStyle w:val="51"/>
        <w:spacing w:before="0" w:after="0" w:line="360" w:lineRule="auto"/>
        <w:rPr>
          <w:rStyle w:val="47"/>
          <w:rFonts w:ascii="宋体" w:hAnsi="宋体"/>
          <w:sz w:val="24"/>
        </w:rPr>
      </w:pPr>
      <w:r>
        <w:rPr>
          <w:rStyle w:val="47"/>
          <w:rFonts w:ascii="宋体" w:hAnsi="宋体"/>
          <w:sz w:val="24"/>
        </w:rPr>
        <w:t>2.3 招标文件的修改</w:t>
      </w:r>
    </w:p>
    <w:p w14:paraId="0245FA06">
      <w:pPr>
        <w:spacing w:line="360" w:lineRule="auto"/>
        <w:ind w:firstLine="420" w:firstLineChars="200"/>
        <w:rPr>
          <w:rStyle w:val="47"/>
          <w:rFonts w:ascii="宋体" w:hAnsi="宋体"/>
        </w:rPr>
      </w:pPr>
      <w:r>
        <w:rPr>
          <w:rStyle w:val="47"/>
          <w:rFonts w:ascii="宋体" w:hAnsi="宋体"/>
        </w:rPr>
        <w:t>2.3.1 在投标截止时间</w:t>
      </w:r>
      <w:r>
        <w:rPr>
          <w:rStyle w:val="47"/>
          <w:rFonts w:hint="eastAsia" w:ascii="宋体" w:hAnsi="宋体"/>
          <w:lang w:val="en-US" w:eastAsia="zh-CN"/>
        </w:rPr>
        <w:t>3</w:t>
      </w:r>
      <w:r>
        <w:rPr>
          <w:rStyle w:val="47"/>
          <w:rFonts w:ascii="宋体" w:hAnsi="宋体"/>
        </w:rPr>
        <w:t>天前，招标人可以书面形式修改招标文件，并通知所有已购买招标文件的投标人。如果修改招标文件的时间距投标截止时间不足</w:t>
      </w:r>
      <w:r>
        <w:rPr>
          <w:rStyle w:val="47"/>
          <w:rFonts w:hint="eastAsia" w:ascii="宋体" w:hAnsi="宋体"/>
          <w:lang w:val="en-US" w:eastAsia="zh-CN"/>
        </w:rPr>
        <w:t>3</w:t>
      </w:r>
      <w:r>
        <w:rPr>
          <w:rStyle w:val="47"/>
          <w:rFonts w:ascii="宋体" w:hAnsi="宋体"/>
        </w:rPr>
        <w:t xml:space="preserve">天，相应延长投标截止时间。 </w:t>
      </w:r>
    </w:p>
    <w:p w14:paraId="6F0DE08C">
      <w:pPr>
        <w:spacing w:line="360" w:lineRule="auto"/>
        <w:ind w:firstLine="420" w:firstLineChars="200"/>
        <w:rPr>
          <w:rStyle w:val="47"/>
          <w:rFonts w:ascii="宋体" w:hAnsi="宋体"/>
        </w:rPr>
      </w:pPr>
      <w:r>
        <w:rPr>
          <w:rStyle w:val="47"/>
          <w:rFonts w:ascii="宋体" w:hAnsi="宋体"/>
        </w:rPr>
        <w:t>2.3.2 投标人收到修改内容后，应在投标人须知前附表规定的时间内以书面形式通知招标人，确认已收到该修改。</w:t>
      </w:r>
    </w:p>
    <w:p w14:paraId="5E37DA18">
      <w:pPr>
        <w:pStyle w:val="5"/>
        <w:spacing w:before="0" w:after="0" w:line="360" w:lineRule="auto"/>
        <w:jc w:val="center"/>
        <w:rPr>
          <w:sz w:val="30"/>
          <w:szCs w:val="30"/>
        </w:rPr>
      </w:pPr>
      <w:bookmarkStart w:id="28" w:name="_Toc16063895"/>
      <w:bookmarkStart w:id="29" w:name="_Toc29348"/>
      <w:bookmarkStart w:id="30" w:name="_Toc24274"/>
      <w:bookmarkStart w:id="31" w:name="_Toc17817325"/>
      <w:r>
        <w:rPr>
          <w:sz w:val="30"/>
          <w:szCs w:val="30"/>
        </w:rPr>
        <w:t xml:space="preserve">3. </w:t>
      </w:r>
      <w:r>
        <w:rPr>
          <w:sz w:val="30"/>
          <w:szCs w:val="30"/>
          <w:highlight w:val="yellow"/>
        </w:rPr>
        <w:t>投标文件</w:t>
      </w:r>
      <w:bookmarkEnd w:id="28"/>
      <w:bookmarkEnd w:id="29"/>
      <w:bookmarkEnd w:id="30"/>
      <w:bookmarkEnd w:id="31"/>
    </w:p>
    <w:p w14:paraId="7E82D5AE">
      <w:pPr>
        <w:pStyle w:val="51"/>
        <w:spacing w:before="0" w:after="0" w:line="360" w:lineRule="auto"/>
        <w:rPr>
          <w:rStyle w:val="47"/>
          <w:rFonts w:ascii="宋体" w:hAnsi="宋体"/>
          <w:sz w:val="24"/>
        </w:rPr>
      </w:pPr>
      <w:r>
        <w:rPr>
          <w:rStyle w:val="47"/>
          <w:rFonts w:ascii="宋体" w:hAnsi="宋体"/>
          <w:sz w:val="24"/>
        </w:rPr>
        <w:t>3.1 投标文件的组成</w:t>
      </w:r>
    </w:p>
    <w:p w14:paraId="35D1369D">
      <w:pPr>
        <w:spacing w:line="360" w:lineRule="auto"/>
        <w:ind w:firstLine="465"/>
        <w:rPr>
          <w:rStyle w:val="47"/>
          <w:rFonts w:ascii="宋体" w:hAnsi="宋体"/>
        </w:rPr>
      </w:pPr>
      <w:r>
        <w:rPr>
          <w:rStyle w:val="47"/>
          <w:rFonts w:ascii="宋体" w:hAnsi="宋体"/>
        </w:rPr>
        <w:t>3.1.1投标文件应包括下列内容：</w:t>
      </w:r>
    </w:p>
    <w:p w14:paraId="2B281618">
      <w:pPr>
        <w:pStyle w:val="56"/>
        <w:numPr>
          <w:ilvl w:val="0"/>
          <w:numId w:val="8"/>
        </w:numPr>
        <w:spacing w:line="360" w:lineRule="auto"/>
        <w:ind w:firstLineChars="0"/>
        <w:rPr>
          <w:rStyle w:val="47"/>
          <w:rFonts w:ascii="宋体" w:hAnsi="宋体"/>
        </w:rPr>
      </w:pPr>
      <w:r>
        <w:rPr>
          <w:rStyle w:val="47"/>
          <w:rFonts w:ascii="宋体" w:hAnsi="宋体"/>
        </w:rPr>
        <w:t>投标函及投标函附录</w:t>
      </w:r>
    </w:p>
    <w:p w14:paraId="27E5ECEB">
      <w:pPr>
        <w:pStyle w:val="56"/>
        <w:numPr>
          <w:ilvl w:val="0"/>
          <w:numId w:val="8"/>
        </w:numPr>
        <w:spacing w:line="360" w:lineRule="auto"/>
        <w:ind w:firstLineChars="0"/>
        <w:rPr>
          <w:rStyle w:val="47"/>
          <w:rFonts w:ascii="宋体" w:hAnsi="宋体"/>
        </w:rPr>
      </w:pPr>
      <w:r>
        <w:rPr>
          <w:rStyle w:val="47"/>
          <w:rFonts w:ascii="宋体" w:hAnsi="宋体"/>
        </w:rPr>
        <w:t>法定代表人身份证明或附有法定代表人身份证明的授权委托书</w:t>
      </w:r>
    </w:p>
    <w:p w14:paraId="7A51E6C2">
      <w:pPr>
        <w:pStyle w:val="56"/>
        <w:numPr>
          <w:ilvl w:val="0"/>
          <w:numId w:val="8"/>
        </w:numPr>
        <w:spacing w:line="360" w:lineRule="auto"/>
        <w:ind w:firstLineChars="0"/>
        <w:rPr>
          <w:rStyle w:val="47"/>
          <w:rFonts w:ascii="宋体" w:hAnsi="宋体"/>
        </w:rPr>
      </w:pPr>
      <w:r>
        <w:rPr>
          <w:rStyle w:val="47"/>
          <w:rFonts w:ascii="宋体" w:hAnsi="宋体"/>
          <w:szCs w:val="21"/>
        </w:rPr>
        <w:t>授权委托书</w:t>
      </w:r>
    </w:p>
    <w:p w14:paraId="1CBDAF63">
      <w:pPr>
        <w:pStyle w:val="56"/>
        <w:numPr>
          <w:ilvl w:val="0"/>
          <w:numId w:val="8"/>
        </w:numPr>
        <w:spacing w:line="360" w:lineRule="auto"/>
        <w:ind w:firstLineChars="0"/>
        <w:rPr>
          <w:rStyle w:val="47"/>
          <w:rFonts w:ascii="宋体" w:hAnsi="宋体"/>
        </w:rPr>
      </w:pPr>
      <w:r>
        <w:rPr>
          <w:rStyle w:val="47"/>
          <w:rFonts w:ascii="宋体" w:hAnsi="宋体"/>
        </w:rPr>
        <w:t>投标保证金</w:t>
      </w:r>
    </w:p>
    <w:p w14:paraId="29D2B9AC">
      <w:pPr>
        <w:pStyle w:val="56"/>
        <w:numPr>
          <w:ilvl w:val="0"/>
          <w:numId w:val="8"/>
        </w:numPr>
        <w:spacing w:line="360" w:lineRule="auto"/>
        <w:ind w:firstLineChars="0"/>
        <w:rPr>
          <w:rStyle w:val="47"/>
          <w:rFonts w:ascii="宋体" w:hAnsi="宋体"/>
        </w:rPr>
      </w:pPr>
      <w:r>
        <w:rPr>
          <w:rStyle w:val="47"/>
          <w:rFonts w:ascii="宋体" w:hAnsi="宋体"/>
        </w:rPr>
        <w:t>商务报价（含已标价工程量清单）</w:t>
      </w:r>
    </w:p>
    <w:p w14:paraId="0B6E51A9">
      <w:pPr>
        <w:pStyle w:val="56"/>
        <w:numPr>
          <w:ilvl w:val="0"/>
          <w:numId w:val="8"/>
        </w:numPr>
        <w:spacing w:line="360" w:lineRule="auto"/>
        <w:ind w:firstLineChars="0"/>
        <w:rPr>
          <w:rStyle w:val="47"/>
          <w:rFonts w:ascii="宋体" w:hAnsi="宋体"/>
        </w:rPr>
      </w:pPr>
      <w:bookmarkStart w:id="32" w:name="_Toc22048063"/>
      <w:r>
        <w:rPr>
          <w:rStyle w:val="47"/>
          <w:rFonts w:ascii="宋体" w:hAnsi="宋体"/>
        </w:rPr>
        <w:t>施工组织设计</w:t>
      </w:r>
      <w:bookmarkEnd w:id="32"/>
    </w:p>
    <w:p w14:paraId="56AEE1F1">
      <w:pPr>
        <w:pStyle w:val="56"/>
        <w:numPr>
          <w:ilvl w:val="0"/>
          <w:numId w:val="8"/>
        </w:numPr>
        <w:spacing w:line="360" w:lineRule="auto"/>
        <w:ind w:firstLineChars="0"/>
        <w:rPr>
          <w:rStyle w:val="47"/>
          <w:rFonts w:ascii="宋体" w:hAnsi="宋体"/>
        </w:rPr>
      </w:pPr>
      <w:r>
        <w:rPr>
          <w:rStyle w:val="47"/>
          <w:rFonts w:ascii="宋体" w:hAnsi="宋体"/>
        </w:rPr>
        <w:t>项目管理机构</w:t>
      </w:r>
    </w:p>
    <w:p w14:paraId="7E8C4466">
      <w:pPr>
        <w:pStyle w:val="56"/>
        <w:numPr>
          <w:ilvl w:val="0"/>
          <w:numId w:val="8"/>
        </w:numPr>
        <w:spacing w:line="360" w:lineRule="auto"/>
        <w:ind w:firstLineChars="0"/>
        <w:rPr>
          <w:rFonts w:ascii="宋体" w:hAnsi="宋体"/>
        </w:rPr>
      </w:pPr>
      <w:r>
        <w:rPr>
          <w:rStyle w:val="47"/>
          <w:rFonts w:ascii="宋体" w:hAnsi="宋体"/>
          <w:szCs w:val="22"/>
        </w:rPr>
        <w:t>投标人须知</w:t>
      </w:r>
      <w:r>
        <w:rPr>
          <w:rStyle w:val="47"/>
          <w:rFonts w:ascii="宋体" w:hAnsi="宋体"/>
        </w:rPr>
        <w:t>前附表规定的其他材料</w:t>
      </w:r>
    </w:p>
    <w:p w14:paraId="76326566">
      <w:pPr>
        <w:numPr>
          <w:ilvl w:val="0"/>
          <w:numId w:val="8"/>
        </w:numPr>
        <w:spacing w:line="360" w:lineRule="auto"/>
        <w:rPr>
          <w:rFonts w:ascii="宋体" w:hAnsi="宋体"/>
        </w:rPr>
      </w:pPr>
      <w:r>
        <w:rPr>
          <w:rStyle w:val="47"/>
          <w:rFonts w:ascii="宋体" w:hAnsi="宋体"/>
          <w:highlight w:val="none"/>
        </w:rPr>
        <w:t>资格审查文件</w:t>
      </w:r>
      <w:r>
        <w:rPr>
          <w:rStyle w:val="47"/>
          <w:rFonts w:hint="eastAsia" w:ascii="宋体" w:hAnsi="宋体"/>
          <w:highlight w:val="none"/>
          <w:lang w:eastAsia="zh-CN"/>
        </w:rPr>
        <w:t>（</w:t>
      </w:r>
      <w:r>
        <w:rPr>
          <w:rStyle w:val="47"/>
          <w:rFonts w:hint="eastAsia" w:ascii="宋体" w:hAnsi="宋体"/>
          <w:highlight w:val="none"/>
          <w:lang w:val="en-US" w:eastAsia="zh-CN"/>
        </w:rPr>
        <w:t>见第九章，不需要提供纸质标书</w:t>
      </w:r>
      <w:r>
        <w:rPr>
          <w:rStyle w:val="47"/>
          <w:rFonts w:hint="eastAsia" w:ascii="宋体" w:hAnsi="宋体"/>
          <w:highlight w:val="none"/>
          <w:lang w:eastAsia="zh-CN"/>
        </w:rPr>
        <w:t>）</w:t>
      </w:r>
      <w:r>
        <w:rPr>
          <w:rStyle w:val="47"/>
          <w:rFonts w:ascii="宋体" w:hAnsi="宋体"/>
        </w:rPr>
        <w:t>。</w:t>
      </w:r>
    </w:p>
    <w:p w14:paraId="3541F6C7">
      <w:pPr>
        <w:spacing w:line="360" w:lineRule="auto"/>
        <w:ind w:firstLine="359" w:firstLineChars="171"/>
        <w:rPr>
          <w:rStyle w:val="47"/>
          <w:rFonts w:ascii="宋体" w:hAnsi="宋体"/>
        </w:rPr>
      </w:pPr>
      <w:r>
        <w:rPr>
          <w:rStyle w:val="47"/>
          <w:rFonts w:ascii="宋体" w:hAnsi="宋体"/>
        </w:rPr>
        <w:t xml:space="preserve">3.1.2 投标人须知前附表规定不接受联合体投标的，或投标人没有组成联合体的，投标文件不包括联合体协议书。 </w:t>
      </w:r>
    </w:p>
    <w:p w14:paraId="5ABA2C12">
      <w:pPr>
        <w:pStyle w:val="51"/>
        <w:spacing w:before="0" w:after="0" w:line="360" w:lineRule="auto"/>
        <w:rPr>
          <w:rStyle w:val="47"/>
          <w:rFonts w:ascii="宋体" w:hAnsi="宋体"/>
          <w:sz w:val="24"/>
        </w:rPr>
      </w:pPr>
      <w:r>
        <w:rPr>
          <w:rStyle w:val="47"/>
          <w:rFonts w:ascii="宋体" w:hAnsi="宋体"/>
          <w:sz w:val="24"/>
        </w:rPr>
        <w:t>3.2 投标报价</w:t>
      </w:r>
    </w:p>
    <w:p w14:paraId="2FEDD859">
      <w:pPr>
        <w:spacing w:line="360" w:lineRule="auto"/>
        <w:ind w:firstLine="420" w:firstLineChars="200"/>
        <w:rPr>
          <w:rStyle w:val="47"/>
          <w:rFonts w:ascii="宋体" w:hAnsi="宋体"/>
        </w:rPr>
      </w:pPr>
      <w:r>
        <w:rPr>
          <w:rStyle w:val="47"/>
          <w:rFonts w:ascii="宋体" w:hAnsi="宋体"/>
        </w:rPr>
        <w:t>3.2.1 投标人应按</w:t>
      </w:r>
      <w:r>
        <w:rPr>
          <w:rStyle w:val="33"/>
          <w:rFonts w:ascii="宋体" w:hAnsi="宋体"/>
          <w:color w:val="auto"/>
          <w:sz w:val="21"/>
        </w:rPr>
        <w:t>第五章“工程量清单”</w:t>
      </w:r>
      <w:r>
        <w:rPr>
          <w:rStyle w:val="47"/>
          <w:rFonts w:ascii="宋体" w:hAnsi="宋体"/>
        </w:rPr>
        <w:t>的要求填写相应表格。</w:t>
      </w:r>
    </w:p>
    <w:p w14:paraId="3F6623FC">
      <w:pPr>
        <w:spacing w:line="360" w:lineRule="auto"/>
        <w:ind w:firstLine="420" w:firstLineChars="200"/>
        <w:rPr>
          <w:rStyle w:val="47"/>
          <w:rFonts w:ascii="宋体" w:hAnsi="宋体"/>
        </w:rPr>
      </w:pPr>
      <w:r>
        <w:rPr>
          <w:rStyle w:val="47"/>
          <w:rFonts w:ascii="宋体" w:hAnsi="宋体"/>
        </w:rPr>
        <w:t>3.2.2 投标人在投标截止时间前修改投标函中的投标总报价，应同时修改</w:t>
      </w:r>
      <w:r>
        <w:rPr>
          <w:rStyle w:val="33"/>
          <w:rFonts w:ascii="宋体" w:hAnsi="宋体"/>
          <w:color w:val="auto"/>
          <w:sz w:val="21"/>
        </w:rPr>
        <w:t>第五章“工程量清单”</w:t>
      </w:r>
      <w:r>
        <w:rPr>
          <w:rStyle w:val="47"/>
          <w:rFonts w:ascii="宋体" w:hAnsi="宋体"/>
        </w:rPr>
        <w:t>中的相应报价。此修改须符合本章</w:t>
      </w:r>
      <w:r>
        <w:rPr>
          <w:rStyle w:val="33"/>
          <w:rFonts w:ascii="宋体" w:hAnsi="宋体"/>
          <w:color w:val="auto"/>
          <w:sz w:val="21"/>
        </w:rPr>
        <w:t>第4.3款</w:t>
      </w:r>
      <w:r>
        <w:rPr>
          <w:rStyle w:val="47"/>
          <w:rFonts w:ascii="宋体" w:hAnsi="宋体"/>
        </w:rPr>
        <w:t>的有关要求。</w:t>
      </w:r>
    </w:p>
    <w:p w14:paraId="1BD5E139">
      <w:pPr>
        <w:pStyle w:val="51"/>
        <w:spacing w:before="0" w:after="0" w:line="360" w:lineRule="auto"/>
        <w:rPr>
          <w:rStyle w:val="47"/>
          <w:rFonts w:ascii="宋体" w:hAnsi="宋体"/>
          <w:sz w:val="24"/>
        </w:rPr>
      </w:pPr>
      <w:r>
        <w:rPr>
          <w:rStyle w:val="47"/>
          <w:rFonts w:ascii="宋体" w:hAnsi="宋体"/>
          <w:sz w:val="24"/>
        </w:rPr>
        <w:t>3.3 投标有效期</w:t>
      </w:r>
    </w:p>
    <w:p w14:paraId="6BFE567F">
      <w:pPr>
        <w:spacing w:line="360" w:lineRule="auto"/>
        <w:ind w:firstLine="420" w:firstLineChars="200"/>
        <w:rPr>
          <w:rStyle w:val="47"/>
          <w:rFonts w:ascii="宋体" w:hAnsi="宋体"/>
        </w:rPr>
      </w:pPr>
      <w:r>
        <w:rPr>
          <w:rStyle w:val="47"/>
          <w:rFonts w:ascii="宋体" w:hAnsi="宋体"/>
        </w:rPr>
        <w:t>3.3.1 在投标人须知前附表规定的投标有效期内，投标人不得要求撤销或修改其投标文件。</w:t>
      </w:r>
    </w:p>
    <w:p w14:paraId="0994A36C">
      <w:pPr>
        <w:spacing w:line="360" w:lineRule="auto"/>
        <w:ind w:firstLine="420" w:firstLineChars="200"/>
        <w:rPr>
          <w:rStyle w:val="47"/>
          <w:rFonts w:ascii="宋体" w:hAnsi="宋体"/>
        </w:rPr>
      </w:pPr>
      <w:r>
        <w:rPr>
          <w:rStyle w:val="47"/>
          <w:rFonts w:ascii="宋体" w:hAnsi="宋体"/>
        </w:rPr>
        <w:t>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56807F85">
      <w:pPr>
        <w:pStyle w:val="51"/>
        <w:spacing w:before="0" w:after="0" w:line="360" w:lineRule="auto"/>
        <w:rPr>
          <w:rStyle w:val="47"/>
          <w:rFonts w:ascii="宋体" w:hAnsi="宋体"/>
          <w:sz w:val="24"/>
        </w:rPr>
      </w:pPr>
      <w:r>
        <w:rPr>
          <w:rStyle w:val="47"/>
          <w:rFonts w:ascii="宋体" w:hAnsi="宋体"/>
          <w:sz w:val="24"/>
        </w:rPr>
        <w:t>3.4 投标保证金</w:t>
      </w:r>
    </w:p>
    <w:p w14:paraId="2670CEE5">
      <w:pPr>
        <w:spacing w:line="360" w:lineRule="auto"/>
        <w:ind w:firstLine="420" w:firstLineChars="200"/>
        <w:rPr>
          <w:rStyle w:val="47"/>
          <w:rFonts w:ascii="宋体" w:hAnsi="宋体"/>
        </w:rPr>
      </w:pPr>
      <w:r>
        <w:rPr>
          <w:rStyle w:val="47"/>
          <w:rFonts w:ascii="宋体" w:hAnsi="宋体"/>
        </w:rPr>
        <w:t>3.4.1 投标人在递交投标文件的同时，应按投标人须知前附表规定的金额和形式递交投标保证金，并作为其投标文件的组成部分。</w:t>
      </w:r>
      <w:r>
        <w:rPr>
          <w:rStyle w:val="47"/>
          <w:rFonts w:ascii="宋体" w:hAnsi="宋体"/>
          <w:strike w:val="0"/>
          <w:dstrike w:val="0"/>
        </w:rPr>
        <w:t>联合体投标的，其投标保证金由牵头人递交，并应符合投标人须知前附表的规定。</w:t>
      </w:r>
    </w:p>
    <w:p w14:paraId="7436E562">
      <w:pPr>
        <w:spacing w:line="360" w:lineRule="auto"/>
        <w:ind w:firstLine="420" w:firstLineChars="200"/>
        <w:rPr>
          <w:rStyle w:val="47"/>
          <w:rFonts w:ascii="宋体" w:hAnsi="宋体"/>
        </w:rPr>
      </w:pPr>
      <w:r>
        <w:rPr>
          <w:rStyle w:val="47"/>
          <w:rFonts w:ascii="宋体" w:hAnsi="宋体"/>
        </w:rPr>
        <w:t>3.4.2 投标人不按本章第3.4.1项要求提交投标保证金的，其投标文件作废标处理。</w:t>
      </w:r>
    </w:p>
    <w:p w14:paraId="1C58D030">
      <w:pPr>
        <w:spacing w:line="360" w:lineRule="auto"/>
        <w:ind w:firstLine="420" w:firstLineChars="200"/>
        <w:rPr>
          <w:rStyle w:val="47"/>
          <w:rFonts w:ascii="宋体" w:hAnsi="宋体"/>
          <w:shd w:val="pct10" w:color="auto" w:fill="FFFFFF"/>
        </w:rPr>
      </w:pPr>
      <w:r>
        <w:rPr>
          <w:rStyle w:val="47"/>
          <w:rFonts w:ascii="宋体" w:hAnsi="宋体"/>
        </w:rPr>
        <w:t>3.4.3未中标的投标人投标保证金将在中标通知书发出后</w:t>
      </w:r>
      <w:r>
        <w:rPr>
          <w:rStyle w:val="47"/>
          <w:rFonts w:hint="eastAsia" w:ascii="宋体" w:hAnsi="宋体"/>
        </w:rPr>
        <w:t>60</w:t>
      </w:r>
      <w:r>
        <w:rPr>
          <w:rStyle w:val="47"/>
          <w:rFonts w:ascii="宋体" w:hAnsi="宋体"/>
        </w:rPr>
        <w:t>日内予以</w:t>
      </w:r>
      <w:r>
        <w:rPr>
          <w:rStyle w:val="47"/>
          <w:rFonts w:hint="eastAsia" w:ascii="宋体" w:hAnsi="宋体"/>
        </w:rPr>
        <w:t>无息</w:t>
      </w:r>
      <w:r>
        <w:rPr>
          <w:rStyle w:val="47"/>
          <w:rFonts w:ascii="宋体" w:hAnsi="宋体"/>
        </w:rPr>
        <w:t>退还。中标人的投标保证金将在招标人与中标人签订施工合同后</w:t>
      </w:r>
      <w:r>
        <w:rPr>
          <w:rStyle w:val="47"/>
          <w:rFonts w:hint="eastAsia" w:ascii="宋体" w:hAnsi="宋体"/>
        </w:rPr>
        <w:t>60</w:t>
      </w:r>
      <w:r>
        <w:rPr>
          <w:rStyle w:val="47"/>
          <w:rFonts w:ascii="宋体" w:hAnsi="宋体"/>
        </w:rPr>
        <w:t>日内予以</w:t>
      </w:r>
      <w:r>
        <w:rPr>
          <w:rStyle w:val="47"/>
          <w:rFonts w:hint="eastAsia" w:ascii="宋体" w:hAnsi="宋体"/>
        </w:rPr>
        <w:t>无息</w:t>
      </w:r>
      <w:r>
        <w:rPr>
          <w:rStyle w:val="47"/>
          <w:rFonts w:ascii="宋体" w:hAnsi="宋体"/>
        </w:rPr>
        <w:t>退还</w:t>
      </w:r>
      <w:r>
        <w:rPr>
          <w:rStyle w:val="47"/>
          <w:rFonts w:hint="eastAsia" w:ascii="宋体" w:hAnsi="宋体"/>
        </w:rPr>
        <w:t>，转为履约保证金待具备退还条件后予以无息退还</w:t>
      </w:r>
      <w:r>
        <w:rPr>
          <w:rStyle w:val="47"/>
          <w:rFonts w:ascii="宋体" w:hAnsi="宋体"/>
        </w:rPr>
        <w:t>。</w:t>
      </w:r>
    </w:p>
    <w:p w14:paraId="693F0833">
      <w:pPr>
        <w:spacing w:line="360" w:lineRule="auto"/>
        <w:ind w:firstLine="420" w:firstLineChars="200"/>
        <w:rPr>
          <w:rStyle w:val="47"/>
          <w:rFonts w:ascii="宋体" w:hAnsi="宋体"/>
        </w:rPr>
      </w:pPr>
      <w:r>
        <w:rPr>
          <w:rStyle w:val="47"/>
          <w:rFonts w:ascii="宋体" w:hAnsi="宋体"/>
        </w:rPr>
        <w:t xml:space="preserve">3.4.4 有下列情形之一的，投标保证金将不予退还： </w:t>
      </w:r>
    </w:p>
    <w:p w14:paraId="2D073F0F">
      <w:pPr>
        <w:pStyle w:val="56"/>
        <w:numPr>
          <w:ilvl w:val="0"/>
          <w:numId w:val="9"/>
        </w:numPr>
        <w:spacing w:line="360" w:lineRule="auto"/>
        <w:ind w:left="0" w:firstLine="420"/>
        <w:rPr>
          <w:rFonts w:ascii="宋体" w:hAnsi="宋体"/>
        </w:rPr>
      </w:pPr>
      <w:r>
        <w:rPr>
          <w:rFonts w:ascii="宋体" w:hAnsi="宋体"/>
        </w:rPr>
        <w:t>投标人在规定的投标有效期内撤销或修改其投标文件</w:t>
      </w:r>
      <w:r>
        <w:rPr>
          <w:rFonts w:hint="eastAsia" w:ascii="宋体" w:hAnsi="宋体"/>
        </w:rPr>
        <w:t>的</w:t>
      </w:r>
      <w:r>
        <w:rPr>
          <w:rFonts w:ascii="宋体" w:hAnsi="宋体"/>
        </w:rPr>
        <w:t>；</w:t>
      </w:r>
    </w:p>
    <w:p w14:paraId="4D021A8F">
      <w:pPr>
        <w:pStyle w:val="56"/>
        <w:numPr>
          <w:ilvl w:val="0"/>
          <w:numId w:val="9"/>
        </w:numPr>
        <w:spacing w:line="360" w:lineRule="auto"/>
        <w:ind w:left="0" w:firstLine="420"/>
        <w:rPr>
          <w:rFonts w:hint="eastAsia"/>
        </w:rPr>
      </w:pPr>
      <w:r>
        <w:rPr>
          <w:rFonts w:hint="eastAsia"/>
        </w:rPr>
        <w:t>投标人在响应文件中提供虚假材料的；</w:t>
      </w:r>
    </w:p>
    <w:p w14:paraId="25702053">
      <w:pPr>
        <w:pStyle w:val="56"/>
        <w:numPr>
          <w:ilvl w:val="0"/>
          <w:numId w:val="9"/>
        </w:numPr>
        <w:spacing w:line="360" w:lineRule="auto"/>
        <w:ind w:left="0" w:firstLine="420"/>
        <w:rPr>
          <w:rFonts w:hint="eastAsia"/>
        </w:rPr>
      </w:pPr>
      <w:r>
        <w:rPr>
          <w:rFonts w:hint="eastAsia"/>
        </w:rPr>
        <w:t>投标人在投标过程中被查实有串标、围标、陪标等违规违纪行为的；</w:t>
      </w:r>
    </w:p>
    <w:p w14:paraId="1262B06A">
      <w:pPr>
        <w:pStyle w:val="56"/>
        <w:numPr>
          <w:ilvl w:val="0"/>
          <w:numId w:val="9"/>
        </w:numPr>
        <w:spacing w:line="360" w:lineRule="auto"/>
        <w:ind w:left="0" w:firstLine="420"/>
        <w:rPr>
          <w:rFonts w:ascii="宋体" w:hAnsi="宋体"/>
        </w:rPr>
      </w:pPr>
      <w:r>
        <w:rPr>
          <w:rFonts w:hint="eastAsia" w:ascii="宋体" w:hAnsi="宋体"/>
        </w:rPr>
        <w:t>投标人与招标人、其他投标人或者采购代理机构恶意串通、围标、陪标的；</w:t>
      </w:r>
    </w:p>
    <w:p w14:paraId="45A63742">
      <w:pPr>
        <w:pStyle w:val="56"/>
        <w:numPr>
          <w:ilvl w:val="0"/>
          <w:numId w:val="9"/>
        </w:numPr>
        <w:spacing w:line="360" w:lineRule="auto"/>
        <w:ind w:left="0" w:firstLine="420"/>
        <w:rPr>
          <w:rFonts w:ascii="宋体" w:hAnsi="宋体"/>
        </w:rPr>
      </w:pPr>
      <w:r>
        <w:rPr>
          <w:rFonts w:hint="eastAsia" w:ascii="宋体" w:hAnsi="宋体"/>
        </w:rPr>
        <w:t>截至开标前3天，投标人无正当理由、未以书面形式向招标人递交说明而在投标截止日不来投标的；</w:t>
      </w:r>
    </w:p>
    <w:p w14:paraId="049DDBA5">
      <w:pPr>
        <w:pStyle w:val="56"/>
        <w:numPr>
          <w:ilvl w:val="0"/>
          <w:numId w:val="9"/>
        </w:numPr>
        <w:spacing w:line="360" w:lineRule="auto"/>
        <w:ind w:left="0" w:firstLine="420"/>
        <w:rPr>
          <w:rFonts w:ascii="宋体" w:hAnsi="宋体"/>
        </w:rPr>
      </w:pPr>
      <w:r>
        <w:rPr>
          <w:rFonts w:hint="eastAsia" w:ascii="宋体" w:hAnsi="宋体"/>
        </w:rPr>
        <w:t>投标人递送投标文件后，无正当理由放弃投标的；</w:t>
      </w:r>
    </w:p>
    <w:p w14:paraId="66513697">
      <w:pPr>
        <w:pStyle w:val="56"/>
        <w:numPr>
          <w:ilvl w:val="0"/>
          <w:numId w:val="9"/>
        </w:numPr>
        <w:spacing w:line="360" w:lineRule="auto"/>
        <w:ind w:left="0" w:firstLine="420"/>
        <w:rPr>
          <w:rFonts w:ascii="宋体" w:hAnsi="宋体"/>
        </w:rPr>
      </w:pPr>
      <w:r>
        <w:rPr>
          <w:rFonts w:hint="eastAsia" w:ascii="宋体" w:hAnsi="宋体"/>
        </w:rPr>
        <w:t>除因不可抗力或谈判文件、询价通知书认可的情形以外，成交投标人不与招标人签订合同的；</w:t>
      </w:r>
    </w:p>
    <w:p w14:paraId="70525419">
      <w:pPr>
        <w:pStyle w:val="56"/>
        <w:numPr>
          <w:ilvl w:val="0"/>
          <w:numId w:val="9"/>
        </w:numPr>
        <w:spacing w:line="360" w:lineRule="auto"/>
        <w:ind w:left="0" w:firstLine="420"/>
        <w:rPr>
          <w:rFonts w:ascii="宋体" w:hAnsi="宋体"/>
        </w:rPr>
      </w:pPr>
      <w:r>
        <w:rPr>
          <w:rFonts w:hint="eastAsia" w:ascii="宋体" w:hAnsi="宋体"/>
        </w:rPr>
        <w:t>自中标通知书发出之日起30日内，中标人无正当理由不与招标人签订合同的；</w:t>
      </w:r>
    </w:p>
    <w:p w14:paraId="69F87725">
      <w:pPr>
        <w:pStyle w:val="56"/>
        <w:numPr>
          <w:ilvl w:val="0"/>
          <w:numId w:val="9"/>
        </w:numPr>
        <w:spacing w:line="360" w:lineRule="auto"/>
        <w:ind w:left="0" w:firstLine="420"/>
      </w:pPr>
      <w:r>
        <w:rPr>
          <w:rFonts w:hint="eastAsia" w:ascii="宋体" w:hAnsi="宋体"/>
        </w:rPr>
        <w:t>投标人有违约违规行为或被投诉、举报的，在调查处理期间，保证金暂不退还，待调查处理结束后按有关规定处理。</w:t>
      </w:r>
    </w:p>
    <w:p w14:paraId="7E273386">
      <w:pPr>
        <w:pStyle w:val="51"/>
        <w:spacing w:before="0" w:after="0" w:line="360" w:lineRule="auto"/>
        <w:rPr>
          <w:rStyle w:val="47"/>
          <w:rFonts w:ascii="宋体" w:hAnsi="宋体"/>
          <w:sz w:val="24"/>
        </w:rPr>
      </w:pPr>
      <w:r>
        <w:rPr>
          <w:rStyle w:val="47"/>
          <w:rFonts w:ascii="宋体" w:hAnsi="宋体"/>
          <w:sz w:val="24"/>
        </w:rPr>
        <w:t>3.5 备选投标方案</w:t>
      </w:r>
    </w:p>
    <w:p w14:paraId="61D1543B">
      <w:pPr>
        <w:spacing w:line="360" w:lineRule="auto"/>
        <w:ind w:firstLine="420" w:firstLineChars="200"/>
        <w:rPr>
          <w:rStyle w:val="47"/>
          <w:rFonts w:ascii="宋体" w:hAnsi="宋体"/>
        </w:rPr>
      </w:pPr>
      <w:r>
        <w:rPr>
          <w:rStyle w:val="47"/>
          <w:rFonts w:ascii="宋体" w:hAnsi="宋体"/>
        </w:rPr>
        <w:t>除投标人须知前附表另有规定外，投标人不得递交备选投标方案。</w:t>
      </w:r>
    </w:p>
    <w:p w14:paraId="52DC1B07">
      <w:pPr>
        <w:pStyle w:val="51"/>
        <w:spacing w:before="0" w:after="0" w:line="360" w:lineRule="auto"/>
        <w:rPr>
          <w:rStyle w:val="47"/>
          <w:rFonts w:ascii="宋体" w:hAnsi="宋体"/>
          <w:sz w:val="24"/>
        </w:rPr>
      </w:pPr>
      <w:r>
        <w:rPr>
          <w:rStyle w:val="47"/>
          <w:rFonts w:ascii="宋体" w:hAnsi="宋体"/>
          <w:sz w:val="24"/>
        </w:rPr>
        <w:t>3.6 投标文件的编制</w:t>
      </w:r>
    </w:p>
    <w:p w14:paraId="57E89E06">
      <w:pPr>
        <w:spacing w:line="360" w:lineRule="auto"/>
        <w:ind w:firstLine="420" w:firstLineChars="200"/>
        <w:rPr>
          <w:rStyle w:val="47"/>
          <w:rFonts w:ascii="宋体" w:hAnsi="宋体"/>
        </w:rPr>
      </w:pPr>
      <w:r>
        <w:rPr>
          <w:rStyle w:val="47"/>
          <w:rFonts w:ascii="宋体" w:hAnsi="宋体"/>
        </w:rPr>
        <w:t>3.6.1投标文件应按</w:t>
      </w:r>
      <w:r>
        <w:rPr>
          <w:rStyle w:val="33"/>
          <w:rFonts w:ascii="宋体" w:hAnsi="宋体"/>
          <w:color w:val="auto"/>
          <w:sz w:val="21"/>
          <w:highlight w:val="none"/>
        </w:rPr>
        <w:t>第八章“投标文件格式”</w:t>
      </w:r>
      <w:r>
        <w:rPr>
          <w:rStyle w:val="47"/>
          <w:rFonts w:ascii="宋体" w:hAnsi="宋体"/>
        </w:rPr>
        <w:t>进行编写，如有必要，可以增加附页，作为投标文件的组成部分。其中，投标函附录在满足招标文件实质性要求的基础上，可以提出比招标文件要求更有利于招标人的承诺。</w:t>
      </w:r>
    </w:p>
    <w:p w14:paraId="4C23258E">
      <w:pPr>
        <w:spacing w:line="360" w:lineRule="auto"/>
        <w:ind w:firstLine="420" w:firstLineChars="200"/>
        <w:rPr>
          <w:rStyle w:val="47"/>
          <w:rFonts w:ascii="宋体" w:hAnsi="宋体"/>
          <w:szCs w:val="21"/>
        </w:rPr>
      </w:pPr>
      <w:r>
        <w:rPr>
          <w:rStyle w:val="47"/>
          <w:rFonts w:ascii="宋体" w:hAnsi="宋体"/>
        </w:rPr>
        <w:t>3.6.2 投标文件应当对招标文件有关</w:t>
      </w:r>
      <w:r>
        <w:rPr>
          <w:rStyle w:val="47"/>
          <w:rFonts w:ascii="宋体" w:hAnsi="宋体"/>
          <w:szCs w:val="21"/>
        </w:rPr>
        <w:t>工期、投标有效期、质量要求、技术标准和要求、招标范围等实质性内容作出响应。</w:t>
      </w:r>
    </w:p>
    <w:p w14:paraId="25A4155B">
      <w:pPr>
        <w:spacing w:line="360" w:lineRule="auto"/>
        <w:ind w:firstLine="420" w:firstLineChars="200"/>
        <w:rPr>
          <w:rStyle w:val="47"/>
          <w:rFonts w:ascii="宋体" w:hAnsi="宋体"/>
        </w:rPr>
      </w:pPr>
      <w:r>
        <w:rPr>
          <w:rStyle w:val="47"/>
          <w:rFonts w:ascii="宋体" w:hAnsi="宋体"/>
        </w:rPr>
        <w:t>3.6.3投标文件应用不褪色的材料书写或打印，并由投标人的法定代表人（或其委托代理人）签字（或盖单位公章）。委托代理人签字的，投标文件应附法定代表人签署的授权委托书。投标文件应尽量避免涂改、行间插字或删除。如果出现上述情况，改动之处应加盖单位公章或由投标人的法定代表人或其授权的代理人签字确认。签字或盖章的具体要求见投标人须知前附表。</w:t>
      </w:r>
    </w:p>
    <w:p w14:paraId="5483D270">
      <w:pPr>
        <w:spacing w:line="360" w:lineRule="auto"/>
        <w:ind w:firstLine="420" w:firstLineChars="200"/>
        <w:rPr>
          <w:rStyle w:val="47"/>
          <w:rFonts w:ascii="宋体" w:hAnsi="宋体"/>
        </w:rPr>
      </w:pPr>
      <w:r>
        <w:rPr>
          <w:rStyle w:val="47"/>
          <w:rFonts w:ascii="宋体" w:hAnsi="宋体"/>
        </w:rPr>
        <w:t>3.6.4投标文件正本一份,副本份数详见投标须知前附表</w:t>
      </w:r>
      <w:r>
        <w:rPr>
          <w:rStyle w:val="47"/>
          <w:rFonts w:hint="eastAsia" w:ascii="宋体" w:hAnsi="宋体"/>
          <w:lang w:eastAsia="zh-CN"/>
        </w:rPr>
        <w:t>，</w:t>
      </w:r>
      <w:r>
        <w:rPr>
          <w:rStyle w:val="47"/>
          <w:rFonts w:ascii="宋体" w:hAnsi="宋体"/>
        </w:rPr>
        <w:t>正本和副本的封面上应清楚地标记“正本”或“副本”的字样。当副本和正本不一致时，以正本为准。</w:t>
      </w:r>
    </w:p>
    <w:p w14:paraId="47C57D82">
      <w:pPr>
        <w:spacing w:line="360" w:lineRule="auto"/>
        <w:ind w:firstLine="420" w:firstLineChars="200"/>
        <w:rPr>
          <w:rStyle w:val="47"/>
          <w:rFonts w:ascii="宋体" w:hAnsi="宋体"/>
        </w:rPr>
      </w:pPr>
      <w:r>
        <w:rPr>
          <w:rStyle w:val="47"/>
          <w:rFonts w:ascii="宋体" w:hAnsi="宋体"/>
        </w:rPr>
        <w:t>3.6.5投标文件的正本与副本应分别装订成册，并编制目录，具体装订要求见投标人须知前附表规定。</w:t>
      </w:r>
    </w:p>
    <w:p w14:paraId="5D98418C">
      <w:pPr>
        <w:pStyle w:val="5"/>
        <w:spacing w:before="0" w:after="0" w:line="360" w:lineRule="auto"/>
        <w:jc w:val="center"/>
        <w:rPr>
          <w:sz w:val="30"/>
          <w:szCs w:val="30"/>
        </w:rPr>
      </w:pPr>
      <w:bookmarkStart w:id="33" w:name="_Toc2542"/>
      <w:bookmarkStart w:id="34" w:name="_Toc17817326"/>
      <w:bookmarkStart w:id="35" w:name="_Toc23160"/>
      <w:bookmarkStart w:id="36" w:name="_Toc16063896"/>
      <w:bookmarkStart w:id="37" w:name="_Toc9815"/>
      <w:bookmarkStart w:id="38" w:name="_Toc17817327"/>
      <w:bookmarkStart w:id="39" w:name="_Toc16063897"/>
      <w:r>
        <w:rPr>
          <w:sz w:val="30"/>
          <w:szCs w:val="30"/>
        </w:rPr>
        <w:t>4. 投标</w:t>
      </w:r>
      <w:bookmarkEnd w:id="33"/>
      <w:bookmarkEnd w:id="34"/>
      <w:bookmarkEnd w:id="35"/>
      <w:bookmarkEnd w:id="36"/>
    </w:p>
    <w:p w14:paraId="68ACA58B">
      <w:pPr>
        <w:pStyle w:val="51"/>
        <w:spacing w:before="0" w:after="0" w:line="360" w:lineRule="auto"/>
        <w:rPr>
          <w:rStyle w:val="47"/>
          <w:rFonts w:ascii="宋体" w:hAnsi="宋体"/>
        </w:rPr>
      </w:pPr>
      <w:r>
        <w:rPr>
          <w:rStyle w:val="47"/>
          <w:rFonts w:ascii="宋体" w:hAnsi="宋体"/>
          <w:sz w:val="24"/>
        </w:rPr>
        <w:t>4.1 投标文件的密封和标记</w:t>
      </w:r>
    </w:p>
    <w:p w14:paraId="1FF57384">
      <w:pPr>
        <w:spacing w:line="360" w:lineRule="auto"/>
        <w:ind w:firstLine="420" w:firstLineChars="200"/>
        <w:rPr>
          <w:rStyle w:val="47"/>
          <w:rFonts w:ascii="宋体" w:hAnsi="宋体"/>
        </w:rPr>
      </w:pPr>
      <w:r>
        <w:rPr>
          <w:rStyle w:val="47"/>
          <w:rFonts w:ascii="宋体" w:hAnsi="宋体"/>
        </w:rPr>
        <w:t>4.1.1</w:t>
      </w:r>
      <w:r>
        <w:rPr>
          <w:rStyle w:val="47"/>
          <w:rFonts w:ascii="宋体" w:hAnsi="宋体"/>
          <w:highlight w:val="yellow"/>
        </w:rPr>
        <w:t>除资格审查文件</w:t>
      </w:r>
      <w:r>
        <w:rPr>
          <w:rStyle w:val="47"/>
          <w:rFonts w:hint="eastAsia" w:ascii="宋体" w:hAnsi="宋体"/>
          <w:highlight w:val="yellow"/>
          <w:lang w:val="en-US" w:eastAsia="zh-CN"/>
        </w:rPr>
        <w:t>在e采通提交扫描件</w:t>
      </w:r>
      <w:r>
        <w:rPr>
          <w:rStyle w:val="47"/>
          <w:rFonts w:ascii="宋体" w:hAnsi="宋体"/>
        </w:rPr>
        <w:t>外，投标文件</w:t>
      </w:r>
      <w:r>
        <w:rPr>
          <w:rStyle w:val="47"/>
          <w:rFonts w:hint="eastAsia" w:ascii="宋体" w:hAnsi="宋体"/>
          <w:lang w:val="en-US" w:eastAsia="zh-CN"/>
        </w:rPr>
        <w:t>单独密封包装</w:t>
      </w:r>
      <w:r>
        <w:rPr>
          <w:rStyle w:val="47"/>
          <w:rFonts w:hint="eastAsia" w:ascii="宋体" w:hAnsi="宋体"/>
          <w:lang w:eastAsia="zh-CN"/>
        </w:rPr>
        <w:t>、</w:t>
      </w:r>
      <w:r>
        <w:rPr>
          <w:rStyle w:val="47"/>
          <w:rFonts w:ascii="宋体" w:hAnsi="宋体"/>
        </w:rPr>
        <w:t>电子文档（内容包含全部投标文件）单独密封包装，唱标单单独密封包装。所有封套的每个封口处均应加盖投标人单位公章。</w:t>
      </w:r>
    </w:p>
    <w:p w14:paraId="57DDBA3F">
      <w:pPr>
        <w:spacing w:line="360" w:lineRule="auto"/>
        <w:ind w:firstLine="422" w:firstLineChars="200"/>
        <w:rPr>
          <w:rStyle w:val="47"/>
          <w:rFonts w:ascii="宋体" w:hAnsi="宋体"/>
          <w:b/>
          <w:bCs/>
          <w:color w:val="auto"/>
        </w:rPr>
      </w:pPr>
      <w:r>
        <w:rPr>
          <w:rStyle w:val="47"/>
          <w:rFonts w:hint="eastAsia" w:ascii="宋体" w:hAnsi="宋体"/>
          <w:b/>
          <w:bCs/>
          <w:color w:val="auto"/>
        </w:rPr>
        <w:t>纸版投标文件和电子版投标文件必须保证内容一致，如确实存在不一致的，总报价以重汽E采通系统报出金额为准。同时要求投标方对纸版商务标书的错误一并做出修正（修正原则详见商务标评分细则）</w:t>
      </w:r>
      <w:r>
        <w:rPr>
          <w:rStyle w:val="47"/>
          <w:rFonts w:hint="eastAsia" w:ascii="宋体" w:hAnsi="宋体"/>
          <w:b/>
          <w:bCs/>
          <w:color w:val="auto"/>
          <w:lang w:eastAsia="zh-CN"/>
        </w:rPr>
        <w:t>。</w:t>
      </w:r>
    </w:p>
    <w:p w14:paraId="7EB8566F">
      <w:pPr>
        <w:spacing w:line="360" w:lineRule="auto"/>
        <w:ind w:firstLine="420" w:firstLineChars="200"/>
        <w:rPr>
          <w:rStyle w:val="47"/>
          <w:rFonts w:ascii="宋体" w:hAnsi="宋体"/>
        </w:rPr>
      </w:pPr>
      <w:r>
        <w:rPr>
          <w:rStyle w:val="47"/>
          <w:rFonts w:ascii="宋体" w:hAnsi="宋体"/>
        </w:rPr>
        <w:t>4.1.2投标文件的封套上应清楚地标记“</w:t>
      </w:r>
      <w:r>
        <w:rPr>
          <w:rStyle w:val="47"/>
          <w:rFonts w:hint="eastAsia" w:ascii="宋体" w:hAnsi="宋体"/>
          <w:lang w:val="en-US" w:eastAsia="zh-CN"/>
        </w:rPr>
        <w:t>投标文件</w:t>
      </w:r>
      <w:r>
        <w:rPr>
          <w:rStyle w:val="47"/>
          <w:rFonts w:ascii="宋体" w:hAnsi="宋体"/>
        </w:rPr>
        <w:t>”或“唱标单”或“电子文档”等字样，封套上应写明的其他内容见投标人须知前附表。</w:t>
      </w:r>
    </w:p>
    <w:p w14:paraId="248D9898">
      <w:pPr>
        <w:spacing w:line="360" w:lineRule="auto"/>
        <w:ind w:firstLine="422" w:firstLineChars="200"/>
        <w:rPr>
          <w:rStyle w:val="47"/>
          <w:rFonts w:ascii="宋体" w:hAnsi="宋体"/>
          <w:b/>
          <w:bCs/>
        </w:rPr>
      </w:pPr>
      <w:r>
        <w:rPr>
          <w:rStyle w:val="47"/>
          <w:rFonts w:ascii="宋体" w:hAnsi="宋体"/>
          <w:b/>
          <w:bCs/>
        </w:rPr>
        <w:t>4.1.3 未按本章第4.1.1项或第4.1.2项要求密封和加写标记的投标文件，招标人不予受理。</w:t>
      </w:r>
    </w:p>
    <w:p w14:paraId="57E29F4E">
      <w:pPr>
        <w:pStyle w:val="51"/>
        <w:spacing w:before="0" w:after="0" w:line="360" w:lineRule="auto"/>
        <w:rPr>
          <w:rStyle w:val="47"/>
          <w:rFonts w:ascii="宋体" w:hAnsi="宋体"/>
          <w:sz w:val="24"/>
        </w:rPr>
      </w:pPr>
      <w:r>
        <w:rPr>
          <w:rStyle w:val="47"/>
          <w:rFonts w:ascii="宋体" w:hAnsi="宋体"/>
          <w:sz w:val="24"/>
        </w:rPr>
        <w:t>4.2 投标文件的递交</w:t>
      </w:r>
    </w:p>
    <w:p w14:paraId="5CAA3E76">
      <w:pPr>
        <w:spacing w:line="360" w:lineRule="auto"/>
        <w:ind w:firstLine="420" w:firstLineChars="200"/>
        <w:rPr>
          <w:rStyle w:val="47"/>
          <w:rFonts w:ascii="宋体" w:hAnsi="宋体"/>
        </w:rPr>
      </w:pPr>
      <w:r>
        <w:rPr>
          <w:rStyle w:val="47"/>
          <w:rFonts w:ascii="宋体" w:hAnsi="宋体"/>
        </w:rPr>
        <w:t>4.2.1 投标人应在</w:t>
      </w:r>
      <w:r>
        <w:rPr>
          <w:rStyle w:val="33"/>
          <w:rFonts w:hint="eastAsia" w:ascii="宋体" w:hAnsi="宋体"/>
          <w:strike w:val="0"/>
          <w:dstrike w:val="0"/>
          <w:color w:val="auto"/>
          <w:sz w:val="21"/>
          <w:u w:val="none"/>
          <w:lang w:val="en-US" w:eastAsia="zh-CN"/>
        </w:rPr>
        <w:t>投标人须知前附表</w:t>
      </w:r>
      <w:r>
        <w:rPr>
          <w:rStyle w:val="47"/>
          <w:rFonts w:ascii="宋体" w:hAnsi="宋体"/>
        </w:rPr>
        <w:t>规定的投标截止时间前递交投标文件。</w:t>
      </w:r>
    </w:p>
    <w:p w14:paraId="56143570">
      <w:pPr>
        <w:spacing w:line="360" w:lineRule="auto"/>
        <w:ind w:firstLine="420" w:firstLineChars="200"/>
        <w:rPr>
          <w:rStyle w:val="47"/>
          <w:rFonts w:ascii="宋体" w:hAnsi="宋体"/>
        </w:rPr>
      </w:pPr>
      <w:r>
        <w:rPr>
          <w:rStyle w:val="47"/>
          <w:rFonts w:ascii="宋体" w:hAnsi="宋体"/>
        </w:rPr>
        <w:t>4.2.2 投标人递交投标文件的地点：见投标人须知前附表。</w:t>
      </w:r>
    </w:p>
    <w:p w14:paraId="1373EBF1">
      <w:pPr>
        <w:spacing w:line="360" w:lineRule="auto"/>
        <w:ind w:firstLine="420" w:firstLineChars="200"/>
        <w:rPr>
          <w:rStyle w:val="47"/>
          <w:rFonts w:ascii="宋体" w:hAnsi="宋体"/>
        </w:rPr>
      </w:pPr>
      <w:r>
        <w:rPr>
          <w:rStyle w:val="47"/>
          <w:rFonts w:ascii="宋体" w:hAnsi="宋体"/>
        </w:rPr>
        <w:t>4.2.3 除投标人须知前附表另有规定外，投标人所递交的投标文件不予退还。</w:t>
      </w:r>
    </w:p>
    <w:p w14:paraId="636743F8">
      <w:pPr>
        <w:spacing w:line="360" w:lineRule="auto"/>
        <w:ind w:firstLine="420" w:firstLineChars="200"/>
        <w:rPr>
          <w:rStyle w:val="47"/>
          <w:rFonts w:ascii="宋体" w:hAnsi="宋体"/>
        </w:rPr>
      </w:pPr>
      <w:r>
        <w:rPr>
          <w:rStyle w:val="47"/>
          <w:rFonts w:ascii="宋体" w:hAnsi="宋体"/>
        </w:rPr>
        <w:t>4.2.4 招标人收到投标文件后，向投标人出具签收凭证。</w:t>
      </w:r>
    </w:p>
    <w:p w14:paraId="0D35F4E3">
      <w:pPr>
        <w:spacing w:line="360" w:lineRule="auto"/>
        <w:ind w:firstLine="420" w:firstLineChars="200"/>
        <w:rPr>
          <w:rStyle w:val="47"/>
          <w:rFonts w:ascii="宋体" w:hAnsi="宋体"/>
        </w:rPr>
      </w:pPr>
      <w:r>
        <w:rPr>
          <w:rStyle w:val="47"/>
          <w:rFonts w:ascii="宋体" w:hAnsi="宋体"/>
        </w:rPr>
        <w:t>4.2.5 逾期送达的或者未送达指定地点的投标文件，招标人不予受理。</w:t>
      </w:r>
    </w:p>
    <w:p w14:paraId="447E90FD">
      <w:pPr>
        <w:pStyle w:val="51"/>
        <w:spacing w:before="0" w:after="0" w:line="360" w:lineRule="auto"/>
        <w:rPr>
          <w:rStyle w:val="47"/>
          <w:rFonts w:ascii="宋体" w:hAnsi="宋体"/>
          <w:sz w:val="24"/>
        </w:rPr>
      </w:pPr>
      <w:r>
        <w:rPr>
          <w:rStyle w:val="47"/>
          <w:rFonts w:ascii="宋体" w:hAnsi="宋体"/>
          <w:sz w:val="24"/>
        </w:rPr>
        <w:t>4.3 投标文件的修改与撤回</w:t>
      </w:r>
    </w:p>
    <w:p w14:paraId="21604FBB">
      <w:pPr>
        <w:spacing w:line="360" w:lineRule="auto"/>
        <w:ind w:firstLine="420" w:firstLineChars="200"/>
        <w:rPr>
          <w:rStyle w:val="47"/>
          <w:rFonts w:ascii="宋体" w:hAnsi="宋体"/>
        </w:rPr>
      </w:pPr>
      <w:r>
        <w:rPr>
          <w:rStyle w:val="47"/>
          <w:rFonts w:ascii="宋体" w:hAnsi="宋体"/>
        </w:rPr>
        <w:t xml:space="preserve">4.3.1 </w:t>
      </w:r>
      <w:r>
        <w:rPr>
          <w:rStyle w:val="47"/>
          <w:rFonts w:ascii="宋体" w:hAnsi="宋体"/>
          <w:highlight w:val="none"/>
          <w:u w:val="none"/>
        </w:rPr>
        <w:t>在</w:t>
      </w:r>
      <w:r>
        <w:rPr>
          <w:rStyle w:val="33"/>
          <w:rFonts w:hint="eastAsia" w:ascii="宋体" w:hAnsi="宋体"/>
          <w:strike w:val="0"/>
          <w:dstrike w:val="0"/>
          <w:color w:val="auto"/>
          <w:sz w:val="21"/>
          <w:u w:val="none"/>
          <w:lang w:val="en-US" w:eastAsia="zh-CN"/>
        </w:rPr>
        <w:t>投标人须知前附表</w:t>
      </w:r>
      <w:r>
        <w:rPr>
          <w:rStyle w:val="47"/>
          <w:rFonts w:ascii="宋体" w:hAnsi="宋体"/>
          <w:highlight w:val="none"/>
          <w:u w:val="none"/>
        </w:rPr>
        <w:t>规定的投标截止时间前</w:t>
      </w:r>
      <w:r>
        <w:rPr>
          <w:rStyle w:val="47"/>
          <w:rFonts w:ascii="宋体" w:hAnsi="宋体"/>
        </w:rPr>
        <w:t>，投标人可以修改或撤回已递交的投标文件，但应以书面形式通知招标人。</w:t>
      </w:r>
    </w:p>
    <w:p w14:paraId="047DBAE1">
      <w:pPr>
        <w:spacing w:line="360" w:lineRule="auto"/>
        <w:ind w:firstLine="420" w:firstLineChars="200"/>
        <w:rPr>
          <w:rStyle w:val="47"/>
          <w:rFonts w:ascii="宋体" w:hAnsi="宋体"/>
        </w:rPr>
      </w:pPr>
      <w:r>
        <w:rPr>
          <w:rStyle w:val="47"/>
          <w:rFonts w:ascii="宋体" w:hAnsi="宋体"/>
        </w:rPr>
        <w:t>4.3.2 投标人修改或撤回已递交投标文件的书面通知应按照本章</w:t>
      </w:r>
      <w:r>
        <w:rPr>
          <w:rStyle w:val="33"/>
          <w:rFonts w:ascii="宋体" w:hAnsi="宋体"/>
          <w:color w:val="auto"/>
          <w:sz w:val="21"/>
        </w:rPr>
        <w:t>第3.6.3项</w:t>
      </w:r>
      <w:r>
        <w:rPr>
          <w:rStyle w:val="47"/>
          <w:rFonts w:ascii="宋体" w:hAnsi="宋体"/>
        </w:rPr>
        <w:t>的要求签字或盖章。招标人收到书面通知后，向投标人出具签收凭证。</w:t>
      </w:r>
    </w:p>
    <w:p w14:paraId="4BA68D98">
      <w:pPr>
        <w:spacing w:line="360" w:lineRule="auto"/>
        <w:ind w:firstLine="420" w:firstLineChars="200"/>
        <w:rPr>
          <w:rStyle w:val="47"/>
          <w:rFonts w:ascii="宋体" w:hAnsi="宋体"/>
        </w:rPr>
      </w:pPr>
      <w:r>
        <w:rPr>
          <w:rStyle w:val="47"/>
          <w:rFonts w:ascii="宋体" w:hAnsi="宋体"/>
        </w:rPr>
        <w:t>4.3.3 修改的内容为投标文件的组成部分。修改的投标文件应按照本章</w:t>
      </w:r>
      <w:r>
        <w:rPr>
          <w:rStyle w:val="33"/>
          <w:rFonts w:ascii="宋体" w:hAnsi="宋体"/>
          <w:color w:val="auto"/>
          <w:sz w:val="21"/>
        </w:rPr>
        <w:t>第3条</w:t>
      </w:r>
      <w:r>
        <w:rPr>
          <w:rStyle w:val="47"/>
          <w:rFonts w:ascii="宋体" w:hAnsi="宋体"/>
        </w:rPr>
        <w:t>、</w:t>
      </w:r>
      <w:r>
        <w:rPr>
          <w:rStyle w:val="33"/>
          <w:rFonts w:ascii="宋体" w:hAnsi="宋体"/>
          <w:color w:val="auto"/>
          <w:sz w:val="21"/>
        </w:rPr>
        <w:t>第4条</w:t>
      </w:r>
      <w:r>
        <w:rPr>
          <w:rStyle w:val="47"/>
          <w:rFonts w:ascii="宋体" w:hAnsi="宋体"/>
        </w:rPr>
        <w:t>规定进行编制、密封、标记和递交，并标明“修改”字样。</w:t>
      </w:r>
    </w:p>
    <w:p w14:paraId="7F0071A3">
      <w:pPr>
        <w:pStyle w:val="5"/>
        <w:spacing w:before="0" w:after="0" w:line="360" w:lineRule="auto"/>
        <w:jc w:val="center"/>
        <w:rPr>
          <w:sz w:val="30"/>
          <w:szCs w:val="30"/>
        </w:rPr>
      </w:pPr>
      <w:bookmarkStart w:id="40" w:name="_Toc23919"/>
      <w:r>
        <w:rPr>
          <w:sz w:val="30"/>
          <w:szCs w:val="30"/>
        </w:rPr>
        <w:t>5. 开标</w:t>
      </w:r>
      <w:bookmarkEnd w:id="37"/>
      <w:bookmarkEnd w:id="38"/>
      <w:bookmarkEnd w:id="39"/>
      <w:bookmarkEnd w:id="40"/>
    </w:p>
    <w:p w14:paraId="0844A2D9">
      <w:pPr>
        <w:pStyle w:val="51"/>
        <w:spacing w:before="0" w:after="0" w:line="360" w:lineRule="auto"/>
        <w:rPr>
          <w:rStyle w:val="47"/>
          <w:rFonts w:ascii="宋体" w:hAnsi="宋体"/>
          <w:sz w:val="24"/>
          <w:szCs w:val="24"/>
        </w:rPr>
      </w:pPr>
      <w:bookmarkStart w:id="41" w:name="_Toc16063898"/>
      <w:bookmarkStart w:id="42" w:name="_Toc17817328"/>
      <w:bookmarkStart w:id="43" w:name="_Toc630"/>
      <w:r>
        <w:rPr>
          <w:rStyle w:val="47"/>
          <w:rFonts w:ascii="宋体" w:hAnsi="宋体"/>
          <w:sz w:val="24"/>
          <w:szCs w:val="24"/>
        </w:rPr>
        <w:t>5.1 开标时间和地点</w:t>
      </w:r>
    </w:p>
    <w:p w14:paraId="79298D76">
      <w:pPr>
        <w:spacing w:line="360" w:lineRule="auto"/>
        <w:ind w:firstLine="420" w:firstLineChars="200"/>
        <w:rPr>
          <w:rStyle w:val="47"/>
          <w:rFonts w:ascii="宋体" w:hAnsi="宋体"/>
        </w:rPr>
      </w:pPr>
      <w:r>
        <w:rPr>
          <w:rStyle w:val="47"/>
          <w:rFonts w:ascii="宋体" w:hAnsi="宋体"/>
        </w:rPr>
        <w:t>招标人在</w:t>
      </w:r>
      <w:r>
        <w:rPr>
          <w:rStyle w:val="33"/>
          <w:rFonts w:hint="eastAsia" w:ascii="宋体" w:hAnsi="宋体"/>
          <w:strike w:val="0"/>
          <w:dstrike w:val="0"/>
          <w:color w:val="auto"/>
          <w:sz w:val="21"/>
          <w:u w:val="none"/>
          <w:lang w:val="en-US" w:eastAsia="zh-CN"/>
        </w:rPr>
        <w:t>投标人须知前附表</w:t>
      </w:r>
      <w:r>
        <w:rPr>
          <w:rStyle w:val="47"/>
          <w:rFonts w:ascii="宋体" w:hAnsi="宋体"/>
        </w:rPr>
        <w:t>规定的投标截止时间（开标时间）和投标人须知前附表规定的地点公开开标，并邀请所有投标人的法定代表人或其委托代理人准时参加。</w:t>
      </w:r>
    </w:p>
    <w:p w14:paraId="6C8BE46A">
      <w:pPr>
        <w:pStyle w:val="51"/>
        <w:spacing w:before="0" w:after="0" w:line="360" w:lineRule="auto"/>
        <w:ind w:firstLine="422" w:firstLineChars="200"/>
        <w:rPr>
          <w:rStyle w:val="47"/>
          <w:rFonts w:hint="eastAsia" w:ascii="宋体" w:hAnsi="宋体" w:eastAsia="宋体"/>
          <w:b/>
          <w:bCs/>
          <w:sz w:val="21"/>
          <w:szCs w:val="24"/>
        </w:rPr>
      </w:pPr>
      <w:r>
        <w:rPr>
          <w:rStyle w:val="47"/>
          <w:rFonts w:hint="eastAsia" w:ascii="宋体" w:hAnsi="宋体" w:eastAsia="宋体"/>
          <w:b/>
          <w:bCs/>
          <w:sz w:val="21"/>
          <w:szCs w:val="24"/>
        </w:rPr>
        <w:t>本次招标的开标、评标由招标人依法组织实施，通过资格审查后，对入围的投标单位</w:t>
      </w:r>
      <w:r>
        <w:rPr>
          <w:rStyle w:val="47"/>
          <w:rFonts w:hint="eastAsia" w:ascii="宋体" w:hAnsi="宋体"/>
          <w:b/>
          <w:bCs/>
          <w:sz w:val="21"/>
          <w:szCs w:val="24"/>
          <w:lang w:val="en-US" w:eastAsia="zh-CN"/>
        </w:rPr>
        <w:t>技术方案及</w:t>
      </w:r>
      <w:r>
        <w:rPr>
          <w:rStyle w:val="47"/>
          <w:rFonts w:hint="eastAsia" w:ascii="宋体" w:hAnsi="宋体" w:eastAsia="宋体"/>
          <w:b/>
          <w:bCs/>
          <w:sz w:val="21"/>
          <w:szCs w:val="24"/>
        </w:rPr>
        <w:t>商务标</w:t>
      </w:r>
      <w:r>
        <w:rPr>
          <w:rStyle w:val="47"/>
          <w:rFonts w:hint="eastAsia" w:ascii="宋体" w:hAnsi="宋体"/>
          <w:b/>
          <w:bCs/>
          <w:sz w:val="21"/>
          <w:szCs w:val="24"/>
          <w:lang w:val="en-US" w:eastAsia="zh-CN"/>
        </w:rPr>
        <w:t>进行</w:t>
      </w:r>
      <w:r>
        <w:rPr>
          <w:rStyle w:val="47"/>
          <w:rFonts w:hint="eastAsia" w:ascii="宋体" w:hAnsi="宋体" w:eastAsia="宋体"/>
          <w:b/>
          <w:bCs/>
          <w:sz w:val="21"/>
          <w:szCs w:val="24"/>
        </w:rPr>
        <w:t>评审，招标人有权根据项目情况，采取多轮报价模式，最终根据商务标的报价高低确定各投标人排序。</w:t>
      </w:r>
    </w:p>
    <w:p w14:paraId="2B7D5F01">
      <w:pPr>
        <w:pStyle w:val="51"/>
        <w:spacing w:before="0" w:after="0" w:line="360" w:lineRule="auto"/>
        <w:ind w:firstLine="422" w:firstLineChars="200"/>
        <w:rPr>
          <w:rStyle w:val="47"/>
          <w:rFonts w:hint="eastAsia" w:ascii="宋体" w:hAnsi="宋体" w:eastAsia="宋体"/>
          <w:b/>
          <w:bCs/>
          <w:sz w:val="21"/>
          <w:szCs w:val="24"/>
        </w:rPr>
      </w:pPr>
      <w:r>
        <w:rPr>
          <w:rStyle w:val="47"/>
          <w:rFonts w:hint="eastAsia" w:ascii="宋体" w:hAnsi="宋体" w:eastAsia="宋体"/>
          <w:b/>
          <w:bCs/>
          <w:sz w:val="21"/>
          <w:szCs w:val="24"/>
        </w:rPr>
        <w:t>开标形式：现场和重汽e采通同时开标（所有澄清及报价均需要在线上操作，请自行准备电脑等设备）。</w:t>
      </w:r>
    </w:p>
    <w:p w14:paraId="50252707">
      <w:pPr>
        <w:pStyle w:val="51"/>
        <w:spacing w:before="0" w:after="0" w:line="360" w:lineRule="auto"/>
        <w:ind w:firstLine="422" w:firstLineChars="200"/>
        <w:rPr>
          <w:rStyle w:val="47"/>
          <w:rFonts w:hint="eastAsia" w:ascii="宋体" w:hAnsi="宋体" w:eastAsia="宋体"/>
          <w:b/>
          <w:bCs/>
          <w:sz w:val="21"/>
          <w:szCs w:val="24"/>
        </w:rPr>
      </w:pPr>
    </w:p>
    <w:p w14:paraId="372EBFC8">
      <w:pPr>
        <w:pStyle w:val="51"/>
        <w:spacing w:before="0" w:after="0" w:line="360" w:lineRule="auto"/>
        <w:rPr>
          <w:rStyle w:val="47"/>
          <w:rFonts w:ascii="宋体" w:hAnsi="宋体"/>
          <w:sz w:val="24"/>
        </w:rPr>
      </w:pPr>
      <w:r>
        <w:rPr>
          <w:rStyle w:val="47"/>
          <w:rFonts w:ascii="宋体" w:hAnsi="宋体"/>
          <w:sz w:val="24"/>
        </w:rPr>
        <w:t>5.2 开</w:t>
      </w:r>
      <w:r>
        <w:rPr>
          <w:rStyle w:val="47"/>
          <w:rFonts w:hint="eastAsia" w:ascii="宋体" w:hAnsi="宋体"/>
          <w:sz w:val="24"/>
        </w:rPr>
        <w:t>、评</w:t>
      </w:r>
      <w:r>
        <w:rPr>
          <w:rStyle w:val="47"/>
          <w:rFonts w:ascii="宋体" w:hAnsi="宋体"/>
          <w:sz w:val="24"/>
        </w:rPr>
        <w:t>标程序</w:t>
      </w:r>
    </w:p>
    <w:p w14:paraId="5C386396">
      <w:pPr>
        <w:spacing w:line="360" w:lineRule="auto"/>
        <w:ind w:firstLine="420" w:firstLineChars="200"/>
        <w:rPr>
          <w:rStyle w:val="47"/>
          <w:rFonts w:ascii="宋体" w:hAnsi="宋体"/>
          <w:szCs w:val="22"/>
        </w:rPr>
      </w:pPr>
      <w:r>
        <w:rPr>
          <w:rStyle w:val="47"/>
          <w:rFonts w:hint="eastAsia" w:ascii="宋体" w:hAnsi="宋体"/>
          <w:szCs w:val="22"/>
        </w:rPr>
        <w:t>（1）投标截止时间前准时进入开标现场，登录重汽e采通按最新版《SRM-系统用户手册-非生产招投标（供应商使用）》，并按顺序进行操作，迟到按弃标处理。</w:t>
      </w:r>
    </w:p>
    <w:p w14:paraId="51D6E132">
      <w:pPr>
        <w:spacing w:line="360" w:lineRule="auto"/>
        <w:ind w:firstLine="420" w:firstLineChars="200"/>
        <w:rPr>
          <w:rStyle w:val="47"/>
          <w:rFonts w:ascii="宋体" w:hAnsi="宋体"/>
          <w:szCs w:val="22"/>
        </w:rPr>
      </w:pPr>
      <w:r>
        <w:rPr>
          <w:rStyle w:val="47"/>
          <w:rFonts w:hint="eastAsia" w:ascii="宋体" w:hAnsi="宋体"/>
          <w:szCs w:val="22"/>
        </w:rPr>
        <w:t>（2）宣读开标纪律；</w:t>
      </w:r>
    </w:p>
    <w:p w14:paraId="06C1C809">
      <w:pPr>
        <w:spacing w:line="360" w:lineRule="auto"/>
        <w:ind w:firstLine="420" w:firstLineChars="200"/>
        <w:rPr>
          <w:rStyle w:val="47"/>
          <w:rFonts w:ascii="宋体" w:hAnsi="宋体"/>
          <w:szCs w:val="22"/>
        </w:rPr>
      </w:pPr>
      <w:r>
        <w:rPr>
          <w:rStyle w:val="47"/>
          <w:rFonts w:hint="eastAsia" w:ascii="宋体" w:hAnsi="宋体"/>
          <w:szCs w:val="22"/>
        </w:rPr>
        <w:t>（3）公布在投标截止时间前递交投标文件的投标人名称，并点名确认投标人的法定代表人或其委托代理人是否到场；</w:t>
      </w:r>
    </w:p>
    <w:p w14:paraId="7FCC8048">
      <w:pPr>
        <w:spacing w:line="360" w:lineRule="auto"/>
        <w:ind w:firstLine="420" w:firstLineChars="200"/>
        <w:rPr>
          <w:rStyle w:val="47"/>
          <w:rFonts w:ascii="宋体" w:hAnsi="宋体"/>
          <w:szCs w:val="22"/>
        </w:rPr>
      </w:pPr>
      <w:r>
        <w:rPr>
          <w:rStyle w:val="47"/>
          <w:rFonts w:hint="eastAsia" w:ascii="宋体" w:hAnsi="宋体"/>
          <w:szCs w:val="22"/>
        </w:rPr>
        <w:t>（4）宣布招标人、唱标人等有关单位；</w:t>
      </w:r>
    </w:p>
    <w:p w14:paraId="2720363F">
      <w:pPr>
        <w:spacing w:line="360" w:lineRule="auto"/>
        <w:ind w:firstLine="420" w:firstLineChars="200"/>
        <w:rPr>
          <w:rStyle w:val="47"/>
          <w:rFonts w:ascii="宋体" w:hAnsi="宋体"/>
          <w:szCs w:val="22"/>
        </w:rPr>
      </w:pPr>
      <w:r>
        <w:rPr>
          <w:rStyle w:val="47"/>
          <w:rFonts w:hint="eastAsia" w:ascii="宋体" w:hAnsi="宋体"/>
          <w:szCs w:val="22"/>
        </w:rPr>
        <w:t>（5）由招标人核验投标单位的相关证件，并宣布核验结果；</w:t>
      </w:r>
    </w:p>
    <w:p w14:paraId="7BEF7536">
      <w:pPr>
        <w:spacing w:line="360" w:lineRule="auto"/>
        <w:ind w:firstLine="420" w:firstLineChars="200"/>
        <w:rPr>
          <w:rStyle w:val="47"/>
          <w:rFonts w:ascii="宋体" w:hAnsi="宋体"/>
          <w:szCs w:val="22"/>
        </w:rPr>
      </w:pPr>
      <w:r>
        <w:rPr>
          <w:rStyle w:val="47"/>
          <w:rFonts w:hint="eastAsia" w:ascii="宋体" w:hAnsi="宋体"/>
          <w:szCs w:val="22"/>
        </w:rPr>
        <w:t>（6）由招标人代表或投标人推选的代表检查投标文件的密封情况并予以确认；</w:t>
      </w:r>
    </w:p>
    <w:p w14:paraId="0EBE3321">
      <w:pPr>
        <w:spacing w:line="360" w:lineRule="auto"/>
        <w:ind w:firstLine="420" w:firstLineChars="200"/>
        <w:rPr>
          <w:rStyle w:val="47"/>
          <w:rFonts w:hint="eastAsia" w:ascii="宋体" w:hAnsi="宋体" w:eastAsia="宋体"/>
          <w:szCs w:val="22"/>
          <w:lang w:val="en-US" w:eastAsia="zh-CN"/>
        </w:rPr>
      </w:pPr>
      <w:r>
        <w:rPr>
          <w:rStyle w:val="47"/>
          <w:rFonts w:hint="eastAsia" w:ascii="宋体" w:hAnsi="宋体"/>
          <w:szCs w:val="22"/>
        </w:rPr>
        <w:t>（7）按照宣布的开标顺序当众开标，公布投标人名称、项目名称、投标报价、质量目标、工期及其他内容，并记录在案；</w:t>
      </w:r>
      <w:r>
        <w:rPr>
          <w:rStyle w:val="47"/>
          <w:rFonts w:hint="eastAsia" w:ascii="宋体" w:hAnsi="宋体"/>
          <w:szCs w:val="22"/>
          <w:lang w:val="en-US" w:eastAsia="zh-CN"/>
        </w:rPr>
        <w:t xml:space="preserve"> </w:t>
      </w:r>
    </w:p>
    <w:p w14:paraId="30012EA5">
      <w:pPr>
        <w:spacing w:line="400" w:lineRule="exact"/>
        <w:ind w:firstLine="420" w:firstLineChars="200"/>
        <w:rPr>
          <w:rStyle w:val="47"/>
          <w:rFonts w:ascii="宋体" w:hAnsi="宋体"/>
          <w:szCs w:val="22"/>
        </w:rPr>
      </w:pPr>
      <w:r>
        <w:rPr>
          <w:rStyle w:val="47"/>
          <w:rFonts w:hint="eastAsia" w:ascii="宋体" w:hAnsi="宋体"/>
          <w:szCs w:val="22"/>
        </w:rPr>
        <w:t>（8）对本次开标存在异议的投标单位，请现场提出，否则事后不予受理；</w:t>
      </w:r>
    </w:p>
    <w:p w14:paraId="468B7997">
      <w:pPr>
        <w:spacing w:line="400" w:lineRule="exact"/>
        <w:ind w:firstLine="420" w:firstLineChars="200"/>
        <w:rPr>
          <w:rStyle w:val="47"/>
          <w:rFonts w:ascii="宋体" w:hAnsi="宋体"/>
          <w:szCs w:val="22"/>
        </w:rPr>
      </w:pPr>
      <w:r>
        <w:rPr>
          <w:rStyle w:val="47"/>
          <w:rFonts w:hint="eastAsia" w:ascii="宋体" w:hAnsi="宋体"/>
          <w:szCs w:val="22"/>
        </w:rPr>
        <w:t>（10）开标会结束，投标人退场，进入</w:t>
      </w:r>
      <w:r>
        <w:rPr>
          <w:rStyle w:val="47"/>
          <w:rFonts w:hint="eastAsia" w:ascii="宋体" w:hAnsi="宋体"/>
          <w:szCs w:val="22"/>
          <w:lang w:val="en-US" w:eastAsia="zh-CN"/>
        </w:rPr>
        <w:t>评标</w:t>
      </w:r>
      <w:r>
        <w:rPr>
          <w:rStyle w:val="47"/>
          <w:rFonts w:hint="eastAsia" w:ascii="宋体" w:hAnsi="宋体"/>
          <w:szCs w:val="22"/>
        </w:rPr>
        <w:t>阶段。</w:t>
      </w:r>
    </w:p>
    <w:p w14:paraId="116A0B63">
      <w:pPr>
        <w:spacing w:line="400" w:lineRule="exact"/>
        <w:ind w:firstLine="420" w:firstLineChars="200"/>
        <w:rPr>
          <w:rStyle w:val="47"/>
          <w:rFonts w:ascii="宋体" w:hAnsi="宋体"/>
          <w:szCs w:val="22"/>
        </w:rPr>
      </w:pPr>
      <w:r>
        <w:rPr>
          <w:rStyle w:val="47"/>
          <w:rFonts w:hint="eastAsia" w:ascii="宋体" w:hAnsi="宋体"/>
          <w:szCs w:val="22"/>
        </w:rPr>
        <w:t>（11）</w:t>
      </w:r>
      <w:r>
        <w:rPr>
          <w:rStyle w:val="47"/>
          <w:rFonts w:hint="eastAsia" w:ascii="宋体" w:hAnsi="宋体"/>
          <w:b/>
          <w:bCs/>
          <w:szCs w:val="22"/>
          <w:u w:val="single"/>
        </w:rPr>
        <w:t>招标人将组织商务标清标工作，识别出各投标单位的不平衡报价及其他不合理项，投标单位</w:t>
      </w:r>
      <w:r>
        <w:rPr>
          <w:rStyle w:val="47"/>
          <w:rFonts w:hint="eastAsia" w:ascii="宋体" w:hAnsi="宋体"/>
          <w:b/>
          <w:bCs/>
          <w:szCs w:val="22"/>
          <w:u w:val="single"/>
          <w:lang w:val="en-US" w:eastAsia="zh-CN"/>
        </w:rPr>
        <w:t>视情况</w:t>
      </w:r>
      <w:r>
        <w:rPr>
          <w:rStyle w:val="47"/>
          <w:rFonts w:hint="eastAsia" w:ascii="宋体" w:hAnsi="宋体"/>
          <w:b/>
          <w:bCs/>
          <w:szCs w:val="22"/>
          <w:u w:val="single"/>
        </w:rPr>
        <w:t>纠正澄清，并同步修正开标总价；修正完成，并经招标人审核后方可开商务标</w:t>
      </w:r>
      <w:r>
        <w:rPr>
          <w:rStyle w:val="47"/>
          <w:rFonts w:hint="eastAsia" w:ascii="宋体" w:hAnsi="宋体"/>
          <w:b/>
          <w:bCs/>
          <w:szCs w:val="22"/>
          <w:u w:val="single"/>
          <w:lang w:eastAsia="zh-CN"/>
        </w:rPr>
        <w:t>（</w:t>
      </w:r>
      <w:r>
        <w:rPr>
          <w:rStyle w:val="47"/>
          <w:rFonts w:hint="eastAsia" w:ascii="宋体" w:hAnsi="宋体"/>
          <w:b/>
          <w:bCs/>
          <w:szCs w:val="22"/>
          <w:u w:val="single"/>
          <w:lang w:val="en-US" w:eastAsia="zh-CN"/>
        </w:rPr>
        <w:t>视情况</w:t>
      </w:r>
      <w:r>
        <w:rPr>
          <w:rStyle w:val="47"/>
          <w:rFonts w:hint="eastAsia" w:ascii="宋体" w:hAnsi="宋体"/>
          <w:b/>
          <w:bCs/>
          <w:szCs w:val="22"/>
          <w:u w:val="single"/>
          <w:lang w:eastAsia="zh-CN"/>
        </w:rPr>
        <w:t>）</w:t>
      </w:r>
      <w:r>
        <w:rPr>
          <w:rStyle w:val="47"/>
          <w:rFonts w:hint="eastAsia" w:ascii="宋体" w:hAnsi="宋体"/>
          <w:b/>
          <w:bCs/>
          <w:szCs w:val="22"/>
          <w:u w:val="single"/>
        </w:rPr>
        <w:t>；修正后的总价不得突破投标价、并作为开标后第一轮报价及后续调价基准。</w:t>
      </w:r>
    </w:p>
    <w:p w14:paraId="63495152">
      <w:pPr>
        <w:spacing w:line="400" w:lineRule="exact"/>
        <w:ind w:firstLine="420" w:firstLineChars="200"/>
        <w:rPr>
          <w:rStyle w:val="47"/>
          <w:rFonts w:ascii="宋体" w:hAnsi="宋体"/>
          <w:szCs w:val="22"/>
        </w:rPr>
      </w:pPr>
      <w:r>
        <w:rPr>
          <w:rStyle w:val="47"/>
          <w:rFonts w:hint="eastAsia" w:ascii="宋体" w:hAnsi="宋体"/>
          <w:szCs w:val="22"/>
        </w:rPr>
        <w:t>（12）商务标采用多轮报价，除开标唱标为公开报价方式外，后续多轮澄清报价均为非公开的方式，在重汽e采通进行提报。</w:t>
      </w:r>
    </w:p>
    <w:p w14:paraId="05AB4452">
      <w:pPr>
        <w:spacing w:line="360" w:lineRule="auto"/>
        <w:ind w:firstLine="420" w:firstLineChars="200"/>
      </w:pPr>
      <w:r>
        <w:rPr>
          <w:rStyle w:val="47"/>
          <w:rFonts w:hint="eastAsia" w:ascii="宋体" w:hAnsi="宋体"/>
          <w:szCs w:val="22"/>
        </w:rPr>
        <w:t>以上步骤全部结束后，本次招标过程全部结束。</w:t>
      </w:r>
    </w:p>
    <w:p w14:paraId="48BD7394">
      <w:pPr>
        <w:spacing w:line="360" w:lineRule="auto"/>
        <w:ind w:firstLine="420" w:firstLineChars="200"/>
        <w:rPr>
          <w:rStyle w:val="47"/>
          <w:rFonts w:ascii="宋体" w:hAnsi="宋体"/>
          <w:szCs w:val="22"/>
        </w:rPr>
      </w:pPr>
      <w:r>
        <w:rPr>
          <w:rStyle w:val="47"/>
          <w:rFonts w:hint="eastAsia" w:ascii="宋体" w:hAnsi="宋体"/>
          <w:szCs w:val="22"/>
        </w:rPr>
        <w:t>投标前请各投标方按照招标文件要求对项目方案进行充分准备，投标单位已默认认可上述开标、评标过程，无异议。招标人无义务对未入围投标方及未中标方做任何解释。</w:t>
      </w:r>
    </w:p>
    <w:p w14:paraId="3FAA7E5B">
      <w:pPr>
        <w:pStyle w:val="51"/>
        <w:keepLines w:val="0"/>
        <w:pageBreakBefore w:val="0"/>
        <w:widowControl w:val="0"/>
        <w:kinsoku/>
        <w:wordWrap/>
        <w:overflowPunct/>
        <w:topLinePunct w:val="0"/>
        <w:autoSpaceDE/>
        <w:autoSpaceDN/>
        <w:bidi w:val="0"/>
        <w:snapToGrid w:val="0"/>
        <w:spacing w:before="0" w:after="0" w:line="360" w:lineRule="auto"/>
        <w:textAlignment w:val="auto"/>
        <w:rPr>
          <w:rStyle w:val="47"/>
          <w:rFonts w:hint="eastAsia" w:ascii="宋体" w:hAnsi="宋体" w:eastAsia="宋体" w:cs="宋体"/>
          <w:sz w:val="21"/>
          <w:szCs w:val="21"/>
          <w:lang w:val="en-US" w:eastAsia="zh-CN"/>
        </w:rPr>
      </w:pPr>
      <w:r>
        <w:rPr>
          <w:rStyle w:val="47"/>
          <w:rFonts w:hint="eastAsia" w:ascii="宋体" w:hAnsi="宋体" w:eastAsia="宋体" w:cs="宋体"/>
          <w:sz w:val="21"/>
          <w:szCs w:val="21"/>
        </w:rPr>
        <w:t>5.</w:t>
      </w:r>
      <w:r>
        <w:rPr>
          <w:rStyle w:val="47"/>
          <w:rFonts w:hint="eastAsia" w:ascii="宋体" w:hAnsi="宋体" w:eastAsia="宋体" w:cs="宋体"/>
          <w:sz w:val="21"/>
          <w:szCs w:val="21"/>
          <w:lang w:val="en-US" w:eastAsia="zh-CN"/>
        </w:rPr>
        <w:t>3</w:t>
      </w:r>
      <w:r>
        <w:rPr>
          <w:rStyle w:val="47"/>
          <w:rFonts w:hint="eastAsia" w:ascii="宋体" w:hAnsi="宋体" w:eastAsia="宋体" w:cs="宋体"/>
          <w:sz w:val="21"/>
          <w:szCs w:val="21"/>
        </w:rPr>
        <w:t xml:space="preserve"> 评标</w:t>
      </w:r>
      <w:r>
        <w:rPr>
          <w:rStyle w:val="47"/>
          <w:rFonts w:hint="eastAsia" w:ascii="宋体" w:hAnsi="宋体" w:eastAsia="宋体" w:cs="宋体"/>
          <w:sz w:val="21"/>
          <w:szCs w:val="21"/>
          <w:lang w:val="en-US" w:eastAsia="zh-CN"/>
        </w:rPr>
        <w:t>原则</w:t>
      </w:r>
    </w:p>
    <w:p w14:paraId="008B8617">
      <w:pPr>
        <w:pStyle w:val="11"/>
        <w:numPr>
          <w:ilvl w:val="0"/>
          <w:numId w:val="10"/>
        </w:numPr>
        <w:adjustRightInd w:val="0"/>
        <w:snapToGrid w:val="0"/>
        <w:spacing w:before="72" w:after="50" w:line="312" w:lineRule="auto"/>
        <w:ind w:firstLine="440" w:firstLineChars="200"/>
        <w:rPr>
          <w:rFonts w:ascii="宋体" w:hAnsi="宋体" w:eastAsia="宋体" w:cs="宋体"/>
          <w:sz w:val="22"/>
          <w:szCs w:val="18"/>
        </w:rPr>
      </w:pPr>
      <w:r>
        <w:rPr>
          <w:rFonts w:hint="eastAsia" w:ascii="宋体" w:hAnsi="宋体" w:eastAsia="宋体" w:cs="宋体"/>
          <w:sz w:val="22"/>
          <w:szCs w:val="18"/>
        </w:rPr>
        <w:t>专家组与入围的有效投标人在其在开标价及清标修正总价的基础上开展至少3轮商务竞价，确定推荐中标人。</w:t>
      </w:r>
      <w:r>
        <w:rPr>
          <w:rFonts w:hint="eastAsia" w:ascii="宋体" w:hAnsi="宋体" w:cs="宋体"/>
          <w:bCs/>
          <w:sz w:val="22"/>
          <w:szCs w:val="18"/>
        </w:rPr>
        <w:t>根据最终有效报价由低到高进行排序，报价最低者排名第一，报价次低者排名第二，以此类推，报价最高者排名最后。最终排名第一的推荐为拟中标人，但是报价明显低于成本的除外。</w:t>
      </w:r>
    </w:p>
    <w:p w14:paraId="7815B619">
      <w:pPr>
        <w:pStyle w:val="11"/>
        <w:numPr>
          <w:ilvl w:val="0"/>
          <w:numId w:val="10"/>
        </w:numPr>
        <w:adjustRightInd w:val="0"/>
        <w:snapToGrid w:val="0"/>
        <w:spacing w:before="72" w:after="50" w:line="312" w:lineRule="auto"/>
        <w:ind w:firstLine="442" w:firstLineChars="200"/>
        <w:rPr>
          <w:rStyle w:val="47"/>
          <w:rFonts w:ascii="宋体" w:hAnsi="宋体" w:eastAsia="宋体" w:cs="宋体"/>
          <w:b/>
          <w:bCs/>
          <w:sz w:val="22"/>
          <w:szCs w:val="18"/>
        </w:rPr>
      </w:pPr>
      <w:r>
        <w:rPr>
          <w:rStyle w:val="47"/>
          <w:rFonts w:hint="eastAsia" w:ascii="宋体" w:hAnsi="宋体" w:eastAsia="宋体" w:cs="宋体"/>
          <w:b/>
          <w:bCs/>
          <w:sz w:val="22"/>
          <w:szCs w:val="18"/>
        </w:rPr>
        <w:t>投标人开标清标修正后的已标价工程量清单随开标后第一轮报价上传到e采通附件中，并与开标后第一轮报价金额一致，后续报价只上传每轮报价总金额。合同清单部分的价格结算时按照承包人开标修正后的已标价工程量清单价格乘下浮系数（商务标最后一轮澄清含税总报价/开标清标修正后的含税总报价）执行，单独澄清的清单项除外</w:t>
      </w:r>
      <w:r>
        <w:rPr>
          <w:rStyle w:val="47"/>
          <w:rFonts w:hint="eastAsia" w:ascii="宋体" w:hAnsi="宋体" w:eastAsia="宋体" w:cs="宋体"/>
          <w:b/>
          <w:bCs/>
          <w:sz w:val="22"/>
          <w:szCs w:val="18"/>
          <w:lang w:val="en-US" w:eastAsia="zh-CN"/>
        </w:rPr>
        <w:t>。</w:t>
      </w:r>
    </w:p>
    <w:p w14:paraId="34EEA104">
      <w:pPr>
        <w:spacing w:line="360" w:lineRule="auto"/>
        <w:ind w:firstLine="420" w:firstLineChars="200"/>
        <w:rPr>
          <w:rFonts w:hint="eastAsia"/>
          <w:highlight w:val="yellow"/>
        </w:rPr>
      </w:pPr>
    </w:p>
    <w:p w14:paraId="6AA23F8B">
      <w:pPr>
        <w:spacing w:line="360" w:lineRule="auto"/>
        <w:ind w:firstLine="420" w:firstLineChars="200"/>
      </w:pPr>
      <w:r>
        <w:rPr>
          <w:rFonts w:hint="eastAsia"/>
          <w:highlight w:val="yellow"/>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5D8F519">
      <w:pPr>
        <w:pStyle w:val="5"/>
        <w:spacing w:before="0" w:after="0" w:line="360" w:lineRule="auto"/>
        <w:jc w:val="center"/>
        <w:rPr>
          <w:sz w:val="30"/>
          <w:szCs w:val="30"/>
        </w:rPr>
      </w:pPr>
      <w:bookmarkStart w:id="44" w:name="_Toc31230"/>
      <w:r>
        <w:rPr>
          <w:sz w:val="30"/>
          <w:szCs w:val="30"/>
        </w:rPr>
        <w:t>6. 评标</w:t>
      </w:r>
      <w:bookmarkEnd w:id="41"/>
      <w:bookmarkEnd w:id="42"/>
      <w:bookmarkEnd w:id="43"/>
      <w:bookmarkEnd w:id="44"/>
    </w:p>
    <w:p w14:paraId="5F3A3CB0">
      <w:pPr>
        <w:pStyle w:val="51"/>
        <w:spacing w:before="0" w:after="0" w:line="360" w:lineRule="auto"/>
        <w:rPr>
          <w:rStyle w:val="47"/>
          <w:rFonts w:ascii="宋体" w:hAnsi="宋体"/>
          <w:sz w:val="24"/>
        </w:rPr>
      </w:pPr>
      <w:r>
        <w:rPr>
          <w:rStyle w:val="47"/>
          <w:rFonts w:ascii="宋体" w:hAnsi="宋体"/>
          <w:sz w:val="24"/>
        </w:rPr>
        <w:t>6.1 评标委员会</w:t>
      </w:r>
    </w:p>
    <w:p w14:paraId="010A8D43">
      <w:pPr>
        <w:spacing w:line="360" w:lineRule="auto"/>
        <w:ind w:firstLine="420" w:firstLineChars="200"/>
        <w:rPr>
          <w:rStyle w:val="47"/>
          <w:rFonts w:ascii="宋体" w:hAnsi="宋体"/>
        </w:rPr>
      </w:pPr>
      <w:r>
        <w:rPr>
          <w:rStyle w:val="47"/>
          <w:rFonts w:ascii="宋体" w:hAnsi="宋体"/>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5802837C">
      <w:pPr>
        <w:spacing w:line="360" w:lineRule="auto"/>
        <w:ind w:firstLine="420" w:firstLineChars="200"/>
        <w:rPr>
          <w:rStyle w:val="47"/>
          <w:rFonts w:ascii="宋体" w:hAnsi="宋体"/>
        </w:rPr>
      </w:pPr>
      <w:r>
        <w:rPr>
          <w:rStyle w:val="47"/>
          <w:rFonts w:ascii="宋体" w:hAnsi="宋体"/>
        </w:rPr>
        <w:t>6.1.2 评标委员会成员有下列情形之一的，应当回避：</w:t>
      </w:r>
    </w:p>
    <w:p w14:paraId="1F5E94EC">
      <w:pPr>
        <w:spacing w:line="360" w:lineRule="auto"/>
        <w:ind w:firstLine="718" w:firstLineChars="342"/>
        <w:rPr>
          <w:rStyle w:val="47"/>
          <w:rFonts w:ascii="宋体" w:hAnsi="宋体"/>
        </w:rPr>
      </w:pPr>
      <w:r>
        <w:rPr>
          <w:rStyle w:val="47"/>
          <w:rFonts w:ascii="宋体" w:hAnsi="宋体"/>
        </w:rPr>
        <w:t>（1）招标人或投标人的主要负责人的近亲属；</w:t>
      </w:r>
    </w:p>
    <w:p w14:paraId="4B9B99FD">
      <w:pPr>
        <w:spacing w:line="360" w:lineRule="auto"/>
        <w:ind w:firstLine="718" w:firstLineChars="342"/>
        <w:rPr>
          <w:rStyle w:val="47"/>
          <w:rFonts w:ascii="宋体" w:hAnsi="宋体"/>
        </w:rPr>
      </w:pPr>
      <w:r>
        <w:rPr>
          <w:rStyle w:val="47"/>
          <w:rFonts w:ascii="宋体" w:hAnsi="宋体"/>
        </w:rPr>
        <w:t>（2）项目主管部门或者行政监督部门的人员；</w:t>
      </w:r>
    </w:p>
    <w:p w14:paraId="5C4F8186">
      <w:pPr>
        <w:spacing w:line="360" w:lineRule="auto"/>
        <w:ind w:firstLine="718" w:firstLineChars="342"/>
        <w:rPr>
          <w:rStyle w:val="47"/>
          <w:rFonts w:ascii="宋体" w:hAnsi="宋体"/>
        </w:rPr>
      </w:pPr>
      <w:r>
        <w:rPr>
          <w:rStyle w:val="47"/>
          <w:rFonts w:ascii="宋体" w:hAnsi="宋体"/>
        </w:rPr>
        <w:t>（3）与投标人有经济利益关系，可能影响对投标公正评审的；</w:t>
      </w:r>
    </w:p>
    <w:p w14:paraId="469802EB">
      <w:pPr>
        <w:spacing w:line="360" w:lineRule="auto"/>
        <w:ind w:firstLine="718" w:firstLineChars="342"/>
        <w:rPr>
          <w:rStyle w:val="47"/>
          <w:rFonts w:ascii="宋体" w:hAnsi="宋体"/>
        </w:rPr>
      </w:pPr>
      <w:r>
        <w:rPr>
          <w:rStyle w:val="47"/>
          <w:rFonts w:ascii="宋体" w:hAnsi="宋体"/>
        </w:rPr>
        <w:t>（4）曾因在招标、评标及其他与招标投标有关活动中从事违法行为而受过行政处罚或刑事处罚的。</w:t>
      </w:r>
    </w:p>
    <w:p w14:paraId="1F803904">
      <w:pPr>
        <w:pStyle w:val="51"/>
        <w:spacing w:before="0" w:after="0" w:line="360" w:lineRule="auto"/>
        <w:rPr>
          <w:rStyle w:val="47"/>
          <w:rFonts w:ascii="宋体" w:hAnsi="宋体"/>
        </w:rPr>
      </w:pPr>
      <w:r>
        <w:rPr>
          <w:rStyle w:val="47"/>
          <w:rFonts w:ascii="宋体" w:hAnsi="宋体"/>
          <w:sz w:val="24"/>
        </w:rPr>
        <w:t>6.2 评标原则</w:t>
      </w:r>
      <w:r>
        <w:rPr>
          <w:rStyle w:val="47"/>
          <w:rFonts w:ascii="宋体" w:hAnsi="宋体"/>
        </w:rPr>
        <w:tab/>
      </w:r>
    </w:p>
    <w:p w14:paraId="10F51929">
      <w:pPr>
        <w:spacing w:line="360" w:lineRule="auto"/>
        <w:ind w:firstLine="420" w:firstLineChars="200"/>
        <w:rPr>
          <w:rStyle w:val="47"/>
          <w:rFonts w:ascii="宋体" w:hAnsi="宋体"/>
        </w:rPr>
      </w:pPr>
      <w:r>
        <w:rPr>
          <w:rStyle w:val="47"/>
          <w:rFonts w:ascii="宋体" w:hAnsi="宋体"/>
        </w:rPr>
        <w:t>评标活动遵循公平、公正、科学和择优的原则。</w:t>
      </w:r>
    </w:p>
    <w:p w14:paraId="678A9F6B">
      <w:pPr>
        <w:pStyle w:val="51"/>
        <w:spacing w:before="0" w:after="0" w:line="360" w:lineRule="auto"/>
        <w:rPr>
          <w:rStyle w:val="47"/>
          <w:rFonts w:ascii="宋体" w:hAnsi="宋体"/>
          <w:sz w:val="24"/>
        </w:rPr>
      </w:pPr>
      <w:r>
        <w:rPr>
          <w:rStyle w:val="47"/>
          <w:rFonts w:ascii="宋体" w:hAnsi="宋体"/>
          <w:sz w:val="24"/>
        </w:rPr>
        <w:t>6.3 评标</w:t>
      </w:r>
    </w:p>
    <w:p w14:paraId="4B2BAF60">
      <w:pPr>
        <w:spacing w:line="360" w:lineRule="auto"/>
        <w:ind w:firstLine="420" w:firstLineChars="200"/>
        <w:rPr>
          <w:rStyle w:val="47"/>
          <w:rFonts w:ascii="宋体" w:hAnsi="宋体"/>
        </w:rPr>
      </w:pPr>
      <w:r>
        <w:rPr>
          <w:rStyle w:val="47"/>
          <w:rFonts w:ascii="宋体" w:hAnsi="宋体"/>
        </w:rPr>
        <w:t>评标委员会按照第三章“评标办法”规定的方法、评审因素、标准和程序对投标文件进行评审。第三章“评标办法”没有规定的方法、评审因素和标准，不作为评标依据。</w:t>
      </w:r>
    </w:p>
    <w:p w14:paraId="43A70CF6">
      <w:pPr>
        <w:pStyle w:val="5"/>
        <w:spacing w:before="0" w:after="0" w:line="360" w:lineRule="auto"/>
        <w:jc w:val="center"/>
        <w:rPr>
          <w:sz w:val="30"/>
          <w:szCs w:val="30"/>
        </w:rPr>
      </w:pPr>
      <w:bookmarkStart w:id="45" w:name="_Toc17817329"/>
      <w:bookmarkStart w:id="46" w:name="_Toc16063899"/>
      <w:bookmarkStart w:id="47" w:name="_Toc30091"/>
      <w:bookmarkStart w:id="48" w:name="_Toc31317"/>
      <w:r>
        <w:rPr>
          <w:sz w:val="30"/>
          <w:szCs w:val="30"/>
        </w:rPr>
        <w:t>7. 合同授予</w:t>
      </w:r>
      <w:bookmarkEnd w:id="45"/>
      <w:bookmarkEnd w:id="46"/>
      <w:bookmarkEnd w:id="47"/>
      <w:bookmarkEnd w:id="48"/>
    </w:p>
    <w:p w14:paraId="1682A111">
      <w:pPr>
        <w:pStyle w:val="51"/>
        <w:spacing w:before="0" w:after="0" w:line="360" w:lineRule="auto"/>
        <w:rPr>
          <w:rStyle w:val="47"/>
          <w:rFonts w:ascii="宋体" w:hAnsi="宋体"/>
          <w:sz w:val="24"/>
        </w:rPr>
      </w:pPr>
      <w:r>
        <w:rPr>
          <w:rStyle w:val="47"/>
          <w:rFonts w:ascii="宋体" w:hAnsi="宋体"/>
          <w:sz w:val="24"/>
        </w:rPr>
        <w:t>7.1 定标方式</w:t>
      </w:r>
    </w:p>
    <w:p w14:paraId="161B1852">
      <w:pPr>
        <w:spacing w:line="360" w:lineRule="auto"/>
        <w:ind w:firstLine="420" w:firstLineChars="200"/>
        <w:rPr>
          <w:rFonts w:ascii="宋体" w:hAnsi="宋体"/>
        </w:rPr>
      </w:pPr>
      <w:r>
        <w:rPr>
          <w:rFonts w:hint="eastAsia" w:ascii="宋体" w:hAnsi="宋体"/>
        </w:rPr>
        <w:t>除投标人须知前附表规定评标委员会直接确定中标人外，招标人依据评标委员会提供的评标资料择优确定中标人，评标委员会推荐中标候选人的人数见投标人须知前附表。</w:t>
      </w:r>
    </w:p>
    <w:p w14:paraId="44A9D7B0">
      <w:pPr>
        <w:pStyle w:val="51"/>
        <w:spacing w:before="0" w:after="0" w:line="360" w:lineRule="auto"/>
        <w:rPr>
          <w:rStyle w:val="47"/>
          <w:rFonts w:ascii="宋体" w:hAnsi="宋体"/>
          <w:sz w:val="24"/>
        </w:rPr>
      </w:pPr>
      <w:r>
        <w:rPr>
          <w:rStyle w:val="47"/>
          <w:rFonts w:ascii="宋体" w:hAnsi="宋体"/>
          <w:sz w:val="24"/>
        </w:rPr>
        <w:t>7.2 中标通知</w:t>
      </w:r>
    </w:p>
    <w:p w14:paraId="0630A96B">
      <w:pPr>
        <w:spacing w:line="360" w:lineRule="auto"/>
        <w:ind w:firstLine="420" w:firstLineChars="200"/>
        <w:rPr>
          <w:rStyle w:val="47"/>
          <w:rFonts w:hint="eastAsia" w:ascii="宋体" w:hAnsi="宋体"/>
          <w:b/>
          <w:bCs/>
          <w:color w:val="FF0000"/>
        </w:rPr>
      </w:pPr>
      <w:r>
        <w:rPr>
          <w:rStyle w:val="47"/>
          <w:rFonts w:ascii="宋体" w:hAnsi="宋体"/>
        </w:rPr>
        <w:t>在本章</w:t>
      </w:r>
      <w:r>
        <w:rPr>
          <w:rStyle w:val="33"/>
          <w:rFonts w:ascii="宋体" w:hAnsi="宋体"/>
          <w:color w:val="auto"/>
          <w:sz w:val="21"/>
        </w:rPr>
        <w:t>第3.3款</w:t>
      </w:r>
      <w:r>
        <w:rPr>
          <w:rStyle w:val="47"/>
          <w:rFonts w:ascii="宋体" w:hAnsi="宋体"/>
        </w:rPr>
        <w:t>规定的投标有效期内，招标人以书面形式向中标人发出中标通知书，同时将中标结果通知未中标的投标人。</w:t>
      </w:r>
      <w:r>
        <w:rPr>
          <w:rStyle w:val="47"/>
          <w:rFonts w:hint="eastAsia" w:ascii="宋体" w:hAnsi="宋体"/>
          <w:b/>
          <w:bCs/>
          <w:color w:val="FF0000"/>
        </w:rPr>
        <w:t>中标通知包括但不限于电话、短信、微信、邮件等形式，拟中标单位应在收到中标通知后立即组织进场事宜，不得以未收到纸质中标通知书做为延期的条件拒绝招标人的进场要求。</w:t>
      </w:r>
    </w:p>
    <w:p w14:paraId="47B226D2">
      <w:pPr>
        <w:spacing w:line="360" w:lineRule="auto"/>
        <w:ind w:firstLine="480" w:firstLineChars="200"/>
        <w:rPr>
          <w:rStyle w:val="47"/>
          <w:rFonts w:ascii="宋体" w:hAnsi="宋体"/>
          <w:sz w:val="24"/>
        </w:rPr>
      </w:pPr>
      <w:r>
        <w:rPr>
          <w:rStyle w:val="47"/>
          <w:rFonts w:ascii="宋体" w:hAnsi="宋体"/>
          <w:sz w:val="24"/>
        </w:rPr>
        <w:t>7.3 签订合同</w:t>
      </w:r>
    </w:p>
    <w:p w14:paraId="1013D902">
      <w:pPr>
        <w:spacing w:line="360" w:lineRule="auto"/>
        <w:ind w:firstLine="420" w:firstLineChars="200"/>
        <w:rPr>
          <w:rStyle w:val="47"/>
          <w:rFonts w:ascii="宋体" w:hAnsi="宋体"/>
        </w:rPr>
      </w:pPr>
      <w:r>
        <w:rPr>
          <w:rStyle w:val="47"/>
          <w:rFonts w:ascii="宋体" w:hAnsi="宋体"/>
        </w:rPr>
        <w:t xml:space="preserve">7.3.1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14:paraId="455D3740">
      <w:pPr>
        <w:spacing w:line="360" w:lineRule="auto"/>
        <w:ind w:firstLine="420" w:firstLineChars="200"/>
        <w:rPr>
          <w:rStyle w:val="47"/>
          <w:rFonts w:ascii="宋体" w:hAnsi="宋体"/>
        </w:rPr>
      </w:pPr>
      <w:r>
        <w:rPr>
          <w:rStyle w:val="47"/>
          <w:rFonts w:ascii="宋体" w:hAnsi="宋体"/>
        </w:rPr>
        <w:t xml:space="preserve">7.3.2发出中标通知书后，招标人无正当理由拒签合同的，招标人向中标人退还投标保证金；给中标人造成损失的，还应当赔偿损失。 </w:t>
      </w:r>
    </w:p>
    <w:p w14:paraId="1F9782B9">
      <w:pPr>
        <w:pStyle w:val="5"/>
        <w:spacing w:before="0" w:after="0" w:line="360" w:lineRule="auto"/>
        <w:jc w:val="center"/>
        <w:rPr>
          <w:sz w:val="30"/>
          <w:szCs w:val="30"/>
        </w:rPr>
      </w:pPr>
      <w:bookmarkStart w:id="49" w:name="_Toc17817330"/>
      <w:bookmarkStart w:id="50" w:name="_Toc16063900"/>
      <w:bookmarkStart w:id="51" w:name="_Toc3054"/>
      <w:bookmarkStart w:id="52" w:name="_Toc19379"/>
      <w:bookmarkStart w:id="53" w:name="_Toc16063901"/>
      <w:bookmarkStart w:id="54" w:name="_Toc17817331"/>
      <w:bookmarkStart w:id="55" w:name="_Toc21395"/>
      <w:r>
        <w:rPr>
          <w:sz w:val="30"/>
          <w:szCs w:val="30"/>
        </w:rPr>
        <w:t>8. 重新招标和不再招标</w:t>
      </w:r>
      <w:bookmarkEnd w:id="49"/>
      <w:bookmarkEnd w:id="50"/>
      <w:bookmarkEnd w:id="51"/>
      <w:bookmarkEnd w:id="52"/>
    </w:p>
    <w:p w14:paraId="613297A9">
      <w:pPr>
        <w:pStyle w:val="51"/>
        <w:spacing w:before="0" w:after="0" w:line="360" w:lineRule="auto"/>
        <w:rPr>
          <w:rStyle w:val="47"/>
          <w:rFonts w:ascii="宋体" w:hAnsi="宋体"/>
          <w:sz w:val="24"/>
        </w:rPr>
      </w:pPr>
      <w:r>
        <w:rPr>
          <w:rStyle w:val="47"/>
          <w:rFonts w:ascii="宋体" w:hAnsi="宋体"/>
          <w:sz w:val="24"/>
        </w:rPr>
        <w:t>8.1 重新招标</w:t>
      </w:r>
    </w:p>
    <w:p w14:paraId="2A917684">
      <w:pPr>
        <w:spacing w:line="360" w:lineRule="auto"/>
        <w:ind w:firstLine="420" w:firstLineChars="200"/>
        <w:rPr>
          <w:rStyle w:val="47"/>
          <w:rFonts w:ascii="宋体" w:hAnsi="宋体"/>
        </w:rPr>
      </w:pPr>
      <w:r>
        <w:rPr>
          <w:rStyle w:val="47"/>
          <w:rFonts w:ascii="宋体" w:hAnsi="宋体"/>
        </w:rPr>
        <w:t>有下列情形之一的，招标人将重新招标：</w:t>
      </w:r>
    </w:p>
    <w:p w14:paraId="44247C8F">
      <w:pPr>
        <w:spacing w:line="360" w:lineRule="auto"/>
        <w:ind w:firstLine="359" w:firstLineChars="171"/>
        <w:rPr>
          <w:rStyle w:val="47"/>
          <w:rFonts w:ascii="宋体" w:hAnsi="宋体"/>
        </w:rPr>
      </w:pPr>
      <w:r>
        <w:rPr>
          <w:rStyle w:val="47"/>
          <w:rFonts w:ascii="宋体" w:hAnsi="宋体"/>
        </w:rPr>
        <w:t>（1）投标截止时间止，投标人少于3个的；</w:t>
      </w:r>
    </w:p>
    <w:p w14:paraId="1B22BC3E">
      <w:pPr>
        <w:spacing w:line="360" w:lineRule="auto"/>
        <w:ind w:firstLine="359" w:firstLineChars="171"/>
        <w:rPr>
          <w:rStyle w:val="47"/>
          <w:rFonts w:ascii="宋体" w:hAnsi="宋体"/>
        </w:rPr>
      </w:pPr>
      <w:r>
        <w:rPr>
          <w:rStyle w:val="47"/>
          <w:rFonts w:ascii="宋体" w:hAnsi="宋体"/>
        </w:rPr>
        <w:t>（2）经评标委员会评审后否决所有投标的。</w:t>
      </w:r>
    </w:p>
    <w:p w14:paraId="47570066">
      <w:pPr>
        <w:pStyle w:val="51"/>
        <w:spacing w:before="0" w:after="0" w:line="360" w:lineRule="auto"/>
        <w:rPr>
          <w:rStyle w:val="47"/>
          <w:rFonts w:ascii="宋体" w:hAnsi="宋体"/>
          <w:sz w:val="24"/>
        </w:rPr>
      </w:pPr>
      <w:r>
        <w:rPr>
          <w:rStyle w:val="47"/>
          <w:rFonts w:ascii="宋体" w:hAnsi="宋体"/>
          <w:sz w:val="24"/>
        </w:rPr>
        <w:t>8.2 不再招标</w:t>
      </w:r>
    </w:p>
    <w:p w14:paraId="19BD0164">
      <w:pPr>
        <w:spacing w:line="360" w:lineRule="auto"/>
        <w:ind w:firstLine="420" w:firstLineChars="200"/>
        <w:rPr>
          <w:rStyle w:val="47"/>
          <w:rFonts w:ascii="宋体" w:hAnsi="宋体"/>
        </w:rPr>
      </w:pPr>
      <w:r>
        <w:rPr>
          <w:rStyle w:val="47"/>
          <w:rFonts w:ascii="宋体" w:hAnsi="宋体"/>
        </w:rPr>
        <w:t>重新招标后投标人仍少于3个或者所有投标被否决的，属于必须审批或核准的工程建设项目，经原审批或核准部门批准后不再进行招标。</w:t>
      </w:r>
    </w:p>
    <w:p w14:paraId="0DEA25E5">
      <w:pPr>
        <w:pStyle w:val="51"/>
        <w:keepLines w:val="0"/>
        <w:pageBreakBefore w:val="0"/>
        <w:widowControl w:val="0"/>
        <w:kinsoku/>
        <w:wordWrap/>
        <w:overflowPunct/>
        <w:topLinePunct w:val="0"/>
        <w:autoSpaceDE/>
        <w:autoSpaceDN/>
        <w:bidi w:val="0"/>
        <w:snapToGrid w:val="0"/>
        <w:spacing w:line="360" w:lineRule="auto"/>
        <w:textAlignment w:val="auto"/>
        <w:rPr>
          <w:rStyle w:val="47"/>
          <w:rFonts w:hint="eastAsia" w:ascii="宋体" w:hAnsi="宋体" w:eastAsia="宋体" w:cs="宋体"/>
          <w:sz w:val="21"/>
          <w:szCs w:val="21"/>
        </w:rPr>
      </w:pPr>
      <w:r>
        <w:rPr>
          <w:rStyle w:val="47"/>
          <w:rFonts w:hint="eastAsia" w:ascii="宋体" w:hAnsi="宋体" w:eastAsia="宋体" w:cs="宋体"/>
          <w:sz w:val="21"/>
          <w:szCs w:val="21"/>
        </w:rPr>
        <w:t>8.3终止招标</w:t>
      </w:r>
    </w:p>
    <w:p w14:paraId="380CD537">
      <w:pPr>
        <w:keepLines w:val="0"/>
        <w:pageBreakBefore w:val="0"/>
        <w:widowControl w:val="0"/>
        <w:kinsoku/>
        <w:wordWrap/>
        <w:overflowPunct/>
        <w:topLinePunct w:val="0"/>
        <w:autoSpaceDE/>
        <w:autoSpaceDN/>
        <w:bidi w:val="0"/>
        <w:snapToGrid w:val="0"/>
        <w:spacing w:line="360" w:lineRule="auto"/>
        <w:ind w:left="420" w:leftChars="200"/>
        <w:textAlignment w:val="auto"/>
        <w:rPr>
          <w:rStyle w:val="47"/>
          <w:rFonts w:hint="eastAsia" w:ascii="宋体" w:hAnsi="宋体" w:eastAsia="宋体" w:cs="宋体"/>
          <w:sz w:val="21"/>
          <w:szCs w:val="21"/>
        </w:rPr>
      </w:pPr>
      <w:r>
        <w:rPr>
          <w:rStyle w:val="47"/>
          <w:rFonts w:hint="eastAsia" w:ascii="宋体" w:hAnsi="宋体" w:eastAsia="宋体" w:cs="宋体"/>
          <w:sz w:val="21"/>
          <w:szCs w:val="21"/>
        </w:rPr>
        <w:t>出现下列情形之一，招标人有权否决所有投标人的投标，并终止招标：</w:t>
      </w:r>
      <w:r>
        <w:rPr>
          <w:rStyle w:val="47"/>
          <w:rFonts w:hint="eastAsia" w:ascii="宋体" w:hAnsi="宋体" w:eastAsia="宋体" w:cs="宋体"/>
          <w:sz w:val="21"/>
          <w:szCs w:val="21"/>
        </w:rPr>
        <w:br w:type="textWrapping"/>
      </w:r>
      <w:r>
        <w:rPr>
          <w:rStyle w:val="47"/>
          <w:rFonts w:hint="eastAsia" w:ascii="宋体" w:hAnsi="宋体" w:eastAsia="宋体" w:cs="宋体"/>
          <w:sz w:val="21"/>
          <w:szCs w:val="21"/>
        </w:rPr>
        <w:t>（1）符合条件的投标人或者对招标文件做实质响应的投标人不足三家的；</w:t>
      </w:r>
      <w:r>
        <w:rPr>
          <w:rStyle w:val="47"/>
          <w:rFonts w:hint="eastAsia" w:ascii="宋体" w:hAnsi="宋体" w:eastAsia="宋体" w:cs="宋体"/>
          <w:sz w:val="21"/>
          <w:szCs w:val="21"/>
        </w:rPr>
        <w:br w:type="textWrapping"/>
      </w:r>
      <w:r>
        <w:rPr>
          <w:rStyle w:val="47"/>
          <w:rFonts w:hint="eastAsia" w:ascii="宋体" w:hAnsi="宋体" w:eastAsia="宋体" w:cs="宋体"/>
          <w:sz w:val="21"/>
          <w:szCs w:val="21"/>
        </w:rPr>
        <w:t>（2）出现影响采购公正的违法、违规行为的；</w:t>
      </w:r>
      <w:r>
        <w:rPr>
          <w:rStyle w:val="47"/>
          <w:rFonts w:hint="eastAsia" w:ascii="宋体" w:hAnsi="宋体" w:eastAsia="宋体" w:cs="宋体"/>
          <w:sz w:val="21"/>
          <w:szCs w:val="21"/>
        </w:rPr>
        <w:br w:type="textWrapping"/>
      </w:r>
      <w:r>
        <w:rPr>
          <w:rStyle w:val="47"/>
          <w:rFonts w:hint="eastAsia" w:ascii="宋体" w:hAnsi="宋体" w:eastAsia="宋体" w:cs="宋体"/>
          <w:sz w:val="21"/>
          <w:szCs w:val="21"/>
        </w:rPr>
        <w:t>（3）因重大变故，采购任务取消的；</w:t>
      </w:r>
      <w:r>
        <w:rPr>
          <w:rStyle w:val="47"/>
          <w:rFonts w:hint="eastAsia" w:ascii="宋体" w:hAnsi="宋体" w:eastAsia="宋体" w:cs="宋体"/>
          <w:sz w:val="21"/>
          <w:szCs w:val="21"/>
        </w:rPr>
        <w:br w:type="textWrapping"/>
      </w:r>
      <w:r>
        <w:rPr>
          <w:rStyle w:val="47"/>
          <w:rFonts w:hint="eastAsia" w:ascii="宋体" w:hAnsi="宋体" w:eastAsia="宋体" w:cs="宋体"/>
          <w:sz w:val="21"/>
          <w:szCs w:val="21"/>
        </w:rPr>
        <w:t>（4）评标委员会经评审，认为所有投标都不符合招标文件要求的；</w:t>
      </w:r>
      <w:r>
        <w:rPr>
          <w:rStyle w:val="47"/>
          <w:rFonts w:hint="eastAsia" w:ascii="宋体" w:hAnsi="宋体" w:eastAsia="宋体" w:cs="宋体"/>
          <w:sz w:val="21"/>
          <w:szCs w:val="21"/>
        </w:rPr>
        <w:br w:type="textWrapping"/>
      </w:r>
      <w:r>
        <w:rPr>
          <w:rStyle w:val="47"/>
          <w:rFonts w:hint="eastAsia" w:ascii="宋体" w:hAnsi="宋体" w:eastAsia="宋体" w:cs="宋体"/>
          <w:sz w:val="21"/>
          <w:szCs w:val="21"/>
        </w:rPr>
        <w:t>（5）招标人认为其他应终止招标的情形；</w:t>
      </w:r>
      <w:r>
        <w:rPr>
          <w:rStyle w:val="47"/>
          <w:rFonts w:hint="eastAsia" w:ascii="宋体" w:hAnsi="宋体" w:eastAsia="宋体" w:cs="宋体"/>
          <w:sz w:val="21"/>
          <w:szCs w:val="21"/>
        </w:rPr>
        <w:br w:type="textWrapping"/>
      </w:r>
      <w:r>
        <w:rPr>
          <w:rStyle w:val="47"/>
          <w:rFonts w:hint="eastAsia" w:ascii="宋体" w:hAnsi="宋体" w:eastAsia="宋体" w:cs="宋体"/>
          <w:sz w:val="21"/>
          <w:szCs w:val="21"/>
        </w:rPr>
        <w:t>（6）投标人承诺并同意因招标人公司政策变化引起的随时终止项目的情形，并自行承担由此带来的一切损失。</w:t>
      </w:r>
    </w:p>
    <w:p w14:paraId="3239B179">
      <w:pPr>
        <w:spacing w:line="360" w:lineRule="auto"/>
        <w:ind w:firstLine="420" w:firstLineChars="200"/>
        <w:rPr>
          <w:rStyle w:val="47"/>
          <w:rFonts w:ascii="宋体" w:hAnsi="宋体"/>
        </w:rPr>
      </w:pPr>
    </w:p>
    <w:p w14:paraId="217FD240">
      <w:pPr>
        <w:pStyle w:val="5"/>
        <w:spacing w:before="0" w:after="0" w:line="360" w:lineRule="auto"/>
        <w:jc w:val="center"/>
        <w:rPr>
          <w:sz w:val="30"/>
          <w:szCs w:val="30"/>
        </w:rPr>
      </w:pPr>
      <w:bookmarkStart w:id="56" w:name="_Toc30615"/>
      <w:r>
        <w:rPr>
          <w:sz w:val="30"/>
          <w:szCs w:val="30"/>
        </w:rPr>
        <w:t>9. 纪律和监督</w:t>
      </w:r>
      <w:bookmarkEnd w:id="53"/>
      <w:bookmarkEnd w:id="54"/>
      <w:bookmarkEnd w:id="55"/>
      <w:bookmarkEnd w:id="56"/>
    </w:p>
    <w:p w14:paraId="72CE35CA">
      <w:pPr>
        <w:pStyle w:val="51"/>
        <w:spacing w:before="0" w:after="0" w:line="360" w:lineRule="auto"/>
        <w:rPr>
          <w:rStyle w:val="47"/>
          <w:rFonts w:ascii="宋体" w:hAnsi="宋体"/>
          <w:sz w:val="24"/>
        </w:rPr>
      </w:pPr>
      <w:r>
        <w:rPr>
          <w:rStyle w:val="47"/>
          <w:rFonts w:ascii="宋体" w:hAnsi="宋体"/>
          <w:sz w:val="24"/>
        </w:rPr>
        <w:t>9.1 对招标人的纪律要求</w:t>
      </w:r>
    </w:p>
    <w:p w14:paraId="3CFD3E3F">
      <w:pPr>
        <w:spacing w:line="360" w:lineRule="auto"/>
        <w:ind w:firstLine="420" w:firstLineChars="200"/>
        <w:rPr>
          <w:rStyle w:val="47"/>
          <w:rFonts w:ascii="宋体" w:hAnsi="宋体"/>
        </w:rPr>
      </w:pPr>
      <w:r>
        <w:rPr>
          <w:rStyle w:val="47"/>
          <w:rFonts w:ascii="宋体" w:hAnsi="宋体"/>
        </w:rPr>
        <w:t>招标人不得泄漏招标投标活动中应当保密的情况和资料，不得与投标人串通损害国家利益、社会公共利益或者他人合法权益。</w:t>
      </w:r>
    </w:p>
    <w:p w14:paraId="634687F5">
      <w:pPr>
        <w:pStyle w:val="51"/>
        <w:spacing w:before="0" w:after="0" w:line="360" w:lineRule="auto"/>
        <w:rPr>
          <w:rStyle w:val="47"/>
          <w:rFonts w:ascii="宋体" w:hAnsi="宋体"/>
          <w:sz w:val="24"/>
        </w:rPr>
      </w:pPr>
      <w:r>
        <w:rPr>
          <w:rStyle w:val="47"/>
          <w:rFonts w:ascii="宋体" w:hAnsi="宋体"/>
          <w:sz w:val="24"/>
        </w:rPr>
        <w:t>9.2 对投标人的纪律要求</w:t>
      </w:r>
    </w:p>
    <w:p w14:paraId="40697D15">
      <w:pPr>
        <w:spacing w:line="360" w:lineRule="auto"/>
        <w:ind w:firstLine="420" w:firstLineChars="200"/>
        <w:rPr>
          <w:rStyle w:val="47"/>
          <w:rFonts w:ascii="宋体" w:hAnsi="宋体"/>
        </w:rPr>
      </w:pPr>
      <w:r>
        <w:rPr>
          <w:rStyle w:val="47"/>
          <w:rFonts w:ascii="宋体" w:hAnsi="宋体"/>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7E9FF175">
      <w:pPr>
        <w:pStyle w:val="51"/>
        <w:spacing w:before="0" w:after="0" w:line="360" w:lineRule="auto"/>
        <w:rPr>
          <w:rStyle w:val="47"/>
          <w:rFonts w:ascii="宋体" w:hAnsi="宋体"/>
          <w:sz w:val="24"/>
        </w:rPr>
      </w:pPr>
      <w:r>
        <w:rPr>
          <w:rStyle w:val="47"/>
          <w:rFonts w:ascii="宋体" w:hAnsi="宋体"/>
          <w:sz w:val="24"/>
        </w:rPr>
        <w:t>9.3 对评标委员会成员的纪律要求</w:t>
      </w:r>
    </w:p>
    <w:p w14:paraId="103C7831">
      <w:pPr>
        <w:spacing w:line="360" w:lineRule="auto"/>
        <w:ind w:firstLine="420" w:firstLineChars="200"/>
        <w:rPr>
          <w:rStyle w:val="47"/>
          <w:rFonts w:ascii="宋体" w:hAnsi="宋体"/>
        </w:rPr>
      </w:pPr>
      <w:r>
        <w:rPr>
          <w:rStyle w:val="47"/>
          <w:rFonts w:ascii="宋体" w:hAnsi="宋体"/>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26B16267">
      <w:pPr>
        <w:pStyle w:val="51"/>
        <w:spacing w:before="0" w:after="0" w:line="360" w:lineRule="auto"/>
        <w:rPr>
          <w:rStyle w:val="47"/>
          <w:rFonts w:ascii="宋体" w:hAnsi="宋体"/>
          <w:sz w:val="24"/>
        </w:rPr>
      </w:pPr>
      <w:r>
        <w:rPr>
          <w:rStyle w:val="47"/>
          <w:rFonts w:ascii="宋体" w:hAnsi="宋体"/>
          <w:sz w:val="24"/>
        </w:rPr>
        <w:t>9.4 对与评标活动有关的工作人员的纪律要求</w:t>
      </w:r>
    </w:p>
    <w:p w14:paraId="62A4D36B">
      <w:pPr>
        <w:spacing w:line="360" w:lineRule="auto"/>
        <w:ind w:firstLine="420" w:firstLineChars="200"/>
        <w:rPr>
          <w:rStyle w:val="47"/>
          <w:rFonts w:ascii="宋体" w:hAnsi="宋体"/>
        </w:rPr>
      </w:pPr>
      <w:r>
        <w:rPr>
          <w:rStyle w:val="47"/>
          <w:rFonts w:ascii="宋体" w:hAnsi="宋体"/>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1AC15922">
      <w:pPr>
        <w:pStyle w:val="51"/>
        <w:spacing w:before="0" w:after="0" w:line="360" w:lineRule="auto"/>
        <w:rPr>
          <w:rStyle w:val="47"/>
          <w:rFonts w:ascii="宋体" w:hAnsi="宋体"/>
          <w:sz w:val="24"/>
        </w:rPr>
      </w:pPr>
      <w:r>
        <w:rPr>
          <w:rStyle w:val="47"/>
          <w:rFonts w:ascii="宋体" w:hAnsi="宋体"/>
          <w:sz w:val="24"/>
        </w:rPr>
        <w:t>9.5 投诉</w:t>
      </w:r>
    </w:p>
    <w:p w14:paraId="1ACB276F">
      <w:pPr>
        <w:spacing w:line="360" w:lineRule="auto"/>
        <w:ind w:firstLine="420" w:firstLineChars="200"/>
        <w:rPr>
          <w:rStyle w:val="47"/>
          <w:rFonts w:ascii="宋体" w:hAnsi="宋体"/>
        </w:rPr>
      </w:pPr>
      <w:r>
        <w:rPr>
          <w:rStyle w:val="47"/>
          <w:rFonts w:ascii="宋体" w:hAnsi="宋体"/>
        </w:rPr>
        <w:t>投标人和其他利害关系人认为本次招标活动违反法律、法规和规章规定的，有权向有关行政监督部门投诉。</w:t>
      </w:r>
    </w:p>
    <w:p w14:paraId="6DBCB2DC">
      <w:pPr>
        <w:spacing w:line="360" w:lineRule="auto"/>
        <w:ind w:firstLine="420" w:firstLineChars="200"/>
        <w:rPr>
          <w:rStyle w:val="47"/>
          <w:rFonts w:ascii="宋体" w:hAnsi="宋体"/>
        </w:rPr>
      </w:pPr>
      <w:r>
        <w:rPr>
          <w:rStyle w:val="47"/>
          <w:rFonts w:ascii="宋体" w:hAnsi="宋体"/>
        </w:rPr>
        <w:t>9.5.1潜在投标人或其他利害关系人对招标文件有异议的，应当在投标截止时间10日前向招标人提出。</w:t>
      </w:r>
    </w:p>
    <w:p w14:paraId="2F0D9428">
      <w:pPr>
        <w:spacing w:line="360" w:lineRule="auto"/>
        <w:ind w:firstLine="420" w:firstLineChars="200"/>
        <w:rPr>
          <w:rStyle w:val="47"/>
          <w:rFonts w:ascii="宋体" w:hAnsi="宋体"/>
        </w:rPr>
      </w:pPr>
      <w:r>
        <w:rPr>
          <w:rStyle w:val="47"/>
          <w:rFonts w:ascii="宋体" w:hAnsi="宋体"/>
        </w:rPr>
        <w:t>9.5.2投标人对开标有异议，应在开标现场向招标人提出。</w:t>
      </w:r>
    </w:p>
    <w:p w14:paraId="0B11F114">
      <w:pPr>
        <w:spacing w:line="360" w:lineRule="auto"/>
        <w:ind w:firstLine="420" w:firstLineChars="200"/>
        <w:rPr>
          <w:rStyle w:val="47"/>
          <w:rFonts w:ascii="宋体" w:hAnsi="宋体"/>
        </w:rPr>
      </w:pPr>
      <w:r>
        <w:rPr>
          <w:rStyle w:val="47"/>
          <w:rFonts w:ascii="宋体" w:hAnsi="宋体"/>
        </w:rPr>
        <w:t>9.5.3投标人或者其他利害关系人对依法必须进行招标的项目的评标结果有异议的，应当在中标候选人公示期间向招标人提出。</w:t>
      </w:r>
    </w:p>
    <w:p w14:paraId="7DE67E59">
      <w:pPr>
        <w:spacing w:line="360" w:lineRule="auto"/>
        <w:ind w:firstLine="420" w:firstLineChars="200"/>
        <w:rPr>
          <w:rStyle w:val="47"/>
          <w:rFonts w:ascii="宋体" w:hAnsi="宋体"/>
        </w:rPr>
      </w:pPr>
      <w:r>
        <w:rPr>
          <w:rStyle w:val="47"/>
          <w:rFonts w:ascii="宋体" w:hAnsi="宋体"/>
        </w:rPr>
        <w:t>投标人或者其他利害关系人认为招标投标活动不符合法律、行政法规规定的，可以自知道或者应当知道之日起10日内向有关行政监督部门投诉。投诉应当有明确的请求和必要的证明材料。就9.5.1、9.5.2、9.5.3规定事项投诉的，应当先向招标人提出异议。</w:t>
      </w:r>
    </w:p>
    <w:p w14:paraId="74772E5C">
      <w:pPr>
        <w:pStyle w:val="5"/>
        <w:spacing w:before="0" w:after="0" w:line="360" w:lineRule="auto"/>
        <w:jc w:val="center"/>
        <w:rPr>
          <w:sz w:val="30"/>
          <w:szCs w:val="30"/>
        </w:rPr>
      </w:pPr>
      <w:bookmarkStart w:id="57" w:name="_Toc2642"/>
      <w:bookmarkStart w:id="58" w:name="_Toc44666935"/>
      <w:bookmarkStart w:id="59" w:name="_Toc16063902"/>
      <w:bookmarkStart w:id="60" w:name="_Toc11499"/>
      <w:bookmarkStart w:id="61" w:name="_Toc17817332"/>
      <w:r>
        <w:rPr>
          <w:rFonts w:hint="eastAsia"/>
          <w:sz w:val="30"/>
          <w:szCs w:val="30"/>
        </w:rPr>
        <w:t>1</w:t>
      </w:r>
      <w:r>
        <w:rPr>
          <w:sz w:val="30"/>
          <w:szCs w:val="30"/>
        </w:rPr>
        <w:t>0.</w:t>
      </w:r>
      <w:r>
        <w:rPr>
          <w:rFonts w:hint="eastAsia"/>
          <w:sz w:val="30"/>
          <w:szCs w:val="30"/>
        </w:rPr>
        <w:t>中标人瑕疵滞后发现的处理原则</w:t>
      </w:r>
      <w:bookmarkEnd w:id="57"/>
      <w:bookmarkEnd w:id="58"/>
    </w:p>
    <w:p w14:paraId="6A631701">
      <w:pPr>
        <w:pStyle w:val="11"/>
        <w:spacing w:line="360" w:lineRule="auto"/>
        <w:ind w:firstLine="420" w:firstLineChars="200"/>
        <w:jc w:val="left"/>
        <w:rPr>
          <w:rStyle w:val="47"/>
          <w:rFonts w:ascii="宋体" w:hAnsi="宋体" w:eastAsia="宋体"/>
          <w:sz w:val="21"/>
          <w:szCs w:val="24"/>
        </w:rPr>
      </w:pPr>
      <w:r>
        <w:rPr>
          <w:rStyle w:val="47"/>
          <w:rFonts w:hint="eastAsia" w:ascii="宋体" w:hAnsi="宋体" w:eastAsia="宋体"/>
          <w:sz w:val="21"/>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0CD3C27F">
      <w:pPr>
        <w:pStyle w:val="5"/>
        <w:spacing w:before="0" w:after="0" w:line="360" w:lineRule="auto"/>
        <w:jc w:val="center"/>
        <w:rPr>
          <w:sz w:val="30"/>
          <w:szCs w:val="30"/>
        </w:rPr>
      </w:pPr>
      <w:bookmarkStart w:id="62" w:name="_Toc27242"/>
      <w:r>
        <w:rPr>
          <w:sz w:val="30"/>
          <w:szCs w:val="30"/>
        </w:rPr>
        <w:t>1</w:t>
      </w:r>
      <w:r>
        <w:rPr>
          <w:rFonts w:hint="eastAsia"/>
          <w:sz w:val="30"/>
          <w:szCs w:val="30"/>
        </w:rPr>
        <w:t>1</w:t>
      </w:r>
      <w:r>
        <w:rPr>
          <w:sz w:val="30"/>
          <w:szCs w:val="30"/>
        </w:rPr>
        <w:t>. 需要补充的其他内容</w:t>
      </w:r>
      <w:bookmarkEnd w:id="59"/>
      <w:bookmarkEnd w:id="60"/>
      <w:bookmarkEnd w:id="61"/>
      <w:bookmarkEnd w:id="62"/>
    </w:p>
    <w:p w14:paraId="7617246D">
      <w:pPr>
        <w:spacing w:line="360" w:lineRule="auto"/>
        <w:ind w:firstLine="420" w:firstLineChars="200"/>
        <w:rPr>
          <w:rStyle w:val="47"/>
          <w:rFonts w:ascii="宋体" w:hAnsi="宋体"/>
        </w:rPr>
      </w:pPr>
      <w:r>
        <w:rPr>
          <w:rStyle w:val="47"/>
          <w:rFonts w:ascii="宋体" w:hAnsi="宋体"/>
        </w:rPr>
        <w:t>需要补充的其他内容：见投标人须知前附表。</w:t>
      </w:r>
    </w:p>
    <w:p w14:paraId="03AD8AE4">
      <w:pPr>
        <w:pStyle w:val="53"/>
        <w:spacing w:before="0" w:after="0"/>
        <w:jc w:val="center"/>
        <w:rPr>
          <w:rStyle w:val="47"/>
          <w:rFonts w:ascii="宋体" w:hAnsi="宋体"/>
          <w:i w:val="0"/>
          <w:iCs w:val="0"/>
        </w:rPr>
      </w:pPr>
      <w:r>
        <w:rPr>
          <w:rStyle w:val="47"/>
          <w:rFonts w:ascii="宋体" w:hAnsi="宋体"/>
          <w:i w:val="0"/>
          <w:iCs w:val="0"/>
        </w:rPr>
        <w:br w:type="page"/>
      </w:r>
    </w:p>
    <w:p w14:paraId="2416B9E4">
      <w:pPr>
        <w:pStyle w:val="4"/>
        <w:spacing w:line="360" w:lineRule="auto"/>
        <w:jc w:val="center"/>
        <w:rPr>
          <w:i w:val="0"/>
          <w:iCs w:val="0"/>
          <w:sz w:val="32"/>
          <w:szCs w:val="32"/>
        </w:rPr>
      </w:pPr>
      <w:bookmarkStart w:id="63" w:name="_Toc31391"/>
      <w:bookmarkStart w:id="64" w:name="_Toc29944"/>
      <w:bookmarkStart w:id="65" w:name="_Toc17817333"/>
      <w:r>
        <w:rPr>
          <w:i w:val="0"/>
          <w:iCs w:val="0"/>
          <w:sz w:val="32"/>
          <w:szCs w:val="32"/>
        </w:rPr>
        <w:t>第三章 评标办法</w:t>
      </w:r>
      <w:bookmarkEnd w:id="63"/>
      <w:bookmarkEnd w:id="64"/>
      <w:bookmarkEnd w:id="65"/>
    </w:p>
    <w:p w14:paraId="37E1FFB5">
      <w:pPr>
        <w:pStyle w:val="5"/>
        <w:spacing w:before="0" w:after="0" w:line="360" w:lineRule="auto"/>
        <w:jc w:val="center"/>
        <w:rPr>
          <w:sz w:val="30"/>
          <w:szCs w:val="30"/>
        </w:rPr>
      </w:pPr>
      <w:bookmarkStart w:id="66" w:name="_Toc14783"/>
      <w:bookmarkStart w:id="67" w:name="_Toc151132049"/>
      <w:r>
        <w:rPr>
          <w:rFonts w:hint="eastAsia"/>
          <w:sz w:val="30"/>
          <w:szCs w:val="30"/>
        </w:rPr>
        <w:t>一</w:t>
      </w:r>
      <w:r>
        <w:rPr>
          <w:sz w:val="30"/>
          <w:szCs w:val="30"/>
        </w:rPr>
        <w:t>、</w:t>
      </w:r>
      <w:r>
        <w:rPr>
          <w:rFonts w:hint="eastAsia"/>
          <w:sz w:val="30"/>
          <w:szCs w:val="30"/>
        </w:rPr>
        <w:t>评分细则</w:t>
      </w:r>
      <w:bookmarkEnd w:id="66"/>
      <w:bookmarkEnd w:id="67"/>
    </w:p>
    <w:p w14:paraId="6F84A89E">
      <w:pPr>
        <w:spacing w:line="360" w:lineRule="auto"/>
        <w:ind w:firstLine="482" w:firstLineChars="200"/>
        <w:rPr>
          <w:rFonts w:ascii="宋体" w:cs="宋体"/>
          <w:b/>
          <w:bCs/>
          <w:kern w:val="0"/>
          <w:sz w:val="24"/>
        </w:rPr>
      </w:pPr>
      <w:r>
        <w:rPr>
          <w:rFonts w:hint="eastAsia" w:ascii="宋体" w:hAnsi="宋体" w:cs="宋体"/>
          <w:b/>
          <w:bCs/>
          <w:sz w:val="24"/>
        </w:rPr>
        <w:t>本次评标</w:t>
      </w:r>
      <w:r>
        <w:rPr>
          <w:rFonts w:hint="eastAsia" w:ascii="宋体" w:hAnsi="宋体" w:cs="宋体"/>
          <w:b/>
          <w:bCs/>
          <w:sz w:val="24"/>
          <w:lang w:val="en-US" w:eastAsia="zh-CN"/>
        </w:rPr>
        <w:t>技术方案和商务标同时</w:t>
      </w:r>
      <w:r>
        <w:rPr>
          <w:rFonts w:hint="eastAsia" w:ascii="宋体" w:hAnsi="宋体" w:cs="宋体"/>
          <w:b/>
          <w:bCs/>
          <w:sz w:val="24"/>
        </w:rPr>
        <w:t>进行评审，招标人有权根据项目情况，商务标采取多轮评标模式，最终根据商务标的报价高低确定各投标人排序，原则上按照评标合理最低价确定推荐中标人（不保证最低价格中标），对未中标单位不做任何解释。评分细则如下：</w:t>
      </w:r>
    </w:p>
    <w:p w14:paraId="4319E119">
      <w:pPr>
        <w:pStyle w:val="51"/>
        <w:spacing w:before="0" w:after="0"/>
        <w:jc w:val="center"/>
        <w:rPr>
          <w:rStyle w:val="47"/>
          <w:rFonts w:ascii="宋体" w:hAnsi="宋体"/>
          <w:sz w:val="24"/>
        </w:rPr>
      </w:pPr>
      <w:bookmarkStart w:id="68" w:name="_Toc17817335"/>
      <w:bookmarkStart w:id="69" w:name="_Toc3914"/>
    </w:p>
    <w:p w14:paraId="62CBAA2C">
      <w:pPr>
        <w:pStyle w:val="51"/>
        <w:spacing w:before="0" w:after="0"/>
        <w:jc w:val="center"/>
        <w:rPr>
          <w:rStyle w:val="47"/>
          <w:rFonts w:ascii="宋体" w:hAnsi="宋体"/>
          <w:sz w:val="24"/>
        </w:rPr>
      </w:pPr>
      <w:r>
        <w:rPr>
          <w:rStyle w:val="47"/>
          <w:rFonts w:ascii="宋体" w:hAnsi="宋体"/>
          <w:sz w:val="24"/>
        </w:rPr>
        <w:t>商务标评分细则</w:t>
      </w:r>
    </w:p>
    <w:tbl>
      <w:tblPr>
        <w:tblStyle w:val="26"/>
        <w:tblW w:w="98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9"/>
        <w:gridCol w:w="1377"/>
        <w:gridCol w:w="423"/>
        <w:gridCol w:w="7660"/>
      </w:tblGrid>
      <w:tr w14:paraId="1E5F2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jc w:val="center"/>
        </w:trPr>
        <w:tc>
          <w:tcPr>
            <w:tcW w:w="389" w:type="dxa"/>
            <w:tcBorders>
              <w:top w:val="single" w:color="000000" w:sz="4" w:space="0"/>
              <w:left w:val="single" w:color="000000" w:sz="4" w:space="0"/>
              <w:bottom w:val="single" w:color="000000" w:sz="4" w:space="0"/>
              <w:right w:val="single" w:color="000000" w:sz="4" w:space="0"/>
            </w:tcBorders>
            <w:vAlign w:val="center"/>
          </w:tcPr>
          <w:p w14:paraId="0DA96043">
            <w:pPr>
              <w:jc w:val="center"/>
              <w:rPr>
                <w:rStyle w:val="47"/>
                <w:rFonts w:ascii="宋体" w:hAnsi="宋体"/>
                <w:bCs/>
              </w:rPr>
            </w:pPr>
            <w:r>
              <w:rPr>
                <w:rStyle w:val="47"/>
                <w:rFonts w:ascii="宋体" w:hAnsi="宋体"/>
                <w:bCs/>
              </w:rPr>
              <w:t>序号</w:t>
            </w:r>
          </w:p>
        </w:tc>
        <w:tc>
          <w:tcPr>
            <w:tcW w:w="1377" w:type="dxa"/>
            <w:tcBorders>
              <w:top w:val="single" w:color="000000" w:sz="4" w:space="0"/>
              <w:left w:val="single" w:color="000000" w:sz="4" w:space="0"/>
              <w:bottom w:val="single" w:color="000000" w:sz="4" w:space="0"/>
              <w:right w:val="single" w:color="000000" w:sz="4" w:space="0"/>
            </w:tcBorders>
            <w:vAlign w:val="center"/>
          </w:tcPr>
          <w:p w14:paraId="27E4794B">
            <w:pPr>
              <w:jc w:val="center"/>
              <w:rPr>
                <w:rStyle w:val="47"/>
                <w:rFonts w:ascii="宋体" w:hAnsi="宋体"/>
                <w:bCs/>
              </w:rPr>
            </w:pPr>
            <w:r>
              <w:rPr>
                <w:rStyle w:val="47"/>
                <w:rFonts w:ascii="宋体" w:hAnsi="宋体"/>
                <w:bCs/>
              </w:rPr>
              <w:t>类别</w:t>
            </w:r>
          </w:p>
        </w:tc>
        <w:tc>
          <w:tcPr>
            <w:tcW w:w="423" w:type="dxa"/>
            <w:tcBorders>
              <w:top w:val="single" w:color="000000" w:sz="4" w:space="0"/>
              <w:left w:val="single" w:color="000000" w:sz="4" w:space="0"/>
              <w:bottom w:val="single" w:color="000000" w:sz="4" w:space="0"/>
              <w:right w:val="single" w:color="000000" w:sz="4" w:space="0"/>
            </w:tcBorders>
            <w:vAlign w:val="center"/>
          </w:tcPr>
          <w:p w14:paraId="5765178F">
            <w:pPr>
              <w:jc w:val="center"/>
              <w:rPr>
                <w:rStyle w:val="47"/>
                <w:rFonts w:ascii="宋体" w:hAnsi="宋体"/>
                <w:bCs/>
              </w:rPr>
            </w:pPr>
            <w:r>
              <w:rPr>
                <w:rStyle w:val="47"/>
                <w:rFonts w:ascii="宋体" w:hAnsi="宋体"/>
                <w:bCs/>
              </w:rPr>
              <w:t>满分</w:t>
            </w:r>
          </w:p>
        </w:tc>
        <w:tc>
          <w:tcPr>
            <w:tcW w:w="7660" w:type="dxa"/>
            <w:tcBorders>
              <w:top w:val="single" w:color="000000" w:sz="4" w:space="0"/>
              <w:left w:val="single" w:color="000000" w:sz="4" w:space="0"/>
              <w:bottom w:val="single" w:color="000000" w:sz="4" w:space="0"/>
              <w:right w:val="single" w:color="000000" w:sz="4" w:space="0"/>
            </w:tcBorders>
            <w:vAlign w:val="center"/>
          </w:tcPr>
          <w:p w14:paraId="52743DBB">
            <w:pPr>
              <w:jc w:val="center"/>
              <w:rPr>
                <w:rStyle w:val="47"/>
                <w:rFonts w:ascii="宋体" w:hAnsi="宋体"/>
                <w:bCs/>
                <w:sz w:val="20"/>
                <w:szCs w:val="22"/>
              </w:rPr>
            </w:pPr>
            <w:r>
              <w:rPr>
                <w:rFonts w:hint="eastAsia" w:ascii="宋体" w:hAnsi="宋体" w:cs="宋体"/>
              </w:rPr>
              <w:t>得   分   标   准</w:t>
            </w:r>
          </w:p>
        </w:tc>
      </w:tr>
      <w:tr w14:paraId="1DE6D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9" w:hRule="atLeast"/>
          <w:jc w:val="center"/>
        </w:trPr>
        <w:tc>
          <w:tcPr>
            <w:tcW w:w="389" w:type="dxa"/>
            <w:tcBorders>
              <w:top w:val="single" w:color="000000" w:sz="4" w:space="0"/>
              <w:left w:val="single" w:color="000000" w:sz="4" w:space="0"/>
              <w:bottom w:val="single" w:color="000000" w:sz="4" w:space="0"/>
              <w:right w:val="single" w:color="000000" w:sz="4" w:space="0"/>
            </w:tcBorders>
            <w:vAlign w:val="center"/>
          </w:tcPr>
          <w:p w14:paraId="5A5B95FD">
            <w:pPr>
              <w:jc w:val="center"/>
              <w:rPr>
                <w:rStyle w:val="47"/>
                <w:rFonts w:ascii="宋体" w:hAnsi="宋体"/>
                <w:bCs/>
              </w:rPr>
            </w:pPr>
            <w:r>
              <w:rPr>
                <w:rStyle w:val="47"/>
                <w:rFonts w:ascii="宋体" w:hAnsi="宋体"/>
                <w:bCs/>
              </w:rPr>
              <w:t>1</w:t>
            </w:r>
          </w:p>
        </w:tc>
        <w:tc>
          <w:tcPr>
            <w:tcW w:w="1377" w:type="dxa"/>
            <w:tcBorders>
              <w:top w:val="single" w:color="000000" w:sz="4" w:space="0"/>
              <w:left w:val="single" w:color="000000" w:sz="4" w:space="0"/>
              <w:bottom w:val="single" w:color="000000" w:sz="4" w:space="0"/>
              <w:right w:val="single" w:color="000000" w:sz="4" w:space="0"/>
            </w:tcBorders>
            <w:vAlign w:val="center"/>
          </w:tcPr>
          <w:p w14:paraId="2A9CD5CC">
            <w:pPr>
              <w:jc w:val="center"/>
              <w:rPr>
                <w:rStyle w:val="47"/>
                <w:rFonts w:ascii="宋体" w:hAnsi="宋体"/>
                <w:bCs/>
              </w:rPr>
            </w:pPr>
            <w:r>
              <w:rPr>
                <w:rStyle w:val="47"/>
                <w:rFonts w:ascii="宋体" w:hAnsi="宋体"/>
                <w:bCs/>
              </w:rPr>
              <w:t>工程总报价</w:t>
            </w:r>
          </w:p>
        </w:tc>
        <w:tc>
          <w:tcPr>
            <w:tcW w:w="423" w:type="dxa"/>
            <w:tcBorders>
              <w:top w:val="single" w:color="000000" w:sz="4" w:space="0"/>
              <w:left w:val="single" w:color="000000" w:sz="4" w:space="0"/>
              <w:bottom w:val="single" w:color="000000" w:sz="4" w:space="0"/>
              <w:right w:val="single" w:color="000000" w:sz="4" w:space="0"/>
            </w:tcBorders>
            <w:vAlign w:val="center"/>
          </w:tcPr>
          <w:p w14:paraId="6982B1FE">
            <w:pPr>
              <w:jc w:val="center"/>
              <w:rPr>
                <w:rStyle w:val="47"/>
                <w:rFonts w:ascii="宋体" w:hAnsi="宋体"/>
                <w:bCs/>
              </w:rPr>
            </w:pPr>
            <w:r>
              <w:rPr>
                <w:rStyle w:val="47"/>
                <w:rFonts w:hint="eastAsia" w:ascii="宋体" w:hAnsi="宋体"/>
                <w:bCs/>
              </w:rPr>
              <w:t>/</w:t>
            </w:r>
          </w:p>
        </w:tc>
        <w:tc>
          <w:tcPr>
            <w:tcW w:w="7660" w:type="dxa"/>
            <w:tcBorders>
              <w:top w:val="single" w:color="000000" w:sz="4" w:space="0"/>
              <w:left w:val="single" w:color="000000" w:sz="4" w:space="0"/>
              <w:bottom w:val="single" w:color="000000" w:sz="4" w:space="0"/>
              <w:right w:val="single" w:color="000000" w:sz="4" w:space="0"/>
            </w:tcBorders>
            <w:vAlign w:val="center"/>
          </w:tcPr>
          <w:p w14:paraId="2DC4D729">
            <w:pPr>
              <w:spacing w:line="360" w:lineRule="auto"/>
              <w:ind w:firstLine="420" w:firstLineChars="200"/>
              <w:jc w:val="left"/>
              <w:rPr>
                <w:rFonts w:ascii="宋体" w:hAnsi="宋体" w:cs="宋体"/>
                <w:bCs/>
                <w:szCs w:val="21"/>
                <w:lang w:bidi="ar"/>
              </w:rPr>
            </w:pPr>
            <w:r>
              <w:rPr>
                <w:rFonts w:hint="eastAsia" w:ascii="宋体" w:hAnsi="宋体" w:cs="宋体"/>
                <w:bCs/>
                <w:szCs w:val="21"/>
                <w:lang w:bidi="ar"/>
              </w:rPr>
              <w:t>在开标价的基础上进行至少3轮商务谈判并实行淘汰制，</w:t>
            </w:r>
            <w:r>
              <w:rPr>
                <w:rFonts w:hint="eastAsia" w:ascii="宋体" w:cs="宋体"/>
                <w:bCs/>
                <w:kern w:val="0"/>
                <w:szCs w:val="21"/>
                <w:lang w:bidi="ar"/>
              </w:rPr>
              <w:t>根据最终有效报价的由低到高进行排序，报价最低者排名第一，报价次低者排名第二，以此类推，报价最高者排名最后。</w:t>
            </w:r>
            <w:r>
              <w:rPr>
                <w:rFonts w:hint="eastAsia" w:ascii="宋体" w:hAnsi="宋体" w:cs="宋体"/>
                <w:bCs/>
                <w:szCs w:val="21"/>
                <w:lang w:bidi="ar"/>
              </w:rPr>
              <w:t>最终排名第一的推荐为拟中标人，但是</w:t>
            </w:r>
            <w:r>
              <w:rPr>
                <w:rFonts w:hint="eastAsia" w:ascii="宋体" w:hAnsi="Times New Roman" w:eastAsia="宋体" w:cs="宋体"/>
                <w:bCs/>
                <w:kern w:val="0"/>
                <w:szCs w:val="21"/>
                <w:lang w:bidi="ar"/>
              </w:rPr>
              <w:t>报价明显低于成本的除外。</w:t>
            </w:r>
          </w:p>
          <w:p w14:paraId="1CE5230E">
            <w:pPr>
              <w:snapToGrid w:val="0"/>
              <w:spacing w:line="312" w:lineRule="auto"/>
              <w:ind w:firstLine="422" w:firstLineChars="200"/>
              <w:jc w:val="left"/>
              <w:rPr>
                <w:rFonts w:ascii="宋体" w:hAnsi="宋体" w:cs="宋体"/>
                <w:b/>
                <w:szCs w:val="21"/>
              </w:rPr>
            </w:pPr>
            <w:r>
              <w:rPr>
                <w:rFonts w:hint="eastAsia" w:ascii="宋体" w:hAnsi="宋体" w:cs="宋体"/>
                <w:b/>
                <w:szCs w:val="21"/>
              </w:rPr>
              <w:t>不允许采用不平衡报价</w:t>
            </w:r>
            <w:r>
              <w:rPr>
                <w:rFonts w:hint="eastAsia" w:ascii="宋体" w:hAnsi="宋体" w:cs="宋体"/>
                <w:b/>
                <w:szCs w:val="21"/>
                <w:lang w:eastAsia="zh-CN"/>
              </w:rPr>
              <w:t>，</w:t>
            </w:r>
            <w:r>
              <w:rPr>
                <w:rFonts w:hint="eastAsia" w:ascii="宋体" w:hAnsi="宋体" w:cs="宋体"/>
                <w:b/>
                <w:szCs w:val="21"/>
                <w:lang w:val="en-US" w:eastAsia="zh-CN"/>
              </w:rPr>
              <w:t>因不平衡报价导致的下浮后个别清单项价格低于成本 价的，相应损失由中标单位自行承担</w:t>
            </w:r>
            <w:r>
              <w:rPr>
                <w:rFonts w:hint="eastAsia" w:ascii="宋体" w:hAnsi="宋体" w:cs="宋体"/>
                <w:b/>
                <w:szCs w:val="21"/>
              </w:rPr>
              <w:t>。</w:t>
            </w:r>
          </w:p>
          <w:p w14:paraId="13D152EA">
            <w:pPr>
              <w:spacing w:line="360" w:lineRule="auto"/>
              <w:ind w:firstLine="422" w:firstLineChars="200"/>
              <w:jc w:val="left"/>
              <w:rPr>
                <w:rFonts w:hint="eastAsia" w:ascii="宋体" w:cs="宋体"/>
                <w:b/>
                <w:kern w:val="0"/>
                <w:szCs w:val="21"/>
                <w:lang w:bidi="ar"/>
              </w:rPr>
            </w:pPr>
            <w:r>
              <w:rPr>
                <w:rFonts w:hint="eastAsia" w:ascii="宋体" w:cs="宋体"/>
                <w:b/>
                <w:kern w:val="0"/>
                <w:szCs w:val="21"/>
                <w:lang w:bidi="ar"/>
              </w:rPr>
              <w:t>开标清标后按照招标人清标发现的问题进行纠偏调整，形成修正版工程量清单并同步修正开标报价（</w:t>
            </w:r>
            <w:r>
              <w:rPr>
                <w:rFonts w:hint="eastAsia" w:ascii="宋体" w:cs="宋体"/>
                <w:b/>
                <w:color w:val="C00000"/>
                <w:kern w:val="0"/>
                <w:szCs w:val="21"/>
                <w:lang w:bidi="ar"/>
              </w:rPr>
              <w:t>但不得高于开标唱标价</w:t>
            </w:r>
            <w:r>
              <w:rPr>
                <w:rFonts w:hint="eastAsia" w:ascii="宋体" w:cs="宋体"/>
                <w:b/>
                <w:kern w:val="0"/>
                <w:szCs w:val="21"/>
                <w:lang w:bidi="ar"/>
              </w:rPr>
              <w:t>），推荐拟中标价格以此修正版清单进行同比例下浮，下浮系数=商务标最后一轮澄清总报价/开标清标修正后的总报价。单独澄清的清单项除外。</w:t>
            </w:r>
          </w:p>
          <w:p w14:paraId="7D96EAB4">
            <w:pPr>
              <w:spacing w:line="360" w:lineRule="auto"/>
              <w:ind w:firstLine="422" w:firstLineChars="200"/>
              <w:jc w:val="left"/>
            </w:pPr>
            <w:r>
              <w:rPr>
                <w:rFonts w:hint="eastAsia" w:ascii="宋体" w:cs="宋体"/>
                <w:b/>
                <w:kern w:val="0"/>
                <w:szCs w:val="21"/>
                <w:lang w:val="en-US" w:eastAsia="zh-CN" w:bidi="ar"/>
              </w:rPr>
              <w:t>投标</w:t>
            </w:r>
            <w:r>
              <w:rPr>
                <w:rFonts w:hint="eastAsia" w:ascii="宋体" w:cs="宋体"/>
                <w:b/>
                <w:kern w:val="0"/>
                <w:szCs w:val="21"/>
                <w:lang w:bidi="ar"/>
              </w:rPr>
              <w:t>人开标清标修正后的已标价工程量清单随开标后第一轮报价上传到e采通附件中，并与</w:t>
            </w:r>
            <w:r>
              <w:rPr>
                <w:rFonts w:hint="eastAsia" w:ascii="宋体" w:cs="宋体"/>
                <w:b/>
                <w:kern w:val="0"/>
                <w:szCs w:val="21"/>
                <w:lang w:val="en-US" w:eastAsia="zh-CN" w:bidi="ar"/>
              </w:rPr>
              <w:t>开标后</w:t>
            </w:r>
            <w:r>
              <w:rPr>
                <w:rFonts w:hint="eastAsia" w:ascii="宋体" w:cs="宋体"/>
                <w:b/>
                <w:kern w:val="0"/>
                <w:szCs w:val="21"/>
                <w:lang w:bidi="ar"/>
              </w:rPr>
              <w:t>第一轮报价金额一致</w:t>
            </w:r>
            <w:r>
              <w:rPr>
                <w:rFonts w:hint="eastAsia" w:ascii="宋体" w:cs="宋体"/>
                <w:b/>
                <w:kern w:val="0"/>
                <w:szCs w:val="21"/>
                <w:lang w:eastAsia="zh-CN" w:bidi="ar"/>
              </w:rPr>
              <w:t>，</w:t>
            </w:r>
            <w:r>
              <w:rPr>
                <w:rFonts w:hint="eastAsia" w:ascii="宋体" w:cs="宋体"/>
                <w:b/>
                <w:kern w:val="0"/>
                <w:szCs w:val="21"/>
                <w:lang w:val="en-US" w:eastAsia="zh-CN" w:bidi="ar"/>
              </w:rPr>
              <w:t>后续报价只上传每轮报价总金额</w:t>
            </w:r>
            <w:r>
              <w:rPr>
                <w:rFonts w:hint="eastAsia" w:ascii="宋体" w:cs="宋体"/>
                <w:b/>
                <w:kern w:val="0"/>
                <w:szCs w:val="21"/>
                <w:lang w:bidi="ar"/>
              </w:rPr>
              <w:t>。</w:t>
            </w:r>
          </w:p>
        </w:tc>
      </w:tr>
    </w:tbl>
    <w:p w14:paraId="2E0AB858">
      <w:pPr>
        <w:pStyle w:val="5"/>
        <w:spacing w:before="0" w:after="0"/>
        <w:jc w:val="center"/>
        <w:rPr>
          <w:sz w:val="30"/>
          <w:szCs w:val="30"/>
        </w:rPr>
      </w:pPr>
      <w:bookmarkStart w:id="70" w:name="_Toc20291"/>
      <w:bookmarkStart w:id="71" w:name="_Toc29153"/>
      <w:bookmarkStart w:id="72" w:name="_Toc32749"/>
      <w:r>
        <w:rPr>
          <w:sz w:val="30"/>
          <w:szCs w:val="30"/>
        </w:rPr>
        <w:t>二、评标办法</w:t>
      </w:r>
      <w:bookmarkEnd w:id="68"/>
      <w:bookmarkEnd w:id="69"/>
      <w:bookmarkEnd w:id="70"/>
      <w:bookmarkEnd w:id="71"/>
      <w:bookmarkEnd w:id="72"/>
    </w:p>
    <w:p w14:paraId="714D9CE1">
      <w:pPr>
        <w:pStyle w:val="51"/>
        <w:spacing w:before="0" w:after="0"/>
        <w:rPr>
          <w:rStyle w:val="47"/>
          <w:rFonts w:ascii="宋体" w:hAnsi="宋体"/>
          <w:sz w:val="24"/>
        </w:rPr>
      </w:pPr>
      <w:r>
        <w:rPr>
          <w:rStyle w:val="47"/>
          <w:rFonts w:ascii="宋体" w:hAnsi="宋体"/>
          <w:sz w:val="24"/>
        </w:rPr>
        <w:t>1. 评标方法</w:t>
      </w:r>
    </w:p>
    <w:p w14:paraId="697E0BE3">
      <w:pPr>
        <w:spacing w:line="360" w:lineRule="auto"/>
        <w:rPr>
          <w:rStyle w:val="47"/>
          <w:rFonts w:ascii="宋体" w:hAnsi="宋体"/>
          <w:b/>
        </w:rPr>
      </w:pPr>
      <w:r>
        <w:rPr>
          <w:rStyle w:val="47"/>
          <w:rFonts w:ascii="宋体" w:hAnsi="宋体"/>
          <w:b/>
        </w:rPr>
        <w:t>1.1评标方法</w:t>
      </w:r>
    </w:p>
    <w:p w14:paraId="49760F5E">
      <w:pPr>
        <w:spacing w:line="360" w:lineRule="auto"/>
        <w:rPr>
          <w:rStyle w:val="47"/>
          <w:rFonts w:ascii="宋体" w:hAnsi="宋体"/>
          <w:b/>
        </w:rPr>
      </w:pPr>
      <w:r>
        <w:rPr>
          <w:rStyle w:val="47"/>
          <w:rFonts w:ascii="宋体" w:hAnsi="宋体"/>
          <w:b/>
        </w:rPr>
        <w:t>1.2评分及排序</w:t>
      </w:r>
    </w:p>
    <w:p w14:paraId="11C16092">
      <w:pPr>
        <w:spacing w:line="360" w:lineRule="auto"/>
        <w:ind w:firstLine="420" w:firstLineChars="200"/>
        <w:rPr>
          <w:rStyle w:val="47"/>
          <w:rFonts w:ascii="宋体" w:hAnsi="宋体"/>
        </w:rPr>
      </w:pPr>
      <w:r>
        <w:rPr>
          <w:rStyle w:val="47"/>
          <w:rFonts w:hint="eastAsia" w:ascii="宋体" w:hAnsi="宋体"/>
        </w:rPr>
        <w:t>技术标和商务标同时开评标的模式</w:t>
      </w:r>
      <w:r>
        <w:rPr>
          <w:rStyle w:val="47"/>
          <w:rFonts w:ascii="宋体" w:hAnsi="宋体"/>
        </w:rPr>
        <w:t>。</w:t>
      </w:r>
    </w:p>
    <w:p w14:paraId="331A7C1F">
      <w:pPr>
        <w:spacing w:line="360" w:lineRule="auto"/>
        <w:ind w:firstLine="420" w:firstLineChars="200"/>
        <w:rPr>
          <w:rStyle w:val="47"/>
          <w:rFonts w:ascii="宋体" w:hAnsi="宋体"/>
          <w:szCs w:val="22"/>
        </w:rPr>
      </w:pPr>
      <w:r>
        <w:rPr>
          <w:rStyle w:val="47"/>
          <w:rFonts w:ascii="宋体" w:hAnsi="宋体"/>
        </w:rPr>
        <w:t>评标委员会对满足招标文件实质性要求的投标文件，按照本章第2.2款规定的评分标准进行打分，</w:t>
      </w:r>
      <w:r>
        <w:rPr>
          <w:rStyle w:val="47"/>
          <w:rFonts w:hint="eastAsia" w:ascii="宋体" w:hAnsi="宋体"/>
          <w:szCs w:val="22"/>
        </w:rPr>
        <w:t>评标委员会按照最终得分由高到低的次序排列，但投标报价低于其成本的除外。评分相等时由招标人自行确定排序。</w:t>
      </w:r>
    </w:p>
    <w:p w14:paraId="74D3A162">
      <w:pPr>
        <w:pStyle w:val="18"/>
      </w:pPr>
      <w:r>
        <w:rPr>
          <w:rStyle w:val="47"/>
          <w:rFonts w:hint="eastAsia" w:ascii="宋体" w:hAnsi="宋体"/>
          <w:szCs w:val="22"/>
        </w:rPr>
        <w:t>1.3招标人有权根据项目情况，采取多轮报价模式。</w:t>
      </w:r>
    </w:p>
    <w:p w14:paraId="027CF28F">
      <w:pPr>
        <w:pStyle w:val="51"/>
        <w:spacing w:before="0" w:after="0"/>
        <w:rPr>
          <w:rStyle w:val="47"/>
          <w:rFonts w:ascii="宋体" w:hAnsi="宋体"/>
          <w:sz w:val="24"/>
        </w:rPr>
      </w:pPr>
      <w:r>
        <w:rPr>
          <w:rStyle w:val="47"/>
          <w:rFonts w:ascii="宋体" w:hAnsi="宋体"/>
          <w:sz w:val="24"/>
        </w:rPr>
        <w:t>2. 评标程序</w:t>
      </w:r>
    </w:p>
    <w:p w14:paraId="5580F60B">
      <w:pPr>
        <w:spacing w:line="360" w:lineRule="auto"/>
        <w:rPr>
          <w:rStyle w:val="47"/>
          <w:rFonts w:ascii="宋体" w:hAnsi="宋体"/>
          <w:b/>
        </w:rPr>
      </w:pPr>
      <w:r>
        <w:rPr>
          <w:rStyle w:val="47"/>
          <w:rFonts w:ascii="宋体" w:hAnsi="宋体"/>
          <w:b/>
        </w:rPr>
        <w:t>2.1 初步评审</w:t>
      </w:r>
    </w:p>
    <w:p w14:paraId="5A57C366">
      <w:pPr>
        <w:spacing w:line="360" w:lineRule="auto"/>
        <w:rPr>
          <w:rStyle w:val="47"/>
          <w:rFonts w:ascii="宋体" w:hAnsi="宋体"/>
        </w:rPr>
      </w:pPr>
      <w:r>
        <w:rPr>
          <w:rStyle w:val="47"/>
          <w:rFonts w:ascii="宋体" w:hAnsi="宋体"/>
        </w:rPr>
        <w:t>2.1.1 评标委员会可以要求投标人提交</w:t>
      </w:r>
      <w:r>
        <w:rPr>
          <w:rStyle w:val="47"/>
          <w:rFonts w:ascii="宋体" w:hAnsi="宋体"/>
          <w:strike w:val="0"/>
          <w:dstrike w:val="0"/>
          <w:highlight w:val="none"/>
        </w:rPr>
        <w:t>第九章资格审查文件</w:t>
      </w:r>
      <w:r>
        <w:rPr>
          <w:rStyle w:val="47"/>
          <w:rFonts w:hint="eastAsia" w:ascii="宋体" w:hAnsi="宋体"/>
          <w:strike w:val="0"/>
          <w:dstrike w:val="0"/>
          <w:highlight w:val="none"/>
          <w:lang w:val="en-US" w:eastAsia="zh-CN"/>
        </w:rPr>
        <w:t>招标公告</w:t>
      </w:r>
      <w:r>
        <w:rPr>
          <w:rStyle w:val="47"/>
          <w:rFonts w:ascii="宋体" w:hAnsi="宋体"/>
        </w:rPr>
        <w:t>规定的有关证明和证件的原件，以便核验。</w:t>
      </w:r>
      <w:r>
        <w:rPr>
          <w:rStyle w:val="47"/>
          <w:rFonts w:ascii="宋体" w:hAnsi="宋体"/>
          <w:strike w:val="0"/>
          <w:dstrike w:val="0"/>
          <w:highlight w:val="none"/>
        </w:rPr>
        <w:t>评标委员会对投标文件进行初步评审。</w:t>
      </w:r>
      <w:r>
        <w:rPr>
          <w:rStyle w:val="47"/>
          <w:rFonts w:ascii="宋体" w:hAnsi="宋体"/>
        </w:rPr>
        <w:t>有一项不符合</w:t>
      </w:r>
      <w:bookmarkStart w:id="73" w:name="_Hlk161833919"/>
      <w:r>
        <w:rPr>
          <w:rStyle w:val="47"/>
          <w:rFonts w:hint="eastAsia" w:ascii="宋体" w:hAnsi="宋体"/>
        </w:rPr>
        <w:t>资格要求</w:t>
      </w:r>
      <w:bookmarkEnd w:id="73"/>
      <w:r>
        <w:rPr>
          <w:rStyle w:val="47"/>
          <w:rFonts w:ascii="宋体" w:hAnsi="宋体"/>
        </w:rPr>
        <w:t>的，作废标处理。</w:t>
      </w:r>
    </w:p>
    <w:p w14:paraId="51EA7F8B">
      <w:pPr>
        <w:spacing w:line="360" w:lineRule="auto"/>
        <w:rPr>
          <w:rStyle w:val="47"/>
          <w:rFonts w:ascii="宋体" w:hAnsi="宋体"/>
          <w:b/>
        </w:rPr>
      </w:pPr>
      <w:r>
        <w:rPr>
          <w:rStyle w:val="47"/>
          <w:rFonts w:ascii="宋体" w:hAnsi="宋体"/>
        </w:rPr>
        <w:t>2.1.2 投标人有以下情形之一的，其投标作废标处理：</w:t>
      </w:r>
      <w:r>
        <w:rPr>
          <w:rStyle w:val="47"/>
          <w:rFonts w:ascii="宋体" w:hAnsi="宋体"/>
          <w:b/>
        </w:rPr>
        <w:t>详</w:t>
      </w:r>
      <w:r>
        <w:rPr>
          <w:rStyle w:val="33"/>
          <w:rFonts w:ascii="宋体" w:hAnsi="宋体"/>
          <w:b/>
          <w:color w:val="auto"/>
        </w:rPr>
        <w:t>附件B</w:t>
      </w:r>
      <w:r>
        <w:rPr>
          <w:rStyle w:val="47"/>
          <w:rFonts w:ascii="宋体" w:hAnsi="宋体"/>
          <w:b/>
        </w:rPr>
        <w:t>：废标条件</w:t>
      </w:r>
    </w:p>
    <w:p w14:paraId="282A3E06">
      <w:pPr>
        <w:spacing w:line="360" w:lineRule="auto"/>
        <w:rPr>
          <w:rStyle w:val="47"/>
          <w:rFonts w:ascii="宋体" w:hAnsi="宋体"/>
        </w:rPr>
      </w:pPr>
      <w:r>
        <w:rPr>
          <w:rStyle w:val="47"/>
          <w:rFonts w:ascii="宋体" w:hAnsi="宋体"/>
        </w:rPr>
        <w:t>2.1.3投标报价有算术错误的，评标委员会按以下原则对投标报价进行修正，修正的价格经投标人书面确认后具有约束力。投标人不接受修正价格的，其投标作废标处理。</w:t>
      </w:r>
    </w:p>
    <w:p w14:paraId="30779B44">
      <w:pPr>
        <w:spacing w:line="360" w:lineRule="auto"/>
        <w:rPr>
          <w:rStyle w:val="47"/>
          <w:rFonts w:ascii="宋体" w:hAnsi="宋体"/>
        </w:rPr>
      </w:pPr>
      <w:r>
        <w:rPr>
          <w:rStyle w:val="47"/>
          <w:rFonts w:ascii="宋体" w:hAnsi="宋体"/>
        </w:rPr>
        <w:t>（1）投标文件中的大写金额与小写金额不一致的，以大写金额为准；</w:t>
      </w:r>
    </w:p>
    <w:p w14:paraId="45C52691">
      <w:pPr>
        <w:spacing w:line="360" w:lineRule="auto"/>
        <w:rPr>
          <w:rStyle w:val="47"/>
          <w:rFonts w:ascii="宋体" w:hAnsi="宋体"/>
        </w:rPr>
      </w:pPr>
      <w:r>
        <w:rPr>
          <w:rStyle w:val="47"/>
          <w:rFonts w:ascii="宋体" w:hAnsi="宋体"/>
        </w:rPr>
        <w:t>（2）总价金额与依据单价计算出的结果不一致的，以</w:t>
      </w:r>
      <w:r>
        <w:rPr>
          <w:rStyle w:val="47"/>
          <w:rFonts w:hint="eastAsia" w:ascii="宋体" w:hAnsi="宋体"/>
        </w:rPr>
        <w:t>总</w:t>
      </w:r>
      <w:r>
        <w:rPr>
          <w:rStyle w:val="47"/>
          <w:rFonts w:ascii="宋体" w:hAnsi="宋体"/>
        </w:rPr>
        <w:t>价金额为准修正</w:t>
      </w:r>
      <w:r>
        <w:rPr>
          <w:rStyle w:val="47"/>
          <w:rFonts w:hint="eastAsia" w:ascii="宋体" w:hAnsi="宋体"/>
        </w:rPr>
        <w:t>单</w:t>
      </w:r>
      <w:r>
        <w:rPr>
          <w:rStyle w:val="47"/>
          <w:rFonts w:ascii="宋体" w:hAnsi="宋体"/>
        </w:rPr>
        <w:t>价。</w:t>
      </w:r>
    </w:p>
    <w:p w14:paraId="5C409781">
      <w:pPr>
        <w:spacing w:line="360" w:lineRule="auto"/>
        <w:rPr>
          <w:rStyle w:val="47"/>
          <w:rFonts w:ascii="宋体" w:hAnsi="宋体"/>
        </w:rPr>
      </w:pPr>
      <w:r>
        <w:rPr>
          <w:rStyle w:val="47"/>
          <w:rFonts w:ascii="宋体" w:hAnsi="宋体"/>
        </w:rPr>
        <w:t>（3）唱标单报价与投标报价文件中价格不一致的，评标过程中，评定内容的具体数据以单独递交的唱标单报价为准，签订合同及后期结算时，以价格低的为准，价格根据下浮率同比例下调。</w:t>
      </w:r>
    </w:p>
    <w:p w14:paraId="0B3B4D58">
      <w:pPr>
        <w:spacing w:line="480" w:lineRule="exact"/>
        <w:rPr>
          <w:rStyle w:val="47"/>
          <w:rFonts w:ascii="宋体" w:hAnsi="宋体"/>
          <w:b/>
        </w:rPr>
      </w:pPr>
      <w:r>
        <w:rPr>
          <w:rStyle w:val="47"/>
          <w:rFonts w:ascii="宋体" w:hAnsi="宋体"/>
          <w:b/>
        </w:rPr>
        <w:t>2.1.4投标人有下列情形之一的视为无效投标：</w:t>
      </w:r>
    </w:p>
    <w:p w14:paraId="342E1EE2">
      <w:pPr>
        <w:spacing w:line="480" w:lineRule="exact"/>
        <w:rPr>
          <w:rStyle w:val="47"/>
          <w:rFonts w:ascii="宋体" w:hAnsi="宋体"/>
        </w:rPr>
      </w:pPr>
      <w:r>
        <w:rPr>
          <w:rStyle w:val="47"/>
          <w:rFonts w:ascii="宋体" w:hAnsi="宋体"/>
        </w:rPr>
        <w:t>（1）参加开标会议的投标人的法定代表人或其委托代理人未携带本人身份证，委托代理人未携带参加开标会议的法定代表人授权委托书，法定代表人未携带法定代表人证书，无法证明其身份的；</w:t>
      </w:r>
    </w:p>
    <w:p w14:paraId="5FBB5C0C">
      <w:pPr>
        <w:spacing w:line="480" w:lineRule="exact"/>
        <w:rPr>
          <w:rStyle w:val="47"/>
          <w:rFonts w:ascii="宋体" w:hAnsi="宋体"/>
        </w:rPr>
      </w:pPr>
      <w:r>
        <w:rPr>
          <w:rStyle w:val="47"/>
          <w:rFonts w:ascii="宋体" w:hAnsi="宋体"/>
        </w:rPr>
        <w:t>（2）无单位盖章并无法定代表人或法定代表人授权的代理人签字或盖章的；</w:t>
      </w:r>
    </w:p>
    <w:p w14:paraId="3A5B6A79">
      <w:pPr>
        <w:spacing w:line="480" w:lineRule="exact"/>
        <w:rPr>
          <w:rStyle w:val="47"/>
          <w:rFonts w:ascii="宋体" w:hAnsi="宋体"/>
        </w:rPr>
      </w:pPr>
      <w:r>
        <w:rPr>
          <w:rStyle w:val="47"/>
          <w:rFonts w:ascii="宋体" w:hAnsi="宋体"/>
        </w:rPr>
        <w:t>（3）未按规定格式填写，内容不全或关键字迹模糊、无法辨认的；</w:t>
      </w:r>
    </w:p>
    <w:p w14:paraId="0BF00A6B">
      <w:pPr>
        <w:spacing w:line="480" w:lineRule="exact"/>
        <w:rPr>
          <w:rStyle w:val="47"/>
          <w:rFonts w:ascii="宋体" w:hAnsi="宋体"/>
        </w:rPr>
      </w:pPr>
      <w:r>
        <w:rPr>
          <w:rStyle w:val="47"/>
          <w:rFonts w:ascii="宋体" w:hAnsi="宋体"/>
        </w:rPr>
        <w:t>（4）投标人递交两份或多份内容不同的投标文件，或在一份投标文件中对同一招标项目抱有两个或多个报价，且未声明哪一个有效，按招标文件规定提交备选投标方案的除外；</w:t>
      </w:r>
    </w:p>
    <w:p w14:paraId="3C574502">
      <w:pPr>
        <w:spacing w:line="480" w:lineRule="exact"/>
        <w:rPr>
          <w:rStyle w:val="47"/>
          <w:rFonts w:ascii="宋体" w:hAnsi="宋体"/>
        </w:rPr>
      </w:pPr>
      <w:r>
        <w:rPr>
          <w:rStyle w:val="47"/>
          <w:rFonts w:ascii="宋体" w:hAnsi="宋体"/>
        </w:rPr>
        <w:t>（5）投标人名称或组织结构与资格预审时不一致（资格预审的）；</w:t>
      </w:r>
    </w:p>
    <w:p w14:paraId="234730CF">
      <w:pPr>
        <w:spacing w:line="480" w:lineRule="exact"/>
        <w:rPr>
          <w:rStyle w:val="47"/>
          <w:rFonts w:ascii="宋体" w:hAnsi="宋体"/>
        </w:rPr>
      </w:pPr>
      <w:r>
        <w:rPr>
          <w:rStyle w:val="47"/>
          <w:rFonts w:ascii="宋体" w:hAnsi="宋体"/>
        </w:rPr>
        <w:t>（6）投标人未按投标文件的要求提交投标保证金的；</w:t>
      </w:r>
    </w:p>
    <w:p w14:paraId="395B4FAF">
      <w:pPr>
        <w:spacing w:line="480" w:lineRule="exact"/>
        <w:rPr>
          <w:rStyle w:val="47"/>
          <w:rFonts w:ascii="宋体" w:hAnsi="宋体"/>
        </w:rPr>
      </w:pPr>
      <w:r>
        <w:rPr>
          <w:rStyle w:val="47"/>
          <w:rFonts w:ascii="宋体" w:hAnsi="宋体"/>
        </w:rPr>
        <w:t>（7）联合体投标未附联合体各方共同投标协议的（允许联合体投标的）；</w:t>
      </w:r>
    </w:p>
    <w:p w14:paraId="3A529F91">
      <w:pPr>
        <w:spacing w:line="480" w:lineRule="exact"/>
        <w:rPr>
          <w:rStyle w:val="47"/>
          <w:rFonts w:ascii="宋体" w:hAnsi="宋体"/>
        </w:rPr>
      </w:pPr>
      <w:bookmarkStart w:id="74" w:name="_Toc16063905"/>
      <w:r>
        <w:rPr>
          <w:rStyle w:val="47"/>
          <w:rFonts w:ascii="宋体" w:hAnsi="宋体"/>
        </w:rPr>
        <w:t>（8）投标文件未按照招标文件的要求予以密封的；</w:t>
      </w:r>
      <w:bookmarkEnd w:id="74"/>
    </w:p>
    <w:p w14:paraId="4F979071">
      <w:pPr>
        <w:spacing w:line="480" w:lineRule="exact"/>
        <w:rPr>
          <w:rStyle w:val="47"/>
          <w:rFonts w:ascii="宋体" w:hAnsi="宋体"/>
        </w:rPr>
      </w:pPr>
      <w:r>
        <w:rPr>
          <w:rStyle w:val="47"/>
          <w:rFonts w:ascii="宋体" w:hAnsi="宋体"/>
        </w:rPr>
        <w:t>（9）投标文件中的投标函未加盖投标人的企业及企业法定代表人印章的，或者企业法定代表人委托代理人没有合法、有效的委托书（原件）及委托代理人印章的；</w:t>
      </w:r>
    </w:p>
    <w:p w14:paraId="14E321B7">
      <w:pPr>
        <w:spacing w:line="480" w:lineRule="exact"/>
        <w:rPr>
          <w:rStyle w:val="47"/>
          <w:rFonts w:ascii="宋体" w:hAnsi="宋体"/>
        </w:rPr>
      </w:pPr>
      <w:r>
        <w:rPr>
          <w:rStyle w:val="47"/>
          <w:rFonts w:ascii="宋体" w:hAnsi="宋体"/>
        </w:rPr>
        <w:t>（10）资格审查未通过的</w:t>
      </w:r>
      <w:r>
        <w:rPr>
          <w:rStyle w:val="47"/>
          <w:rFonts w:hint="eastAsia" w:ascii="宋体" w:hAnsi="宋体"/>
        </w:rPr>
        <w:t>；</w:t>
      </w:r>
    </w:p>
    <w:p w14:paraId="78B851A2">
      <w:pPr>
        <w:spacing w:line="480" w:lineRule="exact"/>
        <w:rPr>
          <w:rStyle w:val="47"/>
          <w:rFonts w:ascii="宋体" w:hAnsi="宋体"/>
        </w:rPr>
      </w:pPr>
      <w:r>
        <w:rPr>
          <w:rStyle w:val="47"/>
          <w:rFonts w:hint="eastAsia" w:ascii="宋体" w:hAnsi="宋体"/>
        </w:rPr>
        <w:t>（11）未实质性响应招标文件内容的；</w:t>
      </w:r>
    </w:p>
    <w:p w14:paraId="5C864782">
      <w:pPr>
        <w:spacing w:line="480" w:lineRule="exact"/>
        <w:rPr>
          <w:rStyle w:val="47"/>
          <w:rFonts w:ascii="宋体" w:hAnsi="宋体"/>
        </w:rPr>
      </w:pPr>
      <w:r>
        <w:rPr>
          <w:rStyle w:val="47"/>
          <w:rFonts w:hint="eastAsia" w:ascii="宋体" w:hAnsi="宋体"/>
        </w:rPr>
        <w:t>（12）投标单位负责人为同一人或存在管理关系的。</w:t>
      </w:r>
    </w:p>
    <w:p w14:paraId="481A7BA0">
      <w:pPr>
        <w:spacing w:line="480" w:lineRule="exact"/>
        <w:rPr>
          <w:rStyle w:val="47"/>
          <w:rFonts w:ascii="宋体" w:hAnsi="宋体"/>
        </w:rPr>
      </w:pPr>
      <w:r>
        <w:rPr>
          <w:rStyle w:val="47"/>
          <w:rFonts w:hint="eastAsia" w:ascii="宋体" w:hAnsi="宋体"/>
        </w:rPr>
        <w:t>（13）投标人被举报、检举，并经招标方查实无误的。</w:t>
      </w:r>
    </w:p>
    <w:p w14:paraId="1702B3A6">
      <w:pPr>
        <w:spacing w:line="360" w:lineRule="auto"/>
        <w:rPr>
          <w:rStyle w:val="47"/>
          <w:rFonts w:ascii="宋体" w:hAnsi="宋体"/>
          <w:b/>
        </w:rPr>
      </w:pPr>
      <w:r>
        <w:rPr>
          <w:rStyle w:val="47"/>
          <w:rFonts w:ascii="宋体" w:hAnsi="宋体"/>
          <w:b/>
        </w:rPr>
        <w:t>2.2 详细评审</w:t>
      </w:r>
    </w:p>
    <w:p w14:paraId="40643D09">
      <w:pPr>
        <w:spacing w:line="360" w:lineRule="auto"/>
        <w:rPr>
          <w:rStyle w:val="47"/>
          <w:rFonts w:ascii="宋体" w:hAnsi="宋体"/>
        </w:rPr>
      </w:pPr>
      <w:r>
        <w:rPr>
          <w:rStyle w:val="47"/>
          <w:rFonts w:ascii="宋体" w:hAnsi="宋体"/>
        </w:rPr>
        <w:t xml:space="preserve">2.2.1 </w:t>
      </w:r>
      <w:r>
        <w:rPr>
          <w:rStyle w:val="47"/>
          <w:rFonts w:hint="eastAsia" w:ascii="宋体" w:hAnsi="宋体"/>
        </w:rPr>
        <w:t>按照重汽e采通平台有效报价的由低到高进行排序，报价最低者排名第一，报价次低者排名第二，以此类推</w:t>
      </w:r>
      <w:r>
        <w:rPr>
          <w:rStyle w:val="47"/>
          <w:rFonts w:ascii="宋体" w:hAnsi="宋体"/>
        </w:rPr>
        <w:t>。</w:t>
      </w:r>
    </w:p>
    <w:p w14:paraId="3054888F">
      <w:pPr>
        <w:spacing w:line="360" w:lineRule="auto"/>
        <w:rPr>
          <w:rStyle w:val="47"/>
          <w:rFonts w:ascii="宋体" w:hAnsi="宋体"/>
        </w:rPr>
      </w:pPr>
      <w:r>
        <w:rPr>
          <w:rStyle w:val="47"/>
          <w:rFonts w:ascii="宋体" w:hAnsi="宋体"/>
        </w:rPr>
        <w:t>2.2.2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14:paraId="0F0EAAD5">
      <w:pPr>
        <w:spacing w:line="360" w:lineRule="auto"/>
        <w:rPr>
          <w:rStyle w:val="47"/>
          <w:rFonts w:ascii="宋体" w:hAnsi="宋体"/>
          <w:b/>
        </w:rPr>
      </w:pPr>
      <w:r>
        <w:rPr>
          <w:rStyle w:val="47"/>
          <w:rFonts w:ascii="宋体" w:hAnsi="宋体"/>
          <w:b/>
        </w:rPr>
        <w:t>2.3 投标文件的澄清和补正</w:t>
      </w:r>
    </w:p>
    <w:p w14:paraId="421092B2">
      <w:pPr>
        <w:spacing w:line="360" w:lineRule="auto"/>
        <w:rPr>
          <w:rStyle w:val="47"/>
          <w:rFonts w:ascii="宋体" w:hAnsi="宋体"/>
        </w:rPr>
      </w:pPr>
      <w:r>
        <w:rPr>
          <w:rStyle w:val="47"/>
          <w:rFonts w:ascii="宋体" w:hAnsi="宋体"/>
        </w:rPr>
        <w:t>2.3.1在评标过程中，评标委员会可以书面形式要求投标人对所提交投标文件中不明确的内容进行书面澄清或说明，或者对细微偏差进行补正。评标委员会不接受投标人主动提出的澄清、说明或补正。</w:t>
      </w:r>
    </w:p>
    <w:p w14:paraId="773A0FF8">
      <w:pPr>
        <w:spacing w:line="360" w:lineRule="auto"/>
        <w:rPr>
          <w:rStyle w:val="47"/>
          <w:rFonts w:ascii="宋体" w:hAnsi="宋体"/>
        </w:rPr>
      </w:pPr>
      <w:r>
        <w:rPr>
          <w:rStyle w:val="47"/>
          <w:rFonts w:ascii="宋体" w:hAnsi="宋体"/>
        </w:rPr>
        <w:t>2.3.2 投标人的书面澄清、说明和补正属于投标文件的组成部分。</w:t>
      </w:r>
    </w:p>
    <w:p w14:paraId="542F45CC">
      <w:pPr>
        <w:spacing w:line="360" w:lineRule="auto"/>
        <w:rPr>
          <w:rStyle w:val="47"/>
          <w:rFonts w:ascii="宋体" w:hAnsi="宋体"/>
        </w:rPr>
      </w:pPr>
      <w:r>
        <w:rPr>
          <w:rStyle w:val="47"/>
          <w:rFonts w:ascii="宋体" w:hAnsi="宋体"/>
        </w:rPr>
        <w:t>2.3.3 评标委员会对投标人提交的澄清、说明或补正有疑问的，可以要求投标人进一步澄清、说明或补正，直至满足评标委员会的要求。</w:t>
      </w:r>
    </w:p>
    <w:p w14:paraId="6932A3A2">
      <w:pPr>
        <w:spacing w:line="360" w:lineRule="auto"/>
        <w:rPr>
          <w:rStyle w:val="47"/>
          <w:rFonts w:ascii="宋体" w:hAnsi="宋体"/>
          <w:b/>
        </w:rPr>
      </w:pPr>
      <w:r>
        <w:rPr>
          <w:rStyle w:val="47"/>
          <w:rFonts w:ascii="宋体" w:hAnsi="宋体"/>
          <w:b/>
        </w:rPr>
        <w:t>2.4 评标结果</w:t>
      </w:r>
    </w:p>
    <w:p w14:paraId="5D34BDE6">
      <w:pPr>
        <w:spacing w:line="360" w:lineRule="auto"/>
        <w:rPr>
          <w:rFonts w:ascii="宋体" w:hAnsi="宋体"/>
        </w:rPr>
      </w:pPr>
      <w:r>
        <w:rPr>
          <w:rStyle w:val="47"/>
          <w:rFonts w:ascii="宋体" w:hAnsi="宋体"/>
        </w:rPr>
        <w:t>2.4.1</w:t>
      </w:r>
      <w:r>
        <w:rPr>
          <w:rFonts w:hint="eastAsia" w:ascii="宋体" w:hAnsi="宋体"/>
          <w:szCs w:val="21"/>
        </w:rPr>
        <w:t>评标委员会按照最终得分由高到低的次序排列</w:t>
      </w:r>
      <w:r>
        <w:rPr>
          <w:rFonts w:hint="eastAsia" w:ascii="宋体" w:hAnsi="宋体"/>
        </w:rPr>
        <w:t>。</w:t>
      </w:r>
    </w:p>
    <w:p w14:paraId="639182F0">
      <w:pPr>
        <w:pStyle w:val="51"/>
        <w:spacing w:before="0" w:after="0"/>
        <w:rPr>
          <w:rStyle w:val="47"/>
          <w:rFonts w:ascii="宋体" w:hAnsi="宋体"/>
          <w:sz w:val="24"/>
        </w:rPr>
      </w:pPr>
      <w:r>
        <w:rPr>
          <w:rStyle w:val="47"/>
          <w:rFonts w:ascii="宋体" w:hAnsi="宋体"/>
          <w:sz w:val="24"/>
        </w:rPr>
        <w:t>附件B：废标条件</w:t>
      </w:r>
    </w:p>
    <w:p w14:paraId="75D33932">
      <w:pPr>
        <w:pStyle w:val="51"/>
        <w:spacing w:before="0" w:after="0"/>
        <w:rPr>
          <w:rStyle w:val="47"/>
          <w:rFonts w:ascii="宋体" w:hAnsi="宋体"/>
          <w:sz w:val="24"/>
        </w:rPr>
      </w:pPr>
      <w:bookmarkStart w:id="75" w:name="_Toc16063939"/>
      <w:r>
        <w:rPr>
          <w:rStyle w:val="47"/>
          <w:rFonts w:ascii="宋体" w:hAnsi="宋体"/>
          <w:sz w:val="24"/>
        </w:rPr>
        <w:t>B0、总则</w:t>
      </w:r>
      <w:bookmarkEnd w:id="75"/>
    </w:p>
    <w:p w14:paraId="31134AF1">
      <w:pPr>
        <w:spacing w:line="360" w:lineRule="auto"/>
        <w:ind w:firstLine="420" w:firstLineChars="200"/>
        <w:rPr>
          <w:rStyle w:val="47"/>
          <w:rFonts w:ascii="宋体" w:hAnsi="宋体"/>
        </w:rPr>
      </w:pPr>
      <w:r>
        <w:rPr>
          <w:rStyle w:val="47"/>
          <w:rFonts w:ascii="宋体" w:hAnsi="宋体"/>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14:paraId="1432E0B2">
      <w:pPr>
        <w:pStyle w:val="51"/>
        <w:spacing w:before="0" w:after="0"/>
        <w:rPr>
          <w:rStyle w:val="47"/>
          <w:rFonts w:ascii="宋体" w:hAnsi="宋体"/>
          <w:sz w:val="24"/>
        </w:rPr>
      </w:pPr>
      <w:bookmarkStart w:id="76" w:name="_Toc16063940"/>
      <w:r>
        <w:rPr>
          <w:rStyle w:val="47"/>
          <w:rFonts w:ascii="宋体" w:hAnsi="宋体"/>
          <w:sz w:val="24"/>
        </w:rPr>
        <w:t>B1 废标条件</w:t>
      </w:r>
      <w:bookmarkEnd w:id="76"/>
    </w:p>
    <w:p w14:paraId="4BF30B60">
      <w:pPr>
        <w:spacing w:line="360" w:lineRule="auto"/>
        <w:rPr>
          <w:rStyle w:val="47"/>
          <w:rFonts w:ascii="宋体" w:hAnsi="宋体"/>
        </w:rPr>
      </w:pPr>
      <w:r>
        <w:rPr>
          <w:rStyle w:val="47"/>
          <w:rFonts w:ascii="宋体" w:hAnsi="宋体"/>
        </w:rPr>
        <w:t xml:space="preserve">    投标人或其投标文件有下列情形之一的，其投标作废标处理：</w:t>
      </w:r>
    </w:p>
    <w:p w14:paraId="6A11AEDC">
      <w:pPr>
        <w:spacing w:line="360" w:lineRule="auto"/>
        <w:ind w:firstLine="420" w:firstLineChars="200"/>
        <w:rPr>
          <w:rStyle w:val="47"/>
          <w:rFonts w:ascii="宋体" w:hAnsi="宋体"/>
        </w:rPr>
      </w:pPr>
      <w:r>
        <w:rPr>
          <w:rStyle w:val="47"/>
          <w:rFonts w:ascii="宋体" w:hAnsi="宋体"/>
        </w:rPr>
        <w:t>B1.1有第二章“投标人须知”</w:t>
      </w:r>
      <w:r>
        <w:rPr>
          <w:rStyle w:val="33"/>
          <w:rFonts w:ascii="宋体" w:hAnsi="宋体"/>
          <w:color w:val="auto"/>
        </w:rPr>
        <w:t>第1.4.3</w:t>
      </w:r>
      <w:r>
        <w:rPr>
          <w:rStyle w:val="47"/>
          <w:rFonts w:ascii="宋体" w:hAnsi="宋体"/>
        </w:rPr>
        <w:t>项规定的任何一种情形的。</w:t>
      </w:r>
    </w:p>
    <w:p w14:paraId="438F5099">
      <w:pPr>
        <w:spacing w:line="360" w:lineRule="auto"/>
        <w:ind w:firstLine="420" w:firstLineChars="200"/>
        <w:rPr>
          <w:rStyle w:val="47"/>
          <w:rFonts w:ascii="宋体" w:hAnsi="宋体"/>
          <w:shd w:val="clear" w:color="auto" w:fill="D9D9D9"/>
        </w:rPr>
      </w:pPr>
      <w:r>
        <w:rPr>
          <w:rStyle w:val="47"/>
          <w:rFonts w:ascii="宋体" w:hAnsi="宋体"/>
          <w:shd w:val="clear" w:color="auto" w:fill="D9D9D9"/>
        </w:rPr>
        <w:t>B1.2 有串通投标或弄虚作假或其他违法行为的，详下：</w:t>
      </w:r>
    </w:p>
    <w:p w14:paraId="28E43AD9">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B1.2.1投标人之间协商投标报价等投标文件的实质性内容；</w:t>
      </w:r>
    </w:p>
    <w:p w14:paraId="68206BA2">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B1.2.2投标人之间约定中标人；</w:t>
      </w:r>
    </w:p>
    <w:p w14:paraId="6CB5DD67">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B1.2.3投标人之间约定部分投标人放弃投标或者中标；</w:t>
      </w:r>
    </w:p>
    <w:p w14:paraId="4670A0B7">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B1.2.4属于同一集团、协会、商会等组织成员的投标人按照该组织要求协同投标；</w:t>
      </w:r>
    </w:p>
    <w:p w14:paraId="33AAA58A">
      <w:pPr>
        <w:spacing w:line="360" w:lineRule="auto"/>
        <w:ind w:left="216" w:leftChars="103" w:firstLine="621" w:firstLineChars="296"/>
        <w:rPr>
          <w:rStyle w:val="47"/>
          <w:rFonts w:ascii="宋体" w:hAnsi="宋体"/>
          <w:shd w:val="clear" w:color="auto" w:fill="D9D9D9"/>
        </w:rPr>
      </w:pPr>
      <w:bookmarkStart w:id="77" w:name="_Toc16063941"/>
      <w:r>
        <w:rPr>
          <w:rStyle w:val="47"/>
          <w:rFonts w:ascii="宋体" w:hAnsi="宋体"/>
          <w:shd w:val="clear" w:color="auto" w:fill="D9D9D9"/>
        </w:rPr>
        <w:t>B1.2.5投标人之间为谋取中标或者排斥特定投标人而采取的其他联合行动；</w:t>
      </w:r>
      <w:bookmarkEnd w:id="77"/>
    </w:p>
    <w:p w14:paraId="087855C6">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B1.2.6不同投标人的投标文件由同一单位或者个人编制；</w:t>
      </w:r>
    </w:p>
    <w:p w14:paraId="0BD2E935">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B1.2.7不同投标人委托同一单位或者个人办理投标事宜；</w:t>
      </w:r>
    </w:p>
    <w:p w14:paraId="6F5042AB">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B1.2.8不同投标人的投标文件载明的项目管理成员为同一人；</w:t>
      </w:r>
    </w:p>
    <w:p w14:paraId="3A455519">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B1.2.9 不同投标人聘请同一个人为其投标提供技术或者经济咨询服务的，但招标工程本身要求采用专有技术的除外；</w:t>
      </w:r>
    </w:p>
    <w:p w14:paraId="0FA027B1">
      <w:pPr>
        <w:spacing w:line="360" w:lineRule="auto"/>
        <w:ind w:left="216" w:leftChars="103" w:firstLine="621" w:firstLineChars="296"/>
        <w:rPr>
          <w:rStyle w:val="47"/>
          <w:rFonts w:ascii="宋体" w:hAnsi="宋体"/>
          <w:shd w:val="clear" w:color="auto" w:fill="D9D9D9"/>
        </w:rPr>
      </w:pPr>
      <w:bookmarkStart w:id="78" w:name="_Toc16063942"/>
      <w:r>
        <w:rPr>
          <w:rStyle w:val="47"/>
          <w:rFonts w:ascii="宋体" w:hAnsi="宋体"/>
          <w:shd w:val="clear" w:color="auto" w:fill="D9D9D9"/>
        </w:rPr>
        <w:t>B1.2.10不同投标人的投标文件异常一致或者投标报价呈规律性差异；</w:t>
      </w:r>
      <w:bookmarkEnd w:id="78"/>
    </w:p>
    <w:p w14:paraId="49BCD4ED">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B1.2.11不同投标人的投标文件错漏之处一致的；</w:t>
      </w:r>
    </w:p>
    <w:p w14:paraId="4B637142">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B1.2.12不同投标人的投标文件相互混装；</w:t>
      </w:r>
    </w:p>
    <w:p w14:paraId="68F22BC4">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B1.2.13不同投标人的投标文件由同一台电脑编制或者同一台附属设备打印；</w:t>
      </w:r>
    </w:p>
    <w:p w14:paraId="373B1C1E">
      <w:pPr>
        <w:spacing w:line="360" w:lineRule="auto"/>
        <w:ind w:left="216" w:leftChars="103" w:firstLine="621" w:firstLineChars="296"/>
        <w:rPr>
          <w:rStyle w:val="47"/>
          <w:rFonts w:ascii="宋体" w:hAnsi="宋体"/>
          <w:shd w:val="clear" w:color="auto" w:fill="D9D9D9"/>
        </w:rPr>
      </w:pPr>
      <w:bookmarkStart w:id="79" w:name="_Toc16063943"/>
      <w:r>
        <w:rPr>
          <w:rStyle w:val="47"/>
          <w:rFonts w:ascii="宋体" w:hAnsi="宋体"/>
          <w:shd w:val="clear" w:color="auto" w:fill="D9D9D9"/>
        </w:rPr>
        <w:t>B1.2.14不同投标人的投标保证金从同一单位或者个人的账户转出；</w:t>
      </w:r>
      <w:bookmarkEnd w:id="79"/>
    </w:p>
    <w:p w14:paraId="69D3F46F">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B1.2.15不同投标人使用同一个人或者企业资金交纳投标保证金或者投标保函的反担保的；</w:t>
      </w:r>
    </w:p>
    <w:p w14:paraId="2BE07D07">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B1.2.16使用伪造、变造的许可证件；</w:t>
      </w:r>
    </w:p>
    <w:p w14:paraId="02EF4DFE">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B1.2.17提供虚假的财务状况或者业绩；</w:t>
      </w:r>
    </w:p>
    <w:p w14:paraId="34A7537F">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B1.2.18提供虚假的项目负责人或者主要技术人员简历、劳动关系证明；</w:t>
      </w:r>
    </w:p>
    <w:p w14:paraId="69F6F9AE">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B1.2.19提供虚假的信用状况；</w:t>
      </w:r>
    </w:p>
    <w:p w14:paraId="7A71B8D4">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B1.2.20其他弄虚作假的行为；</w:t>
      </w:r>
    </w:p>
    <w:p w14:paraId="3B9E5DC5">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B1.2.21招标人在开标前开启投标文件并将有关信息泄露给其他投标人;</w:t>
      </w:r>
    </w:p>
    <w:p w14:paraId="0F5F9E44">
      <w:pPr>
        <w:spacing w:line="360" w:lineRule="auto"/>
        <w:ind w:left="216" w:leftChars="103" w:firstLine="621" w:firstLineChars="296"/>
        <w:rPr>
          <w:rStyle w:val="47"/>
          <w:rFonts w:ascii="宋体" w:hAnsi="宋体"/>
          <w:shd w:val="clear" w:color="auto" w:fill="D9D9D9"/>
        </w:rPr>
      </w:pPr>
      <w:bookmarkStart w:id="80" w:name="_Toc16063944"/>
      <w:r>
        <w:rPr>
          <w:rStyle w:val="47"/>
          <w:rFonts w:ascii="宋体" w:hAnsi="宋体"/>
          <w:shd w:val="clear" w:color="auto" w:fill="D9D9D9"/>
        </w:rPr>
        <w:t>B1.2.22招标人直接或者间接向投标人泄露标底、评标委员会成员等信息；</w:t>
      </w:r>
      <w:bookmarkEnd w:id="80"/>
    </w:p>
    <w:p w14:paraId="080C83E1">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B1.2.23招标人明示或者暗示投标人压低或者抬高投标报价；</w:t>
      </w:r>
    </w:p>
    <w:p w14:paraId="76108493">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B1.2.24招标人授意投标人撤换、修改投标文件；</w:t>
      </w:r>
    </w:p>
    <w:p w14:paraId="5F42F5E3">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B1.2.25招标人明示或者暗示投标人为特定投标人中标提供方便；</w:t>
      </w:r>
    </w:p>
    <w:p w14:paraId="048B8ABC">
      <w:pPr>
        <w:spacing w:line="360" w:lineRule="auto"/>
        <w:ind w:left="216" w:leftChars="103" w:firstLine="621" w:firstLineChars="296"/>
        <w:rPr>
          <w:rStyle w:val="47"/>
          <w:rFonts w:ascii="宋体" w:hAnsi="宋体"/>
          <w:shd w:val="clear" w:color="auto" w:fill="D9D9D9"/>
        </w:rPr>
      </w:pPr>
      <w:r>
        <w:rPr>
          <w:rStyle w:val="47"/>
          <w:rFonts w:ascii="宋体" w:hAnsi="宋体"/>
          <w:shd w:val="clear" w:color="auto" w:fill="D9D9D9"/>
        </w:rPr>
        <w:t>B1.2.26招标人与投标人为谋求特定投标人中标而采取的其他串通行为；</w:t>
      </w:r>
    </w:p>
    <w:p w14:paraId="5DA0C6E5">
      <w:pPr>
        <w:spacing w:line="360" w:lineRule="auto"/>
        <w:ind w:left="216" w:leftChars="103" w:firstLine="621" w:firstLineChars="296"/>
        <w:rPr>
          <w:rStyle w:val="47"/>
          <w:rFonts w:ascii="宋体" w:hAnsi="宋体"/>
          <w:shd w:val="clear" w:color="auto" w:fill="D9D9D9"/>
        </w:rPr>
      </w:pPr>
      <w:bookmarkStart w:id="81" w:name="_Toc16063945"/>
      <w:r>
        <w:rPr>
          <w:rStyle w:val="47"/>
          <w:rFonts w:ascii="宋体" w:hAnsi="宋体"/>
          <w:shd w:val="clear" w:color="auto" w:fill="D9D9D9"/>
        </w:rPr>
        <w:t>B1.2.27评标委员会认定的其他串通投标情形；</w:t>
      </w:r>
      <w:bookmarkEnd w:id="81"/>
    </w:p>
    <w:p w14:paraId="311DB79A">
      <w:pPr>
        <w:spacing w:line="360" w:lineRule="auto"/>
        <w:ind w:firstLine="420" w:firstLineChars="200"/>
        <w:rPr>
          <w:rStyle w:val="47"/>
          <w:rFonts w:ascii="宋体" w:hAnsi="宋体"/>
        </w:rPr>
      </w:pPr>
      <w:r>
        <w:rPr>
          <w:rStyle w:val="47"/>
          <w:rFonts w:ascii="宋体" w:hAnsi="宋体"/>
        </w:rPr>
        <w:t>B1.3不按评标委员会要求澄清、说明或补正的。</w:t>
      </w:r>
    </w:p>
    <w:p w14:paraId="27DC24C9">
      <w:pPr>
        <w:spacing w:line="360" w:lineRule="auto"/>
        <w:ind w:firstLine="422" w:firstLineChars="200"/>
        <w:rPr>
          <w:rStyle w:val="47"/>
          <w:rFonts w:ascii="宋体" w:hAnsi="宋体"/>
          <w:b/>
        </w:rPr>
      </w:pPr>
      <w:r>
        <w:rPr>
          <w:rStyle w:val="47"/>
          <w:rFonts w:ascii="宋体" w:hAnsi="宋体"/>
          <w:b/>
        </w:rPr>
        <w:t>B1.</w:t>
      </w:r>
      <w:r>
        <w:rPr>
          <w:rStyle w:val="47"/>
          <w:rFonts w:hint="eastAsia" w:ascii="宋体" w:hAnsi="宋体"/>
          <w:b/>
        </w:rPr>
        <w:t>4</w:t>
      </w:r>
      <w:r>
        <w:rPr>
          <w:rStyle w:val="47"/>
          <w:rFonts w:ascii="宋体" w:hAnsi="宋体"/>
          <w:b/>
        </w:rPr>
        <w:t>投标报价文件（投标函除外）未经有资格的工程造价专业人员签字并加盖执业专用章的。</w:t>
      </w:r>
    </w:p>
    <w:p w14:paraId="408164FB">
      <w:pPr>
        <w:spacing w:line="360" w:lineRule="auto"/>
        <w:ind w:firstLine="420" w:firstLineChars="200"/>
        <w:rPr>
          <w:rStyle w:val="47"/>
          <w:rFonts w:ascii="宋体" w:hAnsi="宋体"/>
        </w:rPr>
      </w:pPr>
      <w:r>
        <w:rPr>
          <w:rStyle w:val="47"/>
          <w:rFonts w:ascii="宋体" w:hAnsi="宋体"/>
        </w:rPr>
        <w:t>B1.</w:t>
      </w:r>
      <w:r>
        <w:rPr>
          <w:rStyle w:val="47"/>
          <w:rFonts w:hint="eastAsia" w:ascii="宋体" w:hAnsi="宋体"/>
        </w:rPr>
        <w:t>5</w:t>
      </w:r>
      <w:r>
        <w:rPr>
          <w:rStyle w:val="47"/>
          <w:rFonts w:ascii="宋体" w:hAnsi="宋体"/>
        </w:rPr>
        <w:t>在施工组织设计和项目管理机构评审中，评标委员会认定投标人的投标未能通过此项评审的。</w:t>
      </w:r>
    </w:p>
    <w:p w14:paraId="505ED0DB">
      <w:pPr>
        <w:spacing w:line="360" w:lineRule="auto"/>
        <w:ind w:firstLine="420" w:firstLineChars="200"/>
        <w:rPr>
          <w:rStyle w:val="47"/>
          <w:rFonts w:ascii="宋体" w:hAnsi="宋体"/>
        </w:rPr>
      </w:pPr>
      <w:r>
        <w:rPr>
          <w:rStyle w:val="47"/>
          <w:rFonts w:ascii="宋体" w:hAnsi="宋体"/>
        </w:rPr>
        <w:t>B1.</w:t>
      </w:r>
      <w:r>
        <w:rPr>
          <w:rStyle w:val="47"/>
          <w:rFonts w:hint="eastAsia" w:ascii="宋体" w:hAnsi="宋体"/>
        </w:rPr>
        <w:t>6</w:t>
      </w:r>
      <w:r>
        <w:rPr>
          <w:rStyle w:val="47"/>
          <w:rFonts w:ascii="宋体" w:hAnsi="宋体"/>
        </w:rPr>
        <w:t>评标委员会认定投标人以低于成本报价竞标的。</w:t>
      </w:r>
    </w:p>
    <w:p w14:paraId="70439D65">
      <w:pPr>
        <w:spacing w:line="360" w:lineRule="auto"/>
        <w:ind w:firstLine="420" w:firstLineChars="200"/>
        <w:rPr>
          <w:rStyle w:val="47"/>
          <w:rFonts w:ascii="宋体" w:hAnsi="宋体"/>
        </w:rPr>
      </w:pPr>
      <w:r>
        <w:rPr>
          <w:rStyle w:val="47"/>
          <w:rFonts w:ascii="宋体" w:hAnsi="宋体"/>
        </w:rPr>
        <w:t>B1.</w:t>
      </w:r>
      <w:r>
        <w:rPr>
          <w:rStyle w:val="47"/>
          <w:rFonts w:hint="eastAsia" w:ascii="宋体" w:hAnsi="宋体"/>
        </w:rPr>
        <w:t>7</w:t>
      </w:r>
      <w:r>
        <w:rPr>
          <w:rStyle w:val="47"/>
          <w:rFonts w:ascii="宋体" w:hAnsi="宋体"/>
        </w:rPr>
        <w:t xml:space="preserve">投标人未按第二章 </w:t>
      </w:r>
      <w:r>
        <w:rPr>
          <w:rStyle w:val="33"/>
          <w:rFonts w:ascii="宋体" w:hAnsi="宋体"/>
          <w:color w:val="auto"/>
        </w:rPr>
        <w:t>投标人须知前附表第10.5款</w:t>
      </w:r>
      <w:r>
        <w:rPr>
          <w:rStyle w:val="47"/>
          <w:rFonts w:ascii="宋体" w:hAnsi="宋体"/>
        </w:rPr>
        <w:t>规定出席开标会的。</w:t>
      </w:r>
    </w:p>
    <w:p w14:paraId="41ED06BF">
      <w:pPr>
        <w:spacing w:line="360" w:lineRule="auto"/>
        <w:ind w:left="420" w:leftChars="200"/>
        <w:rPr>
          <w:rStyle w:val="47"/>
          <w:rFonts w:ascii="宋体" w:hAnsi="宋体"/>
          <w:szCs w:val="22"/>
        </w:rPr>
      </w:pPr>
      <w:r>
        <w:rPr>
          <w:rStyle w:val="47"/>
          <w:rFonts w:hint="eastAsia" w:ascii="宋体" w:hAnsi="宋体"/>
          <w:szCs w:val="22"/>
        </w:rPr>
        <w:t>B1.8</w:t>
      </w:r>
      <w:r>
        <w:rPr>
          <w:rStyle w:val="47"/>
          <w:rFonts w:ascii="宋体" w:hAnsi="宋体"/>
          <w:szCs w:val="22"/>
        </w:rPr>
        <w:t>符合条件、或对招标文件做实质响应的供应商不足3家的</w:t>
      </w:r>
      <w:r>
        <w:rPr>
          <w:rStyle w:val="47"/>
          <w:rFonts w:hint="eastAsia" w:ascii="宋体" w:hAnsi="宋体"/>
          <w:szCs w:val="22"/>
        </w:rPr>
        <w:t>。</w:t>
      </w:r>
    </w:p>
    <w:p w14:paraId="4BCBCAF8">
      <w:pPr>
        <w:spacing w:line="360" w:lineRule="auto"/>
        <w:ind w:left="420" w:leftChars="200"/>
        <w:rPr>
          <w:rStyle w:val="47"/>
          <w:rFonts w:ascii="宋体" w:hAnsi="宋体"/>
        </w:rPr>
      </w:pPr>
      <w:r>
        <w:rPr>
          <w:rStyle w:val="47"/>
          <w:rFonts w:hint="eastAsia" w:ascii="宋体" w:hAnsi="宋体"/>
          <w:szCs w:val="22"/>
        </w:rPr>
        <w:t>B1.9</w:t>
      </w:r>
      <w:r>
        <w:rPr>
          <w:rStyle w:val="47"/>
          <w:rFonts w:ascii="宋体" w:hAnsi="宋体"/>
          <w:szCs w:val="22"/>
        </w:rPr>
        <w:t>出现影响采购公正的违法违规行为的、投标人报价均超过采购预算的、因重大变故、采购任务取消的等</w:t>
      </w:r>
      <w:r>
        <w:rPr>
          <w:rStyle w:val="47"/>
          <w:rFonts w:hint="eastAsia" w:ascii="宋体" w:hAnsi="宋体"/>
          <w:szCs w:val="22"/>
        </w:rPr>
        <w:t>。</w:t>
      </w:r>
    </w:p>
    <w:p w14:paraId="704BF75B">
      <w:pPr>
        <w:rPr>
          <w:rStyle w:val="47"/>
          <w:rFonts w:ascii="宋体" w:hAnsi="宋体"/>
        </w:rPr>
      </w:pPr>
      <w:r>
        <w:rPr>
          <w:rStyle w:val="47"/>
          <w:rFonts w:ascii="宋体" w:hAnsi="宋体"/>
        </w:rPr>
        <w:br w:type="page"/>
      </w:r>
    </w:p>
    <w:p w14:paraId="0B44BDD6">
      <w:pPr>
        <w:pStyle w:val="4"/>
        <w:jc w:val="center"/>
        <w:rPr>
          <w:i w:val="0"/>
          <w:iCs w:val="0"/>
          <w:sz w:val="32"/>
          <w:szCs w:val="32"/>
        </w:rPr>
      </w:pPr>
      <w:bookmarkStart w:id="82" w:name="_Toc28575"/>
      <w:bookmarkStart w:id="83" w:name="_Toc17817336"/>
      <w:bookmarkStart w:id="84" w:name="_Toc11114"/>
      <w:r>
        <w:rPr>
          <w:i w:val="0"/>
          <w:iCs w:val="0"/>
          <w:sz w:val="32"/>
          <w:szCs w:val="32"/>
        </w:rPr>
        <w:t>第四章</w:t>
      </w:r>
      <w:r>
        <w:rPr>
          <w:rFonts w:hint="eastAsia"/>
          <w:i w:val="0"/>
          <w:iCs w:val="0"/>
          <w:sz w:val="32"/>
          <w:szCs w:val="32"/>
        </w:rPr>
        <w:t xml:space="preserve"> </w:t>
      </w:r>
      <w:r>
        <w:rPr>
          <w:i w:val="0"/>
          <w:iCs w:val="0"/>
          <w:sz w:val="32"/>
          <w:szCs w:val="32"/>
        </w:rPr>
        <w:t>合同条款及格式</w:t>
      </w:r>
      <w:bookmarkEnd w:id="82"/>
      <w:bookmarkEnd w:id="83"/>
      <w:bookmarkEnd w:id="84"/>
    </w:p>
    <w:p w14:paraId="43DC3607">
      <w:pPr>
        <w:jc w:val="center"/>
        <w:rPr>
          <w:rStyle w:val="47"/>
          <w:rFonts w:hint="eastAsia" w:ascii="宋体" w:hAnsi="宋体"/>
          <w:b/>
          <w:bCs/>
          <w:color w:val="FF0000"/>
          <w:highlight w:val="none"/>
          <w:lang w:eastAsia="zh-CN"/>
        </w:rPr>
      </w:pPr>
      <w:r>
        <w:rPr>
          <w:rStyle w:val="47"/>
          <w:rFonts w:hint="eastAsia" w:ascii="宋体" w:hAnsi="宋体"/>
          <w:b/>
          <w:bCs/>
          <w:color w:val="FF0000"/>
          <w:highlight w:val="none"/>
          <w:lang w:val="en-US" w:eastAsia="zh-CN"/>
        </w:rPr>
        <w:t>此为示例模板，</w:t>
      </w:r>
      <w:r>
        <w:rPr>
          <w:rStyle w:val="47"/>
          <w:rFonts w:ascii="宋体" w:hAnsi="宋体"/>
          <w:b/>
          <w:bCs/>
          <w:color w:val="FF0000"/>
          <w:highlight w:val="none"/>
        </w:rPr>
        <w:t>以最终签署合同文本为准</w:t>
      </w:r>
      <w:r>
        <w:rPr>
          <w:rStyle w:val="47"/>
          <w:rFonts w:hint="eastAsia" w:ascii="宋体" w:hAnsi="宋体"/>
          <w:b/>
          <w:bCs/>
          <w:color w:val="FF0000"/>
          <w:highlight w:val="none"/>
          <w:lang w:eastAsia="zh-CN"/>
        </w:rPr>
        <w:t>。</w:t>
      </w:r>
    </w:p>
    <w:p w14:paraId="0655A968">
      <w:pPr>
        <w:jc w:val="center"/>
        <w:rPr>
          <w:rStyle w:val="47"/>
          <w:color w:val="FF0000"/>
          <w:highlight w:val="none"/>
        </w:rPr>
      </w:pPr>
      <w:r>
        <w:rPr>
          <w:rStyle w:val="47"/>
          <w:rFonts w:hint="eastAsia" w:ascii="宋体" w:hAnsi="宋体"/>
          <w:b/>
          <w:bCs/>
          <w:color w:val="FF0000"/>
          <w:highlight w:val="none"/>
          <w:lang w:val="en-US" w:eastAsia="zh-CN"/>
        </w:rPr>
        <w:t>招标文件、投标文件、各类答疑及澄清等内容均为施工合同的组成部分。</w:t>
      </w:r>
    </w:p>
    <w:p w14:paraId="1814F1C4">
      <w:pPr>
        <w:rPr>
          <w:i w:val="0"/>
          <w:iCs w:val="0"/>
          <w:color w:val="auto"/>
          <w:highlight w:val="none"/>
        </w:rPr>
      </w:pPr>
      <w:bookmarkStart w:id="85" w:name="_Toc2847"/>
      <w:bookmarkStart w:id="86" w:name="_第五章_投标报价要求"/>
      <w:bookmarkStart w:id="87" w:name="_Toc363561430"/>
      <w:bookmarkStart w:id="88" w:name="_Toc294124224"/>
      <w:bookmarkStart w:id="89" w:name="_Toc19722"/>
      <w:bookmarkStart w:id="90" w:name="_Toc3675"/>
      <w:bookmarkStart w:id="91" w:name="_Toc19628"/>
      <w:bookmarkStart w:id="92" w:name="_Toc22187"/>
      <w:bookmarkStart w:id="93" w:name="_Toc20700"/>
      <w:bookmarkStart w:id="94" w:name="_Toc372"/>
      <w:bookmarkStart w:id="95" w:name="_Toc28547"/>
      <w:bookmarkStart w:id="96" w:name="_Toc17162"/>
      <w:bookmarkStart w:id="97" w:name="_Toc1254"/>
      <w:bookmarkStart w:id="98" w:name="_Toc24390"/>
      <w:bookmarkStart w:id="99" w:name="_Toc17817340"/>
      <w:bookmarkStart w:id="100" w:name="_Toc15775"/>
      <w:r>
        <w:rPr>
          <w:rFonts w:hint="eastAsia" w:ascii="宋体" w:hAnsi="宋体"/>
          <w:b/>
          <w:i w:val="0"/>
          <w:iCs w:val="0"/>
          <w:color w:val="auto"/>
          <w:sz w:val="28"/>
          <w:szCs w:val="28"/>
          <w:highlight w:val="none"/>
          <w:lang w:val="en-US" w:eastAsia="zh-CN"/>
        </w:rPr>
        <w:t xml:space="preserve">                   </w:t>
      </w:r>
    </w:p>
    <w:bookmarkEnd w:id="85"/>
    <w:bookmarkEnd w:id="86"/>
    <w:p w14:paraId="3A178FE3">
      <w:pPr>
        <w:rPr>
          <w:rStyle w:val="47"/>
          <w:rFonts w:ascii="宋体" w:hAnsi="宋体"/>
          <w:color w:val="auto"/>
        </w:rPr>
      </w:pPr>
    </w:p>
    <w:p w14:paraId="447D3936">
      <w:pPr>
        <w:wordWrap w:val="0"/>
        <w:adjustRightInd w:val="0"/>
        <w:snapToGrid w:val="0"/>
        <w:spacing w:line="360" w:lineRule="auto"/>
        <w:jc w:val="right"/>
        <w:rPr>
          <w:rFonts w:ascii="宋体" w:hAnsi="宋体"/>
          <w:b/>
          <w:bCs/>
          <w:color w:val="auto"/>
          <w:sz w:val="28"/>
          <w:szCs w:val="28"/>
          <w:u w:val="thick"/>
        </w:rPr>
      </w:pPr>
      <w:r>
        <w:rPr>
          <w:rFonts w:hint="eastAsia" w:ascii="宋体" w:hAnsi="宋体"/>
          <w:b/>
          <w:color w:val="auto"/>
          <w:sz w:val="28"/>
          <w:szCs w:val="28"/>
        </w:rPr>
        <w:t>合同编号：</w:t>
      </w:r>
      <w:r>
        <w:rPr>
          <w:rFonts w:hint="eastAsia" w:ascii="宋体" w:hAnsi="宋体" w:cs="宋体"/>
          <w:b/>
          <w:bCs/>
          <w:color w:val="auto"/>
          <w:sz w:val="28"/>
          <w:szCs w:val="28"/>
          <w:u w:val="thick"/>
        </w:rPr>
        <w:t xml:space="preserve">  </w:t>
      </w:r>
      <w:r>
        <w:rPr>
          <w:rFonts w:hint="eastAsia" w:ascii="宋体" w:hAnsi="宋体" w:cs="宋体"/>
          <w:b/>
          <w:bCs/>
          <w:color w:val="auto"/>
          <w:sz w:val="28"/>
          <w:szCs w:val="28"/>
          <w:u w:val="thick"/>
          <w:lang w:val="en-US" w:eastAsia="zh-CN"/>
        </w:rPr>
        <w:t xml:space="preserve">            </w:t>
      </w:r>
      <w:r>
        <w:rPr>
          <w:rFonts w:hint="eastAsia" w:ascii="宋体" w:hAnsi="宋体" w:cs="宋体"/>
          <w:b/>
          <w:bCs/>
          <w:color w:val="auto"/>
          <w:sz w:val="28"/>
          <w:szCs w:val="28"/>
          <w:u w:val="thick"/>
        </w:rPr>
        <w:t xml:space="preserve">  </w:t>
      </w:r>
    </w:p>
    <w:p w14:paraId="28F16E47">
      <w:pPr>
        <w:adjustRightInd w:val="0"/>
        <w:snapToGrid w:val="0"/>
        <w:spacing w:line="360" w:lineRule="auto"/>
        <w:jc w:val="left"/>
        <w:rPr>
          <w:rFonts w:ascii="宋体" w:hAnsi="宋体"/>
          <w:color w:val="auto"/>
          <w:sz w:val="20"/>
          <w:szCs w:val="20"/>
        </w:rPr>
      </w:pPr>
    </w:p>
    <w:p w14:paraId="7A9065CC">
      <w:pPr>
        <w:adjustRightInd w:val="0"/>
        <w:snapToGrid w:val="0"/>
        <w:spacing w:line="360" w:lineRule="auto"/>
        <w:jc w:val="center"/>
        <w:rPr>
          <w:rFonts w:hint="eastAsia" w:ascii="宋体" w:hAnsi="宋体"/>
          <w:b/>
          <w:bCs/>
          <w:color w:val="auto"/>
          <w:sz w:val="52"/>
          <w:szCs w:val="36"/>
          <w:highlight w:val="none"/>
        </w:rPr>
      </w:pPr>
      <w:bookmarkStart w:id="101" w:name="_Toc363561426"/>
      <w:bookmarkStart w:id="102" w:name="_Toc294124220"/>
    </w:p>
    <w:p w14:paraId="26315ADA">
      <w:pPr>
        <w:pStyle w:val="21"/>
        <w:ind w:left="0" w:leftChars="0" w:firstLine="0" w:firstLineChars="0"/>
        <w:rPr>
          <w:rFonts w:hint="eastAsia"/>
        </w:rPr>
      </w:pPr>
    </w:p>
    <w:p w14:paraId="65A2D00D">
      <w:pPr>
        <w:adjustRightInd w:val="0"/>
        <w:snapToGrid w:val="0"/>
        <w:spacing w:line="360" w:lineRule="auto"/>
        <w:jc w:val="center"/>
        <w:outlineLvl w:val="2"/>
        <w:rPr>
          <w:rFonts w:ascii="宋体" w:hAnsi="宋体"/>
          <w:b/>
          <w:bCs/>
          <w:color w:val="auto"/>
          <w:sz w:val="52"/>
          <w:szCs w:val="36"/>
          <w:highlight w:val="none"/>
        </w:rPr>
      </w:pPr>
      <w:bookmarkStart w:id="103" w:name="_Toc1668"/>
      <w:r>
        <w:rPr>
          <w:rFonts w:hint="eastAsia" w:ascii="宋体" w:hAnsi="宋体"/>
          <w:b/>
          <w:bCs/>
          <w:color w:val="auto"/>
          <w:sz w:val="52"/>
          <w:szCs w:val="36"/>
          <w:highlight w:val="none"/>
        </w:rPr>
        <w:t>建设工程施工合同</w:t>
      </w:r>
      <w:bookmarkEnd w:id="103"/>
    </w:p>
    <w:p w14:paraId="6AFB8DB2">
      <w:pPr>
        <w:adjustRightInd w:val="0"/>
        <w:snapToGrid w:val="0"/>
        <w:spacing w:line="360" w:lineRule="auto"/>
        <w:jc w:val="center"/>
        <w:rPr>
          <w:rFonts w:ascii="宋体" w:hAnsi="宋体"/>
          <w:b/>
          <w:sz w:val="52"/>
          <w:szCs w:val="36"/>
        </w:rPr>
      </w:pPr>
      <w:r>
        <w:rPr>
          <w:rFonts w:hint="eastAsia" w:ascii="宋体" w:hAnsi="宋体"/>
          <w:b/>
          <w:bCs/>
          <w:sz w:val="52"/>
          <w:szCs w:val="36"/>
        </w:rPr>
        <w:t>（简易模板）</w:t>
      </w:r>
    </w:p>
    <w:p w14:paraId="0ABCD44C">
      <w:pPr>
        <w:adjustRightInd w:val="0"/>
        <w:snapToGrid w:val="0"/>
        <w:spacing w:line="360" w:lineRule="auto"/>
        <w:ind w:firstLine="723"/>
        <w:jc w:val="left"/>
        <w:rPr>
          <w:rFonts w:ascii="宋体" w:hAnsi="宋体"/>
          <w:b/>
          <w:color w:val="auto"/>
          <w:sz w:val="36"/>
          <w:szCs w:val="36"/>
          <w:highlight w:val="none"/>
        </w:rPr>
      </w:pPr>
    </w:p>
    <w:p w14:paraId="3EB3FE00">
      <w:pPr>
        <w:adjustRightInd w:val="0"/>
        <w:snapToGrid w:val="0"/>
        <w:spacing w:line="360" w:lineRule="auto"/>
        <w:ind w:firstLine="723"/>
        <w:jc w:val="left"/>
        <w:rPr>
          <w:rFonts w:ascii="宋体" w:hAnsi="宋体"/>
          <w:b/>
          <w:color w:val="auto"/>
          <w:sz w:val="36"/>
          <w:szCs w:val="36"/>
          <w:highlight w:val="none"/>
        </w:rPr>
      </w:pPr>
    </w:p>
    <w:p w14:paraId="25C6A4F0">
      <w:pPr>
        <w:adjustRightInd w:val="0"/>
        <w:snapToGrid w:val="0"/>
        <w:spacing w:line="360" w:lineRule="auto"/>
        <w:ind w:firstLine="723"/>
        <w:jc w:val="left"/>
        <w:rPr>
          <w:rFonts w:ascii="宋体" w:hAnsi="宋体"/>
          <w:b/>
          <w:color w:val="auto"/>
          <w:sz w:val="36"/>
          <w:szCs w:val="36"/>
          <w:highlight w:val="none"/>
        </w:rPr>
      </w:pPr>
    </w:p>
    <w:p w14:paraId="78506BBD">
      <w:pPr>
        <w:adjustRightInd w:val="0"/>
        <w:snapToGrid w:val="0"/>
        <w:spacing w:line="360" w:lineRule="auto"/>
        <w:ind w:firstLine="723"/>
        <w:jc w:val="left"/>
        <w:rPr>
          <w:rFonts w:ascii="宋体" w:hAnsi="宋体"/>
          <w:b/>
          <w:color w:val="auto"/>
          <w:sz w:val="36"/>
          <w:szCs w:val="36"/>
          <w:highlight w:val="none"/>
        </w:rPr>
      </w:pPr>
    </w:p>
    <w:p w14:paraId="4F418371">
      <w:pPr>
        <w:adjustRightInd w:val="0"/>
        <w:snapToGrid w:val="0"/>
        <w:spacing w:line="360" w:lineRule="auto"/>
        <w:ind w:firstLine="723"/>
        <w:jc w:val="left"/>
        <w:rPr>
          <w:rFonts w:ascii="宋体" w:hAnsi="宋体"/>
          <w:b/>
          <w:color w:val="auto"/>
          <w:sz w:val="36"/>
          <w:szCs w:val="36"/>
          <w:highlight w:val="none"/>
        </w:rPr>
      </w:pPr>
    </w:p>
    <w:p w14:paraId="0948FF74">
      <w:pPr>
        <w:pStyle w:val="11"/>
        <w:ind w:left="420" w:firstLine="420"/>
        <w:rPr>
          <w:color w:val="auto"/>
          <w:highlight w:val="none"/>
        </w:rPr>
      </w:pPr>
    </w:p>
    <w:p w14:paraId="6580B8F0">
      <w:pPr>
        <w:adjustRightInd w:val="0"/>
        <w:snapToGrid w:val="0"/>
        <w:spacing w:line="360" w:lineRule="auto"/>
        <w:ind w:firstLine="2327" w:firstLineChars="644"/>
        <w:jc w:val="left"/>
        <w:rPr>
          <w:rFonts w:ascii="宋体" w:hAnsi="宋体"/>
          <w:b/>
          <w:color w:val="auto"/>
          <w:sz w:val="36"/>
          <w:szCs w:val="36"/>
          <w:highlight w:val="none"/>
        </w:rPr>
      </w:pPr>
    </w:p>
    <w:p w14:paraId="7FFE7676">
      <w:pPr>
        <w:adjustRightInd w:val="0"/>
        <w:snapToGrid w:val="0"/>
        <w:spacing w:line="480" w:lineRule="auto"/>
        <w:ind w:firstLine="843" w:firstLineChars="300"/>
        <w:jc w:val="left"/>
        <w:rPr>
          <w:rFonts w:hint="default" w:ascii="宋体" w:hAnsi="宋体"/>
          <w:b/>
          <w:color w:val="auto"/>
          <w:sz w:val="28"/>
          <w:szCs w:val="36"/>
          <w:highlight w:val="none"/>
          <w:u w:val="thick"/>
          <w:lang w:val="en-US" w:eastAsia="zh-CN"/>
        </w:rPr>
      </w:pPr>
      <w:r>
        <w:rPr>
          <w:rFonts w:hint="eastAsia" w:ascii="宋体" w:hAnsi="宋体"/>
          <w:b/>
          <w:color w:val="auto"/>
          <w:sz w:val="28"/>
          <w:szCs w:val="36"/>
          <w:highlight w:val="none"/>
        </w:rPr>
        <w:t>项目名称：</w:t>
      </w:r>
      <w:r>
        <w:rPr>
          <w:rFonts w:hint="eastAsia" w:ascii="宋体" w:hAnsi="宋体"/>
          <w:b/>
          <w:color w:val="auto"/>
          <w:sz w:val="28"/>
          <w:szCs w:val="36"/>
          <w:highlight w:val="none"/>
          <w:u w:val="thick"/>
          <w:lang w:val="en-US" w:eastAsia="zh-CN"/>
        </w:rPr>
        <w:t xml:space="preserve">                               </w:t>
      </w:r>
    </w:p>
    <w:p w14:paraId="3E7B0F84">
      <w:pPr>
        <w:adjustRightInd w:val="0"/>
        <w:snapToGrid w:val="0"/>
        <w:spacing w:line="480" w:lineRule="auto"/>
        <w:ind w:firstLine="843" w:firstLineChars="300"/>
        <w:jc w:val="left"/>
        <w:rPr>
          <w:rFonts w:ascii="宋体" w:hAnsi="宋体"/>
          <w:b/>
          <w:color w:val="auto"/>
          <w:sz w:val="28"/>
          <w:szCs w:val="36"/>
          <w:highlight w:val="none"/>
        </w:rPr>
      </w:pPr>
      <w:r>
        <w:rPr>
          <w:rFonts w:hint="eastAsia" w:ascii="宋体" w:hAnsi="宋体"/>
          <w:b/>
          <w:color w:val="auto"/>
          <w:sz w:val="28"/>
          <w:szCs w:val="36"/>
          <w:highlight w:val="none"/>
        </w:rPr>
        <w:t>发 包 人：</w:t>
      </w:r>
      <w:r>
        <w:rPr>
          <w:rFonts w:hint="eastAsia" w:ascii="宋体" w:hAnsi="宋体"/>
          <w:b/>
          <w:color w:val="auto"/>
          <w:sz w:val="28"/>
          <w:szCs w:val="36"/>
          <w:highlight w:val="none"/>
          <w:u w:val="thick"/>
          <w:lang w:eastAsia="zh-CN"/>
        </w:rPr>
        <w:t>中国重汽集团济南动力有限公司</w:t>
      </w:r>
    </w:p>
    <w:p w14:paraId="602ABBFF">
      <w:pPr>
        <w:adjustRightInd w:val="0"/>
        <w:snapToGrid w:val="0"/>
        <w:spacing w:line="480" w:lineRule="auto"/>
        <w:ind w:firstLine="843" w:firstLineChars="300"/>
        <w:jc w:val="left"/>
        <w:rPr>
          <w:rFonts w:hint="eastAsia" w:ascii="宋体" w:hAnsi="宋体" w:eastAsia="宋体"/>
          <w:b/>
          <w:color w:val="auto"/>
          <w:sz w:val="28"/>
          <w:szCs w:val="36"/>
          <w:highlight w:val="none"/>
          <w:lang w:eastAsia="zh-CN"/>
        </w:rPr>
      </w:pPr>
      <w:r>
        <w:rPr>
          <w:rFonts w:hint="eastAsia" w:ascii="宋体" w:hAnsi="宋体"/>
          <w:b/>
          <w:color w:val="auto"/>
          <w:sz w:val="28"/>
          <w:szCs w:val="36"/>
          <w:highlight w:val="none"/>
        </w:rPr>
        <w:t>承 包 人：</w:t>
      </w:r>
      <w:r>
        <w:rPr>
          <w:rFonts w:hint="eastAsia" w:ascii="宋体" w:hAnsi="宋体"/>
          <w:b/>
          <w:color w:val="auto"/>
          <w:sz w:val="28"/>
          <w:szCs w:val="36"/>
          <w:highlight w:val="none"/>
          <w:u w:val="thick"/>
          <w:lang w:eastAsia="zh-CN"/>
        </w:rPr>
        <w:t>本次中标单位</w:t>
      </w:r>
    </w:p>
    <w:p w14:paraId="2BFD8FED">
      <w:pPr>
        <w:pStyle w:val="69"/>
        <w:adjustRightInd w:val="0"/>
        <w:snapToGrid w:val="0"/>
        <w:spacing w:before="0" w:after="0" w:line="520" w:lineRule="exact"/>
        <w:rPr>
          <w:rFonts w:ascii="宋体" w:hAnsi="宋体"/>
          <w:color w:val="auto"/>
          <w:sz w:val="28"/>
          <w:szCs w:val="36"/>
          <w:highlight w:val="none"/>
        </w:rPr>
        <w:sectPr>
          <w:pgSz w:w="11905" w:h="16838"/>
          <w:pgMar w:top="1304" w:right="1304" w:bottom="1247" w:left="1304" w:header="850" w:footer="992" w:gutter="0"/>
          <w:pgNumType w:fmt="decimal"/>
          <w:cols w:space="0" w:num="1"/>
          <w:titlePg/>
          <w:rtlGutter w:val="0"/>
          <w:docGrid w:type="lines" w:linePitch="320" w:charSpace="0"/>
        </w:sectPr>
      </w:pPr>
    </w:p>
    <w:p w14:paraId="16FE2CB7">
      <w:pPr>
        <w:adjustRightInd w:val="0"/>
        <w:snapToGrid w:val="0"/>
        <w:spacing w:line="520" w:lineRule="exact"/>
        <w:ind w:firstLine="482"/>
        <w:rPr>
          <w:rFonts w:hint="eastAsia" w:ascii="仿宋" w:hAnsi="仿宋" w:eastAsia="仿宋" w:cs="仿宋"/>
          <w:b/>
          <w:color w:val="auto"/>
          <w:sz w:val="24"/>
          <w:highlight w:val="none"/>
          <w:u w:val="single"/>
          <w:lang w:eastAsia="zh-CN"/>
        </w:rPr>
      </w:pPr>
      <w:r>
        <w:rPr>
          <w:rFonts w:hint="eastAsia" w:ascii="仿宋" w:hAnsi="仿宋" w:eastAsia="仿宋" w:cs="仿宋"/>
          <w:b/>
          <w:color w:val="auto"/>
          <w:sz w:val="24"/>
          <w:highlight w:val="none"/>
        </w:rPr>
        <w:t>发包人（全称）：</w:t>
      </w:r>
      <w:r>
        <w:rPr>
          <w:rFonts w:hint="eastAsia" w:ascii="仿宋" w:hAnsi="仿宋" w:eastAsia="仿宋" w:cs="仿宋"/>
          <w:b/>
          <w:color w:val="auto"/>
          <w:sz w:val="24"/>
          <w:highlight w:val="none"/>
          <w:u w:val="single"/>
          <w:lang w:eastAsia="zh-CN"/>
        </w:rPr>
        <w:t>中国重汽集团济南动力有限公司</w:t>
      </w:r>
    </w:p>
    <w:p w14:paraId="139C4009">
      <w:pPr>
        <w:pStyle w:val="11"/>
        <w:ind w:left="420" w:firstLine="482"/>
        <w:rPr>
          <w:rFonts w:hint="default" w:eastAsia="仿宋"/>
          <w:color w:val="auto"/>
          <w:highlight w:val="none"/>
          <w:lang w:val="en-US" w:eastAsia="zh-CN"/>
        </w:rPr>
      </w:pPr>
      <w:r>
        <w:rPr>
          <w:rFonts w:ascii="仿宋" w:hAnsi="仿宋" w:eastAsia="仿宋" w:cs="仿宋"/>
          <w:b/>
          <w:color w:val="auto"/>
          <w:sz w:val="24"/>
          <w:szCs w:val="24"/>
          <w:highlight w:val="none"/>
        </w:rPr>
        <w:t>住所</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u w:val="single"/>
          <w:lang w:val="en-US" w:eastAsia="zh-CN"/>
        </w:rPr>
        <w:t xml:space="preserve">                           </w:t>
      </w:r>
    </w:p>
    <w:p w14:paraId="58DAD480">
      <w:pPr>
        <w:pStyle w:val="11"/>
        <w:ind w:left="420" w:firstLine="482"/>
        <w:rPr>
          <w:rFonts w:ascii="仿宋" w:hAnsi="仿宋" w:eastAsia="仿宋" w:cs="仿宋"/>
          <w:b/>
          <w:color w:val="auto"/>
          <w:sz w:val="24"/>
          <w:szCs w:val="24"/>
          <w:highlight w:val="none"/>
          <w:u w:val="single"/>
        </w:rPr>
      </w:pPr>
    </w:p>
    <w:p w14:paraId="56870399">
      <w:pPr>
        <w:adjustRightInd w:val="0"/>
        <w:snapToGrid w:val="0"/>
        <w:spacing w:line="520" w:lineRule="exact"/>
        <w:ind w:firstLine="482"/>
        <w:rPr>
          <w:rFonts w:hint="eastAsia" w:ascii="仿宋" w:hAnsi="仿宋" w:eastAsia="仿宋" w:cs="仿宋"/>
          <w:b/>
          <w:color w:val="auto"/>
          <w:sz w:val="24"/>
          <w:highlight w:val="none"/>
          <w:u w:val="single"/>
          <w:lang w:eastAsia="zh-CN"/>
        </w:rPr>
      </w:pPr>
      <w:r>
        <w:rPr>
          <w:rFonts w:hint="eastAsia" w:ascii="仿宋" w:hAnsi="仿宋" w:eastAsia="仿宋" w:cs="仿宋"/>
          <w:b/>
          <w:color w:val="auto"/>
          <w:sz w:val="24"/>
          <w:highlight w:val="none"/>
        </w:rPr>
        <w:t>承包人（全称）：</w:t>
      </w:r>
      <w:r>
        <w:rPr>
          <w:rFonts w:hint="eastAsia" w:ascii="仿宋" w:hAnsi="仿宋" w:eastAsia="仿宋" w:cs="仿宋"/>
          <w:b/>
          <w:color w:val="auto"/>
          <w:sz w:val="24"/>
          <w:highlight w:val="none"/>
          <w:u w:val="single"/>
          <w:lang w:eastAsia="zh-CN"/>
        </w:rPr>
        <w:t>本次中标单位</w:t>
      </w:r>
    </w:p>
    <w:p w14:paraId="65DE7288">
      <w:pPr>
        <w:pStyle w:val="11"/>
        <w:ind w:left="420" w:firstLine="482"/>
        <w:rPr>
          <w:rFonts w:hint="default" w:ascii="仿宋" w:hAnsi="仿宋" w:eastAsia="仿宋" w:cs="仿宋"/>
          <w:b/>
          <w:color w:val="auto"/>
          <w:sz w:val="24"/>
          <w:szCs w:val="24"/>
          <w:highlight w:val="none"/>
          <w:u w:val="single"/>
          <w:lang w:val="en-US" w:eastAsia="zh-CN"/>
        </w:rPr>
      </w:pPr>
      <w:r>
        <w:rPr>
          <w:rFonts w:ascii="仿宋" w:hAnsi="仿宋" w:eastAsia="仿宋" w:cs="仿宋"/>
          <w:b/>
          <w:color w:val="auto"/>
          <w:sz w:val="24"/>
          <w:szCs w:val="24"/>
          <w:highlight w:val="none"/>
        </w:rPr>
        <w:t>住所</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u w:val="single"/>
          <w:lang w:val="en-US" w:eastAsia="zh-CN"/>
        </w:rPr>
        <w:t xml:space="preserve">                           </w:t>
      </w:r>
    </w:p>
    <w:p w14:paraId="66CFC9F4">
      <w:pPr>
        <w:adjustRightInd w:val="0"/>
        <w:snapToGrid w:val="0"/>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根据《中华人民共和国民法典》《中华人民共和国建筑法》及有关法律规定，遵循平等、自愿、公平和诚实信用的原则，双方就工程施工及有关事项协商一致，共同达成如下协议：</w:t>
      </w:r>
    </w:p>
    <w:p w14:paraId="21B87CD2">
      <w:pPr>
        <w:pStyle w:val="6"/>
        <w:adjustRightInd w:val="0"/>
        <w:snapToGrid w:val="0"/>
        <w:spacing w:before="120" w:after="120" w:line="52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一、工程概况</w:t>
      </w:r>
    </w:p>
    <w:p w14:paraId="7161982F">
      <w:pPr>
        <w:adjustRightInd w:val="0"/>
        <w:snapToGrid w:val="0"/>
        <w:spacing w:line="520" w:lineRule="exact"/>
        <w:ind w:firstLine="470" w:firstLineChars="196"/>
        <w:rPr>
          <w:rFonts w:ascii="仿宋" w:hAnsi="仿宋" w:eastAsia="仿宋" w:cs="仿宋"/>
          <w:color w:val="auto"/>
          <w:sz w:val="24"/>
          <w:highlight w:val="none"/>
          <w:u w:val="single"/>
        </w:rPr>
      </w:pPr>
      <w:r>
        <w:rPr>
          <w:rFonts w:hint="eastAsia" w:ascii="仿宋" w:hAnsi="仿宋" w:eastAsia="仿宋" w:cs="仿宋"/>
          <w:bCs/>
          <w:color w:val="auto"/>
          <w:sz w:val="24"/>
          <w:highlight w:val="none"/>
        </w:rPr>
        <w:t>1.1工程名称</w:t>
      </w:r>
      <w:r>
        <w:rPr>
          <w:rFonts w:hint="eastAsia" w:ascii="仿宋" w:hAnsi="仿宋" w:eastAsia="仿宋" w:cs="仿宋"/>
          <w:color w:val="auto"/>
          <w:sz w:val="24"/>
          <w:highlight w:val="none"/>
        </w:rPr>
        <w:t>：</w:t>
      </w:r>
      <w:r>
        <w:rPr>
          <w:rFonts w:hint="eastAsia" w:ascii="仿宋" w:hAnsi="仿宋" w:eastAsia="仿宋" w:cs="仿宋"/>
          <w:i w:val="0"/>
          <w:iCs w:val="0"/>
          <w:color w:val="auto"/>
          <w:sz w:val="24"/>
          <w:highlight w:val="none"/>
          <w:u w:val="single"/>
        </w:rPr>
        <w:t></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color w:val="auto"/>
          <w:sz w:val="24"/>
          <w:highlight w:val="none"/>
        </w:rPr>
        <w:t>。</w:t>
      </w:r>
    </w:p>
    <w:p w14:paraId="2EDEB9A4">
      <w:pPr>
        <w:adjustRightInd w:val="0"/>
        <w:snapToGrid w:val="0"/>
        <w:spacing w:line="520" w:lineRule="exact"/>
        <w:ind w:firstLine="470" w:firstLineChars="196"/>
        <w:rPr>
          <w:rFonts w:ascii="仿宋" w:hAnsi="仿宋" w:eastAsia="仿宋" w:cs="仿宋"/>
          <w:bCs/>
          <w:color w:val="auto"/>
          <w:sz w:val="24"/>
          <w:highlight w:val="none"/>
        </w:rPr>
      </w:pPr>
      <w:r>
        <w:rPr>
          <w:rFonts w:hint="eastAsia" w:ascii="仿宋" w:hAnsi="仿宋" w:eastAsia="仿宋" w:cs="仿宋"/>
          <w:bCs/>
          <w:color w:val="auto"/>
          <w:sz w:val="24"/>
          <w:highlight w:val="none"/>
        </w:rPr>
        <w:t>1.2工程地点：</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033837B">
      <w:pPr>
        <w:adjustRightInd w:val="0"/>
        <w:snapToGrid w:val="0"/>
        <w:spacing w:line="520" w:lineRule="exact"/>
        <w:ind w:firstLine="470" w:firstLineChars="196"/>
        <w:rPr>
          <w:rFonts w:ascii="仿宋" w:hAnsi="仿宋" w:eastAsia="仿宋" w:cs="仿宋"/>
          <w:bCs/>
          <w:color w:val="auto"/>
          <w:sz w:val="24"/>
          <w:highlight w:val="none"/>
        </w:rPr>
      </w:pPr>
      <w:r>
        <w:rPr>
          <w:rFonts w:hint="eastAsia" w:ascii="仿宋" w:hAnsi="仿宋" w:eastAsia="仿宋" w:cs="仿宋"/>
          <w:bCs/>
          <w:color w:val="auto"/>
          <w:sz w:val="24"/>
          <w:highlight w:val="none"/>
        </w:rPr>
        <w:t>1.3资金来源：</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bCs/>
          <w:color w:val="auto"/>
          <w:sz w:val="24"/>
          <w:highlight w:val="none"/>
        </w:rPr>
        <w:t>。</w:t>
      </w:r>
    </w:p>
    <w:p w14:paraId="276906DB">
      <w:pPr>
        <w:adjustRightInd w:val="0"/>
        <w:snapToGrid w:val="0"/>
        <w:spacing w:line="520" w:lineRule="exact"/>
        <w:ind w:firstLine="470" w:firstLineChars="196"/>
        <w:rPr>
          <w:rFonts w:ascii="仿宋" w:hAnsi="仿宋" w:eastAsia="仿宋" w:cs="仿宋"/>
          <w:bCs/>
          <w:color w:val="auto"/>
          <w:sz w:val="24"/>
          <w:highlight w:val="none"/>
        </w:rPr>
      </w:pPr>
      <w:r>
        <w:rPr>
          <w:rFonts w:hint="eastAsia" w:ascii="仿宋" w:hAnsi="仿宋" w:eastAsia="仿宋" w:cs="仿宋"/>
          <w:bCs/>
          <w:color w:val="auto"/>
          <w:sz w:val="24"/>
          <w:highlight w:val="none"/>
        </w:rPr>
        <w:t>1.4工程承包范围：</w:t>
      </w:r>
    </w:p>
    <w:p w14:paraId="3AAFE425">
      <w:pPr>
        <w:adjustRightInd w:val="0"/>
        <w:snapToGrid w:val="0"/>
        <w:spacing w:line="360" w:lineRule="auto"/>
        <w:ind w:firstLine="470" w:firstLineChars="196"/>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p>
    <w:p w14:paraId="688A4839">
      <w:pPr>
        <w:pStyle w:val="6"/>
        <w:adjustRightInd w:val="0"/>
        <w:snapToGrid w:val="0"/>
        <w:spacing w:before="120" w:after="120"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二、合同工期</w:t>
      </w:r>
    </w:p>
    <w:p w14:paraId="1A92BF13">
      <w:pPr>
        <w:adjustRightInd w:val="0"/>
        <w:snapToGrid w:val="0"/>
        <w:spacing w:line="52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2.1计划开工日期：</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日。</w:t>
      </w:r>
    </w:p>
    <w:p w14:paraId="6035B52D">
      <w:pPr>
        <w:adjustRightInd w:val="0"/>
        <w:snapToGrid w:val="0"/>
        <w:spacing w:line="52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计划竣工日期：</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日。</w:t>
      </w:r>
    </w:p>
    <w:p w14:paraId="4376B0A5">
      <w:pPr>
        <w:adjustRightInd w:val="0"/>
        <w:snapToGrid w:val="0"/>
        <w:spacing w:line="52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工期总日历天数：</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天。工期总日历天数与根据前述计划开竣工日期计算的工期天数不一致的，以工期总日历天数为准。</w:t>
      </w:r>
    </w:p>
    <w:p w14:paraId="728065EF">
      <w:pPr>
        <w:adjustRightInd w:val="0"/>
        <w:snapToGrid w:val="0"/>
        <w:spacing w:line="520" w:lineRule="exact"/>
        <w:ind w:firstLine="480"/>
        <w:rPr>
          <w:rFonts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A3"/>
      </w:r>
      <w:r>
        <w:rPr>
          <w:rFonts w:hint="eastAsia" w:ascii="仿宋" w:hAnsi="仿宋" w:eastAsia="仿宋" w:cs="仿宋"/>
          <w:i w:val="0"/>
          <w:iCs w:val="0"/>
          <w:color w:val="auto"/>
          <w:sz w:val="24"/>
          <w:highlight w:val="none"/>
        </w:rPr>
        <w:t>其中关键节点工期计划：</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rPr>
        <w:t>。</w:t>
      </w:r>
    </w:p>
    <w:p w14:paraId="6666A2EF">
      <w:pPr>
        <w:adjustRightInd w:val="0"/>
        <w:snapToGrid w:val="0"/>
        <w:spacing w:line="520" w:lineRule="exact"/>
        <w:ind w:firstLine="420" w:firstLineChars="175"/>
        <w:rPr>
          <w:rFonts w:ascii="仿宋" w:hAnsi="仿宋" w:eastAsia="仿宋" w:cs="仿宋"/>
          <w:color w:val="auto"/>
          <w:sz w:val="24"/>
          <w:highlight w:val="none"/>
        </w:rPr>
      </w:pPr>
      <w:r>
        <w:rPr>
          <w:rFonts w:hint="eastAsia" w:ascii="仿宋" w:hAnsi="仿宋" w:eastAsia="仿宋" w:cs="仿宋"/>
          <w:color w:val="auto"/>
          <w:sz w:val="24"/>
          <w:highlight w:val="none"/>
        </w:rPr>
        <w:t>2.2承包人应在</w:t>
      </w:r>
      <w:r>
        <w:rPr>
          <w:rFonts w:hint="eastAsia" w:ascii="仿宋" w:hAnsi="仿宋" w:eastAsia="仿宋" w:cs="仿宋"/>
          <w:i w:val="0"/>
          <w:iCs w:val="0"/>
          <w:color w:val="auto"/>
          <w:sz w:val="24"/>
          <w:highlight w:val="none"/>
          <w:u w:val="single"/>
        </w:rPr>
        <w:t>进场后3日内或工地第一次例会前</w:t>
      </w:r>
      <w:r>
        <w:rPr>
          <w:rFonts w:hint="eastAsia" w:ascii="仿宋" w:hAnsi="仿宋" w:eastAsia="仿宋" w:cs="仿宋"/>
          <w:color w:val="auto"/>
          <w:sz w:val="24"/>
          <w:highlight w:val="none"/>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41A47971">
      <w:pPr>
        <w:adjustRightInd w:val="0"/>
        <w:snapToGrid w:val="0"/>
        <w:spacing w:line="520" w:lineRule="exact"/>
        <w:ind w:firstLine="420" w:firstLineChars="175"/>
        <w:rPr>
          <w:rFonts w:ascii="仿宋" w:hAnsi="仿宋" w:eastAsia="仿宋" w:cs="仿宋"/>
          <w:color w:val="auto"/>
          <w:sz w:val="24"/>
          <w:highlight w:val="none"/>
        </w:rPr>
      </w:pPr>
      <w:r>
        <w:rPr>
          <w:rFonts w:hint="eastAsia" w:ascii="仿宋" w:hAnsi="仿宋" w:eastAsia="仿宋" w:cs="仿宋"/>
          <w:color w:val="auto"/>
          <w:sz w:val="24"/>
          <w:highlight w:val="none"/>
        </w:rPr>
        <w:t>2.3因承包人原因造成不能按期开工或中途无故停工的，工期不能顺延，由此引起的赶工等费用由承包人自行承担。</w:t>
      </w:r>
    </w:p>
    <w:p w14:paraId="0B185D9B">
      <w:pPr>
        <w:adjustRightInd w:val="0"/>
        <w:snapToGrid w:val="0"/>
        <w:spacing w:line="520" w:lineRule="exact"/>
        <w:ind w:firstLine="420" w:firstLineChars="175"/>
        <w:rPr>
          <w:rFonts w:ascii="仿宋" w:hAnsi="仿宋" w:eastAsia="仿宋" w:cs="仿宋"/>
          <w:color w:val="auto"/>
          <w:sz w:val="24"/>
          <w:highlight w:val="none"/>
        </w:rPr>
      </w:pPr>
      <w:r>
        <w:rPr>
          <w:rFonts w:hint="eastAsia" w:ascii="仿宋" w:hAnsi="仿宋" w:eastAsia="仿宋" w:cs="仿宋"/>
          <w:color w:val="auto"/>
          <w:sz w:val="24"/>
          <w:highlight w:val="none"/>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color w:val="auto"/>
          <w:sz w:val="24"/>
          <w:highlight w:val="none"/>
        </w:rPr>
        <w:t>0.5</w:t>
      </w:r>
      <w:r>
        <w:rPr>
          <w:rFonts w:hint="eastAsia" w:ascii="仿宋" w:hAnsi="仿宋" w:eastAsia="仿宋" w:cs="仿宋"/>
          <w:color w:val="auto"/>
          <w:sz w:val="24"/>
          <w:highlight w:val="none"/>
        </w:rPr>
        <w:t>‰的金额向发包人支付违约金，没有最终结算价的，按合同签约暂定价的</w:t>
      </w:r>
      <w:r>
        <w:rPr>
          <w:rFonts w:ascii="仿宋" w:hAnsi="仿宋" w:eastAsia="仿宋" w:cs="仿宋"/>
          <w:color w:val="auto"/>
          <w:sz w:val="24"/>
          <w:highlight w:val="none"/>
        </w:rPr>
        <w:t>0.5</w:t>
      </w:r>
      <w:r>
        <w:rPr>
          <w:rFonts w:hint="eastAsia" w:ascii="仿宋" w:hAnsi="仿宋" w:eastAsia="仿宋" w:cs="仿宋"/>
          <w:color w:val="auto"/>
          <w:sz w:val="24"/>
          <w:highlight w:val="none"/>
        </w:rPr>
        <w:t>‰计算；各里程碑节点逾期超过</w:t>
      </w:r>
      <w:r>
        <w:rPr>
          <w:rFonts w:ascii="仿宋" w:hAnsi="仿宋" w:eastAsia="仿宋" w:cs="仿宋"/>
          <w:color w:val="auto"/>
          <w:sz w:val="24"/>
          <w:highlight w:val="none"/>
        </w:rPr>
        <w:t>90</w:t>
      </w:r>
      <w:r>
        <w:rPr>
          <w:rFonts w:hint="eastAsia" w:ascii="仿宋" w:hAnsi="仿宋" w:eastAsia="仿宋" w:cs="仿宋"/>
          <w:color w:val="auto"/>
          <w:sz w:val="24"/>
          <w:highlight w:val="none"/>
        </w:rPr>
        <w:t>天，每逾期一天按合同最终结算价款</w:t>
      </w:r>
      <w:r>
        <w:rPr>
          <w:rFonts w:ascii="仿宋" w:hAnsi="仿宋" w:eastAsia="仿宋" w:cs="仿宋"/>
          <w:color w:val="auto"/>
          <w:sz w:val="24"/>
          <w:highlight w:val="none"/>
        </w:rPr>
        <w:t>1</w:t>
      </w:r>
      <w:r>
        <w:rPr>
          <w:rFonts w:hint="eastAsia" w:ascii="仿宋" w:hAnsi="仿宋" w:eastAsia="仿宋" w:cs="仿宋"/>
          <w:color w:val="auto"/>
          <w:sz w:val="24"/>
          <w:highlight w:val="none"/>
        </w:rPr>
        <w:t>‰的金额向发包人支付违约金，没有最终结算价的，按合同签约暂定价的</w:t>
      </w:r>
      <w:r>
        <w:rPr>
          <w:rFonts w:ascii="仿宋" w:hAnsi="仿宋" w:eastAsia="仿宋" w:cs="仿宋"/>
          <w:color w:val="auto"/>
          <w:sz w:val="24"/>
          <w:highlight w:val="none"/>
        </w:rPr>
        <w:t>1</w:t>
      </w:r>
      <w:r>
        <w:rPr>
          <w:rFonts w:hint="eastAsia" w:ascii="仿宋" w:hAnsi="仿宋" w:eastAsia="仿宋" w:cs="仿宋"/>
          <w:color w:val="auto"/>
          <w:sz w:val="24"/>
          <w:highlight w:val="none"/>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，但造成发包人的损失部分不予免除。</w:t>
      </w:r>
    </w:p>
    <w:p w14:paraId="1C8F5829">
      <w:pPr>
        <w:pStyle w:val="6"/>
        <w:adjustRightInd w:val="0"/>
        <w:snapToGrid w:val="0"/>
        <w:spacing w:before="120" w:after="120" w:line="52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三、质量标准</w:t>
      </w:r>
    </w:p>
    <w:p w14:paraId="7C97D95D">
      <w:pPr>
        <w:adjustRightInd w:val="0"/>
        <w:snapToGrid w:val="0"/>
        <w:spacing w:line="52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3.1工程质量要求：</w:t>
      </w:r>
      <w:r>
        <w:rPr>
          <w:rFonts w:hint="eastAsia" w:ascii="仿宋" w:hAnsi="仿宋" w:eastAsia="仿宋" w:cs="仿宋"/>
          <w:color w:val="auto"/>
          <w:sz w:val="24"/>
          <w:highlight w:val="none"/>
          <w:u w:val="single"/>
        </w:rPr>
        <w:t>工程质量达到合格等级标准</w:t>
      </w:r>
      <w:r>
        <w:rPr>
          <w:rFonts w:hint="eastAsia" w:ascii="仿宋" w:hAnsi="仿宋" w:eastAsia="仿宋" w:cs="仿宋"/>
          <w:color w:val="auto"/>
          <w:sz w:val="24"/>
          <w:highlight w:val="none"/>
        </w:rPr>
        <w:t>。质量标准的评定以现行国家、地方政府以及行业的质量检验评定标准为依据。</w:t>
      </w:r>
    </w:p>
    <w:p w14:paraId="2A6EBDE6">
      <w:pPr>
        <w:adjustRightInd w:val="0"/>
        <w:snapToGrid w:val="0"/>
        <w:spacing w:line="52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color w:val="auto"/>
          <w:sz w:val="24"/>
          <w:highlight w:val="none"/>
          <w:u w:val="single"/>
        </w:rPr>
        <w:t>不超过5000元/次</w:t>
      </w:r>
      <w:r>
        <w:rPr>
          <w:rFonts w:hint="eastAsia" w:ascii="仿宋" w:hAnsi="仿宋" w:eastAsia="仿宋" w:cs="仿宋"/>
          <w:color w:val="auto"/>
          <w:sz w:val="24"/>
          <w:highlight w:val="none"/>
        </w:rPr>
        <w:t>的罚款，该款项从承包人工程款结算中扣除。</w:t>
      </w:r>
    </w:p>
    <w:p w14:paraId="712E841B">
      <w:pPr>
        <w:pStyle w:val="6"/>
        <w:adjustRightInd w:val="0"/>
        <w:snapToGrid w:val="0"/>
        <w:spacing w:before="120" w:after="120" w:line="52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四、合同价款与支付方式</w:t>
      </w:r>
    </w:p>
    <w:p w14:paraId="0B93E710">
      <w:pPr>
        <w:adjustRightInd w:val="0"/>
        <w:snapToGrid w:val="0"/>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4.1合同价款：</w:t>
      </w:r>
    </w:p>
    <w:p w14:paraId="1A98F339">
      <w:pPr>
        <w:adjustRightInd w:val="0"/>
        <w:snapToGrid w:val="0"/>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本工程合同签约暂定价格不含税价为</w:t>
      </w:r>
      <w:r>
        <w:rPr>
          <w:rFonts w:ascii="Calibri" w:hAnsi="Calibri" w:eastAsia="仿宋" w:cs="Calibri"/>
          <w:color w:val="auto"/>
          <w:sz w:val="24"/>
          <w:highlight w:val="none"/>
        </w:rPr>
        <w:t>¥</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元（大写：人民币</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），增值税税率</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%，税额</w:t>
      </w:r>
      <w:r>
        <w:rPr>
          <w:rFonts w:ascii="Calibri" w:hAnsi="Calibri" w:eastAsia="仿宋" w:cs="Calibri"/>
          <w:color w:val="auto"/>
          <w:sz w:val="24"/>
          <w:highlight w:val="none"/>
        </w:rPr>
        <w:t>¥</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元，含税价</w:t>
      </w:r>
      <w:r>
        <w:rPr>
          <w:rFonts w:ascii="Calibri" w:hAnsi="Calibri" w:eastAsia="仿宋" w:cs="Calibri"/>
          <w:color w:val="auto"/>
          <w:sz w:val="24"/>
          <w:highlight w:val="none"/>
        </w:rPr>
        <w:t>¥</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元（大写：人民币</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），如国家出台新政策对增值税率进行了调整，则不含税价款不变，本合同含税总价在不含税价基础上根据国家最新税法进行相应的调整。</w:t>
      </w:r>
    </w:p>
    <w:p w14:paraId="1719568B">
      <w:pPr>
        <w:adjustRightInd w:val="0"/>
        <w:snapToGrid w:val="0"/>
        <w:spacing w:line="5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合同清单部分的价格结算时按照承包人开标修正后的已标价工程量清单价格乘下浮系数（商务标最后一轮澄清含税总报价/开标清标修正后的含税总报价）执行，单独澄清价格的清单项除外</w:t>
      </w:r>
      <w:r>
        <w:rPr>
          <w:rFonts w:hint="eastAsia" w:ascii="仿宋" w:hAnsi="仿宋" w:eastAsia="仿宋" w:cs="仿宋"/>
          <w:color w:val="auto"/>
          <w:sz w:val="24"/>
          <w:highlight w:val="none"/>
          <w:lang w:eastAsia="zh-CN"/>
        </w:rPr>
        <w:t>。</w:t>
      </w:r>
    </w:p>
    <w:p w14:paraId="69D899DF">
      <w:pPr>
        <w:adjustRightInd w:val="0"/>
        <w:snapToGrid w:val="0"/>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4.2本工程合同价格形式为：</w:t>
      </w:r>
      <w:r>
        <w:rPr>
          <w:rFonts w:hint="eastAsia" w:ascii="仿宋" w:hAnsi="仿宋" w:eastAsia="仿宋" w:cs="仿宋"/>
          <w:color w:val="auto"/>
          <w:sz w:val="24"/>
          <w:highlight w:val="none"/>
          <w:u w:val="single"/>
        </w:rPr>
        <w:t>固定综合单价</w:t>
      </w:r>
    </w:p>
    <w:p w14:paraId="6BF535B2">
      <w:pPr>
        <w:adjustRightInd w:val="0"/>
        <w:snapToGrid w:val="0"/>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6ABC9F6A">
      <w:pPr>
        <w:tabs>
          <w:tab w:val="left" w:pos="5565"/>
        </w:tabs>
        <w:adjustRightInd w:val="0"/>
        <w:snapToGrid w:val="0"/>
        <w:spacing w:line="520" w:lineRule="exact"/>
        <w:ind w:left="540"/>
        <w:rPr>
          <w:rStyle w:val="35"/>
          <w:rFonts w:ascii="仿宋" w:hAnsi="仿宋" w:eastAsia="仿宋" w:cs="仿宋"/>
          <w:color w:val="auto"/>
          <w:sz w:val="24"/>
          <w:highlight w:val="none"/>
        </w:rPr>
      </w:pPr>
      <w:bookmarkStart w:id="104" w:name="OLE_LINK1"/>
      <w:r>
        <w:rPr>
          <w:rFonts w:hint="eastAsia" w:ascii="仿宋" w:hAnsi="仿宋" w:eastAsia="仿宋" w:cs="仿宋"/>
          <w:color w:val="auto"/>
          <w:sz w:val="24"/>
          <w:highlight w:val="none"/>
        </w:rPr>
        <w:t>4.3工程款支付</w:t>
      </w:r>
    </w:p>
    <w:p w14:paraId="067CE236">
      <w:pPr>
        <w:numPr>
          <w:ilvl w:val="3"/>
          <w:numId w:val="11"/>
        </w:numPr>
        <w:tabs>
          <w:tab w:val="left" w:pos="5565"/>
        </w:tabs>
        <w:adjustRightInd w:val="0"/>
        <w:snapToGrid w:val="0"/>
        <w:spacing w:line="520" w:lineRule="exact"/>
        <w:ind w:firstLine="480"/>
        <w:rPr>
          <w:rFonts w:ascii="仿宋" w:hAnsi="仿宋" w:eastAsia="仿宋" w:cs="仿宋"/>
          <w:color w:val="auto"/>
          <w:sz w:val="24"/>
          <w:highlight w:val="none"/>
          <w:u w:val="single"/>
        </w:rPr>
      </w:pPr>
      <w:r>
        <w:rPr>
          <w:rFonts w:hint="eastAsia" w:ascii="仿宋" w:hAnsi="仿宋" w:eastAsia="仿宋" w:cs="仿宋"/>
          <w:color w:val="auto"/>
          <w:sz w:val="24"/>
          <w:highlight w:val="none"/>
        </w:rPr>
        <w:t>双方约定的工程款支付的方式：</w:t>
      </w:r>
      <w:r>
        <w:rPr>
          <w:rFonts w:hint="eastAsia" w:ascii="仿宋" w:hAnsi="仿宋" w:eastAsia="仿宋" w:cs="仿宋"/>
          <w:color w:val="auto"/>
          <w:sz w:val="24"/>
          <w:highlight w:val="none"/>
          <w:u w:val="single"/>
        </w:rPr>
        <w:t>半年期商业汇票（包括银行承兑汇票和商业承兑汇票）；</w:t>
      </w:r>
    </w:p>
    <w:p w14:paraId="46A76564">
      <w:pPr>
        <w:numPr>
          <w:ilvl w:val="3"/>
          <w:numId w:val="11"/>
        </w:numPr>
        <w:tabs>
          <w:tab w:val="left" w:pos="5565"/>
        </w:tabs>
        <w:adjustRightInd w:val="0"/>
        <w:snapToGrid w:val="0"/>
        <w:spacing w:line="52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本合同预付款：</w:t>
      </w:r>
      <w:r>
        <w:rPr>
          <w:rFonts w:hint="eastAsia" w:ascii="仿宋" w:hAnsi="仿宋" w:eastAsia="仿宋" w:cs="仿宋"/>
          <w:color w:val="auto"/>
          <w:sz w:val="24"/>
          <w:highlight w:val="none"/>
          <w:u w:val="single"/>
        </w:rPr>
        <w:t>无预付款</w:t>
      </w:r>
      <w:r>
        <w:rPr>
          <w:rFonts w:hint="eastAsia" w:ascii="仿宋" w:hAnsi="仿宋" w:eastAsia="仿宋" w:cs="仿宋"/>
          <w:color w:val="auto"/>
          <w:sz w:val="24"/>
          <w:highlight w:val="none"/>
        </w:rPr>
        <w:t>；</w:t>
      </w:r>
    </w:p>
    <w:bookmarkEnd w:id="104"/>
    <w:p w14:paraId="3925AEEA">
      <w:pPr>
        <w:spacing w:line="52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付款节点进度详见招标文件</w:t>
      </w:r>
    </w:p>
    <w:p w14:paraId="3F9C2C93">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p>
    <w:p w14:paraId="4E36853D">
      <w:pPr>
        <w:spacing w:line="52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4.4合同价款及调整</w:t>
      </w:r>
    </w:p>
    <w:p w14:paraId="28378001">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4.4.1在施工过程中由于非</w:t>
      </w:r>
      <w:r>
        <w:rPr>
          <w:rFonts w:hint="eastAsia" w:ascii="仿宋" w:hAnsi="仿宋" w:eastAsia="仿宋" w:cs="仿宋"/>
          <w:color w:val="auto"/>
          <w:sz w:val="24"/>
          <w:highlight w:val="none"/>
          <w:u w:val="single"/>
        </w:rPr>
        <w:t>承包人</w:t>
      </w:r>
      <w:r>
        <w:rPr>
          <w:rFonts w:hint="eastAsia" w:ascii="仿宋" w:hAnsi="仿宋" w:eastAsia="仿宋" w:cs="仿宋"/>
          <w:color w:val="auto"/>
          <w:sz w:val="24"/>
          <w:highlight w:val="none"/>
        </w:rPr>
        <w:t>原因导致工程签证、设计变更引起的工程价款调整的项目，承包人在收到发包人下发的联系单、变更通知单或设计变更后，承包人应在</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i/>
          <w:iCs/>
          <w:color w:val="auto"/>
          <w:sz w:val="24"/>
          <w:highlight w:val="none"/>
          <w:u w:val="single"/>
        </w:rPr>
        <w:t>3</w:t>
      </w:r>
      <w:r>
        <w:rPr>
          <w:rFonts w:hint="eastAsia" w:ascii="仿宋" w:hAnsi="仿宋" w:eastAsia="仿宋" w:cs="仿宋"/>
          <w:i/>
          <w:iCs/>
          <w:color w:val="auto"/>
          <w:sz w:val="24"/>
          <w:highlight w:val="none"/>
          <w:u w:val="single"/>
          <w:lang w:val="en-US" w:eastAsia="zh-CN"/>
        </w:rPr>
        <w:t xml:space="preserve"> </w:t>
      </w:r>
      <w:r>
        <w:rPr>
          <w:rFonts w:hint="eastAsia" w:ascii="仿宋" w:hAnsi="仿宋" w:eastAsia="仿宋" w:cs="仿宋"/>
          <w:color w:val="auto"/>
          <w:sz w:val="24"/>
          <w:highlight w:val="none"/>
        </w:rPr>
        <w:t>天内将索赔资料（变更原因、材料价格、变更金额）书面报发包人审核，索赔事件结束后</w:t>
      </w:r>
      <w:r>
        <w:rPr>
          <w:rFonts w:hint="eastAsia" w:ascii="仿宋" w:hAnsi="仿宋" w:eastAsia="仿宋" w:cs="仿宋"/>
          <w:color w:val="auto"/>
          <w:sz w:val="24"/>
          <w:highlight w:val="none"/>
          <w:u w:val="single"/>
        </w:rPr>
        <w:t xml:space="preserve"> </w:t>
      </w:r>
      <w:r>
        <w:rPr>
          <w:rFonts w:hint="eastAsia" w:ascii="仿宋" w:hAnsi="仿宋" w:eastAsia="仿宋" w:cs="仿宋"/>
          <w:i/>
          <w:iCs/>
          <w:color w:val="auto"/>
          <w:sz w:val="24"/>
          <w:highlight w:val="none"/>
          <w:u w:val="single"/>
        </w:rPr>
        <w:t xml:space="preserve">14 </w:t>
      </w:r>
      <w:r>
        <w:rPr>
          <w:rFonts w:hint="eastAsia" w:ascii="仿宋" w:hAnsi="仿宋" w:eastAsia="仿宋" w:cs="仿宋"/>
          <w:color w:val="auto"/>
          <w:sz w:val="24"/>
          <w:highlight w:val="none"/>
          <w:u w:val="single"/>
        </w:rPr>
        <w:t>天内</w:t>
      </w:r>
      <w:r>
        <w:rPr>
          <w:rFonts w:hint="eastAsia" w:ascii="仿宋" w:hAnsi="仿宋" w:eastAsia="仿宋" w:cs="仿宋"/>
          <w:color w:val="auto"/>
          <w:sz w:val="24"/>
          <w:highlight w:val="none"/>
        </w:rPr>
        <w:t>形成签章齐全的经济技术资料。</w:t>
      </w:r>
    </w:p>
    <w:p w14:paraId="0C6F551C">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变更合同价款按下列方法进行：</w:t>
      </w:r>
    </w:p>
    <w:p w14:paraId="7553FC05">
      <w:pPr>
        <w:spacing w:line="520" w:lineRule="exact"/>
        <w:ind w:firstLine="480" w:firstLineChars="200"/>
        <w:rPr>
          <w:rFonts w:ascii="仿宋" w:hAnsi="仿宋" w:eastAsia="仿宋" w:cs="仿宋"/>
          <w:sz w:val="24"/>
        </w:rPr>
      </w:pPr>
      <w:r>
        <w:rPr>
          <w:rFonts w:hint="eastAsia" w:ascii="仿宋" w:hAnsi="仿宋" w:eastAsia="仿宋" w:cs="仿宋"/>
          <w:sz w:val="24"/>
        </w:rPr>
        <w:t>（1）如发生与原子项相同的清单项，以承包人开标修正后的已标价工程量清单中已有综合单价（按合同协议书约定同比例下浮后）乘以工程量进行结算。</w:t>
      </w:r>
    </w:p>
    <w:p w14:paraId="77F9C7EA">
      <w:pPr>
        <w:spacing w:line="520" w:lineRule="exact"/>
        <w:ind w:firstLine="480" w:firstLineChars="200"/>
        <w:rPr>
          <w:rFonts w:ascii="仿宋" w:hAnsi="仿宋" w:eastAsia="仿宋" w:cs="仿宋"/>
          <w:sz w:val="24"/>
        </w:rPr>
      </w:pPr>
      <w:r>
        <w:rPr>
          <w:rFonts w:hint="eastAsia" w:ascii="仿宋" w:hAnsi="仿宋" w:eastAsia="仿宋" w:cs="仿宋"/>
          <w:sz w:val="24"/>
        </w:rPr>
        <w:t>（2）如发生与原子项相类似的清单项，新增清单项的消耗量按原子项执行（高于定额含量的按定额含量执行、低于定额含量的按原投标含量执行）；新增清单项的人工、机械单价执行原子项单价，开标修正后的已标价工程量清单中已有价格的材料执行已有清单价格，开标修正后的已标价工程量清单中没有价格的主要材料按照发包人、监理人确认的价格执行；管理费、利润等组成综合单价的其他因素均不作调整。按以上原则生成新综合单价并按合同协议书约定原则同比例下浮后，以实际工程量据实结算。</w:t>
      </w:r>
    </w:p>
    <w:p w14:paraId="393BD1BE">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（3）非以上（1）、（2）两种情况，按照以下原则据实结算：</w:t>
      </w:r>
    </w:p>
    <w:p w14:paraId="6DF7DCA4">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 1 \* GB3 \* MERGEFORMAT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①</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14:paraId="3F626250">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 2 \* GB3 \* MERGEFORMAT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②</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工程类别：建筑执行Ⅲ类取费，安装执行工业安装取费，装饰执行Ⅲ类取费，市政执行Ⅲ类取费；</w:t>
      </w:r>
    </w:p>
    <w:p w14:paraId="5568B30A">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 3 \* GB3 \* MERGEFORMAT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③</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622EFBBE">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 4 \* GB3 \* MERGEFORMAT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④</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承包人按上述原则就清单外工作内容按总造价最终优惠率（即让利【</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sz w:val="24"/>
        </w:rPr>
        <w:t>但经发包人审核签认的计入设备费的设备价格不参与让利，（材料和设备划分标准执行《建筑工程计价设备材料划分标准》GB/T50531-2009）。</w:t>
      </w:r>
    </w:p>
    <w:p w14:paraId="70EEA7E5">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（4）非以上（1）、（2）、（3）三种情况，由承包人事前提出书面报价，由发包人按照规定程序审批后确定单价，以实际工程量结算。</w:t>
      </w:r>
    </w:p>
    <w:p w14:paraId="6988260E">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（5）按上述原则组成的新综合单价，明显偏离市场价时，发包人有权利对其价格进行调整。</w:t>
      </w:r>
    </w:p>
    <w:p w14:paraId="7810913D">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（6）招标文件或其他有关文件中所列材料暂定价按照发包人书面确定的价格进行调整。</w:t>
      </w:r>
    </w:p>
    <w:p w14:paraId="1A08A039">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w:t>
      </w:r>
      <w:bookmarkStart w:id="105" w:name="_Hlk178170469"/>
      <w:r>
        <w:rPr>
          <w:rFonts w:hint="eastAsia" w:ascii="仿宋" w:hAnsi="仿宋" w:eastAsia="仿宋" w:cs="仿宋"/>
          <w:color w:val="auto"/>
          <w:sz w:val="24"/>
          <w:highlight w:val="none"/>
        </w:rPr>
        <w:t>因变更或其它情况（除本条后面另行约定外）导致实际完成的工程量与预算书或工程量清单中有变化时，综合单价不予调整。但当实际完成的工程量比已标价工程量清单载明的工程量增加超过15%，且发包人发现承包人的已标价工程量清单相关清单子目中存在异常偏高的，超出已标价工程量清单载明的工程量15%的部分，发包人有权对异常偏高的综合单价进行修正，并按修正后的综合单价进行竣工结算。异常偏高是指清单综合单价（下浮后）与发包人按照</w:t>
      </w:r>
      <w:r>
        <w:rPr>
          <w:rFonts w:ascii="仿宋" w:hAnsi="仿宋" w:eastAsia="仿宋" w:cs="仿宋"/>
          <w:color w:val="auto"/>
          <w:sz w:val="24"/>
          <w:highlight w:val="none"/>
        </w:rPr>
        <w:t>4.4.1</w:t>
      </w:r>
      <w:r>
        <w:rPr>
          <w:rFonts w:hint="eastAsia" w:ascii="仿宋" w:hAnsi="仿宋" w:eastAsia="仿宋" w:cs="仿宋"/>
          <w:color w:val="auto"/>
          <w:sz w:val="24"/>
          <w:highlight w:val="none"/>
        </w:rPr>
        <w:t>第（3）条约定而确定的综合单价高出50%及以上</w:t>
      </w:r>
      <w:r>
        <w:rPr>
          <w:rFonts w:hint="eastAsia" w:ascii="仿宋" w:hAnsi="仿宋" w:eastAsia="仿宋" w:cs="仿宋"/>
          <w:sz w:val="24"/>
        </w:rPr>
        <w:t>，发包人有权对异常偏高的综合单价按照4.4.1第（3）条进行修正</w:t>
      </w:r>
      <w:r>
        <w:rPr>
          <w:rFonts w:hint="eastAsia" w:ascii="仿宋" w:hAnsi="仿宋" w:eastAsia="仿宋" w:cs="仿宋"/>
          <w:color w:val="auto"/>
          <w:sz w:val="24"/>
          <w:highlight w:val="none"/>
        </w:rPr>
        <w:t>。</w:t>
      </w:r>
      <w:bookmarkEnd w:id="105"/>
    </w:p>
    <w:p w14:paraId="79BB80BE">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承包人要对拟建工程可能发生的措施项目和措施费用作通盘考虑，清单计价一经报出即被认为是包括了所有应该发生的措施项目的全部费用。如果报出的清单中没有列项，而施工中又必须发生的项目，发包人有权认为，其已经综合在分部分项工程量清单的综合单价中。将来措施项目发生时承包人不得以任何借口提出索赔与调整，中标清单措施费包干使用，均不作任何调整。</w:t>
      </w:r>
    </w:p>
    <w:p w14:paraId="036AC560">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（9）本项目总承包服务费及甲供材料（设备）采保费：</w:t>
      </w:r>
      <w:r>
        <w:rPr>
          <w:rFonts w:hint="eastAsia" w:ascii="仿宋" w:hAnsi="仿宋" w:eastAsia="仿宋" w:cs="仿宋"/>
          <w:color w:val="auto"/>
          <w:sz w:val="24"/>
          <w:highlight w:val="none"/>
        </w:rPr>
        <w:sym w:font="Wingdings 2" w:char="0052"/>
      </w:r>
      <w:r>
        <w:rPr>
          <w:rFonts w:hint="eastAsia" w:ascii="仿宋" w:hAnsi="仿宋" w:eastAsia="仿宋" w:cs="仿宋"/>
          <w:color w:val="auto"/>
          <w:sz w:val="24"/>
          <w:highlight w:val="none"/>
        </w:rPr>
        <w:t>无。</w:t>
      </w:r>
    </w:p>
    <w:p w14:paraId="2F853194">
      <w:pPr>
        <w:spacing w:line="5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（10）税金：本工程增值税税率为9%。</w:t>
      </w:r>
    </w:p>
    <w:p w14:paraId="0B00455B">
      <w:pPr>
        <w:pStyle w:val="6"/>
        <w:adjustRightInd w:val="0"/>
        <w:snapToGrid w:val="0"/>
        <w:spacing w:before="120" w:after="120" w:line="52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五、材料设备的供应和采购</w:t>
      </w:r>
    </w:p>
    <w:p w14:paraId="754ECDCB">
      <w:pPr>
        <w:autoSpaceDE w:val="0"/>
        <w:autoSpaceDN w:val="0"/>
        <w:adjustRightInd w:val="0"/>
        <w:snapToGrid w:val="0"/>
        <w:spacing w:line="520" w:lineRule="exact"/>
        <w:ind w:firstLine="420" w:firstLineChars="175"/>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5.1本工程的材料、设备由承包人采购。</w:t>
      </w:r>
    </w:p>
    <w:p w14:paraId="0E85A50F">
      <w:pPr>
        <w:adjustRightInd w:val="0"/>
        <w:snapToGrid w:val="0"/>
        <w:spacing w:line="520" w:lineRule="exact"/>
        <w:ind w:right="-74" w:firstLine="420" w:firstLineChars="175"/>
        <w:rPr>
          <w:rFonts w:ascii="仿宋" w:hAnsi="仿宋" w:eastAsia="仿宋" w:cs="仿宋"/>
          <w:color w:val="auto"/>
          <w:sz w:val="24"/>
          <w:highlight w:val="none"/>
        </w:rPr>
      </w:pPr>
      <w:r>
        <w:rPr>
          <w:rFonts w:hint="eastAsia" w:ascii="仿宋" w:hAnsi="仿宋" w:eastAsia="仿宋" w:cs="仿宋"/>
          <w:color w:val="auto"/>
          <w:kern w:val="0"/>
          <w:sz w:val="24"/>
          <w:highlight w:val="none"/>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color w:val="auto"/>
          <w:sz w:val="24"/>
          <w:highlight w:val="none"/>
        </w:rPr>
        <w:t>。</w:t>
      </w:r>
    </w:p>
    <w:p w14:paraId="4D306F14">
      <w:pPr>
        <w:adjustRightInd w:val="0"/>
        <w:snapToGrid w:val="0"/>
        <w:spacing w:line="520" w:lineRule="exact"/>
        <w:ind w:right="-74" w:firstLine="420" w:firstLineChars="175"/>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673788D8">
      <w:pPr>
        <w:adjustRightInd w:val="0"/>
        <w:snapToGrid w:val="0"/>
        <w:spacing w:line="520" w:lineRule="exact"/>
        <w:ind w:right="-74" w:firstLine="420" w:firstLineChars="175"/>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5320ED87">
      <w:pPr>
        <w:adjustRightInd w:val="0"/>
        <w:snapToGrid w:val="0"/>
        <w:spacing w:line="520" w:lineRule="exact"/>
        <w:ind w:right="-74" w:firstLine="420" w:firstLineChars="175"/>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6654500E">
      <w:pPr>
        <w:adjustRightInd w:val="0"/>
        <w:snapToGrid w:val="0"/>
        <w:spacing w:line="520" w:lineRule="exact"/>
        <w:ind w:right="-74" w:firstLine="420" w:firstLineChars="175"/>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施工所有（不含甲供材料设备、甲分包部分）试验检测费用（包括但不限于见证取样复试、地基基础检测、主体结构检测、钢结构检测、空气质量检测、弱电检测、外墙保温系统型式检测、防雷检测、消防检测、沉降观测、焊缝检测、配电平台高低压设备的相关试验、各类流量计、能量计、温度压力传感器的校验（项目内部验收完移交时，计量装置必须在有效期内）等）均已综合考虑并包含在承包人投标总价中。根据《建设工程质量检测管理办法》第二十一条及《山东省住房和城乡建设厅关于压实建设单位工程质量首要责任的实施办法》，非建设单位委托的检测机构出具的检测报告不得作为工程质量验收资料。乙购材料设备的见证取样送检及施工专项检测（如焊缝探伤等），由发包人委托具有相应资质的第三方检测单位进行检测。若所发生的检测费用由发包人按检测委托合同支付的，在竣工结算时按实际发生检测总费用予以扣除。若所发生的检测费由发包人委托人直接垫付的，由承包人支付给发包人委托人。</w:t>
      </w:r>
    </w:p>
    <w:p w14:paraId="46CC56DB">
      <w:pPr>
        <w:pStyle w:val="6"/>
        <w:adjustRightInd w:val="0"/>
        <w:snapToGrid w:val="0"/>
        <w:spacing w:before="120" w:after="120" w:line="52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六、竣工验收及结算</w:t>
      </w:r>
    </w:p>
    <w:p w14:paraId="6070D4D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6.1工程完成后，在组织竣工验收前，承包人应向发包人移交</w:t>
      </w:r>
      <w:r>
        <w:rPr>
          <w:rFonts w:hint="eastAsia" w:ascii="仿宋" w:hAnsi="仿宋" w:eastAsia="仿宋" w:cs="仿宋"/>
          <w:color w:val="auto"/>
          <w:sz w:val="24"/>
          <w:highlight w:val="none"/>
          <w:u w:val="single"/>
        </w:rPr>
        <w:t>三</w:t>
      </w:r>
      <w:r>
        <w:rPr>
          <w:rFonts w:hint="eastAsia" w:ascii="仿宋" w:hAnsi="仿宋" w:eastAsia="仿宋" w:cs="仿宋"/>
          <w:color w:val="auto"/>
          <w:sz w:val="24"/>
          <w:highlight w:val="none"/>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5EBB164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2A4040FF">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6.2</w:t>
      </w:r>
      <w:r>
        <w:rPr>
          <w:rFonts w:hint="eastAsia" w:ascii="仿宋" w:hAnsi="仿宋" w:eastAsia="仿宋" w:cs="仿宋"/>
          <w:color w:val="auto"/>
          <w:sz w:val="24"/>
          <w:highlight w:val="none"/>
        </w:rPr>
        <w:t xml:space="preserve"> 承包人未按照发包人要求的《工程项目结算审计报审资料编制规范》</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以报审时审计部最新要求为准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2D7E75A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w:t>
      </w:r>
      <w:r>
        <w:rPr>
          <w:rFonts w:hint="eastAsia" w:ascii="仿宋" w:hAnsi="仿宋" w:eastAsia="仿宋" w:cs="仿宋"/>
          <w:color w:val="auto"/>
          <w:sz w:val="24"/>
          <w:highlight w:val="none"/>
        </w:rPr>
        <w:t xml:space="preserve"> 凡项目竣工验收合格后承包人超期未报审竣工结算资料的，每拖延一个月，承包人应根据发包人要求向发包人支付1000-5000元。</w:t>
      </w:r>
    </w:p>
    <w:p w14:paraId="4DFCF88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.4</w:t>
      </w:r>
      <w:r>
        <w:rPr>
          <w:rFonts w:hint="eastAsia" w:ascii="仿宋" w:hAnsi="仿宋" w:eastAsia="仿宋" w:cs="仿宋"/>
          <w:color w:val="auto"/>
          <w:sz w:val="24"/>
          <w:highlight w:val="none"/>
        </w:rPr>
        <w:t>承包人未及时配合工程审计单位开展工作的，承包人应根据发包人要求向发包人支付3000-10000元/次。</w:t>
      </w:r>
    </w:p>
    <w:p w14:paraId="675D80A8">
      <w:pPr>
        <w:adjustRightInd w:val="0"/>
        <w:snapToGrid w:val="0"/>
        <w:spacing w:line="520" w:lineRule="exact"/>
        <w:ind w:right="-74" w:firstLine="420" w:firstLineChars="175"/>
        <w:rPr>
          <w:rFonts w:ascii="仿宋" w:hAnsi="仿宋" w:eastAsia="仿宋" w:cs="仿宋"/>
          <w:color w:val="auto"/>
          <w:sz w:val="24"/>
          <w:highlight w:val="none"/>
        </w:rPr>
      </w:pPr>
      <w:r>
        <w:rPr>
          <w:rFonts w:ascii="仿宋" w:hAnsi="仿宋" w:eastAsia="仿宋" w:cs="仿宋"/>
          <w:color w:val="auto"/>
          <w:sz w:val="24"/>
          <w:highlight w:val="none"/>
        </w:rPr>
        <w:t>6.5</w:t>
      </w:r>
      <w:r>
        <w:rPr>
          <w:rFonts w:hint="eastAsia" w:ascii="仿宋" w:hAnsi="仿宋" w:eastAsia="仿宋" w:cs="仿宋"/>
          <w:color w:val="auto"/>
          <w:sz w:val="24"/>
          <w:highlight w:val="none"/>
        </w:rPr>
        <w:t>工程项目结算的报审金额100万元及以下，综合审减率超出10%的；结算的报审金额100万元以上且1000万元及以下，综合审减率超出8%的；结算的报审金额1000万元以上，综合审减率超出5%的工程项目，均按超出部分的2%对施工单位进行考核。</w:t>
      </w:r>
    </w:p>
    <w:p w14:paraId="580B71A1">
      <w:pPr>
        <w:adjustRightInd w:val="0"/>
        <w:snapToGrid w:val="0"/>
        <w:spacing w:line="520" w:lineRule="exact"/>
        <w:ind w:right="-74"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.6</w:t>
      </w:r>
      <w:r>
        <w:rPr>
          <w:rFonts w:hint="eastAsia" w:ascii="仿宋" w:hAnsi="仿宋" w:eastAsia="仿宋" w:cs="仿宋"/>
          <w:color w:val="auto"/>
          <w:sz w:val="24"/>
          <w:highlight w:val="none"/>
        </w:rPr>
        <w:t>分部及分项清单单项审定金额与结算报审金额相比，分项审减率30%及以下不予处罚；分项审减率30%以上且50%及以下的，按超出30%部分的15%对施工单位进行考核；分项审减率大于等于50%且小于100%的，按超出30%部分的30%对施工单位进行考核；分项审减率等于100%的，按审减金额的50%对施工单位进行考核。</w:t>
      </w:r>
    </w:p>
    <w:p w14:paraId="4AA45C0F">
      <w:pPr>
        <w:adjustRightInd w:val="0"/>
        <w:snapToGrid w:val="0"/>
        <w:spacing w:line="520" w:lineRule="exact"/>
        <w:ind w:right="-74" w:firstLine="422" w:firstLineChars="175"/>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若审计考核条款有变化时执行最新的审计考核条款</w:t>
      </w:r>
      <w:r>
        <w:rPr>
          <w:rFonts w:hint="eastAsia" w:ascii="仿宋" w:hAnsi="仿宋" w:eastAsia="仿宋" w:cs="仿宋"/>
          <w:b/>
          <w:bCs/>
          <w:color w:val="auto"/>
          <w:sz w:val="24"/>
          <w:highlight w:val="none"/>
          <w:lang w:eastAsia="zh-CN"/>
        </w:rPr>
        <w:t>。</w:t>
      </w:r>
    </w:p>
    <w:p w14:paraId="37C5EC66">
      <w:pPr>
        <w:adjustRightInd w:val="0"/>
        <w:snapToGrid w:val="0"/>
        <w:spacing w:line="520" w:lineRule="exact"/>
        <w:ind w:right="-74" w:firstLine="420" w:firstLineChars="175"/>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.7</w:t>
      </w:r>
      <w:r>
        <w:rPr>
          <w:rFonts w:hint="eastAsia" w:ascii="仿宋" w:hAnsi="仿宋" w:eastAsia="仿宋" w:cs="仿宋"/>
          <w:color w:val="auto"/>
          <w:sz w:val="24"/>
          <w:highlight w:val="none"/>
        </w:rPr>
        <w:t>除审计部或委托审计机构要求补充的资料外，施工单位初次报审后再次以漏报为由报增的，按报增部分审定金额的10%进行考核。</w:t>
      </w:r>
    </w:p>
    <w:p w14:paraId="05EB0F57">
      <w:pPr>
        <w:adjustRightInd w:val="0"/>
        <w:snapToGrid w:val="0"/>
        <w:spacing w:line="520" w:lineRule="exact"/>
        <w:ind w:right="-74" w:firstLine="420" w:firstLineChars="175"/>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.8</w:t>
      </w:r>
      <w:r>
        <w:rPr>
          <w:rFonts w:hint="eastAsia" w:ascii="仿宋" w:hAnsi="仿宋" w:eastAsia="仿宋" w:cs="仿宋"/>
          <w:color w:val="auto"/>
          <w:sz w:val="24"/>
          <w:highlight w:val="none"/>
        </w:rPr>
        <w:t>按上述考核规则，当考核金额合计不超过5000元或不超过(审减金额-报审金额*10%)*25%时，按5000元与(审减金额-报审金额*10%)*25%中较大值进行考核；当考核金额合计大于5000元且大于(审减金额-报审金额*10%)*25%时，按实际金额进行考核，由施工单位承担。</w:t>
      </w:r>
    </w:p>
    <w:p w14:paraId="2B69F693">
      <w:pPr>
        <w:adjustRightInd w:val="0"/>
        <w:snapToGrid w:val="0"/>
        <w:spacing w:line="520" w:lineRule="exact"/>
        <w:ind w:right="-74" w:firstLine="420" w:firstLineChars="175"/>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9</w:t>
      </w:r>
      <w:r>
        <w:rPr>
          <w:rFonts w:hint="eastAsia" w:ascii="仿宋" w:hAnsi="仿宋" w:eastAsia="仿宋" w:cs="仿宋"/>
          <w:color w:val="auto"/>
          <w:sz w:val="24"/>
          <w:highlight w:val="none"/>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05673EA2">
      <w:pPr>
        <w:adjustRightInd w:val="0"/>
        <w:snapToGrid w:val="0"/>
        <w:spacing w:line="520" w:lineRule="exact"/>
        <w:ind w:right="-74" w:firstLine="420" w:firstLineChars="175"/>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10</w:t>
      </w:r>
      <w:r>
        <w:rPr>
          <w:rFonts w:hint="eastAsia" w:ascii="仿宋" w:hAnsi="仿宋" w:eastAsia="仿宋" w:cs="仿宋"/>
          <w:color w:val="auto"/>
          <w:sz w:val="24"/>
          <w:highlight w:val="none"/>
        </w:rPr>
        <w:t>承包人应在竣工验收合格后</w:t>
      </w:r>
      <w:r>
        <w:rPr>
          <w:rFonts w:hint="eastAsia" w:ascii="仿宋" w:hAnsi="仿宋" w:eastAsia="仿宋" w:cs="仿宋"/>
          <w:color w:val="auto"/>
          <w:sz w:val="24"/>
          <w:highlight w:val="none"/>
          <w:u w:val="single"/>
        </w:rPr>
        <w:t xml:space="preserve"> 7 </w:t>
      </w:r>
      <w:r>
        <w:rPr>
          <w:rFonts w:hint="eastAsia" w:ascii="仿宋" w:hAnsi="仿宋" w:eastAsia="仿宋" w:cs="仿宋"/>
          <w:color w:val="auto"/>
          <w:sz w:val="24"/>
          <w:highlight w:val="none"/>
        </w:rPr>
        <w:t>日内完成以下工作：</w:t>
      </w:r>
    </w:p>
    <w:p w14:paraId="6EDF2F45">
      <w:pPr>
        <w:tabs>
          <w:tab w:val="left" w:pos="720"/>
          <w:tab w:val="left" w:pos="1260"/>
        </w:tabs>
        <w:adjustRightInd w:val="0"/>
        <w:snapToGrid w:val="0"/>
        <w:spacing w:line="520" w:lineRule="exact"/>
        <w:ind w:right="-74" w:firstLine="420" w:firstLineChars="175"/>
        <w:rPr>
          <w:rFonts w:ascii="仿宋" w:hAnsi="仿宋" w:eastAsia="仿宋" w:cs="仿宋"/>
          <w:color w:val="auto"/>
          <w:sz w:val="24"/>
          <w:highlight w:val="none"/>
        </w:rPr>
      </w:pPr>
      <w:r>
        <w:rPr>
          <w:rFonts w:hint="eastAsia" w:ascii="仿宋" w:hAnsi="仿宋" w:eastAsia="仿宋" w:cs="仿宋"/>
          <w:color w:val="auto"/>
          <w:sz w:val="24"/>
          <w:highlight w:val="none"/>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color w:val="auto"/>
          <w:sz w:val="24"/>
          <w:highlight w:val="none"/>
        </w:rPr>
        <w:t>0.5</w:t>
      </w:r>
      <w:r>
        <w:rPr>
          <w:rFonts w:hint="eastAsia" w:ascii="仿宋" w:hAnsi="仿宋" w:eastAsia="仿宋" w:cs="仿宋"/>
          <w:color w:val="auto"/>
          <w:sz w:val="24"/>
          <w:highlight w:val="none"/>
        </w:rPr>
        <w:t>‰的金额向发包人支付违约金。</w:t>
      </w:r>
    </w:p>
    <w:p w14:paraId="6FE5D9AE">
      <w:pPr>
        <w:adjustRightInd w:val="0"/>
        <w:snapToGrid w:val="0"/>
        <w:spacing w:line="520" w:lineRule="exact"/>
        <w:ind w:right="-74" w:firstLine="420" w:firstLineChars="175"/>
        <w:rPr>
          <w:rFonts w:ascii="仿宋" w:hAnsi="仿宋" w:eastAsia="仿宋" w:cs="仿宋"/>
          <w:color w:val="auto"/>
          <w:sz w:val="24"/>
          <w:highlight w:val="none"/>
        </w:rPr>
      </w:pPr>
      <w:r>
        <w:rPr>
          <w:rFonts w:hint="eastAsia" w:ascii="仿宋" w:hAnsi="仿宋" w:eastAsia="仿宋" w:cs="仿宋"/>
          <w:color w:val="auto"/>
          <w:sz w:val="24"/>
          <w:highlight w:val="none"/>
        </w:rPr>
        <w:t>6.1</w:t>
      </w:r>
      <w:r>
        <w:rPr>
          <w:rFonts w:ascii="仿宋" w:hAnsi="仿宋" w:eastAsia="仿宋" w:cs="仿宋"/>
          <w:color w:val="auto"/>
          <w:sz w:val="24"/>
          <w:highlight w:val="none"/>
        </w:rPr>
        <w:t>1</w:t>
      </w:r>
      <w:r>
        <w:rPr>
          <w:rFonts w:hint="eastAsia" w:ascii="仿宋" w:hAnsi="仿宋" w:eastAsia="仿宋" w:cs="仿宋"/>
          <w:color w:val="auto"/>
          <w:sz w:val="24"/>
          <w:highlight w:val="none"/>
        </w:rPr>
        <w:t>工程在未移交发包人之前，承包人应负责已完工程的成品保护工作，保护期间发生损坏、失窃，承包人自费予以修复。如发包人提前使用，因使用损坏发生的修理费用由发包人承担。</w:t>
      </w:r>
    </w:p>
    <w:p w14:paraId="74FFDFF2">
      <w:pPr>
        <w:pStyle w:val="6"/>
        <w:adjustRightInd w:val="0"/>
        <w:snapToGrid w:val="0"/>
        <w:spacing w:before="120" w:after="120" w:line="520" w:lineRule="exact"/>
        <w:rPr>
          <w:rFonts w:ascii="仿宋" w:hAnsi="仿宋" w:eastAsia="仿宋" w:cs="仿宋"/>
          <w:color w:val="auto"/>
          <w:sz w:val="24"/>
          <w:szCs w:val="24"/>
          <w:highlight w:val="none"/>
        </w:rPr>
      </w:pPr>
      <w:bookmarkStart w:id="106" w:name="_第十一条_工程结算"/>
      <w:bookmarkEnd w:id="106"/>
      <w:r>
        <w:rPr>
          <w:rFonts w:hint="eastAsia" w:ascii="仿宋" w:hAnsi="仿宋" w:eastAsia="仿宋" w:cs="仿宋"/>
          <w:color w:val="auto"/>
          <w:sz w:val="24"/>
          <w:szCs w:val="24"/>
          <w:highlight w:val="none"/>
        </w:rPr>
        <w:t>七、质量保修</w:t>
      </w:r>
    </w:p>
    <w:p w14:paraId="226B3543">
      <w:pPr>
        <w:adjustRightInd w:val="0"/>
        <w:snapToGrid w:val="0"/>
        <w:spacing w:line="520" w:lineRule="exact"/>
        <w:ind w:right="-74" w:firstLine="420" w:firstLineChars="175"/>
        <w:rPr>
          <w:rFonts w:ascii="仿宋" w:hAnsi="仿宋" w:eastAsia="仿宋" w:cs="仿宋"/>
          <w:color w:val="auto"/>
          <w:sz w:val="24"/>
          <w:highlight w:val="none"/>
        </w:rPr>
      </w:pPr>
      <w:r>
        <w:rPr>
          <w:rFonts w:hint="eastAsia" w:ascii="仿宋" w:hAnsi="仿宋" w:eastAsia="仿宋" w:cs="仿宋"/>
          <w:color w:val="auto"/>
          <w:sz w:val="24"/>
          <w:highlight w:val="none"/>
        </w:rPr>
        <w:t>7.1本合同工程质量保修期：建设工程的保修期</w:t>
      </w:r>
      <w:r>
        <w:rPr>
          <w:rFonts w:hint="eastAsia" w:ascii="仿宋" w:hAnsi="仿宋" w:eastAsia="仿宋" w:cs="仿宋"/>
          <w:color w:val="auto"/>
          <w:sz w:val="24"/>
          <w:highlight w:val="none"/>
          <w:u w:val="single"/>
        </w:rPr>
        <w:t>自工程</w:t>
      </w:r>
      <w:r>
        <w:rPr>
          <w:rFonts w:hint="eastAsia" w:ascii="仿宋" w:hAnsi="仿宋" w:eastAsia="仿宋" w:cs="仿宋"/>
          <w:color w:val="auto"/>
          <w:sz w:val="24"/>
          <w:highlight w:val="none"/>
          <w:u w:val="single"/>
          <w:lang w:val="en-US" w:eastAsia="zh-CN"/>
        </w:rPr>
        <w:t>内部</w:t>
      </w:r>
      <w:r>
        <w:rPr>
          <w:rFonts w:hint="eastAsia" w:ascii="仿宋" w:hAnsi="仿宋" w:eastAsia="仿宋" w:cs="仿宋"/>
          <w:color w:val="auto"/>
          <w:sz w:val="24"/>
          <w:highlight w:val="none"/>
          <w:u w:val="single"/>
        </w:rPr>
        <w:t>竣工验收合格之日起计算</w:t>
      </w:r>
      <w:r>
        <w:rPr>
          <w:rFonts w:hint="eastAsia" w:ascii="仿宋" w:hAnsi="仿宋" w:eastAsia="仿宋" w:cs="仿宋"/>
          <w:color w:val="auto"/>
          <w:sz w:val="24"/>
          <w:highlight w:val="none"/>
        </w:rPr>
        <w:t>，详见本合同附件1《工程质量保修书》。</w:t>
      </w:r>
    </w:p>
    <w:p w14:paraId="4C961757">
      <w:pPr>
        <w:adjustRightInd w:val="0"/>
        <w:snapToGrid w:val="0"/>
        <w:spacing w:line="520" w:lineRule="exact"/>
        <w:ind w:right="-74" w:firstLine="420" w:firstLineChars="175"/>
        <w:rPr>
          <w:rFonts w:ascii="仿宋" w:hAnsi="仿宋" w:eastAsia="仿宋" w:cs="仿宋"/>
          <w:color w:val="auto"/>
          <w:sz w:val="24"/>
          <w:highlight w:val="none"/>
        </w:rPr>
      </w:pPr>
      <w:r>
        <w:rPr>
          <w:rFonts w:hint="eastAsia" w:ascii="仿宋" w:hAnsi="仿宋" w:eastAsia="仿宋" w:cs="仿宋"/>
          <w:color w:val="auto"/>
          <w:sz w:val="24"/>
          <w:highlight w:val="none"/>
        </w:rPr>
        <w:t>7.2在保修期内出现</w:t>
      </w:r>
      <w:r>
        <w:rPr>
          <w:rFonts w:hint="eastAsia" w:ascii="仿宋" w:hAnsi="仿宋" w:eastAsia="仿宋" w:cs="仿宋"/>
          <w:i/>
          <w:iCs/>
          <w:color w:val="auto"/>
          <w:sz w:val="24"/>
          <w:highlight w:val="none"/>
          <w:u w:val="single"/>
        </w:rPr>
        <w:t xml:space="preserve"> 防水 </w:t>
      </w:r>
      <w:r>
        <w:rPr>
          <w:rFonts w:hint="eastAsia" w:ascii="仿宋" w:hAnsi="仿宋" w:eastAsia="仿宋" w:cs="仿宋"/>
          <w:color w:val="auto"/>
          <w:sz w:val="24"/>
          <w:highlight w:val="none"/>
        </w:rPr>
        <w:t>质量问题经修复完成后，相应保修期重新计算。</w:t>
      </w:r>
    </w:p>
    <w:p w14:paraId="0E4495B7">
      <w:pPr>
        <w:pStyle w:val="6"/>
        <w:adjustRightInd w:val="0"/>
        <w:snapToGrid w:val="0"/>
        <w:spacing w:before="120" w:after="120" w:line="52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八、违约责任</w:t>
      </w:r>
    </w:p>
    <w:p w14:paraId="75562BE3">
      <w:pPr>
        <w:adjustRightInd w:val="0"/>
        <w:snapToGrid w:val="0"/>
        <w:spacing w:line="520" w:lineRule="exact"/>
        <w:ind w:right="-74" w:firstLine="420" w:firstLineChars="175"/>
        <w:rPr>
          <w:rFonts w:ascii="仿宋" w:hAnsi="仿宋" w:eastAsia="仿宋" w:cs="仿宋"/>
          <w:color w:val="auto"/>
          <w:sz w:val="24"/>
          <w:highlight w:val="none"/>
        </w:rPr>
      </w:pPr>
      <w:r>
        <w:rPr>
          <w:rFonts w:hint="eastAsia" w:ascii="仿宋" w:hAnsi="仿宋" w:eastAsia="仿宋" w:cs="仿宋"/>
          <w:color w:val="auto"/>
          <w:sz w:val="24"/>
          <w:highlight w:val="none"/>
        </w:rPr>
        <w:t>承包人在履行合同过程中，不能满足发包人施工进度和质量、安全文明要求的以及承包人项目经理、主要管理人员不能现场履职的，承包人应向发包人支付5</w:t>
      </w:r>
      <w:r>
        <w:rPr>
          <w:rFonts w:ascii="仿宋" w:hAnsi="仿宋" w:eastAsia="仿宋" w:cs="仿宋"/>
          <w:color w:val="auto"/>
          <w:sz w:val="24"/>
          <w:highlight w:val="none"/>
        </w:rPr>
        <w:t>000</w:t>
      </w:r>
      <w:r>
        <w:rPr>
          <w:rFonts w:hint="eastAsia" w:ascii="仿宋" w:hAnsi="仿宋" w:eastAsia="仿宋" w:cs="仿宋"/>
          <w:color w:val="auto"/>
          <w:sz w:val="24"/>
          <w:highlight w:val="none"/>
        </w:rPr>
        <w:t>-</w:t>
      </w:r>
      <w:r>
        <w:rPr>
          <w:rFonts w:ascii="仿宋" w:hAnsi="仿宋" w:eastAsia="仿宋" w:cs="仿宋"/>
          <w:color w:val="auto"/>
          <w:sz w:val="24"/>
          <w:highlight w:val="none"/>
        </w:rPr>
        <w:t>100000元</w:t>
      </w:r>
      <w:r>
        <w:rPr>
          <w:rFonts w:hint="eastAsia" w:ascii="仿宋" w:hAnsi="仿宋" w:eastAsia="仿宋" w:cs="仿宋"/>
          <w:color w:val="auto"/>
          <w:sz w:val="24"/>
          <w:highlight w:val="none"/>
        </w:rPr>
        <w:t>/次作为赔偿金；如</w:t>
      </w:r>
      <w:r>
        <w:rPr>
          <w:rFonts w:ascii="仿宋" w:hAnsi="仿宋" w:eastAsia="仿宋" w:cs="仿宋"/>
          <w:color w:val="auto"/>
          <w:sz w:val="24"/>
          <w:highlight w:val="none"/>
        </w:rPr>
        <w:t>发生承包人及</w:t>
      </w:r>
      <w:r>
        <w:rPr>
          <w:rFonts w:hint="eastAsia" w:ascii="仿宋" w:hAnsi="仿宋" w:eastAsia="仿宋" w:cs="仿宋"/>
          <w:color w:val="auto"/>
          <w:sz w:val="24"/>
          <w:highlight w:val="none"/>
        </w:rPr>
        <w:t>/或</w:t>
      </w:r>
      <w:r>
        <w:rPr>
          <w:rFonts w:ascii="仿宋" w:hAnsi="仿宋" w:eastAsia="仿宋" w:cs="仿宋"/>
          <w:color w:val="auto"/>
          <w:sz w:val="24"/>
          <w:highlight w:val="none"/>
        </w:rPr>
        <w:t>实际施工人存在无相关许可资质</w:t>
      </w:r>
      <w:r>
        <w:rPr>
          <w:rFonts w:hint="eastAsia" w:ascii="仿宋" w:hAnsi="仿宋" w:eastAsia="仿宋" w:cs="仿宋"/>
          <w:color w:val="auto"/>
          <w:sz w:val="24"/>
          <w:highlight w:val="none"/>
        </w:rPr>
        <w:t>、借用或冒用他人的资质、印章等严重情节（具体以发包人认定为准）的，发包人有权终止合同，同时承包人按合同最终结算价的</w:t>
      </w:r>
      <w:r>
        <w:rPr>
          <w:rFonts w:hint="eastAsia" w:ascii="仿宋" w:hAnsi="仿宋" w:eastAsia="仿宋" w:cs="仿宋"/>
          <w:i/>
          <w:iCs/>
          <w:color w:val="auto"/>
          <w:sz w:val="24"/>
          <w:highlight w:val="none"/>
          <w:u w:val="single"/>
        </w:rPr>
        <w:t>10</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支付违约金，没有合同最终结算价的，按</w:t>
      </w:r>
      <w:r>
        <w:rPr>
          <w:rFonts w:hint="eastAsia" w:ascii="仿宋" w:hAnsi="仿宋" w:eastAsia="仿宋" w:cs="仿宋"/>
          <w:color w:val="auto"/>
          <w:sz w:val="24"/>
          <w:highlight w:val="none"/>
          <w:u w:val="single"/>
        </w:rPr>
        <w:t>合同暂定价的</w:t>
      </w:r>
      <w:r>
        <w:rPr>
          <w:rFonts w:hint="eastAsia" w:ascii="仿宋" w:hAnsi="仿宋" w:eastAsia="仿宋" w:cs="仿宋"/>
          <w:i/>
          <w:iCs/>
          <w:color w:val="auto"/>
          <w:sz w:val="24"/>
          <w:highlight w:val="none"/>
          <w:u w:val="single"/>
        </w:rPr>
        <w:t>10</w:t>
      </w:r>
      <w:r>
        <w:rPr>
          <w:rFonts w:hint="eastAsia" w:ascii="仿宋" w:hAnsi="仿宋" w:eastAsia="仿宋" w:cs="仿宋"/>
          <w:color w:val="auto"/>
          <w:sz w:val="24"/>
          <w:highlight w:val="none"/>
          <w:u w:val="single"/>
        </w:rPr>
        <w:t>％计算</w:t>
      </w:r>
      <w:r>
        <w:rPr>
          <w:rFonts w:hint="eastAsia" w:ascii="仿宋" w:hAnsi="仿宋" w:eastAsia="仿宋" w:cs="仿宋"/>
          <w:color w:val="auto"/>
          <w:sz w:val="24"/>
          <w:highlight w:val="none"/>
        </w:rPr>
        <w:t>，发包人有权保留进一步索赔的权利。</w:t>
      </w:r>
    </w:p>
    <w:p w14:paraId="27A97068">
      <w:pPr>
        <w:pStyle w:val="6"/>
        <w:adjustRightInd w:val="0"/>
        <w:snapToGrid w:val="0"/>
        <w:spacing w:before="120" w:after="120" w:line="52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九、争议解决</w:t>
      </w:r>
    </w:p>
    <w:p w14:paraId="45FF05FE">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9.1本合同有效期内发生纠纷，由双方协商解决。如协商不成，</w:t>
      </w:r>
      <w:r>
        <w:rPr>
          <w:rFonts w:hint="eastAsia" w:ascii="仿宋" w:hAnsi="仿宋" w:eastAsia="仿宋" w:cs="仿宋"/>
          <w:color w:val="auto"/>
          <w:sz w:val="24"/>
          <w:highlight w:val="none"/>
        </w:rPr>
        <w:t>双方同意依法向</w:t>
      </w:r>
      <w:r>
        <w:rPr>
          <w:rFonts w:hint="eastAsia" w:ascii="仿宋" w:hAnsi="仿宋" w:eastAsia="仿宋" w:cs="仿宋"/>
          <w:i/>
          <w:iCs/>
          <w:color w:val="auto"/>
          <w:sz w:val="24"/>
          <w:highlight w:val="none"/>
          <w:u w:val="single"/>
        </w:rPr>
        <w:t>建设工程所在地有管辖权的人民法院起诉</w:t>
      </w:r>
      <w:r>
        <w:rPr>
          <w:rFonts w:hint="eastAsia" w:ascii="仿宋" w:hAnsi="仿宋" w:eastAsia="仿宋" w:cs="仿宋"/>
          <w:color w:val="auto"/>
          <w:sz w:val="24"/>
          <w:highlight w:val="none"/>
        </w:rPr>
        <w:t>解决。</w:t>
      </w:r>
    </w:p>
    <w:p w14:paraId="230090D8">
      <w:pPr>
        <w:pStyle w:val="6"/>
        <w:adjustRightInd w:val="0"/>
        <w:snapToGrid w:val="0"/>
        <w:spacing w:before="120" w:after="120"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十、附则</w:t>
      </w:r>
    </w:p>
    <w:p w14:paraId="2F8F95F8">
      <w:pPr>
        <w:adjustRightInd w:val="0"/>
        <w:snapToGrid w:val="0"/>
        <w:spacing w:line="360" w:lineRule="auto"/>
        <w:ind w:firstLine="480" w:firstLineChars="200"/>
        <w:rPr>
          <w:rFonts w:hint="default" w:ascii="仿宋" w:hAnsi="仿宋" w:eastAsia="仿宋" w:cs="仿宋"/>
          <w:color w:val="auto"/>
          <w:sz w:val="24"/>
          <w:highlight w:val="none"/>
          <w:u w:val="single"/>
          <w:lang w:val="en-US"/>
        </w:rPr>
      </w:pPr>
      <w:r>
        <w:rPr>
          <w:rFonts w:hint="eastAsia" w:ascii="仿宋" w:hAnsi="仿宋" w:eastAsia="仿宋" w:cs="仿宋"/>
          <w:color w:val="auto"/>
          <w:sz w:val="24"/>
          <w:highlight w:val="none"/>
        </w:rPr>
        <w:t>10.1发包人</w:t>
      </w:r>
      <w:r>
        <w:rPr>
          <w:rFonts w:hint="eastAsia" w:ascii="仿宋" w:hAnsi="仿宋" w:eastAsia="仿宋" w:cs="仿宋"/>
          <w:color w:val="auto"/>
          <w:sz w:val="24"/>
          <w:highlight w:val="none"/>
          <w:lang w:val="en-US" w:eastAsia="zh-CN"/>
        </w:rPr>
        <w:t>项目负责人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 xml:space="preserve">   项目实施单位负责人：</w:t>
      </w:r>
      <w:r>
        <w:rPr>
          <w:rFonts w:hint="eastAsia" w:ascii="仿宋" w:hAnsi="仿宋" w:eastAsia="仿宋" w:cs="仿宋"/>
          <w:color w:val="auto"/>
          <w:sz w:val="24"/>
          <w:highlight w:val="none"/>
          <w:u w:val="single"/>
          <w:lang w:val="en-US" w:eastAsia="zh-CN"/>
        </w:rPr>
        <w:t xml:space="preserve">            </w:t>
      </w:r>
    </w:p>
    <w:p w14:paraId="0492C55A">
      <w:pPr>
        <w:adjustRightInd w:val="0"/>
        <w:snapToGrid w:val="0"/>
        <w:spacing w:line="360" w:lineRule="auto"/>
        <w:ind w:firstLine="960" w:firstLineChars="40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承包人代表为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none"/>
          <w:lang w:val="en-US" w:eastAsia="zh-CN"/>
        </w:rPr>
        <w:t xml:space="preserve">    </w:t>
      </w:r>
      <w:r>
        <w:rPr>
          <w:rFonts w:hint="eastAsia" w:ascii="仿宋" w:hAnsi="仿宋" w:eastAsia="仿宋" w:cs="仿宋"/>
          <w:color w:val="auto"/>
          <w:sz w:val="24"/>
          <w:highlight w:val="none"/>
        </w:rPr>
        <w:t>执业证书号：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p>
    <w:p w14:paraId="1D3CBF42">
      <w:pPr>
        <w:adjustRightInd w:val="0"/>
        <w:snapToGrid w:val="0"/>
        <w:spacing w:line="360" w:lineRule="auto"/>
        <w:ind w:firstLine="960" w:firstLineChars="40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none"/>
          <w:lang w:val="en-US" w:eastAsia="zh-CN"/>
        </w:rPr>
        <w:t>监理工程师：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 xml:space="preserve">      </w:t>
      </w:r>
      <w:r>
        <w:rPr>
          <w:rFonts w:hint="eastAsia" w:ascii="仿宋" w:hAnsi="仿宋" w:eastAsia="仿宋" w:cs="仿宋"/>
          <w:color w:val="auto"/>
          <w:sz w:val="24"/>
          <w:highlight w:val="none"/>
        </w:rPr>
        <w:t>执业证书号：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p>
    <w:p w14:paraId="0FDB9731">
      <w:pPr>
        <w:pStyle w:val="11"/>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10.2其他补充说明</w:t>
      </w:r>
    </w:p>
    <w:p w14:paraId="6952EBA5">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lang w:val="en-US" w:eastAsia="zh-CN"/>
        </w:rPr>
        <w:t>承包人</w:t>
      </w:r>
      <w:r>
        <w:rPr>
          <w:rFonts w:hint="eastAsia" w:ascii="仿宋" w:hAnsi="仿宋" w:eastAsia="仿宋" w:cs="仿宋"/>
          <w:i w:val="0"/>
          <w:iCs w:val="0"/>
          <w:color w:val="auto"/>
          <w:sz w:val="24"/>
          <w:szCs w:val="24"/>
          <w:highlight w:val="none"/>
        </w:rPr>
        <w:t>投报的项目班子成员必须始终在工地现场管理，不得擅自更换、不得兼职其他项目，否则按合同条款执行。施工过程中如发现另行设立执行项目经理的情况，给予警告或违约金处罚，若仍不整改，视为承包人违约，招标人有权终止协议并要求赔偿损失。</w:t>
      </w:r>
    </w:p>
    <w:p w14:paraId="5AEB615C">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现场不提供办公区、生活区，</w:t>
      </w:r>
      <w:r>
        <w:rPr>
          <w:rFonts w:hint="eastAsia" w:ascii="仿宋" w:hAnsi="仿宋" w:eastAsia="仿宋" w:cs="仿宋"/>
          <w:i w:val="0"/>
          <w:iCs w:val="0"/>
          <w:color w:val="auto"/>
          <w:sz w:val="24"/>
          <w:szCs w:val="24"/>
          <w:highlight w:val="none"/>
          <w:lang w:val="en-US" w:eastAsia="zh-CN"/>
        </w:rPr>
        <w:t>施工方</w:t>
      </w:r>
      <w:r>
        <w:rPr>
          <w:rFonts w:hint="eastAsia" w:ascii="仿宋" w:hAnsi="仿宋" w:eastAsia="仿宋" w:cs="仿宋"/>
          <w:i w:val="0"/>
          <w:iCs w:val="0"/>
          <w:color w:val="auto"/>
          <w:sz w:val="24"/>
          <w:szCs w:val="24"/>
          <w:highlight w:val="none"/>
        </w:rPr>
        <w:t>自行考虑。</w:t>
      </w:r>
      <w:r>
        <w:rPr>
          <w:rFonts w:hint="eastAsia" w:ascii="仿宋" w:hAnsi="仿宋" w:eastAsia="仿宋" w:cs="仿宋"/>
          <w:i w:val="0"/>
          <w:iCs w:val="0"/>
          <w:color w:val="auto"/>
          <w:sz w:val="24"/>
          <w:szCs w:val="24"/>
          <w:highlight w:val="none"/>
          <w:lang w:val="en-US" w:eastAsia="zh-CN"/>
        </w:rPr>
        <w:t>施工水电费挂表计量缴纳至厂区能源管理单位。现场不提供办公区、生活区，施工方自行考虑。不具备挂表计量条件的，水电费按照结算造价直接费的0.5‰在结算中扣除。</w:t>
      </w:r>
    </w:p>
    <w:p w14:paraId="749B69A1">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施工期间应服从厂区安全文明管理规定，车辆人员进出管理规定（物流运输、施工车辆，优先选用重汽品牌）以及一切厂区管理制度，如人员登记、防疫管理、禁止吸烟、特种作业、动火审批用电审批、登高审批及相关安全环保检查等。</w:t>
      </w:r>
    </w:p>
    <w:p w14:paraId="313BB244">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lang w:val="en-US" w:eastAsia="zh-CN"/>
        </w:rPr>
        <w:t>承包</w:t>
      </w:r>
      <w:r>
        <w:rPr>
          <w:rFonts w:hint="eastAsia" w:ascii="仿宋" w:hAnsi="仿宋" w:eastAsia="仿宋" w:cs="仿宋"/>
          <w:i w:val="0"/>
          <w:iCs w:val="0"/>
          <w:color w:val="auto"/>
          <w:sz w:val="24"/>
          <w:szCs w:val="24"/>
          <w:highlight w:val="none"/>
        </w:rPr>
        <w:t>人自行负责进场设备材料物资的看护责任，若现场发生的丢失损坏，不得以此向</w:t>
      </w:r>
      <w:r>
        <w:rPr>
          <w:rFonts w:hint="eastAsia" w:ascii="仿宋" w:hAnsi="仿宋" w:eastAsia="仿宋" w:cs="仿宋"/>
          <w:i w:val="0"/>
          <w:iCs w:val="0"/>
          <w:color w:val="auto"/>
          <w:sz w:val="24"/>
          <w:szCs w:val="24"/>
          <w:highlight w:val="none"/>
          <w:lang w:val="en-US" w:eastAsia="zh-CN"/>
        </w:rPr>
        <w:t>发包</w:t>
      </w:r>
      <w:r>
        <w:rPr>
          <w:rFonts w:hint="eastAsia" w:ascii="仿宋" w:hAnsi="仿宋" w:eastAsia="仿宋" w:cs="仿宋"/>
          <w:i w:val="0"/>
          <w:iCs w:val="0"/>
          <w:color w:val="auto"/>
          <w:sz w:val="24"/>
          <w:szCs w:val="24"/>
          <w:highlight w:val="none"/>
        </w:rPr>
        <w:t>人索赔工期和费用。</w:t>
      </w:r>
    </w:p>
    <w:p w14:paraId="0100AE85">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lang w:val="en-US" w:eastAsia="zh-CN"/>
        </w:rPr>
        <w:t>承包</w:t>
      </w:r>
      <w:r>
        <w:rPr>
          <w:rFonts w:hint="eastAsia" w:ascii="仿宋" w:hAnsi="仿宋" w:eastAsia="仿宋" w:cs="仿宋"/>
          <w:i w:val="0"/>
          <w:iCs w:val="0"/>
          <w:color w:val="auto"/>
          <w:sz w:val="24"/>
          <w:szCs w:val="24"/>
          <w:highlight w:val="none"/>
        </w:rPr>
        <w:t>人自进场施工开始至交接验收前负责施工范围内的成品保护工作，包括自身自己的成品及其它施工单位的成品、半成品等，如发生损坏、更改变化，由</w:t>
      </w:r>
      <w:r>
        <w:rPr>
          <w:rFonts w:hint="eastAsia" w:ascii="仿宋" w:hAnsi="仿宋" w:eastAsia="仿宋" w:cs="仿宋"/>
          <w:i w:val="0"/>
          <w:iCs w:val="0"/>
          <w:color w:val="auto"/>
          <w:sz w:val="24"/>
          <w:szCs w:val="24"/>
          <w:highlight w:val="none"/>
          <w:lang w:val="en-US" w:eastAsia="zh-CN"/>
        </w:rPr>
        <w:t>承包</w:t>
      </w:r>
      <w:r>
        <w:rPr>
          <w:rFonts w:hint="eastAsia" w:ascii="仿宋" w:hAnsi="仿宋" w:eastAsia="仿宋" w:cs="仿宋"/>
          <w:i w:val="0"/>
          <w:iCs w:val="0"/>
          <w:color w:val="auto"/>
          <w:sz w:val="24"/>
          <w:szCs w:val="24"/>
          <w:highlight w:val="none"/>
        </w:rPr>
        <w:t>人负责免费进行恢复原状。尤其是施工区域地下管网工程，须采取成品保护措施，施工前提前告知报备，同时施工前要采取相关技术手段，结合厂区原有管网图纸对施工场地区域的地下管网进行提前探测，地下管线探测清楚后，再进行后续施工，施工过程安排人员旁站监督，施工结束及时与相关方交接见证，严禁野蛮施工。因施工造成地下原有管网破坏需要无条件的进行免费维修，同时承担影响生产带来的相关损失。</w:t>
      </w:r>
    </w:p>
    <w:p w14:paraId="45BDD1CD">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施工期间不得以进入冬雨季施工、秋冬季大气污染应急响应（均为可预见因素）、法定节假日等作为工期延误的理由，必须采取施工措施保证施工质量和进度。</w:t>
      </w:r>
    </w:p>
    <w:p w14:paraId="11E705EE">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现场开挖产生的土方必须及时清运出厂，回填需要的土方暂存场地需要自行考虑。</w:t>
      </w:r>
    </w:p>
    <w:p w14:paraId="25413766">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施工要充分满足厂区安全文明施工要求，考虑施工区域内材料多次倒运。</w:t>
      </w:r>
    </w:p>
    <w:p w14:paraId="492E9B7B">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施工</w:t>
      </w:r>
      <w:r>
        <w:rPr>
          <w:rFonts w:hint="eastAsia" w:ascii="仿宋" w:hAnsi="仿宋" w:eastAsia="仿宋" w:cs="仿宋"/>
          <w:i w:val="0"/>
          <w:iCs w:val="0"/>
          <w:color w:val="auto"/>
          <w:sz w:val="24"/>
          <w:szCs w:val="24"/>
          <w:highlight w:val="none"/>
          <w:lang w:val="en-US" w:eastAsia="zh-CN"/>
        </w:rPr>
        <w:t>过程产生的有价值废旧物资（如钢材等金属材料），运至指定地点交付甲方处置。</w:t>
      </w:r>
    </w:p>
    <w:p w14:paraId="7D821B17">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施工期间必须采取严格的抑尘降尘措施，施工区域采用封闭围挡进行封闭施工，与生产交叉时应采取保生产措施，服从厂区生产需要，充分考虑施工机械多次进场，积极采取夜间施工、加班加人等赶工措施。不得以此申请延长工期和增加费用（施工期间为保证生产，需利用夜间停产时间段组织施工）。</w:t>
      </w:r>
    </w:p>
    <w:p w14:paraId="665B6366">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lang w:val="en-US" w:eastAsia="zh-CN"/>
        </w:rPr>
        <w:t>承包</w:t>
      </w:r>
      <w:r>
        <w:rPr>
          <w:rFonts w:hint="eastAsia" w:ascii="仿宋" w:hAnsi="仿宋" w:eastAsia="仿宋" w:cs="仿宋"/>
          <w:i w:val="0"/>
          <w:iCs w:val="0"/>
          <w:color w:val="auto"/>
          <w:sz w:val="24"/>
          <w:szCs w:val="24"/>
          <w:highlight w:val="none"/>
        </w:rPr>
        <w:t>人须认可</w:t>
      </w:r>
      <w:r>
        <w:rPr>
          <w:rFonts w:hint="eastAsia" w:ascii="仿宋" w:hAnsi="仿宋" w:eastAsia="仿宋" w:cs="仿宋"/>
          <w:i w:val="0"/>
          <w:iCs w:val="0"/>
          <w:color w:val="auto"/>
          <w:sz w:val="24"/>
          <w:szCs w:val="24"/>
          <w:highlight w:val="none"/>
          <w:lang w:val="en-US" w:eastAsia="zh-CN"/>
        </w:rPr>
        <w:t>发包</w:t>
      </w:r>
      <w:r>
        <w:rPr>
          <w:rFonts w:hint="eastAsia" w:ascii="仿宋" w:hAnsi="仿宋" w:eastAsia="仿宋" w:cs="仿宋"/>
          <w:i w:val="0"/>
          <w:iCs w:val="0"/>
          <w:color w:val="auto"/>
          <w:sz w:val="24"/>
          <w:szCs w:val="24"/>
          <w:highlight w:val="none"/>
        </w:rPr>
        <w:t>人的工作指令，包括节、假日能正常开展工作的要求。</w:t>
      </w:r>
    </w:p>
    <w:p w14:paraId="2005E29A">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施工期间应严格落实项目所在地的政府安全文明标准、渣土处置标准、扬尘环保、重污染天气应急响应等标准，做到六个百分百，采取湿法作业，冲洗设备、密目网裸土全覆盖，施工结束每日及时恢复，运输期间，中标人负责运输路线上道路的及时清理、冲洗，确保文明卫生。相关费用均包含在安全文明措施费中。项目施工期间必须无条件做好各类政府调研观摩检查活动以及重汽集团公司各级检查的迎检工作，相关费用（如制作标识标牌、宣传栏等）均包含在安全文明措施费中。承包人负责渣土处置的一切手续办理，投标时综合考虑，相关费用</w:t>
      </w:r>
      <w:r>
        <w:rPr>
          <w:rFonts w:hint="eastAsia" w:ascii="仿宋" w:hAnsi="仿宋" w:eastAsia="仿宋" w:cs="仿宋"/>
          <w:i w:val="0"/>
          <w:iCs w:val="0"/>
          <w:color w:val="auto"/>
          <w:sz w:val="24"/>
          <w:szCs w:val="24"/>
          <w:highlight w:val="none"/>
          <w:lang w:val="en-US" w:eastAsia="zh-CN"/>
        </w:rPr>
        <w:t>已</w:t>
      </w:r>
      <w:r>
        <w:rPr>
          <w:rFonts w:hint="eastAsia" w:ascii="仿宋" w:hAnsi="仿宋" w:eastAsia="仿宋" w:cs="仿宋"/>
          <w:i w:val="0"/>
          <w:iCs w:val="0"/>
          <w:color w:val="auto"/>
          <w:sz w:val="24"/>
          <w:szCs w:val="24"/>
          <w:highlight w:val="none"/>
        </w:rPr>
        <w:t>包含在</w:t>
      </w:r>
      <w:r>
        <w:rPr>
          <w:rFonts w:hint="eastAsia" w:ascii="仿宋" w:hAnsi="仿宋" w:eastAsia="仿宋" w:cs="仿宋"/>
          <w:i w:val="0"/>
          <w:iCs w:val="0"/>
          <w:color w:val="auto"/>
          <w:sz w:val="24"/>
          <w:szCs w:val="24"/>
          <w:highlight w:val="none"/>
          <w:lang w:val="en-US" w:eastAsia="zh-CN"/>
        </w:rPr>
        <w:t>合同价</w:t>
      </w:r>
      <w:r>
        <w:rPr>
          <w:rFonts w:hint="eastAsia" w:ascii="仿宋" w:hAnsi="仿宋" w:eastAsia="仿宋" w:cs="仿宋"/>
          <w:i w:val="0"/>
          <w:iCs w:val="0"/>
          <w:color w:val="auto"/>
          <w:sz w:val="24"/>
          <w:szCs w:val="24"/>
          <w:highlight w:val="none"/>
        </w:rPr>
        <w:t>中。</w:t>
      </w:r>
    </w:p>
    <w:p w14:paraId="072561FE">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现场分区域分段施工、交叉施工、错时施工是必然的，必须服从厂区生产安排、建设方统一指挥，施工降效等费用综合考虑到措施费用中</w:t>
      </w:r>
      <w:r>
        <w:rPr>
          <w:rFonts w:hint="eastAsia" w:ascii="仿宋" w:hAnsi="仿宋" w:eastAsia="仿宋" w:cs="仿宋"/>
          <w:i w:val="0"/>
          <w:iCs w:val="0"/>
          <w:color w:val="auto"/>
          <w:sz w:val="24"/>
          <w:szCs w:val="24"/>
          <w:highlight w:val="none"/>
          <w:lang w:eastAsia="zh-CN"/>
        </w:rPr>
        <w:t>。</w:t>
      </w:r>
      <w:r>
        <w:rPr>
          <w:rFonts w:hint="eastAsia" w:ascii="仿宋" w:hAnsi="仿宋" w:eastAsia="仿宋" w:cs="仿宋"/>
          <w:i w:val="0"/>
          <w:iCs w:val="0"/>
          <w:color w:val="auto"/>
          <w:sz w:val="24"/>
          <w:szCs w:val="24"/>
          <w:highlight w:val="none"/>
        </w:rPr>
        <w:t>施工区域做好围挡防护及警示标志等，如需铺设钢板由</w:t>
      </w:r>
      <w:r>
        <w:rPr>
          <w:rFonts w:hint="eastAsia" w:ascii="仿宋" w:hAnsi="仿宋" w:eastAsia="仿宋" w:cs="仿宋"/>
          <w:i w:val="0"/>
          <w:iCs w:val="0"/>
          <w:color w:val="auto"/>
          <w:sz w:val="24"/>
          <w:szCs w:val="24"/>
          <w:highlight w:val="none"/>
          <w:lang w:val="en-US" w:eastAsia="zh-CN"/>
        </w:rPr>
        <w:t>承包人</w:t>
      </w:r>
      <w:r>
        <w:rPr>
          <w:rFonts w:hint="eastAsia" w:ascii="仿宋" w:hAnsi="仿宋" w:eastAsia="仿宋" w:cs="仿宋"/>
          <w:i w:val="0"/>
          <w:iCs w:val="0"/>
          <w:color w:val="auto"/>
          <w:sz w:val="24"/>
          <w:szCs w:val="24"/>
          <w:highlight w:val="none"/>
        </w:rPr>
        <w:t>承担。</w:t>
      </w:r>
    </w:p>
    <w:p w14:paraId="33E15D09">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现场施工人员登高、电工、焊工等作业必须持证上岗，并保证证书在有效期内且在专业允许范围内。</w:t>
      </w:r>
    </w:p>
    <w:p w14:paraId="6B68BD64">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若承包人施工进度严重滞后且无有效抢工措施，施工进度无明显改善的，经发包人函告后仍未在通知的时间内积极采取有效措施达到现场进度要求的，发包人有权自行委托其他施工单位（第三方）替代施工，而不构成违约，承包人须无条件服从。第三方施工单位施工所发生的费用，由发包人书面认可即视为有效且承包人亦认可，最终由承包人承担，承担方式：承包人直接向第三方支付或由发包人代为支付，在承包人的竣工结算中对成本增加部分（双方价差）予以扣减。</w:t>
      </w:r>
    </w:p>
    <w:p w14:paraId="6B96A52A">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承包人申请工程款支付时需按发包人要求同步完善工程技术及质量控制资料，因资料不完善影响工程款支付的，不得以此为由影响施工进度。</w:t>
      </w:r>
    </w:p>
    <w:p w14:paraId="13AF4699">
      <w:pPr>
        <w:pStyle w:val="56"/>
        <w:numPr>
          <w:ilvl w:val="0"/>
          <w:numId w:val="12"/>
        </w:numPr>
        <w:snapToGrid w:val="0"/>
        <w:spacing w:line="360" w:lineRule="auto"/>
        <w:ind w:left="0" w:firstLine="600"/>
        <w:jc w:val="left"/>
        <w:rPr>
          <w:rFonts w:hint="eastAsia" w:ascii="仿宋" w:hAnsi="仿宋" w:eastAsia="仿宋" w:cs="仿宋"/>
          <w:color w:val="auto"/>
          <w:sz w:val="24"/>
          <w:szCs w:val="24"/>
          <w:highlight w:val="none"/>
        </w:rPr>
      </w:pPr>
      <w:r>
        <w:rPr>
          <w:rFonts w:hint="eastAsia" w:ascii="仿宋" w:hAnsi="仿宋" w:eastAsia="仿宋" w:cs="仿宋"/>
          <w:i w:val="0"/>
          <w:iCs w:val="0"/>
          <w:color w:val="auto"/>
          <w:sz w:val="24"/>
          <w:szCs w:val="24"/>
          <w:highlight w:val="none"/>
        </w:rPr>
        <w:t>工程结算审计，由发包人委托造价咨询单位审计或自行审计，基本审计费由发包人支付。对审减额超过5%的部分，按审减额的5%计取审计费，由承包人支付;审增部分按实际审增额的5%计取审计费，由承包人支付。承包人应支付的审计费，由发包人在工程款中代扣代缴或者由承包人直接支付。</w:t>
      </w:r>
    </w:p>
    <w:p w14:paraId="156A80CB">
      <w:pPr>
        <w:pStyle w:val="56"/>
        <w:numPr>
          <w:ilvl w:val="0"/>
          <w:numId w:val="12"/>
        </w:numPr>
        <w:snapToGrid w:val="0"/>
        <w:spacing w:line="360" w:lineRule="auto"/>
        <w:ind w:left="0" w:firstLine="600"/>
        <w:jc w:val="left"/>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承包人应严格落实项目所在地的最新农民工工资保证金管理规定，建筑工程项目农民工实名制和工资专用账户管理制度，负责按规定及时全额缴纳，并负责将进度款中的人工费及时转账至农民工工资专用账户中，确保账户金额充足。同时杜绝层层分包，转包行为，确保工资及时发放到劳务工人本人手中，并负责及时办理工伤保险。否则视为严重违约，除承担违约责任外，对造成的一切后果和责任自行承担。若本项目中标人发生农民工欠薪，产生政府投诉、堵门、阻挠施工等事件的，每发生一起，除妥善及时处理、消除影响外还有承担违约责任，视情节严重情况给予1万-5万元/次考核。</w:t>
      </w:r>
    </w:p>
    <w:p w14:paraId="6959B90F">
      <w:pPr>
        <w:pStyle w:val="10"/>
        <w:numPr>
          <w:ilvl w:val="0"/>
          <w:numId w:val="12"/>
        </w:numPr>
        <w:spacing w:line="360" w:lineRule="auto"/>
        <w:ind w:left="0"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项目施工所有（不含甲供材料设备、甲分包部分）试验检测费用执行招标文件要求。</w:t>
      </w:r>
    </w:p>
    <w:p w14:paraId="33439B14">
      <w:pPr>
        <w:pStyle w:val="10"/>
        <w:numPr>
          <w:ilvl w:val="0"/>
          <w:numId w:val="12"/>
        </w:numPr>
        <w:spacing w:line="360" w:lineRule="auto"/>
        <w:ind w:left="0"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lang w:val="en-US" w:eastAsia="zh-CN"/>
        </w:rPr>
        <w:t>承包人已</w:t>
      </w:r>
      <w:r>
        <w:rPr>
          <w:rFonts w:hint="eastAsia" w:ascii="仿宋" w:hAnsi="仿宋" w:eastAsia="仿宋" w:cs="仿宋"/>
          <w:i w:val="0"/>
          <w:iCs w:val="0"/>
          <w:color w:val="auto"/>
          <w:sz w:val="24"/>
          <w:szCs w:val="24"/>
          <w:highlight w:val="none"/>
        </w:rPr>
        <w:t>了解现场施工环境，现场施工所需各项措施费用已综合考虑在相应的报价内</w:t>
      </w:r>
      <w:r>
        <w:rPr>
          <w:rFonts w:hint="eastAsia" w:ascii="仿宋" w:hAnsi="仿宋" w:eastAsia="仿宋" w:cs="仿宋"/>
          <w:i w:val="0"/>
          <w:iCs w:val="0"/>
          <w:color w:val="auto"/>
          <w:sz w:val="24"/>
          <w:szCs w:val="24"/>
          <w:highlight w:val="none"/>
          <w:lang w:eastAsia="zh-CN"/>
        </w:rPr>
        <w:t>。</w:t>
      </w:r>
    </w:p>
    <w:p w14:paraId="0B39C762">
      <w:pPr>
        <w:pStyle w:val="10"/>
        <w:numPr>
          <w:ilvl w:val="0"/>
          <w:numId w:val="12"/>
        </w:numPr>
        <w:spacing w:line="360" w:lineRule="auto"/>
        <w:ind w:left="0"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本次合同价款分工程量清单价款和清单外费率两部分。已充分考虑目前图纸虽未设计，但施工过程中补充、完善和变更施工内容以及工艺设备的水、电、气等公用管线的连接。</w:t>
      </w:r>
    </w:p>
    <w:p w14:paraId="568644C5">
      <w:pPr>
        <w:pStyle w:val="10"/>
        <w:numPr>
          <w:ilvl w:val="0"/>
          <w:numId w:val="12"/>
        </w:numPr>
        <w:spacing w:line="360" w:lineRule="auto"/>
        <w:ind w:left="0"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本工程的工伤保险由承包人按项目属地政府相关规定缴纳。</w:t>
      </w:r>
    </w:p>
    <w:p w14:paraId="62DD0333">
      <w:pPr>
        <w:pStyle w:val="10"/>
        <w:numPr>
          <w:ilvl w:val="0"/>
          <w:numId w:val="12"/>
        </w:numPr>
        <w:spacing w:line="360" w:lineRule="auto"/>
        <w:ind w:left="0"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计日工</w:t>
      </w:r>
      <w:r>
        <w:rPr>
          <w:rFonts w:hint="eastAsia" w:ascii="仿宋" w:hAnsi="仿宋" w:eastAsia="仿宋" w:cs="仿宋"/>
          <w:i w:val="0"/>
          <w:iCs w:val="0"/>
          <w:color w:val="auto"/>
          <w:sz w:val="24"/>
          <w:szCs w:val="24"/>
          <w:highlight w:val="none"/>
          <w:u w:val="single"/>
          <w:lang w:val="en-US" w:eastAsia="zh-CN"/>
        </w:rPr>
        <w:t xml:space="preserve">  220  </w:t>
      </w:r>
      <w:r>
        <w:rPr>
          <w:rFonts w:hint="eastAsia" w:ascii="仿宋" w:hAnsi="仿宋" w:eastAsia="仿宋" w:cs="仿宋"/>
          <w:i w:val="0"/>
          <w:iCs w:val="0"/>
          <w:color w:val="auto"/>
          <w:sz w:val="24"/>
          <w:szCs w:val="24"/>
          <w:highlight w:val="none"/>
        </w:rPr>
        <w:t>元/工日（全费用）。</w:t>
      </w:r>
    </w:p>
    <w:p w14:paraId="4049256F">
      <w:pPr>
        <w:pStyle w:val="10"/>
        <w:numPr>
          <w:ilvl w:val="0"/>
          <w:numId w:val="12"/>
        </w:numPr>
        <w:spacing w:line="360" w:lineRule="auto"/>
        <w:ind w:left="0"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除合同另有约定外，未经对方当事人书面同意，一方当事人不得将合同权利全部或部分转让给第三人，也不得将合同义务全部或部分转移给第三人。</w:t>
      </w:r>
    </w:p>
    <w:p w14:paraId="4062258D">
      <w:pPr>
        <w:pStyle w:val="10"/>
        <w:numPr>
          <w:ilvl w:val="0"/>
          <w:numId w:val="12"/>
        </w:numPr>
        <w:spacing w:line="360" w:lineRule="auto"/>
        <w:ind w:left="0"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本合同《专用合同条款》与《通用合同条款》有冲突的，执行《专用合同条款》；《专用合同条款》没有规定的，执行《通用合同条款》的规定。</w:t>
      </w:r>
    </w:p>
    <w:p w14:paraId="49374E33">
      <w:pPr>
        <w:pStyle w:val="6"/>
        <w:adjustRightInd w:val="0"/>
        <w:snapToGrid w:val="0"/>
        <w:spacing w:before="120" w:after="120" w:line="52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十一、合同生效</w:t>
      </w:r>
    </w:p>
    <w:p w14:paraId="653805B6">
      <w:pPr>
        <w:adjustRightInd w:val="0"/>
        <w:snapToGrid w:val="0"/>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11.1本合同签订地点：_</w:t>
      </w:r>
      <w:r>
        <w:rPr>
          <w:rFonts w:hint="eastAsia" w:ascii="仿宋" w:hAnsi="仿宋" w:eastAsia="仿宋" w:cs="仿宋"/>
          <w:bCs/>
          <w:i/>
          <w:iCs/>
          <w:color w:val="auto"/>
          <w:sz w:val="24"/>
          <w:highlight w:val="none"/>
          <w:u w:val="single"/>
        </w:rPr>
        <w:t>山东省济南市</w:t>
      </w:r>
      <w:r>
        <w:rPr>
          <w:rFonts w:ascii="仿宋" w:hAnsi="仿宋" w:eastAsia="仿宋" w:cs="仿宋"/>
          <w:bCs/>
          <w:color w:val="auto"/>
          <w:sz w:val="24"/>
          <w:highlight w:val="none"/>
        </w:rPr>
        <w:t>_</w:t>
      </w:r>
      <w:r>
        <w:rPr>
          <w:rFonts w:hint="eastAsia" w:ascii="仿宋" w:hAnsi="仿宋" w:eastAsia="仿宋" w:cs="仿宋"/>
          <w:bCs/>
          <w:color w:val="auto"/>
          <w:sz w:val="24"/>
          <w:highlight w:val="none"/>
        </w:rPr>
        <w:t>。</w:t>
      </w:r>
    </w:p>
    <w:p w14:paraId="4E364FF0">
      <w:pPr>
        <w:adjustRightInd w:val="0"/>
        <w:snapToGrid w:val="0"/>
        <w:spacing w:line="360" w:lineRule="auto"/>
        <w:ind w:firstLine="480" w:firstLineChars="200"/>
        <w:rPr>
          <w:rFonts w:ascii="仿宋" w:hAnsi="仿宋" w:eastAsia="仿宋" w:cs="仿宋"/>
          <w:bCs/>
          <w:color w:val="auto"/>
          <w:sz w:val="24"/>
          <w:highlight w:val="none"/>
          <w:u w:val="single"/>
        </w:rPr>
      </w:pPr>
      <w:r>
        <w:rPr>
          <w:rFonts w:hint="eastAsia" w:ascii="仿宋" w:hAnsi="仿宋" w:eastAsia="仿宋" w:cs="仿宋"/>
          <w:bCs/>
          <w:color w:val="auto"/>
          <w:sz w:val="24"/>
          <w:highlight w:val="none"/>
        </w:rPr>
        <w:t>11.2本合同一式</w:t>
      </w:r>
      <w:r>
        <w:rPr>
          <w:rFonts w:hint="eastAsia" w:ascii="仿宋" w:hAnsi="仿宋" w:eastAsia="仿宋" w:cs="仿宋"/>
          <w:bCs/>
          <w:color w:val="auto"/>
          <w:sz w:val="24"/>
          <w:highlight w:val="none"/>
          <w:u w:val="single"/>
        </w:rPr>
        <w:t xml:space="preserve"> </w:t>
      </w:r>
      <w:r>
        <w:rPr>
          <w:rFonts w:hint="eastAsia" w:ascii="仿宋" w:hAnsi="仿宋" w:eastAsia="仿宋" w:cs="仿宋"/>
          <w:bCs/>
          <w:i/>
          <w:iCs/>
          <w:color w:val="auto"/>
          <w:sz w:val="24"/>
          <w:highlight w:val="none"/>
          <w:u w:val="single"/>
        </w:rPr>
        <w:t xml:space="preserve">陆 </w:t>
      </w:r>
      <w:r>
        <w:rPr>
          <w:rFonts w:hint="eastAsia" w:ascii="仿宋" w:hAnsi="仿宋" w:eastAsia="仿宋" w:cs="仿宋"/>
          <w:bCs/>
          <w:color w:val="auto"/>
          <w:sz w:val="24"/>
          <w:highlight w:val="none"/>
        </w:rPr>
        <w:t>份，均具有同等法律效力，发包人</w:t>
      </w:r>
      <w:r>
        <w:rPr>
          <w:rFonts w:hint="eastAsia" w:ascii="仿宋" w:hAnsi="仿宋" w:eastAsia="仿宋" w:cs="仿宋"/>
          <w:bCs/>
          <w:i/>
          <w:iCs/>
          <w:color w:val="auto"/>
          <w:sz w:val="24"/>
          <w:highlight w:val="none"/>
          <w:u w:val="single"/>
        </w:rPr>
        <w:t xml:space="preserve"> 肆 </w:t>
      </w:r>
      <w:r>
        <w:rPr>
          <w:rFonts w:hint="eastAsia" w:ascii="仿宋" w:hAnsi="仿宋" w:eastAsia="仿宋" w:cs="仿宋"/>
          <w:bCs/>
          <w:color w:val="auto"/>
          <w:sz w:val="24"/>
          <w:highlight w:val="none"/>
        </w:rPr>
        <w:t>份，承包人</w:t>
      </w:r>
      <w:r>
        <w:rPr>
          <w:rFonts w:hint="eastAsia" w:ascii="仿宋" w:hAnsi="仿宋" w:eastAsia="仿宋" w:cs="仿宋"/>
          <w:bCs/>
          <w:color w:val="auto"/>
          <w:sz w:val="24"/>
          <w:highlight w:val="none"/>
          <w:u w:val="single"/>
        </w:rPr>
        <w:t xml:space="preserve"> </w:t>
      </w:r>
      <w:r>
        <w:rPr>
          <w:rFonts w:hint="eastAsia" w:ascii="仿宋" w:hAnsi="仿宋" w:eastAsia="仿宋" w:cs="仿宋"/>
          <w:bCs/>
          <w:i/>
          <w:iCs/>
          <w:color w:val="auto"/>
          <w:sz w:val="24"/>
          <w:highlight w:val="none"/>
          <w:u w:val="single"/>
        </w:rPr>
        <w:t xml:space="preserve">贰 </w:t>
      </w:r>
      <w:r>
        <w:rPr>
          <w:rFonts w:hint="eastAsia" w:ascii="仿宋" w:hAnsi="仿宋" w:eastAsia="仿宋" w:cs="仿宋"/>
          <w:bCs/>
          <w:color w:val="auto"/>
          <w:sz w:val="24"/>
          <w:highlight w:val="none"/>
        </w:rPr>
        <w:t>份。</w:t>
      </w:r>
    </w:p>
    <w:p w14:paraId="738603F1">
      <w:pPr>
        <w:adjustRightInd w:val="0"/>
        <w:snapToGrid w:val="0"/>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11.3本合同自</w:t>
      </w:r>
      <w:r>
        <w:rPr>
          <w:rFonts w:ascii="仿宋" w:hAnsi="仿宋" w:eastAsia="仿宋" w:cs="仿宋"/>
          <w:bCs/>
          <w:color w:val="auto"/>
          <w:sz w:val="24"/>
          <w:highlight w:val="none"/>
        </w:rPr>
        <w:t>双方授权代表签署并加盖公章</w:t>
      </w:r>
      <w:r>
        <w:rPr>
          <w:rFonts w:hint="eastAsia" w:ascii="仿宋" w:hAnsi="仿宋" w:eastAsia="仿宋" w:cs="仿宋"/>
          <w:bCs/>
          <w:color w:val="auto"/>
          <w:sz w:val="24"/>
          <w:highlight w:val="none"/>
        </w:rPr>
        <w:t>或者合同专用章之日起生效。合同附件作为合同不可分割的一部分，具有同等法律效力。</w:t>
      </w:r>
    </w:p>
    <w:p w14:paraId="75A07CA2">
      <w:pPr>
        <w:pStyle w:val="70"/>
        <w:snapToGrid w:val="0"/>
        <w:spacing w:before="0" w:after="0" w:line="240" w:lineRule="auto"/>
        <w:ind w:left="0" w:right="0" w:firstLine="442" w:firstLineChars="200"/>
        <w:jc w:val="both"/>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hint="eastAsia" w:ascii="仿宋" w:hAnsi="仿宋" w:eastAsia="仿宋" w:cs="仿宋"/>
          <w:b/>
          <w:bCs/>
          <w:color w:val="auto"/>
          <w:sz w:val="22"/>
          <w:szCs w:val="22"/>
          <w:highlight w:val="none"/>
        </w:rPr>
        <w:br w:type="textWrapping"/>
      </w:r>
      <w:r>
        <w:rPr>
          <w:rFonts w:hint="eastAsia" w:ascii="仿宋" w:hAnsi="仿宋" w:eastAsia="仿宋" w:cs="仿宋"/>
          <w:b/>
          <w:bCs/>
          <w:color w:val="auto"/>
          <w:sz w:val="22"/>
          <w:szCs w:val="22"/>
          <w:highlight w:val="none"/>
        </w:rPr>
        <w:t xml:space="preserve">  </w:t>
      </w:r>
      <w:r>
        <w:rPr>
          <w:rFonts w:ascii="仿宋" w:hAnsi="仿宋" w:eastAsia="仿宋" w:cs="仿宋"/>
          <w:b/>
          <w:bCs/>
          <w:color w:val="auto"/>
          <w:sz w:val="22"/>
          <w:szCs w:val="22"/>
          <w:highlight w:val="none"/>
        </w:rPr>
        <w:t xml:space="preserve">  </w:t>
      </w:r>
      <w:r>
        <w:rPr>
          <w:rFonts w:hint="eastAsia" w:ascii="仿宋" w:hAnsi="仿宋" w:eastAsia="仿宋" w:cs="仿宋"/>
          <w:b/>
          <w:bCs/>
          <w:color w:val="auto"/>
          <w:sz w:val="22"/>
          <w:szCs w:val="22"/>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tbl>
      <w:tblPr>
        <w:tblStyle w:val="26"/>
        <w:tblW w:w="9288" w:type="dxa"/>
        <w:tblInd w:w="0" w:type="dxa"/>
        <w:tblLayout w:type="fixed"/>
        <w:tblCellMar>
          <w:top w:w="0" w:type="dxa"/>
          <w:left w:w="108" w:type="dxa"/>
          <w:bottom w:w="0" w:type="dxa"/>
          <w:right w:w="108" w:type="dxa"/>
        </w:tblCellMar>
      </w:tblPr>
      <w:tblGrid>
        <w:gridCol w:w="1682"/>
        <w:gridCol w:w="2962"/>
        <w:gridCol w:w="1658"/>
        <w:gridCol w:w="2986"/>
      </w:tblGrid>
      <w:tr w14:paraId="7879C0C0">
        <w:tblPrEx>
          <w:tblCellMar>
            <w:top w:w="0" w:type="dxa"/>
            <w:left w:w="108" w:type="dxa"/>
            <w:bottom w:w="0" w:type="dxa"/>
            <w:right w:w="108" w:type="dxa"/>
          </w:tblCellMar>
        </w:tblPrEx>
        <w:trPr>
          <w:trHeight w:val="907" w:hRule="atLeast"/>
        </w:trPr>
        <w:tc>
          <w:tcPr>
            <w:tcW w:w="4644" w:type="dxa"/>
            <w:gridSpan w:val="2"/>
            <w:noWrap w:val="0"/>
            <w:vAlign w:val="top"/>
          </w:tcPr>
          <w:p w14:paraId="09381D76">
            <w:pPr>
              <w:spacing w:line="360" w:lineRule="auto"/>
              <w:rPr>
                <w:rFonts w:ascii="仿宋" w:hAnsi="仿宋" w:eastAsia="仿宋" w:cs="仿宋"/>
                <w:color w:val="auto"/>
                <w:sz w:val="22"/>
                <w:highlight w:val="none"/>
              </w:rPr>
            </w:pPr>
            <w:r>
              <w:rPr>
                <w:rFonts w:hint="eastAsia" w:ascii="仿宋" w:hAnsi="仿宋" w:eastAsia="仿宋" w:cs="仿宋"/>
                <w:color w:val="auto"/>
                <w:sz w:val="22"/>
                <w:highlight w:val="none"/>
              </w:rPr>
              <w:t>发包人：  (盖章)</w:t>
            </w:r>
          </w:p>
          <w:p w14:paraId="58C4754E">
            <w:pPr>
              <w:spacing w:line="360" w:lineRule="auto"/>
              <w:rPr>
                <w:rFonts w:hint="eastAsia" w:ascii="仿宋" w:hAnsi="仿宋" w:eastAsia="仿宋" w:cs="仿宋"/>
                <w:color w:val="auto"/>
                <w:sz w:val="22"/>
                <w:highlight w:val="none"/>
                <w:lang w:eastAsia="zh-CN"/>
              </w:rPr>
            </w:pPr>
            <w:r>
              <w:rPr>
                <w:rFonts w:hint="eastAsia" w:ascii="仿宋" w:hAnsi="仿宋" w:eastAsia="仿宋" w:cs="仿宋"/>
                <w:color w:val="auto"/>
                <w:sz w:val="22"/>
                <w:highlight w:val="none"/>
              </w:rPr>
              <w:t xml:space="preserve"> </w:t>
            </w:r>
            <w:r>
              <w:rPr>
                <w:rFonts w:hint="eastAsia" w:ascii="仿宋" w:hAnsi="仿宋" w:eastAsia="仿宋" w:cs="仿宋"/>
                <w:color w:val="auto"/>
                <w:sz w:val="22"/>
                <w:highlight w:val="none"/>
                <w:lang w:eastAsia="zh-CN"/>
              </w:rPr>
              <w:t>中国重汽集团济南动力有限公司</w:t>
            </w:r>
          </w:p>
        </w:tc>
        <w:tc>
          <w:tcPr>
            <w:tcW w:w="4644" w:type="dxa"/>
            <w:gridSpan w:val="2"/>
            <w:noWrap w:val="0"/>
            <w:vAlign w:val="top"/>
          </w:tcPr>
          <w:p w14:paraId="276F4DDA">
            <w:pPr>
              <w:spacing w:line="360" w:lineRule="auto"/>
              <w:jc w:val="both"/>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承包人：  (盖章)</w:t>
            </w:r>
          </w:p>
          <w:p w14:paraId="7A1E4A8D">
            <w:pPr>
              <w:spacing w:line="360" w:lineRule="auto"/>
              <w:jc w:val="both"/>
              <w:rPr>
                <w:rFonts w:hint="default" w:ascii="仿宋" w:hAnsi="仿宋" w:eastAsia="仿宋" w:cs="仿宋"/>
                <w:bCs/>
                <w:color w:val="auto"/>
                <w:sz w:val="22"/>
                <w:szCs w:val="22"/>
                <w:highlight w:val="none"/>
                <w:lang w:val="en-US" w:eastAsia="zh-CN"/>
              </w:rPr>
            </w:pPr>
            <w:r>
              <w:rPr>
                <w:rFonts w:hint="eastAsia" w:ascii="仿宋" w:hAnsi="仿宋" w:eastAsia="仿宋" w:cs="仿宋"/>
                <w:bCs/>
                <w:color w:val="auto"/>
                <w:sz w:val="22"/>
                <w:szCs w:val="22"/>
                <w:highlight w:val="none"/>
                <w:lang w:val="en-US" w:eastAsia="zh-CN"/>
              </w:rPr>
              <w:t>本次中标单位</w:t>
            </w:r>
          </w:p>
        </w:tc>
      </w:tr>
      <w:tr w14:paraId="47320571">
        <w:tblPrEx>
          <w:tblCellMar>
            <w:top w:w="0" w:type="dxa"/>
            <w:left w:w="108" w:type="dxa"/>
            <w:bottom w:w="0" w:type="dxa"/>
            <w:right w:w="108" w:type="dxa"/>
          </w:tblCellMar>
        </w:tblPrEx>
        <w:tc>
          <w:tcPr>
            <w:tcW w:w="4644" w:type="dxa"/>
            <w:gridSpan w:val="2"/>
            <w:noWrap w:val="0"/>
            <w:vAlign w:val="top"/>
          </w:tcPr>
          <w:p w14:paraId="4FD4CDE8">
            <w:pPr>
              <w:spacing w:line="360" w:lineRule="auto"/>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法定代表人或其委托代理人：</w:t>
            </w:r>
          </w:p>
          <w:p w14:paraId="6FBA227C">
            <w:pPr>
              <w:spacing w:line="360" w:lineRule="auto"/>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（签字）   </w:t>
            </w:r>
          </w:p>
        </w:tc>
        <w:tc>
          <w:tcPr>
            <w:tcW w:w="4644" w:type="dxa"/>
            <w:gridSpan w:val="2"/>
            <w:noWrap w:val="0"/>
            <w:vAlign w:val="top"/>
          </w:tcPr>
          <w:p w14:paraId="71EEC959">
            <w:pPr>
              <w:spacing w:line="360" w:lineRule="auto"/>
              <w:jc w:val="both"/>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法定代表人或其委托代理人：</w:t>
            </w:r>
          </w:p>
          <w:p w14:paraId="0532B32E">
            <w:pPr>
              <w:spacing w:line="360" w:lineRule="auto"/>
              <w:jc w:val="both"/>
              <w:rPr>
                <w:rFonts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 xml:space="preserve">（签字）   </w:t>
            </w:r>
          </w:p>
        </w:tc>
      </w:tr>
      <w:tr w14:paraId="702AA785">
        <w:tblPrEx>
          <w:tblCellMar>
            <w:top w:w="0" w:type="dxa"/>
            <w:left w:w="108" w:type="dxa"/>
            <w:bottom w:w="0" w:type="dxa"/>
            <w:right w:w="108" w:type="dxa"/>
          </w:tblCellMar>
        </w:tblPrEx>
        <w:tc>
          <w:tcPr>
            <w:tcW w:w="1682" w:type="dxa"/>
            <w:noWrap w:val="0"/>
            <w:vAlign w:val="top"/>
          </w:tcPr>
          <w:p w14:paraId="0ADBB11F">
            <w:pPr>
              <w:spacing w:line="360" w:lineRule="auto"/>
              <w:jc w:val="both"/>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组织机构代码：</w:t>
            </w:r>
          </w:p>
        </w:tc>
        <w:tc>
          <w:tcPr>
            <w:tcW w:w="2962" w:type="dxa"/>
            <w:noWrap w:val="0"/>
            <w:vAlign w:val="top"/>
          </w:tcPr>
          <w:p w14:paraId="6DA82C1C">
            <w:pPr>
              <w:spacing w:line="360" w:lineRule="auto"/>
              <w:jc w:val="both"/>
              <w:rPr>
                <w:rFonts w:hint="eastAsia" w:ascii="仿宋" w:hAnsi="仿宋" w:eastAsia="仿宋" w:cs="仿宋"/>
                <w:color w:val="auto"/>
                <w:sz w:val="22"/>
                <w:szCs w:val="22"/>
                <w:highlight w:val="none"/>
                <w:u w:val="single"/>
              </w:rPr>
            </w:pPr>
          </w:p>
        </w:tc>
        <w:tc>
          <w:tcPr>
            <w:tcW w:w="1658" w:type="dxa"/>
            <w:noWrap w:val="0"/>
            <w:vAlign w:val="top"/>
          </w:tcPr>
          <w:p w14:paraId="5C5F5AB5">
            <w:pPr>
              <w:spacing w:line="360" w:lineRule="auto"/>
              <w:jc w:val="both"/>
              <w:rPr>
                <w:rFonts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组织机构代码：</w:t>
            </w:r>
          </w:p>
        </w:tc>
        <w:tc>
          <w:tcPr>
            <w:tcW w:w="2986" w:type="dxa"/>
            <w:noWrap w:val="0"/>
            <w:vAlign w:val="center"/>
          </w:tcPr>
          <w:p w14:paraId="1302CBC1">
            <w:pPr>
              <w:spacing w:line="360" w:lineRule="auto"/>
              <w:jc w:val="both"/>
              <w:rPr>
                <w:rFonts w:ascii="仿宋" w:hAnsi="仿宋" w:eastAsia="仿宋" w:cs="仿宋"/>
                <w:bCs/>
                <w:color w:val="auto"/>
                <w:sz w:val="22"/>
                <w:szCs w:val="22"/>
                <w:highlight w:val="none"/>
              </w:rPr>
            </w:pPr>
          </w:p>
        </w:tc>
      </w:tr>
      <w:tr w14:paraId="32565EA3">
        <w:tblPrEx>
          <w:tblCellMar>
            <w:top w:w="0" w:type="dxa"/>
            <w:left w:w="108" w:type="dxa"/>
            <w:bottom w:w="0" w:type="dxa"/>
            <w:right w:w="108" w:type="dxa"/>
          </w:tblCellMar>
        </w:tblPrEx>
        <w:tc>
          <w:tcPr>
            <w:tcW w:w="1682" w:type="dxa"/>
            <w:noWrap w:val="0"/>
            <w:vAlign w:val="top"/>
          </w:tcPr>
          <w:p w14:paraId="1E231A3A">
            <w:pPr>
              <w:spacing w:line="360" w:lineRule="auto"/>
              <w:jc w:val="both"/>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地        址：</w:t>
            </w:r>
          </w:p>
        </w:tc>
        <w:tc>
          <w:tcPr>
            <w:tcW w:w="2962" w:type="dxa"/>
            <w:noWrap w:val="0"/>
            <w:vAlign w:val="top"/>
          </w:tcPr>
          <w:p w14:paraId="3E777AF3">
            <w:pPr>
              <w:spacing w:line="360" w:lineRule="auto"/>
              <w:jc w:val="both"/>
              <w:rPr>
                <w:rFonts w:hint="eastAsia" w:ascii="仿宋" w:hAnsi="仿宋" w:eastAsia="仿宋" w:cs="仿宋"/>
                <w:color w:val="auto"/>
                <w:sz w:val="22"/>
                <w:szCs w:val="22"/>
                <w:highlight w:val="none"/>
                <w:u w:val="single"/>
              </w:rPr>
            </w:pPr>
          </w:p>
        </w:tc>
        <w:tc>
          <w:tcPr>
            <w:tcW w:w="1658" w:type="dxa"/>
            <w:noWrap w:val="0"/>
            <w:vAlign w:val="top"/>
          </w:tcPr>
          <w:p w14:paraId="0A863936">
            <w:pPr>
              <w:spacing w:line="360" w:lineRule="auto"/>
              <w:jc w:val="both"/>
              <w:rPr>
                <w:rFonts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地        址：</w:t>
            </w:r>
          </w:p>
        </w:tc>
        <w:tc>
          <w:tcPr>
            <w:tcW w:w="2986" w:type="dxa"/>
            <w:noWrap w:val="0"/>
            <w:vAlign w:val="top"/>
          </w:tcPr>
          <w:p w14:paraId="39DED817">
            <w:pPr>
              <w:spacing w:line="360" w:lineRule="auto"/>
              <w:jc w:val="both"/>
              <w:rPr>
                <w:rFonts w:ascii="仿宋" w:hAnsi="仿宋" w:eastAsia="仿宋" w:cs="仿宋"/>
                <w:bCs/>
                <w:color w:val="auto"/>
                <w:sz w:val="22"/>
                <w:szCs w:val="22"/>
                <w:highlight w:val="none"/>
              </w:rPr>
            </w:pPr>
          </w:p>
        </w:tc>
      </w:tr>
      <w:tr w14:paraId="4D48ABD0">
        <w:tblPrEx>
          <w:tblCellMar>
            <w:top w:w="0" w:type="dxa"/>
            <w:left w:w="108" w:type="dxa"/>
            <w:bottom w:w="0" w:type="dxa"/>
            <w:right w:w="108" w:type="dxa"/>
          </w:tblCellMar>
        </w:tblPrEx>
        <w:tc>
          <w:tcPr>
            <w:tcW w:w="1682" w:type="dxa"/>
            <w:noWrap w:val="0"/>
            <w:vAlign w:val="top"/>
          </w:tcPr>
          <w:p w14:paraId="7C9F75DD">
            <w:pPr>
              <w:spacing w:line="360" w:lineRule="auto"/>
              <w:jc w:val="both"/>
              <w:rPr>
                <w:rFonts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电       话：</w:t>
            </w:r>
          </w:p>
        </w:tc>
        <w:tc>
          <w:tcPr>
            <w:tcW w:w="2962" w:type="dxa"/>
            <w:noWrap w:val="0"/>
            <w:vAlign w:val="top"/>
          </w:tcPr>
          <w:p w14:paraId="188C51E2">
            <w:pPr>
              <w:spacing w:line="360" w:lineRule="auto"/>
              <w:jc w:val="both"/>
              <w:rPr>
                <w:rFonts w:hint="eastAsia" w:ascii="仿宋" w:hAnsi="仿宋" w:eastAsia="仿宋" w:cs="仿宋"/>
                <w:color w:val="auto"/>
                <w:sz w:val="22"/>
                <w:szCs w:val="22"/>
                <w:highlight w:val="none"/>
                <w:u w:val="single"/>
              </w:rPr>
            </w:pPr>
          </w:p>
        </w:tc>
        <w:tc>
          <w:tcPr>
            <w:tcW w:w="1658" w:type="dxa"/>
            <w:noWrap w:val="0"/>
            <w:vAlign w:val="top"/>
          </w:tcPr>
          <w:p w14:paraId="198F40F5">
            <w:pPr>
              <w:spacing w:line="360" w:lineRule="auto"/>
              <w:jc w:val="both"/>
              <w:rPr>
                <w:rFonts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电       话：</w:t>
            </w:r>
          </w:p>
        </w:tc>
        <w:tc>
          <w:tcPr>
            <w:tcW w:w="2986" w:type="dxa"/>
            <w:noWrap w:val="0"/>
            <w:vAlign w:val="top"/>
          </w:tcPr>
          <w:p w14:paraId="0BB67348">
            <w:pPr>
              <w:spacing w:line="360" w:lineRule="auto"/>
              <w:jc w:val="both"/>
              <w:rPr>
                <w:rFonts w:ascii="仿宋" w:hAnsi="仿宋" w:eastAsia="仿宋" w:cs="仿宋"/>
                <w:bCs/>
                <w:color w:val="auto"/>
                <w:sz w:val="22"/>
                <w:szCs w:val="22"/>
                <w:highlight w:val="none"/>
              </w:rPr>
            </w:pPr>
          </w:p>
        </w:tc>
      </w:tr>
      <w:tr w14:paraId="070AC14E">
        <w:tblPrEx>
          <w:tblCellMar>
            <w:top w:w="0" w:type="dxa"/>
            <w:left w:w="108" w:type="dxa"/>
            <w:bottom w:w="0" w:type="dxa"/>
            <w:right w:w="108" w:type="dxa"/>
          </w:tblCellMar>
        </w:tblPrEx>
        <w:tc>
          <w:tcPr>
            <w:tcW w:w="1682" w:type="dxa"/>
            <w:noWrap w:val="0"/>
            <w:vAlign w:val="top"/>
          </w:tcPr>
          <w:p w14:paraId="19E0F8D2">
            <w:pPr>
              <w:spacing w:line="360" w:lineRule="auto"/>
              <w:jc w:val="both"/>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开 户 银 行：</w:t>
            </w:r>
          </w:p>
        </w:tc>
        <w:tc>
          <w:tcPr>
            <w:tcW w:w="2962" w:type="dxa"/>
            <w:noWrap w:val="0"/>
            <w:vAlign w:val="top"/>
          </w:tcPr>
          <w:p w14:paraId="3254476E">
            <w:pPr>
              <w:spacing w:line="360" w:lineRule="auto"/>
              <w:jc w:val="both"/>
              <w:rPr>
                <w:rFonts w:hint="eastAsia" w:ascii="仿宋" w:hAnsi="仿宋" w:eastAsia="仿宋" w:cs="仿宋"/>
                <w:color w:val="auto"/>
                <w:sz w:val="22"/>
                <w:szCs w:val="22"/>
                <w:highlight w:val="none"/>
                <w:u w:val="single"/>
              </w:rPr>
            </w:pPr>
          </w:p>
        </w:tc>
        <w:tc>
          <w:tcPr>
            <w:tcW w:w="1658" w:type="dxa"/>
            <w:noWrap w:val="0"/>
            <w:vAlign w:val="top"/>
          </w:tcPr>
          <w:p w14:paraId="21D68B44">
            <w:pPr>
              <w:spacing w:line="360" w:lineRule="auto"/>
              <w:jc w:val="both"/>
              <w:rPr>
                <w:rFonts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开 户 银 行：</w:t>
            </w:r>
          </w:p>
        </w:tc>
        <w:tc>
          <w:tcPr>
            <w:tcW w:w="2986" w:type="dxa"/>
            <w:noWrap w:val="0"/>
            <w:vAlign w:val="top"/>
          </w:tcPr>
          <w:p w14:paraId="2DF83BB5">
            <w:pPr>
              <w:spacing w:line="360" w:lineRule="auto"/>
              <w:jc w:val="both"/>
              <w:rPr>
                <w:rFonts w:ascii="仿宋" w:hAnsi="仿宋" w:eastAsia="仿宋" w:cs="仿宋"/>
                <w:bCs/>
                <w:color w:val="auto"/>
                <w:sz w:val="22"/>
                <w:szCs w:val="22"/>
                <w:highlight w:val="none"/>
              </w:rPr>
            </w:pPr>
          </w:p>
        </w:tc>
      </w:tr>
      <w:tr w14:paraId="2FE55185">
        <w:tblPrEx>
          <w:tblCellMar>
            <w:top w:w="0" w:type="dxa"/>
            <w:left w:w="108" w:type="dxa"/>
            <w:bottom w:w="0" w:type="dxa"/>
            <w:right w:w="108" w:type="dxa"/>
          </w:tblCellMar>
        </w:tblPrEx>
        <w:trPr>
          <w:trHeight w:val="209" w:hRule="atLeast"/>
        </w:trPr>
        <w:tc>
          <w:tcPr>
            <w:tcW w:w="1682" w:type="dxa"/>
            <w:noWrap w:val="0"/>
            <w:vAlign w:val="top"/>
          </w:tcPr>
          <w:p w14:paraId="04CDE301">
            <w:pPr>
              <w:spacing w:line="360" w:lineRule="auto"/>
              <w:jc w:val="both"/>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账       号：</w:t>
            </w:r>
          </w:p>
        </w:tc>
        <w:tc>
          <w:tcPr>
            <w:tcW w:w="2962" w:type="dxa"/>
            <w:noWrap w:val="0"/>
            <w:vAlign w:val="top"/>
          </w:tcPr>
          <w:p w14:paraId="53762A09">
            <w:pPr>
              <w:spacing w:line="360" w:lineRule="auto"/>
              <w:jc w:val="both"/>
              <w:rPr>
                <w:rFonts w:hint="eastAsia" w:ascii="仿宋" w:hAnsi="仿宋" w:eastAsia="仿宋" w:cs="仿宋"/>
                <w:color w:val="auto"/>
                <w:sz w:val="22"/>
                <w:szCs w:val="22"/>
                <w:highlight w:val="none"/>
                <w:u w:val="single"/>
              </w:rPr>
            </w:pPr>
          </w:p>
        </w:tc>
        <w:tc>
          <w:tcPr>
            <w:tcW w:w="1658" w:type="dxa"/>
            <w:noWrap w:val="0"/>
            <w:vAlign w:val="top"/>
          </w:tcPr>
          <w:p w14:paraId="34C30E39">
            <w:pPr>
              <w:spacing w:line="360" w:lineRule="auto"/>
              <w:jc w:val="both"/>
              <w:rPr>
                <w:rFonts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账       号：</w:t>
            </w:r>
          </w:p>
        </w:tc>
        <w:tc>
          <w:tcPr>
            <w:tcW w:w="2986" w:type="dxa"/>
            <w:noWrap w:val="0"/>
            <w:vAlign w:val="top"/>
          </w:tcPr>
          <w:p w14:paraId="554C93FF">
            <w:pPr>
              <w:spacing w:line="360" w:lineRule="auto"/>
              <w:jc w:val="both"/>
              <w:rPr>
                <w:rFonts w:ascii="仿宋" w:hAnsi="仿宋" w:eastAsia="仿宋" w:cs="仿宋"/>
                <w:bCs/>
                <w:color w:val="auto"/>
                <w:sz w:val="22"/>
                <w:szCs w:val="22"/>
                <w:highlight w:val="none"/>
              </w:rPr>
            </w:pPr>
          </w:p>
        </w:tc>
      </w:tr>
    </w:tbl>
    <w:p w14:paraId="318FE8AA">
      <w:pP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0F2550ED">
      <w:pPr>
        <w:rPr>
          <w:rFonts w:ascii="仿宋" w:hAnsi="仿宋" w:eastAsia="仿宋" w:cs="仿宋"/>
          <w:color w:val="auto"/>
          <w:sz w:val="24"/>
          <w:highlight w:val="none"/>
        </w:rPr>
      </w:pPr>
      <w:r>
        <w:rPr>
          <w:rFonts w:hint="eastAsia" w:ascii="仿宋" w:hAnsi="仿宋" w:eastAsia="仿宋" w:cs="仿宋"/>
          <w:color w:val="auto"/>
          <w:sz w:val="24"/>
          <w:highlight w:val="none"/>
        </w:rPr>
        <w:t>附件1：</w:t>
      </w:r>
    </w:p>
    <w:p w14:paraId="2DEBB247">
      <w:pPr>
        <w:spacing w:before="156" w:beforeLines="50" w:after="156" w:afterLines="50" w:line="440" w:lineRule="exact"/>
        <w:ind w:firstLine="562"/>
        <w:jc w:val="center"/>
        <w:rPr>
          <w:rFonts w:ascii="黑体" w:hAnsi="黑体" w:eastAsia="黑体" w:cs="仿宋"/>
          <w:color w:val="auto"/>
          <w:sz w:val="28"/>
          <w:szCs w:val="28"/>
          <w:highlight w:val="none"/>
        </w:rPr>
      </w:pPr>
      <w:r>
        <w:rPr>
          <w:rFonts w:hint="eastAsia" w:ascii="黑体" w:hAnsi="黑体" w:eastAsia="黑体" w:cs="仿宋"/>
          <w:color w:val="auto"/>
          <w:sz w:val="28"/>
          <w:szCs w:val="28"/>
          <w:highlight w:val="none"/>
        </w:rPr>
        <w:t>工程质量保修书</w:t>
      </w:r>
    </w:p>
    <w:p w14:paraId="58BC2A67">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中国重汽集团济南动力有限公司</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2CF398BA">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本次中标单位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1998BA5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发包人和承包人根据《中华人民共和国建筑法》和《建设工程质量管理条例》，经协商一致就（</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工程全称）签订工程质量保修书。</w:t>
      </w:r>
    </w:p>
    <w:p w14:paraId="4E6350B7">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一、工程质量保修范围和内容</w:t>
      </w:r>
    </w:p>
    <w:p w14:paraId="2941ACD0">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承包人在质量保修期内，按照有关法律规定和合同约定，承担工程质量保修责任。</w:t>
      </w:r>
    </w:p>
    <w:p w14:paraId="39B4F46D">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color w:val="auto"/>
          <w:sz w:val="24"/>
          <w:szCs w:val="24"/>
          <w:u w:val="single"/>
        </w:rPr>
        <w:t xml:space="preserve"> 承包人承包范围以内的全部工程内容。若施工合同中有其它保修约定的按约定执行 </w:t>
      </w:r>
      <w:r>
        <w:rPr>
          <w:rFonts w:hint="eastAsia" w:ascii="仿宋" w:hAnsi="仿宋" w:eastAsia="仿宋" w:cs="仿宋"/>
          <w:color w:val="auto"/>
          <w:sz w:val="24"/>
          <w:szCs w:val="24"/>
        </w:rPr>
        <w:t>。</w:t>
      </w:r>
    </w:p>
    <w:p w14:paraId="2434C95D">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二、质量保修期</w:t>
      </w:r>
    </w:p>
    <w:p w14:paraId="43847C0D">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根据《建设工程质量管理条例》及有关规定，工程的质量保修期如下：</w:t>
      </w:r>
    </w:p>
    <w:p w14:paraId="11BB81B1">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1．地基基础工程和主体结构工程为设计文件规定的工程合理使用年限；</w:t>
      </w:r>
    </w:p>
    <w:p w14:paraId="76D178E4">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2．屋面防水工程、有防水要求的卫生间、房间和外墙面的防渗为</w:t>
      </w:r>
      <w:r>
        <w:rPr>
          <w:rFonts w:hint="eastAsia" w:ascii="仿宋" w:hAnsi="仿宋" w:eastAsia="仿宋" w:cs="仿宋"/>
          <w:color w:val="auto"/>
          <w:sz w:val="24"/>
          <w:szCs w:val="24"/>
          <w:u w:val="single"/>
        </w:rPr>
        <w:t xml:space="preserve"> 5 </w:t>
      </w:r>
      <w:r>
        <w:rPr>
          <w:rFonts w:hint="eastAsia" w:ascii="仿宋" w:hAnsi="仿宋" w:eastAsia="仿宋" w:cs="仿宋"/>
          <w:color w:val="auto"/>
          <w:sz w:val="24"/>
          <w:szCs w:val="24"/>
        </w:rPr>
        <w:t>年；</w:t>
      </w:r>
    </w:p>
    <w:p w14:paraId="6E9EE740">
      <w:pPr>
        <w:spacing w:line="360" w:lineRule="auto"/>
        <w:ind w:left="420" w:leftChars="200" w:firstLine="120" w:firstLineChars="50"/>
        <w:rPr>
          <w:rFonts w:hint="eastAsia" w:ascii="仿宋" w:hAnsi="仿宋" w:eastAsia="仿宋" w:cs="仿宋"/>
          <w:color w:val="auto"/>
          <w:sz w:val="24"/>
          <w:szCs w:val="24"/>
        </w:rPr>
      </w:pPr>
      <w:r>
        <w:rPr>
          <w:rFonts w:hint="eastAsia" w:ascii="仿宋" w:hAnsi="仿宋" w:eastAsia="仿宋" w:cs="仿宋"/>
          <w:color w:val="auto"/>
          <w:sz w:val="24"/>
          <w:szCs w:val="24"/>
        </w:rPr>
        <w:t>3．装修工程为</w:t>
      </w:r>
      <w:r>
        <w:rPr>
          <w:rFonts w:hint="eastAsia" w:ascii="仿宋" w:hAnsi="仿宋" w:eastAsia="仿宋" w:cs="仿宋"/>
          <w:color w:val="auto"/>
          <w:sz w:val="24"/>
          <w:szCs w:val="24"/>
          <w:u w:val="single"/>
        </w:rPr>
        <w:t xml:space="preserve">  2  </w:t>
      </w:r>
      <w:r>
        <w:rPr>
          <w:rFonts w:hint="eastAsia" w:ascii="仿宋" w:hAnsi="仿宋" w:eastAsia="仿宋" w:cs="仿宋"/>
          <w:color w:val="auto"/>
          <w:sz w:val="24"/>
          <w:szCs w:val="24"/>
        </w:rPr>
        <w:t>年；</w:t>
      </w:r>
    </w:p>
    <w:p w14:paraId="21182F7C">
      <w:pPr>
        <w:spacing w:line="360" w:lineRule="auto"/>
        <w:ind w:left="420" w:leftChars="200" w:firstLine="120" w:firstLineChars="50"/>
        <w:rPr>
          <w:rFonts w:hint="eastAsia" w:ascii="仿宋" w:hAnsi="仿宋" w:eastAsia="仿宋" w:cs="仿宋"/>
          <w:color w:val="auto"/>
          <w:sz w:val="24"/>
          <w:szCs w:val="24"/>
        </w:rPr>
      </w:pPr>
      <w:r>
        <w:rPr>
          <w:rFonts w:hint="eastAsia" w:ascii="仿宋" w:hAnsi="仿宋" w:eastAsia="仿宋" w:cs="仿宋"/>
          <w:color w:val="auto"/>
          <w:sz w:val="24"/>
          <w:szCs w:val="24"/>
        </w:rPr>
        <w:t>4．电气管线、给排水管道、设备安装工程为</w:t>
      </w:r>
      <w:r>
        <w:rPr>
          <w:rFonts w:hint="eastAsia" w:ascii="仿宋" w:hAnsi="仿宋" w:eastAsia="仿宋" w:cs="仿宋"/>
          <w:color w:val="auto"/>
          <w:sz w:val="24"/>
          <w:szCs w:val="24"/>
          <w:u w:val="single"/>
        </w:rPr>
        <w:t xml:space="preserve">  2  </w:t>
      </w:r>
      <w:r>
        <w:rPr>
          <w:rFonts w:hint="eastAsia" w:ascii="仿宋" w:hAnsi="仿宋" w:eastAsia="仿宋" w:cs="仿宋"/>
          <w:color w:val="auto"/>
          <w:sz w:val="24"/>
          <w:szCs w:val="24"/>
        </w:rPr>
        <w:t>年；</w:t>
      </w:r>
    </w:p>
    <w:p w14:paraId="7D9F5C6A">
      <w:pPr>
        <w:spacing w:line="360" w:lineRule="auto"/>
        <w:ind w:left="420" w:leftChars="200" w:firstLine="120" w:firstLineChars="50"/>
        <w:rPr>
          <w:rFonts w:hint="eastAsia" w:ascii="仿宋" w:hAnsi="仿宋" w:eastAsia="仿宋" w:cs="仿宋"/>
          <w:color w:val="auto"/>
          <w:sz w:val="24"/>
          <w:szCs w:val="24"/>
        </w:rPr>
      </w:pPr>
      <w:r>
        <w:rPr>
          <w:rFonts w:hint="eastAsia" w:ascii="仿宋" w:hAnsi="仿宋" w:eastAsia="仿宋" w:cs="仿宋"/>
          <w:color w:val="auto"/>
          <w:sz w:val="24"/>
          <w:szCs w:val="24"/>
        </w:rPr>
        <w:t>5．供热与供冷系统为</w:t>
      </w:r>
      <w:r>
        <w:rPr>
          <w:rFonts w:hint="eastAsia" w:ascii="仿宋" w:hAnsi="仿宋" w:eastAsia="仿宋" w:cs="仿宋"/>
          <w:color w:val="auto"/>
          <w:sz w:val="24"/>
          <w:szCs w:val="24"/>
          <w:u w:val="single"/>
        </w:rPr>
        <w:t xml:space="preserve">  2  </w:t>
      </w:r>
      <w:r>
        <w:rPr>
          <w:rFonts w:hint="eastAsia" w:ascii="仿宋" w:hAnsi="仿宋" w:eastAsia="仿宋" w:cs="仿宋"/>
          <w:color w:val="auto"/>
          <w:sz w:val="24"/>
          <w:szCs w:val="24"/>
        </w:rPr>
        <w:t>个采暖期、供冷期；</w:t>
      </w:r>
    </w:p>
    <w:p w14:paraId="5F5B3AB5">
      <w:pPr>
        <w:spacing w:line="360" w:lineRule="auto"/>
        <w:ind w:left="420" w:leftChars="200" w:firstLine="120" w:firstLineChars="50"/>
        <w:rPr>
          <w:rFonts w:hint="eastAsia" w:ascii="仿宋" w:hAnsi="仿宋" w:eastAsia="仿宋" w:cs="仿宋"/>
          <w:color w:val="auto"/>
          <w:sz w:val="24"/>
          <w:szCs w:val="24"/>
        </w:rPr>
      </w:pPr>
      <w:r>
        <w:rPr>
          <w:rFonts w:hint="eastAsia" w:ascii="仿宋" w:hAnsi="仿宋" w:eastAsia="仿宋" w:cs="仿宋"/>
          <w:color w:val="auto"/>
          <w:sz w:val="24"/>
          <w:szCs w:val="24"/>
        </w:rPr>
        <w:t>6．给排水设施、道路等配套工程为</w:t>
      </w:r>
      <w:r>
        <w:rPr>
          <w:rFonts w:hint="eastAsia" w:ascii="仿宋" w:hAnsi="仿宋" w:eastAsia="仿宋" w:cs="仿宋"/>
          <w:color w:val="auto"/>
          <w:sz w:val="24"/>
          <w:szCs w:val="24"/>
          <w:u w:val="single"/>
        </w:rPr>
        <w:t xml:space="preserve">  2  </w:t>
      </w:r>
      <w:r>
        <w:rPr>
          <w:rFonts w:hint="eastAsia" w:ascii="仿宋" w:hAnsi="仿宋" w:eastAsia="仿宋" w:cs="仿宋"/>
          <w:color w:val="auto"/>
          <w:sz w:val="24"/>
          <w:szCs w:val="24"/>
        </w:rPr>
        <w:t>年；</w:t>
      </w:r>
    </w:p>
    <w:p w14:paraId="39B41A70">
      <w:pPr>
        <w:spacing w:line="360" w:lineRule="auto"/>
        <w:ind w:left="420" w:leftChars="200" w:firstLine="120" w:firstLineChars="50"/>
        <w:rPr>
          <w:rFonts w:hint="eastAsia" w:ascii="仿宋" w:hAnsi="仿宋" w:eastAsia="仿宋" w:cs="仿宋"/>
          <w:color w:val="auto"/>
          <w:sz w:val="24"/>
          <w:szCs w:val="24"/>
        </w:rPr>
      </w:pPr>
      <w:r>
        <w:rPr>
          <w:rFonts w:hint="eastAsia" w:ascii="仿宋" w:hAnsi="仿宋" w:eastAsia="仿宋" w:cs="仿宋"/>
          <w:color w:val="auto"/>
          <w:sz w:val="24"/>
          <w:szCs w:val="24"/>
        </w:rPr>
        <w:t>7．其他项目保修期限约定如下：</w:t>
      </w:r>
      <w:r>
        <w:rPr>
          <w:rFonts w:hint="eastAsia" w:ascii="仿宋" w:hAnsi="仿宋" w:eastAsia="仿宋" w:cs="仿宋"/>
          <w:color w:val="auto"/>
          <w:sz w:val="24"/>
          <w:szCs w:val="24"/>
          <w:u w:val="single"/>
        </w:rPr>
        <w:t xml:space="preserve"> </w:t>
      </w:r>
      <w:r>
        <w:rPr>
          <w:rFonts w:hint="eastAsia" w:ascii="仿宋" w:hAnsi="仿宋" w:eastAsia="仿宋" w:cs="仿宋"/>
          <w:i/>
          <w:iCs/>
          <w:color w:val="auto"/>
          <w:sz w:val="24"/>
          <w:szCs w:val="24"/>
          <w:u w:val="single"/>
          <w:lang w:val="en-US" w:eastAsia="zh-CN"/>
        </w:rPr>
        <w:t xml:space="preserve">   /   </w:t>
      </w:r>
      <w:r>
        <w:rPr>
          <w:rFonts w:hint="eastAsia" w:ascii="仿宋" w:hAnsi="仿宋" w:eastAsia="仿宋" w:cs="仿宋"/>
          <w:i/>
          <w:iCs/>
          <w:color w:val="auto"/>
          <w:sz w:val="24"/>
          <w:szCs w:val="24"/>
          <w:u w:val="single"/>
        </w:rPr>
        <w:t xml:space="preserve"> </w:t>
      </w:r>
      <w:r>
        <w:rPr>
          <w:rFonts w:hint="eastAsia" w:ascii="仿宋" w:hAnsi="仿宋" w:eastAsia="仿宋" w:cs="仿宋"/>
          <w:color w:val="auto"/>
          <w:sz w:val="24"/>
          <w:szCs w:val="24"/>
        </w:rPr>
        <w:t>。</w:t>
      </w:r>
    </w:p>
    <w:p w14:paraId="6E4A67D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质量保修期自工程竣工验收合格之日起计算。在保修期内出现</w:t>
      </w:r>
      <w:r>
        <w:rPr>
          <w:rFonts w:hint="eastAsia" w:ascii="仿宋" w:hAnsi="仿宋" w:eastAsia="仿宋" w:cs="仿宋"/>
          <w:i/>
          <w:color w:val="auto"/>
          <w:sz w:val="24"/>
          <w:szCs w:val="24"/>
          <w:u w:val="single"/>
        </w:rPr>
        <w:t xml:space="preserve"> 防水 </w:t>
      </w:r>
      <w:r>
        <w:rPr>
          <w:rFonts w:hint="eastAsia" w:ascii="仿宋" w:hAnsi="仿宋" w:eastAsia="仿宋" w:cs="仿宋"/>
          <w:color w:val="auto"/>
          <w:sz w:val="24"/>
          <w:szCs w:val="24"/>
        </w:rPr>
        <w:t>质量问题经修复完成后，相应保修期重新计算。</w:t>
      </w:r>
    </w:p>
    <w:p w14:paraId="53D477F2">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三、质量保修责任</w:t>
      </w:r>
    </w:p>
    <w:p w14:paraId="3CA05FBB">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1．属于保修范围、内容的项目，承包人应当在接到保修通知之日起24小时内派人保修。承包人不在约定期限内派人保修的，发包人可以委托他人修理；保修费用从质量保修金内双倍扣除。</w:t>
      </w:r>
    </w:p>
    <w:p w14:paraId="21AF8324">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2．发生紧急事故需抢修的，承包人在接到事故通知后，应当立即到达事故现场抢修。非承包人施工质量引起的事故，抢修费用由发包人承担。</w:t>
      </w:r>
    </w:p>
    <w:p w14:paraId="19F51B8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070E835E">
      <w:pPr>
        <w:spacing w:line="520" w:lineRule="exact"/>
        <w:ind w:firstLine="470" w:firstLineChars="196"/>
        <w:rPr>
          <w:rFonts w:hint="eastAsia" w:ascii="仿宋" w:hAnsi="仿宋" w:eastAsia="仿宋" w:cs="仿宋"/>
          <w:color w:val="auto"/>
          <w:sz w:val="24"/>
          <w:szCs w:val="24"/>
        </w:rPr>
      </w:pPr>
      <w:r>
        <w:rPr>
          <w:rFonts w:hint="eastAsia" w:ascii="仿宋" w:hAnsi="仿宋" w:eastAsia="仿宋" w:cs="仿宋"/>
          <w:color w:val="auto"/>
          <w:sz w:val="24"/>
          <w:szCs w:val="24"/>
        </w:rPr>
        <w:t>4．质量保修完成后，由发包人组织验收。</w:t>
      </w:r>
    </w:p>
    <w:p w14:paraId="3443495D">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四、质量保修金的支付</w:t>
      </w:r>
    </w:p>
    <w:p w14:paraId="6B59C968">
      <w:pPr>
        <w:spacing w:line="360" w:lineRule="auto"/>
        <w:ind w:left="105" w:leftChars="50" w:firstLine="491" w:firstLineChars="205"/>
        <w:rPr>
          <w:rFonts w:hint="eastAsia" w:ascii="仿宋" w:hAnsi="仿宋" w:eastAsia="仿宋" w:cs="仿宋"/>
          <w:color w:val="auto"/>
          <w:sz w:val="24"/>
          <w:szCs w:val="24"/>
        </w:rPr>
      </w:pPr>
      <w:r>
        <w:rPr>
          <w:rFonts w:hint="eastAsia" w:ascii="仿宋" w:hAnsi="仿宋" w:eastAsia="仿宋" w:cs="仿宋"/>
          <w:color w:val="auto"/>
          <w:sz w:val="24"/>
          <w:szCs w:val="24"/>
        </w:rPr>
        <w:t>本工程双方约定承包人向发包人支付工程质量保修金金额为工程结算款的</w:t>
      </w:r>
      <w:r>
        <w:rPr>
          <w:rFonts w:hint="eastAsia" w:ascii="仿宋" w:hAnsi="仿宋" w:eastAsia="仿宋" w:cs="仿宋"/>
          <w:color w:val="auto"/>
          <w:sz w:val="24"/>
          <w:szCs w:val="24"/>
          <w:u w:val="single"/>
        </w:rPr>
        <w:t>百分之叁（大写）</w:t>
      </w:r>
      <w:r>
        <w:rPr>
          <w:rFonts w:hint="eastAsia" w:ascii="仿宋" w:hAnsi="仿宋" w:eastAsia="仿宋" w:cs="仿宋"/>
          <w:color w:val="auto"/>
          <w:sz w:val="24"/>
          <w:szCs w:val="24"/>
        </w:rPr>
        <w:t xml:space="preserve">。质量保修金银行利率为 </w:t>
      </w:r>
      <w:r>
        <w:rPr>
          <w:rFonts w:hint="eastAsia" w:ascii="仿宋" w:hAnsi="仿宋" w:eastAsia="仿宋" w:cs="仿宋"/>
          <w:color w:val="auto"/>
          <w:sz w:val="24"/>
          <w:szCs w:val="24"/>
          <w:u w:val="single"/>
        </w:rPr>
        <w:t xml:space="preserve"> 无</w:t>
      </w:r>
      <w:r>
        <w:rPr>
          <w:rFonts w:hint="eastAsia" w:ascii="仿宋" w:hAnsi="仿宋" w:eastAsia="仿宋" w:cs="仿宋"/>
          <w:color w:val="auto"/>
          <w:sz w:val="24"/>
          <w:szCs w:val="24"/>
        </w:rPr>
        <w:t>。</w:t>
      </w:r>
    </w:p>
    <w:p w14:paraId="37382935">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五、质量保修金的返还</w:t>
      </w:r>
    </w:p>
    <w:p w14:paraId="7BA3524F">
      <w:pPr>
        <w:spacing w:line="360" w:lineRule="auto"/>
        <w:ind w:left="105" w:leftChars="50" w:firstLine="491" w:firstLineChars="205"/>
        <w:rPr>
          <w:rFonts w:hint="eastAsia" w:ascii="仿宋" w:hAnsi="仿宋" w:eastAsia="仿宋" w:cs="仿宋"/>
          <w:color w:val="auto"/>
          <w:sz w:val="24"/>
          <w:szCs w:val="24"/>
          <w:u w:val="single"/>
        </w:rPr>
      </w:pPr>
      <w:r>
        <w:rPr>
          <w:rFonts w:hint="eastAsia" w:ascii="仿宋" w:hAnsi="仿宋" w:eastAsia="仿宋" w:cs="仿宋"/>
          <w:color w:val="auto"/>
          <w:sz w:val="24"/>
          <w:szCs w:val="24"/>
          <w:u w:val="single"/>
        </w:rPr>
        <w:sym w:font="Wingdings 2" w:char="0052"/>
      </w:r>
      <w:r>
        <w:rPr>
          <w:rFonts w:hint="eastAsia" w:ascii="仿宋" w:hAnsi="仿宋" w:eastAsia="仿宋" w:cs="仿宋"/>
          <w:color w:val="auto"/>
          <w:sz w:val="24"/>
          <w:szCs w:val="24"/>
          <w:u w:val="single"/>
        </w:rPr>
        <w:t>工程竣工验收合格之日起两年且无质量问题，且经工程使用单位或发包人签署质量保修金支付证明后，无息返还质量保修金的100%</w:t>
      </w:r>
    </w:p>
    <w:p w14:paraId="281B42C2">
      <w:pPr>
        <w:spacing w:line="360" w:lineRule="auto"/>
        <w:ind w:left="105" w:leftChars="50" w:firstLine="491" w:firstLineChars="205"/>
        <w:rPr>
          <w:rFonts w:hint="eastAsia" w:ascii="仿宋" w:hAnsi="仿宋" w:eastAsia="仿宋" w:cs="仿宋"/>
          <w:color w:val="auto"/>
          <w:sz w:val="24"/>
          <w:szCs w:val="24"/>
        </w:rPr>
      </w:pPr>
      <w:r>
        <w:rPr>
          <w:rFonts w:hint="eastAsia" w:ascii="仿宋" w:hAnsi="仿宋" w:eastAsia="仿宋" w:cs="仿宋"/>
          <w:color w:val="auto"/>
          <w:sz w:val="24"/>
          <w:szCs w:val="24"/>
        </w:rPr>
        <w:t>质量保修期延长的，</w:t>
      </w:r>
      <w:bookmarkStart w:id="107" w:name="_Hlk185603868"/>
      <w:r>
        <w:rPr>
          <w:rFonts w:hint="eastAsia" w:ascii="仿宋" w:hAnsi="仿宋" w:eastAsia="仿宋" w:cs="仿宋"/>
          <w:color w:val="auto"/>
          <w:sz w:val="24"/>
          <w:szCs w:val="24"/>
        </w:rPr>
        <w:t>最后一笔返还质量保修金</w:t>
      </w:r>
      <w:bookmarkEnd w:id="107"/>
      <w:r>
        <w:rPr>
          <w:rFonts w:hint="eastAsia" w:ascii="仿宋" w:hAnsi="仿宋" w:eastAsia="仿宋" w:cs="仿宋"/>
          <w:color w:val="auto"/>
          <w:sz w:val="24"/>
          <w:szCs w:val="24"/>
        </w:rPr>
        <w:t>的期限同时顺延。</w:t>
      </w:r>
    </w:p>
    <w:p w14:paraId="6C30398A">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六、其它</w:t>
      </w:r>
    </w:p>
    <w:p w14:paraId="3DF5FE5D">
      <w:pPr>
        <w:spacing w:line="360" w:lineRule="auto"/>
        <w:ind w:left="105" w:leftChars="50" w:firstLine="491" w:firstLineChars="205"/>
        <w:rPr>
          <w:rFonts w:hint="eastAsia" w:ascii="仿宋" w:hAnsi="仿宋" w:eastAsia="仿宋" w:cs="仿宋"/>
          <w:color w:val="auto"/>
          <w:sz w:val="24"/>
          <w:szCs w:val="24"/>
        </w:rPr>
      </w:pPr>
      <w:r>
        <w:rPr>
          <w:rFonts w:hint="eastAsia" w:ascii="仿宋" w:hAnsi="仿宋" w:eastAsia="仿宋" w:cs="仿宋"/>
          <w:color w:val="auto"/>
          <w:sz w:val="24"/>
          <w:szCs w:val="24"/>
        </w:rPr>
        <w:t>1、本保修书作为施工工程合同的附件，与施工工程合同具有同等法律效力。</w:t>
      </w:r>
    </w:p>
    <w:p w14:paraId="3CF1BF59">
      <w:pPr>
        <w:spacing w:line="360" w:lineRule="auto"/>
        <w:ind w:left="105" w:leftChars="50" w:firstLine="491" w:firstLineChars="205"/>
        <w:rPr>
          <w:rFonts w:hint="eastAsia" w:ascii="仿宋" w:hAnsi="仿宋" w:eastAsia="仿宋" w:cs="仿宋"/>
          <w:color w:val="auto"/>
          <w:sz w:val="24"/>
          <w:szCs w:val="24"/>
        </w:rPr>
      </w:pPr>
      <w:r>
        <w:rPr>
          <w:rFonts w:hint="eastAsia" w:ascii="仿宋" w:hAnsi="仿宋" w:eastAsia="仿宋" w:cs="仿宋"/>
          <w:color w:val="auto"/>
          <w:sz w:val="24"/>
          <w:szCs w:val="24"/>
        </w:rPr>
        <w:t>2、双方约定的其它工程质量保修事项：</w:t>
      </w:r>
    </w:p>
    <w:p w14:paraId="398E27B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对于</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lang w:val="en-US" w:eastAsia="zh-CN"/>
        </w:rPr>
        <w:t>质量问题及</w:t>
      </w:r>
      <w:r>
        <w:rPr>
          <w:rFonts w:hint="eastAsia" w:ascii="仿宋" w:hAnsi="仿宋" w:eastAsia="仿宋" w:cs="仿宋"/>
          <w:color w:val="auto"/>
          <w:sz w:val="24"/>
          <w:szCs w:val="24"/>
          <w:highlight w:val="none"/>
        </w:rPr>
        <w:t>保修范围、内容的项目，承包人应当在接到</w:t>
      </w:r>
      <w:r>
        <w:rPr>
          <w:rFonts w:hint="eastAsia" w:ascii="仿宋" w:hAnsi="仿宋" w:eastAsia="仿宋" w:cs="仿宋"/>
          <w:color w:val="auto"/>
          <w:sz w:val="24"/>
          <w:szCs w:val="24"/>
          <w:highlight w:val="none"/>
          <w:lang w:val="en-US" w:eastAsia="zh-CN"/>
        </w:rPr>
        <w:t>发包人的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质量维修通知单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（书面形式通过顺丰或EMS向施工单位发送，均为有效）</w:t>
      </w:r>
      <w:r>
        <w:rPr>
          <w:rFonts w:hint="eastAsia" w:ascii="仿宋" w:hAnsi="仿宋" w:eastAsia="仿宋" w:cs="仿宋"/>
          <w:color w:val="auto"/>
          <w:sz w:val="24"/>
          <w:szCs w:val="24"/>
          <w:highlight w:val="none"/>
        </w:rPr>
        <w:t>之日起</w:t>
      </w:r>
      <w:r>
        <w:rPr>
          <w:rFonts w:hint="eastAsia" w:ascii="仿宋" w:hAnsi="仿宋" w:eastAsia="仿宋" w:cs="仿宋"/>
          <w:color w:val="auto"/>
          <w:sz w:val="24"/>
          <w:szCs w:val="24"/>
          <w:highlight w:val="none"/>
          <w:lang w:val="en-US" w:eastAsia="zh-CN"/>
        </w:rPr>
        <w:t>按照通知单载明的限期内</w:t>
      </w:r>
      <w:r>
        <w:rPr>
          <w:rFonts w:hint="eastAsia" w:ascii="仿宋" w:hAnsi="仿宋" w:eastAsia="仿宋" w:cs="仿宋"/>
          <w:color w:val="auto"/>
          <w:sz w:val="24"/>
          <w:szCs w:val="24"/>
          <w:highlight w:val="none"/>
        </w:rPr>
        <w:t>派人</w:t>
      </w:r>
      <w:r>
        <w:rPr>
          <w:rFonts w:hint="eastAsia" w:ascii="仿宋" w:hAnsi="仿宋" w:eastAsia="仿宋" w:cs="仿宋"/>
          <w:color w:val="auto"/>
          <w:sz w:val="24"/>
          <w:szCs w:val="24"/>
          <w:highlight w:val="none"/>
          <w:lang w:val="en-US" w:eastAsia="zh-CN"/>
        </w:rPr>
        <w:t>维修</w:t>
      </w:r>
      <w:r>
        <w:rPr>
          <w:rFonts w:hint="eastAsia" w:ascii="仿宋" w:hAnsi="仿宋" w:eastAsia="仿宋" w:cs="仿宋"/>
          <w:color w:val="auto"/>
          <w:sz w:val="24"/>
          <w:szCs w:val="24"/>
          <w:highlight w:val="none"/>
        </w:rPr>
        <w:t>。承包人不在约定期限内派人</w:t>
      </w:r>
      <w:r>
        <w:rPr>
          <w:rFonts w:hint="eastAsia" w:ascii="仿宋" w:hAnsi="仿宋" w:eastAsia="仿宋" w:cs="仿宋"/>
          <w:color w:val="auto"/>
          <w:sz w:val="24"/>
          <w:szCs w:val="24"/>
          <w:highlight w:val="none"/>
          <w:lang w:val="en-US" w:eastAsia="zh-CN"/>
        </w:rPr>
        <w:t>维</w:t>
      </w:r>
      <w:r>
        <w:rPr>
          <w:rFonts w:hint="eastAsia" w:ascii="仿宋" w:hAnsi="仿宋" w:eastAsia="仿宋" w:cs="仿宋"/>
          <w:color w:val="auto"/>
          <w:sz w:val="24"/>
          <w:szCs w:val="24"/>
          <w:highlight w:val="none"/>
        </w:rPr>
        <w:t>修的，发包人可以</w:t>
      </w:r>
      <w:r>
        <w:rPr>
          <w:rFonts w:hint="eastAsia" w:ascii="仿宋" w:hAnsi="仿宋" w:eastAsia="仿宋" w:cs="仿宋"/>
          <w:color w:val="auto"/>
          <w:sz w:val="24"/>
          <w:szCs w:val="24"/>
          <w:highlight w:val="none"/>
          <w:lang w:val="en-US" w:eastAsia="zh-CN"/>
        </w:rPr>
        <w:t>另</w:t>
      </w:r>
      <w:r>
        <w:rPr>
          <w:rFonts w:hint="eastAsia" w:ascii="仿宋" w:hAnsi="仿宋" w:eastAsia="仿宋" w:cs="仿宋"/>
          <w:color w:val="auto"/>
          <w:sz w:val="24"/>
          <w:szCs w:val="24"/>
          <w:highlight w:val="none"/>
        </w:rPr>
        <w:t>委托</w:t>
      </w:r>
      <w:r>
        <w:rPr>
          <w:rFonts w:hint="eastAsia" w:ascii="仿宋" w:hAnsi="仿宋" w:eastAsia="仿宋" w:cs="仿宋"/>
          <w:color w:val="auto"/>
          <w:sz w:val="24"/>
          <w:szCs w:val="24"/>
          <w:highlight w:val="none"/>
          <w:lang w:val="en-US" w:eastAsia="zh-CN"/>
        </w:rPr>
        <w:t>第三方维修</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发生的维修费用，按第三方维修单位向发包人主张的结算报审金额计取，</w:t>
      </w:r>
      <w:r>
        <w:rPr>
          <w:rFonts w:hint="eastAsia" w:ascii="仿宋" w:hAnsi="仿宋" w:eastAsia="仿宋" w:cs="仿宋"/>
          <w:color w:val="auto"/>
          <w:sz w:val="24"/>
          <w:szCs w:val="24"/>
          <w:highlight w:val="none"/>
        </w:rPr>
        <w:t>从</w:t>
      </w:r>
      <w:r>
        <w:rPr>
          <w:rFonts w:hint="eastAsia" w:ascii="仿宋" w:hAnsi="仿宋" w:eastAsia="仿宋" w:cs="仿宋"/>
          <w:color w:val="auto"/>
          <w:sz w:val="24"/>
          <w:szCs w:val="24"/>
          <w:highlight w:val="none"/>
          <w:lang w:val="en-US" w:eastAsia="zh-CN"/>
        </w:rPr>
        <w:t>本合同尾款</w:t>
      </w:r>
      <w:r>
        <w:rPr>
          <w:rFonts w:hint="eastAsia" w:ascii="仿宋" w:hAnsi="仿宋" w:eastAsia="仿宋" w:cs="仿宋"/>
          <w:color w:val="auto"/>
          <w:sz w:val="24"/>
          <w:szCs w:val="24"/>
          <w:highlight w:val="none"/>
        </w:rPr>
        <w:t>内双倍扣除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本合同尾款不足部分，仍由承包人承担。从合同尾款中扣除的，承包人承诺配合发包人签订合同补充协议，调整合同额。逾期维修造成的的损失亦由承包人承担。</w:t>
      </w:r>
    </w:p>
    <w:p w14:paraId="2D6BDF17">
      <w:pPr>
        <w:spacing w:line="360" w:lineRule="auto"/>
        <w:ind w:firstLine="456" w:firstLineChars="190"/>
        <w:rPr>
          <w:rFonts w:hint="eastAsia" w:ascii="仿宋" w:hAnsi="仿宋" w:eastAsia="仿宋" w:cs="仿宋"/>
          <w:color w:val="auto"/>
          <w:sz w:val="24"/>
          <w:szCs w:val="24"/>
        </w:rPr>
      </w:pPr>
      <w:r>
        <w:rPr>
          <w:rFonts w:hint="eastAsia" w:ascii="仿宋" w:hAnsi="仿宋" w:eastAsia="仿宋" w:cs="仿宋"/>
          <w:color w:val="auto"/>
          <w:sz w:val="24"/>
          <w:szCs w:val="24"/>
        </w:rPr>
        <w:t>工程质量保修书由发包人、承包人在工程竣工验收前共同签署，作为施工合同附件，其有效期限至保修期满。</w:t>
      </w:r>
    </w:p>
    <w:p w14:paraId="66816E50">
      <w:pPr>
        <w:spacing w:line="360" w:lineRule="auto"/>
        <w:ind w:firstLine="456" w:firstLineChars="190"/>
        <w:rPr>
          <w:rFonts w:hint="eastAsia" w:ascii="仿宋" w:hAnsi="仿宋" w:eastAsia="仿宋" w:cs="仿宋"/>
          <w:color w:val="auto"/>
          <w:sz w:val="24"/>
          <w:highlight w:val="none"/>
          <w:lang w:val="en-US" w:eastAsia="zh-CN"/>
        </w:rPr>
      </w:pPr>
    </w:p>
    <w:p w14:paraId="05F3F914">
      <w:pPr>
        <w:spacing w:line="360" w:lineRule="auto"/>
        <w:ind w:firstLine="456" w:firstLineChars="19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发包人</w:t>
      </w:r>
      <w:r>
        <w:rPr>
          <w:rFonts w:hint="eastAsia" w:ascii="仿宋" w:hAnsi="仿宋" w:eastAsia="仿宋" w:cs="仿宋"/>
          <w:color w:val="auto"/>
          <w:sz w:val="24"/>
          <w:highlight w:val="none"/>
        </w:rPr>
        <w:t xml:space="preserve">（盖章）：             </w:t>
      </w:r>
      <w:r>
        <w:rPr>
          <w:rFonts w:hint="eastAsia" w:ascii="仿宋" w:hAnsi="仿宋" w:eastAsia="仿宋" w:cs="仿宋"/>
          <w:color w:val="auto"/>
          <w:sz w:val="24"/>
          <w:highlight w:val="none"/>
          <w:lang w:val="en-US" w:eastAsia="zh-CN"/>
        </w:rPr>
        <w:t>承包人</w:t>
      </w:r>
      <w:r>
        <w:rPr>
          <w:rFonts w:hint="eastAsia" w:ascii="仿宋" w:hAnsi="仿宋" w:eastAsia="仿宋" w:cs="仿宋"/>
          <w:color w:val="auto"/>
          <w:sz w:val="24"/>
          <w:highlight w:val="none"/>
        </w:rPr>
        <w:t>（盖章）：</w:t>
      </w:r>
    </w:p>
    <w:p w14:paraId="60741DC6">
      <w:pPr>
        <w:spacing w:line="360" w:lineRule="auto"/>
        <w:ind w:firstLine="456" w:firstLineChars="19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授权代表（签字）：           授权代表（签字）：</w:t>
      </w:r>
    </w:p>
    <w:p w14:paraId="65AD7A65">
      <w:pPr>
        <w:spacing w:line="360" w:lineRule="auto"/>
        <w:ind w:firstLine="456" w:firstLineChars="190"/>
        <w:rPr>
          <w:rFonts w:hint="eastAsia" w:ascii="仿宋" w:hAnsi="仿宋" w:eastAsia="仿宋" w:cs="仿宋"/>
          <w:color w:val="auto"/>
          <w:sz w:val="24"/>
          <w:highlight w:val="none"/>
        </w:rPr>
      </w:pPr>
    </w:p>
    <w:p w14:paraId="71A6BCAF">
      <w:pPr>
        <w:spacing w:line="360" w:lineRule="auto"/>
        <w:ind w:firstLine="456" w:firstLineChars="190"/>
        <w:rPr>
          <w:rFonts w:hint="eastAsia" w:ascii="仿宋" w:hAnsi="仿宋" w:eastAsia="仿宋" w:cs="仿宋"/>
          <w:color w:val="auto"/>
          <w:sz w:val="24"/>
          <w:highlight w:val="none"/>
        </w:rPr>
      </w:pPr>
    </w:p>
    <w:p w14:paraId="4F8A4C18">
      <w:pPr>
        <w:spacing w:line="360" w:lineRule="auto"/>
        <w:ind w:firstLine="456" w:firstLineChars="190"/>
        <w:rPr>
          <w:rFonts w:hint="eastAsia" w:ascii="仿宋" w:hAnsi="仿宋" w:eastAsia="仿宋" w:cs="仿宋"/>
          <w:color w:val="auto"/>
          <w:sz w:val="24"/>
          <w:highlight w:val="none"/>
        </w:rPr>
      </w:pPr>
    </w:p>
    <w:p w14:paraId="7B1983A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br w:type="page"/>
      </w:r>
    </w:p>
    <w:p w14:paraId="244FB14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附件2：           </w:t>
      </w:r>
    </w:p>
    <w:p w14:paraId="75A6A42D">
      <w:pPr>
        <w:spacing w:before="156" w:beforeLines="50" w:after="156" w:afterLines="50" w:line="440" w:lineRule="exact"/>
        <w:jc w:val="center"/>
        <w:rPr>
          <w:rFonts w:eastAsia="黑体"/>
          <w:color w:val="auto"/>
          <w:sz w:val="28"/>
          <w:szCs w:val="28"/>
          <w:highlight w:val="none"/>
        </w:rPr>
      </w:pPr>
      <w:r>
        <w:rPr>
          <w:rFonts w:hint="eastAsia" w:eastAsia="黑体"/>
          <w:color w:val="auto"/>
          <w:sz w:val="28"/>
          <w:szCs w:val="28"/>
          <w:highlight w:val="none"/>
        </w:rPr>
        <w:t>相关方安全协议</w:t>
      </w:r>
    </w:p>
    <w:p w14:paraId="6435B3A9">
      <w:pPr>
        <w:pStyle w:val="56"/>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发包人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中国重汽集团济南动力有限公司</w:t>
      </w:r>
    </w:p>
    <w:p w14:paraId="6CED8A4C">
      <w:pPr>
        <w:pStyle w:val="56"/>
        <w:spacing w:line="360" w:lineRule="auto"/>
        <w:ind w:firstLine="480"/>
        <w:rPr>
          <w:rFonts w:hint="eastAsia" w:ascii="仿宋" w:hAnsi="仿宋" w:eastAsia="仿宋" w:cs="仿宋"/>
          <w:color w:val="auto"/>
          <w:sz w:val="30"/>
          <w:szCs w:val="30"/>
          <w:highlight w:val="none"/>
          <w:lang w:eastAsia="zh-CN"/>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承包人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本次中标单位</w:t>
      </w:r>
    </w:p>
    <w:p w14:paraId="12AA6733">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乙方在甲方厂区（含园区）开展</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项目，根据国家、地方有关安全生产的法律、法规、条例、规章、政策等规范性文件的要求，为明确甲乙双方安全管理职责与权利，预防各类事故的发生，经甲乙双方协商一致，同意签订本协议，并共同遵守。</w:t>
      </w:r>
    </w:p>
    <w:p w14:paraId="46A630A1">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一、甲乙双方安全管理职责与权利：</w:t>
      </w:r>
    </w:p>
    <w:p w14:paraId="31042936">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（一）甲方职责与权利</w:t>
      </w:r>
    </w:p>
    <w:p w14:paraId="697B4966">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1.甲方根据协作需求，负责为乙方提供作业场地及必要的风、水、电、气等能源。</w:t>
      </w:r>
    </w:p>
    <w:p w14:paraId="440447FE">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20956D38">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39076DA9">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4.甲方对乙方不得违章指挥、强令冒险作业，因甲方人员人为原因造成乙方人员发生事故的，由乙方负责处理，甲方予以协助并赔偿乙方的合理损失。</w:t>
      </w:r>
    </w:p>
    <w:p w14:paraId="09137A7D">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5.甲方对乙方在甲方发生安全事故时，将尽量协助救护、保护事故现场，并有权开展或参加对事故的调查处理。因乙方原因导致的生产安全事故，由乙方承担相应责任。</w:t>
      </w:r>
    </w:p>
    <w:p w14:paraId="53996DE1">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1D48708F">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7.对于提供生活物质、食品的乙方，甲方有权要求乙方提供乙方工作人员的健康证明。在甲方服务时，乙方要严格遵守甲方的相关安全管理制度和卫生、健康管理制度。</w:t>
      </w:r>
    </w:p>
    <w:p w14:paraId="267DFF75">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8、甲方有权要求乙方提供作业人员的工伤保险及意外保险缴纳证明。</w:t>
      </w:r>
    </w:p>
    <w:p w14:paraId="199155DE">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9、甲方指定专人（</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）负责乙方业务和安全管理，乙方出现各类问题都应及时与甲方联系人、安全员联系。</w:t>
      </w:r>
    </w:p>
    <w:p w14:paraId="6D402305">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（二）乙方职责与权利</w:t>
      </w:r>
    </w:p>
    <w:p w14:paraId="1D4C16FA">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1.乙方进入甲方生产现场的车辆、人员必须执行甲方的各项安全管理规定，接受甲方安全管理人员的监督和管理。乙方应在进入现场前充分了解并知悉甲方的各项安全管理规定。</w:t>
      </w:r>
    </w:p>
    <w:p w14:paraId="3CAB2AB8">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14:paraId="1BF9F280">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40CDBD1C">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2FB54CBA">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04C73E62">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43D5603E">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71F681BC">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12E9B76C">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9.因乙方人员不遵守相关安全法律法规及甲方的规章制度造成安全生产事故的，乙方应负责处理相关事宜，并承担相应责任和损失，甲方予以协助。</w:t>
      </w:r>
    </w:p>
    <w:p w14:paraId="337F2B33">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10.乙方负责处理其工作人员在甲方现场工作期间发生的工伤事故，并承担相应费用及责任，甲方予以积极配合。</w:t>
      </w:r>
    </w:p>
    <w:p w14:paraId="1E96502E">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11.乙方人员在甲方现场造成甲方工作人员或第三方人员人身伤害、财产损失或甲方产品、设备等财产损失的，由乙方承担相应费用及责任。</w:t>
      </w:r>
    </w:p>
    <w:p w14:paraId="6B1157C7">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59DB51A6">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03342C8A">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14.乙方所使用的机械设施、各类机器等设备，必须是经过检测且合格可靠的，各类设备设施的合格证、检测证和安全防护装置等必须齐全、完好。严禁使用不安全的设备设施进行作业。</w:t>
      </w:r>
    </w:p>
    <w:p w14:paraId="688C5EA4">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15.乙方负责按照相关要求为作业现场配备所需的安全防护设施、消防设施，负责为乙方作业人员配备合格、可靠的安全防护用品（特殊劳动防护用品需提供采购单位相应资质）。</w:t>
      </w:r>
    </w:p>
    <w:p w14:paraId="4BF6BD96">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16.乙方作业完成后，负责清理现场并恢复作业前的正常环境。对于作业过程中产生的废水、废料、废渣、建筑垃圾等（不包含危险废物），由乙方负责按照环保法律法规要求合法处理，因乙方违规处置产生的后果由乙方承担。</w:t>
      </w:r>
    </w:p>
    <w:p w14:paraId="64FF58F7">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17.乙方承诺，不将承租的项目部分或全部转包给其他单位，因违规转包而导致的一切后果由乙方自行承担。</w:t>
      </w:r>
    </w:p>
    <w:p w14:paraId="1854E0CF">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18.积极支持配合和参加甲方组织的消防安全防范活动，自觉培养消防意识宣传消防重要性。进行经常性的防火安全检查，对发现的火险隐患必须采取应急措施。</w:t>
      </w:r>
    </w:p>
    <w:p w14:paraId="00C15D1F">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70FADCC4">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20.乙方应遵守装修工程消防安全管理规定和工程施工安全技术规范，在作业范围内消防灭火器材的配备及日常的维护由乙方负责，应确保消防器材及设施完好有效。</w:t>
      </w:r>
    </w:p>
    <w:p w14:paraId="2A3CBDB6">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21.乙方作业区域发生火灾事故时能冷静准确向119报警，并能灭火、指引和协助他人逃生。必须立即采取有效措施防止事故扩大，组织人员抢救并保护现场，并立即向甲方报告。</w:t>
      </w:r>
    </w:p>
    <w:p w14:paraId="5BA9455D">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20E34442">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23.乙方承诺指定专人（</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）负责作业过程中的安全管理，负责与甲方进行安全管理工作的对接，配合甲方统一协调管理。</w:t>
      </w:r>
    </w:p>
    <w:p w14:paraId="6EC35FA6">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二、其他相关手续办理</w:t>
      </w:r>
    </w:p>
    <w:p w14:paraId="256FA485">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乙方进入甲方厂区进行施工，办理其他相关手续，应遵守以下约定：</w:t>
      </w:r>
    </w:p>
    <w:p w14:paraId="4682D43D">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1.进厂手续：甲方与乙方的施工合同签订后，乙方单位持相关的资质材料，按照甲方管理制度办理施工手续后 ,方可进行作业。</w:t>
      </w:r>
    </w:p>
    <w:p w14:paraId="1C0C2F87">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34DEDB26">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3.入厂安全教育：乙方进入甲方厂区前应对其施工人员进行安全教育并提供教育培训的相关资料，到甲方办理《施工许可证》。</w:t>
      </w:r>
    </w:p>
    <w:p w14:paraId="5F4108AE">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0F1BC788">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三、违约责任</w:t>
      </w:r>
    </w:p>
    <w:p w14:paraId="4387BC14">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因乙方人员或车辆违反有关法律、法规、规章、规范性文件、甲方有关管理规定以及本协议约定，造成的一切后果和损失，由乙方承担全部责任并赔偿甲方之损失。</w:t>
      </w:r>
    </w:p>
    <w:p w14:paraId="72643C51">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四、争议解决</w:t>
      </w:r>
    </w:p>
    <w:p w14:paraId="52873EDB">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本协议履行过程中产生的争议，双方协商解决，协商不成的提交甲方所在地法院诉讼解决。</w:t>
      </w:r>
    </w:p>
    <w:p w14:paraId="33831BA5">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五、附则</w:t>
      </w:r>
    </w:p>
    <w:p w14:paraId="4F4CA232">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4337A382">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2.本协议附件与主协议具有相同的法律效力。在本协议有效期内，双方就未尽事宜达成补充协议的，补充协议与本协议具有同等法律效力。</w:t>
      </w:r>
    </w:p>
    <w:p w14:paraId="2E48235B">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3.甲方与乙方签订本协议时，已向乙方告知甲方的各项安全管理规定。乙方已充分了解并知悉甲方的各项安全管理规定及内容，并承诺严格遵守。</w:t>
      </w:r>
    </w:p>
    <w:p w14:paraId="1286CEFF">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4.按照《安全生产法》规定，乙方如有不签订本协议和未执行协议擅自在甲方厂区内施工的情况，乙方均属违章作业。</w:t>
      </w:r>
    </w:p>
    <w:p w14:paraId="17063256">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6DFFC79D">
      <w:pPr>
        <w:pStyle w:val="56"/>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671D793C">
      <w:pPr>
        <w:pStyle w:val="56"/>
        <w:numPr>
          <w:ilvl w:val="0"/>
          <w:numId w:val="13"/>
        </w:num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本协议应与具体项目合同同时签订。一式四份，甲乙双方各两份。</w:t>
      </w:r>
    </w:p>
    <w:p w14:paraId="3B59C610">
      <w:pPr>
        <w:pStyle w:val="56"/>
        <w:numPr>
          <w:ilvl w:val="0"/>
          <w:numId w:val="0"/>
        </w:numPr>
        <w:spacing w:line="24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甲方（盖章）：                    乙方（盖章）：</w:t>
      </w:r>
    </w:p>
    <w:p w14:paraId="5EDAE79A">
      <w:pPr>
        <w:pStyle w:val="56"/>
        <w:spacing w:line="360" w:lineRule="auto"/>
        <w:ind w:firstLine="480"/>
        <w:rPr>
          <w:rFonts w:hint="eastAsia" w:ascii="仿宋" w:hAnsi="仿宋" w:eastAsia="仿宋" w:cs="仿宋"/>
          <w:color w:val="auto"/>
          <w:sz w:val="24"/>
          <w:highlight w:val="none"/>
        </w:rPr>
      </w:pPr>
    </w:p>
    <w:p w14:paraId="190B070A">
      <w:pPr>
        <w:pStyle w:val="56"/>
        <w:numPr>
          <w:ilvl w:val="0"/>
          <w:numId w:val="0"/>
        </w:numPr>
        <w:spacing w:line="24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法人/授权代表（签字）：           法人/授权代表（签字）：</w:t>
      </w:r>
    </w:p>
    <w:p w14:paraId="4EA76C7C">
      <w:pPr>
        <w:pStyle w:val="56"/>
        <w:numPr>
          <w:ilvl w:val="0"/>
          <w:numId w:val="0"/>
        </w:numPr>
        <w:spacing w:line="240" w:lineRule="auto"/>
        <w:ind w:firstLine="240" w:firstLineChars="100"/>
        <w:rPr>
          <w:rFonts w:hint="eastAsia" w:ascii="仿宋" w:hAnsi="仿宋" w:eastAsia="仿宋" w:cs="仿宋"/>
          <w:color w:val="auto"/>
          <w:sz w:val="24"/>
          <w:highlight w:val="none"/>
        </w:rPr>
      </w:pPr>
    </w:p>
    <w:p w14:paraId="65569B97">
      <w:pPr>
        <w:pStyle w:val="56"/>
        <w:numPr>
          <w:ilvl w:val="0"/>
          <w:numId w:val="0"/>
        </w:numPr>
        <w:spacing w:line="240" w:lineRule="auto"/>
        <w:ind w:firstLine="240" w:firstLineChars="100"/>
        <w:rPr>
          <w:rFonts w:hint="eastAsia" w:ascii="仿宋" w:hAnsi="仿宋" w:eastAsia="仿宋" w:cs="仿宋"/>
          <w:color w:val="auto"/>
          <w:sz w:val="24"/>
          <w:highlight w:val="none"/>
        </w:rPr>
      </w:pPr>
    </w:p>
    <w:p w14:paraId="3C1A4833">
      <w:pPr>
        <w:pStyle w:val="56"/>
        <w:numPr>
          <w:ilvl w:val="0"/>
          <w:numId w:val="0"/>
        </w:numPr>
        <w:spacing w:line="240" w:lineRule="auto"/>
        <w:ind w:firstLine="240" w:firstLineChars="100"/>
        <w:rPr>
          <w:rFonts w:hint="eastAsia" w:ascii="仿宋" w:hAnsi="仿宋" w:eastAsia="仿宋" w:cs="仿宋"/>
          <w:color w:val="auto"/>
          <w:sz w:val="24"/>
          <w:highlight w:val="none"/>
        </w:rPr>
      </w:pPr>
    </w:p>
    <w:p w14:paraId="2ADF333F">
      <w:pPr>
        <w:pStyle w:val="56"/>
        <w:spacing w:line="360" w:lineRule="auto"/>
        <w:ind w:firstLine="480"/>
        <w:rPr>
          <w:rFonts w:ascii="仿宋_GB2312" w:hAnsi="仿宋_GB2312" w:eastAsia="仿宋_GB2312" w:cs="仿宋_GB2312"/>
          <w:color w:val="auto"/>
          <w:sz w:val="24"/>
          <w:highlight w:val="none"/>
        </w:rPr>
      </w:pPr>
      <w:r>
        <w:rPr>
          <w:rFonts w:ascii="仿宋" w:hAnsi="仿宋" w:eastAsia="仿宋" w:cs="仿宋"/>
          <w:color w:val="auto"/>
          <w:sz w:val="24"/>
          <w:highlight w:val="none"/>
        </w:rPr>
        <w:br w:type="page"/>
      </w:r>
    </w:p>
    <w:p w14:paraId="52112952">
      <w:pPr>
        <w:adjustRightInd w:val="0"/>
        <w:snapToGrid w:val="0"/>
        <w:spacing w:line="300" w:lineRule="auto"/>
        <w:jc w:val="left"/>
        <w:rPr>
          <w:rFonts w:ascii="黑体" w:hAnsi="黑体" w:eastAsia="黑体"/>
          <w:color w:val="auto"/>
          <w:sz w:val="32"/>
          <w:szCs w:val="32"/>
          <w:highlight w:val="none"/>
        </w:rPr>
      </w:pPr>
      <w:r>
        <w:rPr>
          <w:rFonts w:hint="eastAsia" w:ascii="仿宋" w:hAnsi="仿宋" w:eastAsia="仿宋" w:cs="仿宋"/>
          <w:color w:val="auto"/>
          <w:sz w:val="24"/>
          <w:highlight w:val="none"/>
        </w:rPr>
        <w:t xml:space="preserve">附件3：                  </w:t>
      </w:r>
    </w:p>
    <w:p w14:paraId="4DCAC549">
      <w:pPr>
        <w:adjustRightInd w:val="0"/>
        <w:snapToGrid w:val="0"/>
        <w:spacing w:line="300" w:lineRule="auto"/>
        <w:ind w:firstLine="640"/>
        <w:jc w:val="center"/>
        <w:rPr>
          <w:rFonts w:ascii="黑体" w:hAnsi="黑体" w:eastAsia="黑体"/>
          <w:color w:val="auto"/>
          <w:sz w:val="32"/>
          <w:szCs w:val="32"/>
          <w:highlight w:val="none"/>
        </w:rPr>
      </w:pPr>
      <w:r>
        <w:rPr>
          <w:rFonts w:hint="eastAsia" w:ascii="黑体" w:hAnsi="黑体" w:eastAsia="黑体"/>
          <w:color w:val="auto"/>
          <w:sz w:val="28"/>
          <w:szCs w:val="28"/>
          <w:highlight w:val="none"/>
        </w:rPr>
        <w:t>施工现场管理协议</w:t>
      </w:r>
    </w:p>
    <w:p w14:paraId="29BA2F55">
      <w:pPr>
        <w:pStyle w:val="56"/>
        <w:spacing w:line="300" w:lineRule="auto"/>
        <w:ind w:firstLine="6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中国重汽集团济南动力有限公司</w:t>
      </w:r>
    </w:p>
    <w:p w14:paraId="32A0DABB">
      <w:pPr>
        <w:pStyle w:val="56"/>
        <w:spacing w:line="300" w:lineRule="auto"/>
        <w:ind w:firstLine="6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本次中标单位</w:t>
      </w:r>
    </w:p>
    <w:p w14:paraId="2D82C429">
      <w:pPr>
        <w:widowControl/>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为了切实加强施工现场管理，依照双方签订的施工承包合同，本着平等、自愿的原则，签订本协议书。甲、乙双方均须严格遵守本协议书规定的权利、责任和义务，确保现场安全文明施工。</w:t>
      </w:r>
    </w:p>
    <w:p w14:paraId="2912BC8C">
      <w:pPr>
        <w:widowControl/>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一、管理要求</w:t>
      </w:r>
    </w:p>
    <w:p w14:paraId="57CD19A1">
      <w:pPr>
        <w:widowControl/>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、施工现场周围设置封闭式硬质围挡，并做到坚固、稳定、整洁美观，将施工区域和非施工区域封闭隔离，原则上应设置不少于两个施工出入口。</w:t>
      </w:r>
    </w:p>
    <w:p w14:paraId="6505283C">
      <w:pPr>
        <w:widowControl/>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1A60B753">
      <w:pPr>
        <w:widowControl/>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428658B1">
      <w:pPr>
        <w:widowControl/>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、在施工现场禁烟区设立禁烟标志，禁烟区内严禁吸烟，保证地面无烟头。</w:t>
      </w:r>
    </w:p>
    <w:p w14:paraId="7A856B05">
      <w:pPr>
        <w:widowControl/>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7264F10E">
      <w:pPr>
        <w:widowControl/>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、办公区、生活区、材料堆放场、加工场、仓库区地面、工地内外通道必须作混凝土硬化处理。</w:t>
      </w:r>
    </w:p>
    <w:p w14:paraId="71F9B025">
      <w:pPr>
        <w:widowControl/>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7</w:t>
      </w:r>
      <w:r>
        <w:rPr>
          <w:rFonts w:hint="eastAsia" w:ascii="仿宋" w:hAnsi="仿宋" w:eastAsia="仿宋" w:cs="仿宋"/>
          <w:color w:val="auto"/>
          <w:sz w:val="24"/>
          <w:highlight w:val="none"/>
        </w:rPr>
        <w:t>、施工现场应按照施工总平面布置图搭设各项临时设施，定位堆放各种材料、成品、半成品和机械设备并进行标识，并码放整齐、限宽限高、上架入箱、分类挂牌标识，不得侵占场内道路及安全防护等设施。</w:t>
      </w:r>
    </w:p>
    <w:p w14:paraId="06BAF6B2">
      <w:pPr>
        <w:widowControl/>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8</w:t>
      </w:r>
      <w:r>
        <w:rPr>
          <w:rFonts w:hint="eastAsia" w:ascii="仿宋" w:hAnsi="仿宋" w:eastAsia="仿宋" w:cs="仿宋"/>
          <w:color w:val="auto"/>
          <w:sz w:val="24"/>
          <w:highlight w:val="none"/>
        </w:rPr>
        <w:t>、施工现场重要和危险部位必须设置明显的安全警示标志及围挡设施。施工现场的楼梯、电梯、预留口、通道、深基础、坑井、平台、屋面、楼面等一切容易坠落的临边临口必须设置有效的防护和警示设施。</w:t>
      </w:r>
    </w:p>
    <w:p w14:paraId="32D67543">
      <w:pPr>
        <w:widowControl/>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9</w:t>
      </w:r>
      <w:r>
        <w:rPr>
          <w:rFonts w:hint="eastAsia" w:ascii="仿宋" w:hAnsi="仿宋" w:eastAsia="仿宋" w:cs="仿宋"/>
          <w:color w:val="auto"/>
          <w:sz w:val="24"/>
          <w:highlight w:val="none"/>
        </w:rPr>
        <w:t>、建筑垃圾要及时清理，并设置垃圾池指定地点集中堆放；每日下班以前，施工区域必须进行清洁整理，物料码放整齐，废料及时清运，保证现场环境卫生整洁。</w:t>
      </w:r>
    </w:p>
    <w:p w14:paraId="3A563A64">
      <w:pPr>
        <w:widowControl/>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10</w:t>
      </w:r>
      <w:r>
        <w:rPr>
          <w:rFonts w:hint="eastAsia" w:ascii="仿宋" w:hAnsi="仿宋" w:eastAsia="仿宋" w:cs="仿宋"/>
          <w:color w:val="auto"/>
          <w:sz w:val="24"/>
          <w:highlight w:val="none"/>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3B202874">
      <w:pPr>
        <w:widowControl/>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11</w:t>
      </w:r>
      <w:r>
        <w:rPr>
          <w:rFonts w:hint="eastAsia" w:ascii="仿宋" w:hAnsi="仿宋" w:eastAsia="仿宋" w:cs="仿宋"/>
          <w:color w:val="auto"/>
          <w:sz w:val="24"/>
          <w:highlight w:val="none"/>
        </w:rPr>
        <w:t>、项目内必须实行“三级配电三级保护”，即总漏电保护、分配电箱漏电保护和开关箱漏电保护。临时用电设施的安装和使用必须符合安装规范和安全操作规程。</w:t>
      </w:r>
    </w:p>
    <w:p w14:paraId="4F3C1165">
      <w:pPr>
        <w:widowControl/>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12</w:t>
      </w:r>
      <w:r>
        <w:rPr>
          <w:rFonts w:hint="eastAsia" w:ascii="仿宋" w:hAnsi="仿宋" w:eastAsia="仿宋" w:cs="仿宋"/>
          <w:color w:val="auto"/>
          <w:sz w:val="24"/>
          <w:highlight w:val="none"/>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73EA7A08">
      <w:pPr>
        <w:widowControl/>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13</w:t>
      </w:r>
      <w:r>
        <w:rPr>
          <w:rFonts w:hint="eastAsia" w:ascii="仿宋" w:hAnsi="仿宋" w:eastAsia="仿宋" w:cs="仿宋"/>
          <w:color w:val="auto"/>
          <w:sz w:val="24"/>
          <w:highlight w:val="none"/>
        </w:rPr>
        <w:t>、施工现场的已有设备设施、地下管线、已完工程等，须采取成品保护措施，施工前提前告知报备，施工过程安排人员旁站监督，施工结束及时与相关方交接见证，严禁野蛮施工。</w:t>
      </w:r>
    </w:p>
    <w:p w14:paraId="395D3943">
      <w:pPr>
        <w:widowControl/>
        <w:spacing w:line="360" w:lineRule="auto"/>
        <w:ind w:firstLine="480" w:firstLineChars="200"/>
        <w:rPr>
          <w:rFonts w:hint="eastAsia" w:ascii="仿宋" w:hAnsi="仿宋" w:eastAsia="仿宋" w:cs="仿宋"/>
          <w:color w:val="auto"/>
          <w:sz w:val="24"/>
          <w:highlight w:val="none"/>
          <w:lang w:eastAsia="zh-CN"/>
        </w:rPr>
      </w:pPr>
      <w:r>
        <w:rPr>
          <w:rFonts w:ascii="仿宋" w:hAnsi="仿宋" w:eastAsia="仿宋" w:cs="仿宋"/>
          <w:color w:val="auto"/>
          <w:sz w:val="24"/>
          <w:highlight w:val="none"/>
        </w:rPr>
        <w:t>14</w:t>
      </w:r>
      <w:r>
        <w:rPr>
          <w:rFonts w:hint="eastAsia" w:ascii="仿宋" w:hAnsi="仿宋" w:eastAsia="仿宋" w:cs="仿宋"/>
          <w:color w:val="auto"/>
          <w:sz w:val="24"/>
          <w:highlight w:val="none"/>
        </w:rPr>
        <w:t>、工程竣工后，施工单位应当在一周内拆除围挡及临时设施，恢复场地原状，做到“工完料净、场地清”</w:t>
      </w:r>
      <w:r>
        <w:rPr>
          <w:rFonts w:hint="eastAsia" w:ascii="仿宋" w:hAnsi="仿宋" w:eastAsia="仿宋" w:cs="仿宋"/>
          <w:color w:val="auto"/>
          <w:sz w:val="24"/>
          <w:highlight w:val="none"/>
          <w:lang w:eastAsia="zh-CN"/>
        </w:rPr>
        <w:t>。</w:t>
      </w:r>
    </w:p>
    <w:p w14:paraId="790D9F8C">
      <w:pPr>
        <w:widowControl/>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二、责任考核</w:t>
      </w:r>
    </w:p>
    <w:p w14:paraId="7CD0E0C6">
      <w:pPr>
        <w:widowControl/>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对于违反上述施工现场管理标准的，发包人将视情节严重情况，依据双方承包合同和《基建项目考核管理办法》，给予承包人</w:t>
      </w:r>
      <w:r>
        <w:rPr>
          <w:rFonts w:ascii="仿宋" w:hAnsi="仿宋" w:eastAsia="仿宋" w:cs="仿宋"/>
          <w:color w:val="auto"/>
          <w:sz w:val="24"/>
          <w:highlight w:val="none"/>
        </w:rPr>
        <w:t>1000</w:t>
      </w:r>
      <w:r>
        <w:rPr>
          <w:rFonts w:hint="eastAsia" w:ascii="仿宋" w:hAnsi="仿宋" w:eastAsia="仿宋" w:cs="仿宋"/>
          <w:color w:val="auto"/>
          <w:sz w:val="24"/>
          <w:highlight w:val="none"/>
        </w:rPr>
        <w:t>-</w:t>
      </w:r>
      <w:r>
        <w:rPr>
          <w:rFonts w:ascii="仿宋" w:hAnsi="仿宋" w:eastAsia="仿宋" w:cs="仿宋"/>
          <w:color w:val="auto"/>
          <w:sz w:val="24"/>
          <w:highlight w:val="none"/>
        </w:rPr>
        <w:t>20000</w:t>
      </w:r>
      <w:r>
        <w:rPr>
          <w:rFonts w:hint="eastAsia" w:ascii="仿宋" w:hAnsi="仿宋" w:eastAsia="仿宋" w:cs="仿宋"/>
          <w:color w:val="auto"/>
          <w:sz w:val="24"/>
          <w:highlight w:val="none"/>
        </w:rPr>
        <w:t>元/项考核。</w:t>
      </w:r>
    </w:p>
    <w:p w14:paraId="56F5CE02">
      <w:pPr>
        <w:pStyle w:val="56"/>
        <w:spacing w:line="300" w:lineRule="auto"/>
        <w:ind w:firstLine="600"/>
        <w:rPr>
          <w:rFonts w:hint="eastAsia" w:ascii="仿宋" w:hAnsi="仿宋" w:eastAsia="仿宋" w:cs="仿宋"/>
          <w:color w:val="auto"/>
          <w:sz w:val="24"/>
          <w:szCs w:val="24"/>
          <w:highlight w:val="none"/>
          <w:lang w:val="en-US" w:eastAsia="zh-CN"/>
        </w:rPr>
      </w:pPr>
    </w:p>
    <w:p w14:paraId="771A9007">
      <w:pPr>
        <w:pStyle w:val="56"/>
        <w:spacing w:line="300" w:lineRule="auto"/>
        <w:ind w:firstLine="6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 xml:space="preserve">（盖章）：             </w:t>
      </w: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rPr>
        <w:t>（盖章）：</w:t>
      </w:r>
    </w:p>
    <w:p w14:paraId="4421E5AF">
      <w:pPr>
        <w:pStyle w:val="56"/>
        <w:spacing w:line="300" w:lineRule="auto"/>
        <w:ind w:firstLine="600"/>
        <w:rPr>
          <w:rFonts w:hint="eastAsia" w:ascii="仿宋" w:hAnsi="仿宋" w:eastAsia="仿宋" w:cs="仿宋"/>
          <w:color w:val="auto"/>
          <w:sz w:val="24"/>
          <w:szCs w:val="24"/>
          <w:highlight w:val="none"/>
        </w:rPr>
      </w:pPr>
    </w:p>
    <w:p w14:paraId="2080F725">
      <w:pPr>
        <w:pStyle w:val="56"/>
        <w:spacing w:line="300" w:lineRule="auto"/>
        <w:ind w:firstLine="6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授权代表（签字）：           授权代表（签字）：</w:t>
      </w:r>
    </w:p>
    <w:p w14:paraId="11BCB77D">
      <w:pPr>
        <w:pStyle w:val="56"/>
        <w:spacing w:line="300" w:lineRule="auto"/>
        <w:ind w:firstLine="600"/>
        <w:rPr>
          <w:rFonts w:hint="eastAsia" w:ascii="仿宋" w:hAnsi="仿宋" w:eastAsia="仿宋" w:cs="仿宋"/>
          <w:color w:val="auto"/>
          <w:sz w:val="24"/>
          <w:szCs w:val="24"/>
          <w:highlight w:val="none"/>
        </w:rPr>
      </w:pPr>
    </w:p>
    <w:p w14:paraId="08A4B2ED">
      <w:pPr>
        <w:pStyle w:val="56"/>
        <w:spacing w:line="300" w:lineRule="auto"/>
        <w:ind w:firstLine="600"/>
        <w:rPr>
          <w:rFonts w:hint="eastAsia" w:ascii="仿宋" w:hAnsi="仿宋" w:eastAsia="仿宋" w:cs="仿宋"/>
          <w:color w:val="auto"/>
          <w:sz w:val="24"/>
          <w:szCs w:val="24"/>
          <w:highlight w:val="none"/>
        </w:rPr>
      </w:pPr>
    </w:p>
    <w:p w14:paraId="25C0D485">
      <w:pPr>
        <w:pStyle w:val="56"/>
        <w:spacing w:line="300" w:lineRule="auto"/>
        <w:ind w:firstLine="600"/>
        <w:rPr>
          <w:rFonts w:hint="eastAsia" w:ascii="仿宋" w:hAnsi="仿宋" w:eastAsia="仿宋" w:cs="仿宋"/>
          <w:color w:val="auto"/>
          <w:sz w:val="24"/>
          <w:szCs w:val="24"/>
          <w:highlight w:val="none"/>
        </w:rPr>
      </w:pPr>
    </w:p>
    <w:p w14:paraId="24324B85">
      <w:pPr>
        <w:pStyle w:val="56"/>
        <w:spacing w:line="300" w:lineRule="auto"/>
        <w:ind w:firstLine="600"/>
        <w:rPr>
          <w:rFonts w:hint="eastAsia" w:ascii="仿宋" w:hAnsi="仿宋" w:eastAsia="仿宋" w:cs="仿宋"/>
          <w:color w:val="auto"/>
          <w:sz w:val="24"/>
          <w:szCs w:val="24"/>
          <w:highlight w:val="none"/>
        </w:rPr>
      </w:pPr>
    </w:p>
    <w:p w14:paraId="030710E4">
      <w:pPr>
        <w:pStyle w:val="56"/>
        <w:spacing w:line="300" w:lineRule="auto"/>
        <w:ind w:firstLine="600"/>
        <w:rPr>
          <w:rFonts w:hint="eastAsia" w:ascii="仿宋" w:hAnsi="仿宋" w:eastAsia="仿宋" w:cs="仿宋"/>
          <w:color w:val="auto"/>
          <w:sz w:val="24"/>
          <w:szCs w:val="24"/>
          <w:highlight w:val="none"/>
        </w:rPr>
      </w:pPr>
    </w:p>
    <w:p w14:paraId="4E5442B2">
      <w:pPr>
        <w:pStyle w:val="56"/>
        <w:spacing w:line="300" w:lineRule="auto"/>
        <w:ind w:firstLine="600"/>
        <w:rPr>
          <w:rFonts w:hint="eastAsia" w:ascii="仿宋" w:hAnsi="仿宋" w:eastAsia="仿宋" w:cs="仿宋"/>
          <w:color w:val="auto"/>
          <w:sz w:val="24"/>
          <w:szCs w:val="24"/>
          <w:highlight w:val="none"/>
        </w:rPr>
      </w:pPr>
    </w:p>
    <w:p w14:paraId="6DE32533">
      <w:pPr>
        <w:pStyle w:val="56"/>
        <w:spacing w:line="300" w:lineRule="auto"/>
        <w:ind w:firstLine="600"/>
        <w:rPr>
          <w:rFonts w:hint="eastAsia" w:ascii="仿宋" w:hAnsi="仿宋" w:eastAsia="仿宋" w:cs="仿宋"/>
          <w:color w:val="auto"/>
          <w:sz w:val="24"/>
          <w:szCs w:val="24"/>
          <w:highlight w:val="none"/>
        </w:rPr>
      </w:pPr>
    </w:p>
    <w:p w14:paraId="32E92461">
      <w:pPr>
        <w:pStyle w:val="56"/>
        <w:spacing w:line="300" w:lineRule="auto"/>
        <w:ind w:firstLine="600"/>
        <w:rPr>
          <w:rFonts w:hint="eastAsia" w:ascii="仿宋" w:hAnsi="仿宋" w:eastAsia="仿宋" w:cs="仿宋"/>
          <w:color w:val="auto"/>
          <w:sz w:val="24"/>
          <w:szCs w:val="24"/>
          <w:highlight w:val="none"/>
        </w:rPr>
      </w:pPr>
    </w:p>
    <w:p w14:paraId="59255212">
      <w:pPr>
        <w:pStyle w:val="56"/>
        <w:spacing w:line="300" w:lineRule="auto"/>
        <w:ind w:firstLine="600"/>
        <w:rPr>
          <w:rFonts w:hint="eastAsia" w:ascii="仿宋" w:hAnsi="仿宋" w:eastAsia="仿宋" w:cs="仿宋"/>
          <w:color w:val="auto"/>
          <w:sz w:val="24"/>
          <w:szCs w:val="24"/>
          <w:highlight w:val="none"/>
        </w:rPr>
      </w:pPr>
    </w:p>
    <w:p w14:paraId="5FC5B865">
      <w:pPr>
        <w:pStyle w:val="56"/>
        <w:spacing w:line="300" w:lineRule="auto"/>
        <w:ind w:firstLine="600"/>
        <w:rPr>
          <w:rFonts w:hint="eastAsia" w:ascii="仿宋" w:hAnsi="仿宋" w:eastAsia="仿宋" w:cs="仿宋"/>
          <w:color w:val="auto"/>
          <w:sz w:val="24"/>
          <w:szCs w:val="24"/>
          <w:highlight w:val="none"/>
        </w:rPr>
      </w:pPr>
    </w:p>
    <w:p w14:paraId="75D71C33">
      <w:pPr>
        <w:pStyle w:val="56"/>
        <w:spacing w:line="300" w:lineRule="auto"/>
        <w:ind w:firstLine="600"/>
        <w:rPr>
          <w:rFonts w:hint="eastAsia" w:ascii="仿宋" w:hAnsi="仿宋" w:eastAsia="仿宋" w:cs="仿宋"/>
          <w:color w:val="auto"/>
          <w:sz w:val="24"/>
          <w:szCs w:val="24"/>
          <w:highlight w:val="none"/>
        </w:rPr>
      </w:pPr>
    </w:p>
    <w:p w14:paraId="077DDC53">
      <w:pPr>
        <w:widowControl/>
        <w:spacing w:line="360" w:lineRule="auto"/>
        <w:ind w:firstLine="480" w:firstLineChars="200"/>
        <w:rPr>
          <w:rFonts w:ascii="仿宋" w:hAnsi="仿宋" w:eastAsia="仿宋" w:cs="仿宋"/>
          <w:color w:val="auto"/>
          <w:sz w:val="24"/>
          <w:highlight w:val="none"/>
        </w:rPr>
      </w:pPr>
    </w:p>
    <w:p w14:paraId="3578BDA4">
      <w:pPr>
        <w:adjustRightInd w:val="0"/>
        <w:snapToGrid w:val="0"/>
        <w:spacing w:line="440" w:lineRule="exact"/>
        <w:ind w:firstLine="360" w:firstLineChars="150"/>
        <w:jc w:val="left"/>
        <w:rPr>
          <w:rFonts w:ascii="仿宋" w:hAnsi="仿宋" w:eastAsia="仿宋" w:cs="仿宋"/>
          <w:color w:val="auto"/>
          <w:sz w:val="24"/>
          <w:highlight w:val="none"/>
        </w:rPr>
      </w:pPr>
      <w:r>
        <w:rPr>
          <w:rFonts w:ascii="仿宋" w:hAnsi="仿宋" w:eastAsia="仿宋" w:cs="仿宋"/>
          <w:color w:val="auto"/>
          <w:sz w:val="24"/>
          <w:highlight w:val="none"/>
        </w:rPr>
        <w:br w:type="page"/>
      </w:r>
    </w:p>
    <w:p w14:paraId="7A7DF97C">
      <w:pPr>
        <w:adjustRightInd w:val="0"/>
        <w:snapToGrid w:val="0"/>
        <w:spacing w:line="440" w:lineRule="exact"/>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附件</w:t>
      </w:r>
      <w:r>
        <w:rPr>
          <w:rFonts w:hint="eastAsia" w:ascii="仿宋" w:hAnsi="仿宋" w:eastAsia="仿宋" w:cs="仿宋"/>
          <w:color w:val="auto"/>
          <w:sz w:val="28"/>
          <w:szCs w:val="28"/>
          <w:highlight w:val="none"/>
          <w:lang w:val="en-US" w:eastAsia="zh-CN"/>
        </w:rPr>
        <w:t>4</w:t>
      </w:r>
    </w:p>
    <w:p w14:paraId="14F9B2FC">
      <w:pPr>
        <w:adjustRightInd w:val="0"/>
        <w:snapToGrid w:val="0"/>
        <w:spacing w:line="360" w:lineRule="auto"/>
        <w:jc w:val="center"/>
        <w:rPr>
          <w:rFonts w:ascii="黑体" w:hAnsi="黑体" w:eastAsia="黑体" w:cs="仿宋"/>
          <w:color w:val="auto"/>
          <w:sz w:val="28"/>
          <w:szCs w:val="28"/>
          <w:highlight w:val="none"/>
        </w:rPr>
      </w:pPr>
      <w:r>
        <w:rPr>
          <w:rFonts w:hint="eastAsia" w:ascii="黑体" w:hAnsi="黑体" w:eastAsia="黑体" w:cs="仿宋"/>
          <w:color w:val="auto"/>
          <w:sz w:val="28"/>
          <w:szCs w:val="28"/>
          <w:highlight w:val="none"/>
        </w:rPr>
        <w:t>项目考核管理（细则）协议</w:t>
      </w:r>
    </w:p>
    <w:p w14:paraId="2230A90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发包人：</w:t>
      </w:r>
      <w:r>
        <w:rPr>
          <w:rFonts w:hint="eastAsia" w:ascii="仿宋" w:hAnsi="仿宋" w:eastAsia="仿宋" w:cs="仿宋"/>
          <w:color w:val="auto"/>
          <w:sz w:val="24"/>
          <w:highlight w:val="none"/>
          <w:lang w:eastAsia="zh-CN"/>
        </w:rPr>
        <w:t>中国重汽集团济南动力有限公司</w:t>
      </w:r>
      <w:r>
        <w:rPr>
          <w:rFonts w:hint="eastAsia" w:ascii="仿宋" w:hAnsi="仿宋" w:eastAsia="仿宋" w:cs="仿宋"/>
          <w:color w:val="auto"/>
          <w:sz w:val="24"/>
          <w:highlight w:val="none"/>
        </w:rPr>
        <w:t xml:space="preserve">                         </w:t>
      </w:r>
    </w:p>
    <w:p w14:paraId="6D97774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承包人： </w:t>
      </w:r>
      <w:r>
        <w:rPr>
          <w:rFonts w:hint="eastAsia" w:ascii="仿宋" w:hAnsi="仿宋" w:eastAsia="仿宋" w:cs="仿宋"/>
          <w:color w:val="auto"/>
          <w:sz w:val="24"/>
          <w:highlight w:val="none"/>
          <w:lang w:eastAsia="zh-CN"/>
        </w:rPr>
        <w:t>本次中标单位</w:t>
      </w:r>
      <w:r>
        <w:rPr>
          <w:rFonts w:hint="eastAsia" w:ascii="仿宋" w:hAnsi="仿宋" w:eastAsia="仿宋" w:cs="仿宋"/>
          <w:color w:val="auto"/>
          <w:sz w:val="24"/>
          <w:highlight w:val="none"/>
        </w:rPr>
        <w:t xml:space="preserve">                        </w:t>
      </w:r>
    </w:p>
    <w:p w14:paraId="52606B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双方同意执行以下考核细则，具体如下：</w:t>
      </w:r>
    </w:p>
    <w:p w14:paraId="043E059D">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一、施工进度考核</w:t>
      </w:r>
    </w:p>
    <w:p w14:paraId="535062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6CE2904F">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1.2施工计划编制质量差，屡次整改达不到要求的，处以2000-5000元/次考核。</w:t>
      </w:r>
    </w:p>
    <w:p w14:paraId="233D5979">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1.3周计划进度、专项计划进度、各控制点进度的子项任务未按计划完成，且无正当理由延期的，每一项拖延一天，处以2000-10000元/天/项考核。</w:t>
      </w:r>
    </w:p>
    <w:p w14:paraId="6F251DB2">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1.4里程碑节点滞后的，按照合同约定的违约条款，处以不低于合同额的万分之三/天且不低于1万元/天考核。</w:t>
      </w:r>
    </w:p>
    <w:p w14:paraId="3D3E8F69">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1.5施工单位为完成进度计划应制定有效的保证措施，包括人、料、机等资源投入，作业时间调整等，对人、料、机投入不能满足施工进度计划要求并对工程进度造成潜在影响的，处以5000-10000元考核。</w:t>
      </w:r>
    </w:p>
    <w:p w14:paraId="7E21E7BF">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1.6工程进度滞后，现场项目部安排加班抢工，对施工单位不响应抢工要求的，不组织工人机械加班抢工的，处以20000-50000元/天考核。</w:t>
      </w:r>
    </w:p>
    <w:p w14:paraId="43086131">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1.7对于临时工作任务，经现场项目部以书面工作联系单的形式向施工单位发出工作指令，要求限期完成，施工单位无正当理由未按期完成的，每拖延一天处以5000-20000元/天考核。 </w:t>
      </w:r>
    </w:p>
    <w:p w14:paraId="32142289">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1.8在周例会或专题会议上，现场项目部要求限期完成的工作任务，施工单位无正当理由未按时完成的，每拖延一天处以5000-20000元/天/项考核。</w:t>
      </w:r>
    </w:p>
    <w:p w14:paraId="185D5F87">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1.9施工进度滞后，对组织抢工措施不力，消极应对、采取考核措施仍不见效的施工单位，将采取公司发函、约谈责任单位企业负责人，情节严重的将列入黑名单，取消今后项目招标入围资格。</w:t>
      </w:r>
    </w:p>
    <w:p w14:paraId="71E56863">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二、施工安全文明考核</w:t>
      </w:r>
    </w:p>
    <w:p w14:paraId="19AD06D1">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2.1项目部或监理单位下达的书面整改文件（包括各类通知单、联系单、会议要求等）未按要求时间整改完毕的，每拖延一天处以5000-20000元/天考核。</w:t>
      </w:r>
    </w:p>
    <w:p w14:paraId="28DB0C3C">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2.2对不按时参加现场组织的安全周、月及专项检查的，处以2000-5000元/次考核。</w:t>
      </w:r>
    </w:p>
    <w:p w14:paraId="73A10B79">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2.3“三宝四口”措施不到位，对不正确使用或不使用安全帽、安全带的，予以500元/人·次考核。对“四口”存在的安全隐患，督促后仍未整改的，予以5000元/处考核，并每拖延一天处以10000元考核。        </w:t>
      </w:r>
    </w:p>
    <w:p w14:paraId="75EF8877">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2.4特种作业未能持证上岗、未办理动火审批手续、消防器材未配备到位、施工人员未佩戴安全帽、安全绳、高空作业防护不到位、施工现场吸烟等违规行为，每发现一处，处以2000-5000元考核。</w:t>
      </w:r>
    </w:p>
    <w:p w14:paraId="297D2F5C">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2.5施工单位应每日工完料净，施工垃圾集中清运，道路遗撒污染、施工垃圾及包装物乱堆乱弃等现象，每发现一处，处以2000-10000元考核。</w:t>
      </w:r>
    </w:p>
    <w:p w14:paraId="124992D4">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2.6对抑尘措施不到位，发生扬尘现象的，处以2000-10000元/次考核；对被环保、渣土办部门处罚的，除相关处罚所有费用均由施工单位承担外，建设单位对施工单位予以加倍处罚。</w:t>
      </w:r>
    </w:p>
    <w:p w14:paraId="082FEA52">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76A7897F">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三、施工质量考核</w:t>
      </w:r>
    </w:p>
    <w:p w14:paraId="4E2414D7">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3.1未按要求执行样品样板开路的或擅自更换材料品牌的，处以5000-50000元/次罚金。</w:t>
      </w:r>
    </w:p>
    <w:p w14:paraId="368075A7">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3.2进场材料不合格，进行退场处理并予以警告，重新进场后经检查仍不合格的或材料进场发生两次及以上不合格的，处以5000-20000元/次考核。</w:t>
      </w:r>
    </w:p>
    <w:p w14:paraId="23EBB8E0">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3.3未经验收，擅自进入下道工序施工的，处以5000～20000元/次考核。</w:t>
      </w:r>
    </w:p>
    <w:p w14:paraId="607F4F03">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3.4对于质量问题不按监理工程师通知单要求整改，擅自进行下一步施工的处以5000～10000元/项考核。在接到监理通知后未在通知时间内完成整改的，处以2000～10000元/项考核。</w:t>
      </w:r>
    </w:p>
    <w:p w14:paraId="23F826E1">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3.5隐蔽工程未经监理单位检查验收擅自隐蔽的，须打开或拆除后重新检查，并处以5000～20000元/次考核。</w:t>
      </w:r>
    </w:p>
    <w:p w14:paraId="1D174269">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3.6同一部位、同一施工质量问题，签发第二份整改通知单的，予以加倍处罚，处以20000～50000元/项考核。</w:t>
      </w:r>
    </w:p>
    <w:p w14:paraId="6AC22199">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3.7对于发生较大、重大质量事故的造成严重影响的，除限期整改、返工并承担损失责任外，另处以10万-20万元/项考核。     </w:t>
      </w:r>
    </w:p>
    <w:p w14:paraId="23B59AA1">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四、其他事项</w:t>
      </w:r>
    </w:p>
    <w:p w14:paraId="095C9B71">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4.1对未按时参加会议、工作执行不力、工作质量不达要求的，视情节严重程度，对责任单位处以1000-5000元/次考核。</w:t>
      </w:r>
    </w:p>
    <w:p w14:paraId="76AF4CF4">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4.2现场施工的质量、进度、安全等发生的考核，由监理单位（如有）出具，经总监理工程师签字盖章后报送现场项目部负责人签字盖章后即为生效</w:t>
      </w:r>
    </w:p>
    <w:p w14:paraId="19094F87">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4.3监理单位或技改项目部应于每月20日汇总当月累计考核单，并在各单位当月形象进度款中扣除或从合同履约保函（保证金）中扣除。</w:t>
      </w:r>
    </w:p>
    <w:p w14:paraId="74D92B8B">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4.4对已经发生的考核，若经积极采取措施，最终完成进度节点或整改结果满足合同及项目部要求的，可视情况予以减免、取消。</w:t>
      </w:r>
    </w:p>
    <w:p w14:paraId="16395011">
      <w:pPr>
        <w:adjustRightInd w:val="0"/>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4.5若经采取考核措施后责任单位仍然消极应对、效果不明显，发包人项目部将采取约谈企业负责人、书面发函等措施，情节严重的将列入发包人供方黑名单。</w:t>
      </w:r>
    </w:p>
    <w:p w14:paraId="384A8B29">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4.6各单位按本规定受处罚后并不免除按法律法规和合同应承担的有关责任。</w:t>
      </w:r>
    </w:p>
    <w:p w14:paraId="5A267E2A">
      <w:pPr>
        <w:outlineLvl w:val="9"/>
        <w:rPr>
          <w:color w:val="auto"/>
          <w:highlight w:val="none"/>
        </w:rPr>
      </w:pPr>
    </w:p>
    <w:p w14:paraId="6CF07E08">
      <w:pPr>
        <w:pStyle w:val="25"/>
      </w:pPr>
    </w:p>
    <w:p w14:paraId="0B576E80">
      <w:pPr>
        <w:pStyle w:val="56"/>
        <w:spacing w:line="300" w:lineRule="auto"/>
        <w:ind w:firstLine="6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 xml:space="preserve">（盖章）：             </w:t>
      </w: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rPr>
        <w:t>（盖章）：</w:t>
      </w:r>
    </w:p>
    <w:p w14:paraId="5EE95BD4">
      <w:pPr>
        <w:pStyle w:val="56"/>
        <w:spacing w:line="300" w:lineRule="auto"/>
        <w:ind w:firstLine="600"/>
        <w:rPr>
          <w:rFonts w:hint="eastAsia" w:ascii="仿宋" w:hAnsi="仿宋" w:eastAsia="仿宋" w:cs="仿宋"/>
          <w:color w:val="auto"/>
          <w:sz w:val="24"/>
          <w:szCs w:val="24"/>
          <w:highlight w:val="none"/>
        </w:rPr>
      </w:pPr>
    </w:p>
    <w:p w14:paraId="28414650">
      <w:pPr>
        <w:pStyle w:val="56"/>
        <w:spacing w:line="300" w:lineRule="auto"/>
        <w:ind w:firstLine="6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授权代表（签字）：           授权代表（签字）：</w:t>
      </w:r>
    </w:p>
    <w:p w14:paraId="2D06D1D2">
      <w:pPr>
        <w:pStyle w:val="56"/>
        <w:spacing w:line="300" w:lineRule="auto"/>
        <w:ind w:firstLine="600"/>
        <w:rPr>
          <w:rFonts w:hint="eastAsia" w:ascii="仿宋" w:hAnsi="仿宋" w:eastAsia="仿宋" w:cs="仿宋"/>
          <w:color w:val="auto"/>
          <w:sz w:val="24"/>
          <w:szCs w:val="24"/>
          <w:highlight w:val="none"/>
        </w:rPr>
      </w:pPr>
    </w:p>
    <w:p w14:paraId="18FD054B">
      <w:pPr>
        <w:pStyle w:val="56"/>
        <w:spacing w:line="300" w:lineRule="auto"/>
        <w:ind w:firstLine="600"/>
        <w:rPr>
          <w:rFonts w:hint="eastAsia" w:ascii="仿宋" w:hAnsi="仿宋" w:eastAsia="仿宋" w:cs="仿宋"/>
          <w:color w:val="auto"/>
          <w:sz w:val="24"/>
          <w:szCs w:val="24"/>
          <w:highlight w:val="none"/>
        </w:rPr>
      </w:pPr>
    </w:p>
    <w:p w14:paraId="24D445B0">
      <w:pPr>
        <w:pStyle w:val="56"/>
        <w:spacing w:line="300" w:lineRule="auto"/>
        <w:ind w:firstLine="600"/>
        <w:rPr>
          <w:rFonts w:hint="eastAsia" w:ascii="仿宋" w:hAnsi="仿宋" w:eastAsia="仿宋" w:cs="仿宋"/>
          <w:color w:val="auto"/>
          <w:sz w:val="24"/>
          <w:szCs w:val="24"/>
          <w:highlight w:val="none"/>
        </w:rPr>
      </w:pPr>
    </w:p>
    <w:p w14:paraId="57D7F62A">
      <w:pPr>
        <w:pStyle w:val="56"/>
        <w:spacing w:line="300" w:lineRule="auto"/>
        <w:ind w:firstLine="600"/>
        <w:rPr>
          <w:rFonts w:hint="eastAsia" w:ascii="仿宋" w:hAnsi="仿宋" w:eastAsia="仿宋" w:cs="仿宋"/>
          <w:color w:val="auto"/>
          <w:sz w:val="24"/>
          <w:szCs w:val="24"/>
          <w:highlight w:val="none"/>
        </w:rPr>
      </w:pPr>
    </w:p>
    <w:p w14:paraId="2587D1E2">
      <w:pPr>
        <w:pStyle w:val="56"/>
        <w:spacing w:line="300" w:lineRule="auto"/>
        <w:ind w:firstLine="600"/>
        <w:rPr>
          <w:rFonts w:hint="eastAsia" w:ascii="仿宋" w:hAnsi="仿宋" w:eastAsia="仿宋" w:cs="仿宋"/>
          <w:color w:val="auto"/>
          <w:sz w:val="24"/>
          <w:szCs w:val="24"/>
          <w:highlight w:val="none"/>
        </w:rPr>
      </w:pPr>
    </w:p>
    <w:p w14:paraId="08F171CD">
      <w:pPr>
        <w:pStyle w:val="56"/>
        <w:spacing w:line="300" w:lineRule="auto"/>
        <w:ind w:firstLine="600"/>
        <w:rPr>
          <w:rFonts w:hint="eastAsia" w:ascii="仿宋" w:hAnsi="仿宋" w:eastAsia="仿宋" w:cs="仿宋"/>
          <w:color w:val="auto"/>
          <w:sz w:val="24"/>
          <w:szCs w:val="24"/>
          <w:highlight w:val="none"/>
        </w:rPr>
      </w:pPr>
    </w:p>
    <w:p w14:paraId="56263BBF">
      <w:pPr>
        <w:pStyle w:val="56"/>
        <w:spacing w:line="300" w:lineRule="auto"/>
        <w:ind w:firstLine="600"/>
        <w:rPr>
          <w:rFonts w:hint="eastAsia" w:ascii="仿宋" w:hAnsi="仿宋" w:eastAsia="仿宋" w:cs="仿宋"/>
          <w:color w:val="auto"/>
          <w:sz w:val="24"/>
          <w:szCs w:val="24"/>
          <w:highlight w:val="none"/>
        </w:rPr>
      </w:pPr>
    </w:p>
    <w:p w14:paraId="1111EEA4">
      <w:pPr>
        <w:pStyle w:val="56"/>
        <w:spacing w:line="300" w:lineRule="auto"/>
        <w:ind w:firstLine="600"/>
        <w:rPr>
          <w:rFonts w:hint="eastAsia" w:ascii="仿宋" w:hAnsi="仿宋" w:eastAsia="仿宋" w:cs="仿宋"/>
          <w:color w:val="auto"/>
          <w:sz w:val="24"/>
          <w:szCs w:val="24"/>
          <w:highlight w:val="none"/>
        </w:rPr>
      </w:pPr>
    </w:p>
    <w:p w14:paraId="2E94FB97">
      <w:pPr>
        <w:pStyle w:val="56"/>
        <w:spacing w:line="300" w:lineRule="auto"/>
        <w:ind w:firstLine="600"/>
        <w:rPr>
          <w:rFonts w:hint="eastAsia" w:ascii="仿宋" w:hAnsi="仿宋" w:eastAsia="仿宋" w:cs="仿宋"/>
          <w:color w:val="auto"/>
          <w:sz w:val="24"/>
          <w:szCs w:val="24"/>
          <w:highlight w:val="none"/>
        </w:rPr>
      </w:pPr>
    </w:p>
    <w:p w14:paraId="67C248BF">
      <w:pPr>
        <w:pStyle w:val="56"/>
        <w:spacing w:line="300" w:lineRule="auto"/>
        <w:ind w:firstLine="600"/>
        <w:rPr>
          <w:rFonts w:hint="eastAsia" w:ascii="仿宋" w:hAnsi="仿宋" w:eastAsia="仿宋" w:cs="仿宋"/>
          <w:color w:val="auto"/>
          <w:sz w:val="24"/>
          <w:szCs w:val="24"/>
          <w:highlight w:val="none"/>
        </w:rPr>
      </w:pPr>
    </w:p>
    <w:p w14:paraId="3A14B571">
      <w:pPr>
        <w:pStyle w:val="56"/>
        <w:spacing w:line="300" w:lineRule="auto"/>
        <w:ind w:firstLine="600"/>
        <w:rPr>
          <w:rFonts w:hint="eastAsia" w:ascii="仿宋" w:hAnsi="仿宋" w:eastAsia="仿宋" w:cs="仿宋"/>
          <w:color w:val="auto"/>
          <w:sz w:val="24"/>
          <w:szCs w:val="24"/>
          <w:highlight w:val="none"/>
        </w:rPr>
      </w:pPr>
    </w:p>
    <w:p w14:paraId="4D78A21B">
      <w:pPr>
        <w:pStyle w:val="56"/>
        <w:spacing w:line="300" w:lineRule="auto"/>
        <w:ind w:firstLine="600"/>
        <w:rPr>
          <w:rFonts w:hint="eastAsia" w:ascii="仿宋" w:hAnsi="仿宋" w:eastAsia="仿宋" w:cs="仿宋"/>
          <w:color w:val="auto"/>
          <w:sz w:val="24"/>
          <w:szCs w:val="24"/>
          <w:highlight w:val="none"/>
        </w:rPr>
      </w:pPr>
    </w:p>
    <w:p w14:paraId="0E9187BE">
      <w:pPr>
        <w:pStyle w:val="56"/>
        <w:spacing w:line="300" w:lineRule="auto"/>
        <w:ind w:firstLine="600"/>
        <w:rPr>
          <w:rFonts w:hint="eastAsia" w:ascii="仿宋" w:hAnsi="仿宋" w:eastAsia="仿宋" w:cs="仿宋"/>
          <w:color w:val="auto"/>
          <w:sz w:val="24"/>
          <w:szCs w:val="24"/>
          <w:highlight w:val="none"/>
        </w:rPr>
      </w:pPr>
    </w:p>
    <w:p w14:paraId="5494894C">
      <w:pPr>
        <w:pStyle w:val="56"/>
        <w:spacing w:line="300" w:lineRule="auto"/>
        <w:ind w:firstLine="600"/>
        <w:rPr>
          <w:rFonts w:hint="eastAsia" w:ascii="仿宋" w:hAnsi="仿宋" w:eastAsia="仿宋" w:cs="仿宋"/>
          <w:color w:val="auto"/>
          <w:sz w:val="24"/>
          <w:szCs w:val="24"/>
          <w:highlight w:val="none"/>
        </w:rPr>
      </w:pPr>
    </w:p>
    <w:p w14:paraId="6DB14122">
      <w:pPr>
        <w:pStyle w:val="56"/>
        <w:spacing w:line="300" w:lineRule="auto"/>
        <w:ind w:firstLine="600"/>
        <w:rPr>
          <w:rFonts w:hint="eastAsia" w:ascii="仿宋" w:hAnsi="仿宋" w:eastAsia="仿宋" w:cs="仿宋"/>
          <w:color w:val="auto"/>
          <w:sz w:val="24"/>
          <w:szCs w:val="24"/>
          <w:highlight w:val="none"/>
        </w:rPr>
      </w:pPr>
    </w:p>
    <w:p w14:paraId="02E719F3">
      <w:pPr>
        <w:pStyle w:val="56"/>
        <w:spacing w:line="300" w:lineRule="auto"/>
        <w:ind w:firstLine="600"/>
        <w:rPr>
          <w:rFonts w:hint="eastAsia" w:ascii="仿宋" w:hAnsi="仿宋" w:eastAsia="仿宋" w:cs="仿宋"/>
          <w:color w:val="auto"/>
          <w:sz w:val="24"/>
          <w:szCs w:val="24"/>
          <w:highlight w:val="none"/>
        </w:rPr>
      </w:pPr>
    </w:p>
    <w:p w14:paraId="2A6F6320">
      <w:pPr>
        <w:pStyle w:val="56"/>
        <w:spacing w:line="300" w:lineRule="auto"/>
        <w:ind w:firstLine="600"/>
        <w:rPr>
          <w:rFonts w:hint="eastAsia" w:ascii="仿宋" w:hAnsi="仿宋" w:eastAsia="仿宋" w:cs="仿宋"/>
          <w:color w:val="auto"/>
          <w:sz w:val="24"/>
          <w:szCs w:val="24"/>
          <w:highlight w:val="none"/>
        </w:rPr>
      </w:pPr>
    </w:p>
    <w:p w14:paraId="16E11FCD">
      <w:pPr>
        <w:pStyle w:val="56"/>
        <w:spacing w:line="300" w:lineRule="auto"/>
        <w:ind w:firstLine="600"/>
        <w:rPr>
          <w:rFonts w:hint="eastAsia" w:ascii="仿宋" w:hAnsi="仿宋" w:eastAsia="仿宋" w:cs="仿宋"/>
          <w:color w:val="auto"/>
          <w:sz w:val="24"/>
          <w:szCs w:val="24"/>
          <w:highlight w:val="none"/>
        </w:rPr>
      </w:pPr>
    </w:p>
    <w:p w14:paraId="11F207C4">
      <w:pPr>
        <w:autoSpaceDE w:val="0"/>
        <w:autoSpaceDN w:val="0"/>
        <w:adjustRightInd w:val="0"/>
        <w:spacing w:line="520" w:lineRule="exact"/>
        <w:rPr>
          <w:rFonts w:ascii="仿宋" w:hAnsi="仿宋" w:eastAsia="仿宋" w:cs="仿宋"/>
          <w:color w:val="auto"/>
          <w:sz w:val="24"/>
          <w:highlight w:val="none"/>
        </w:rPr>
      </w:pPr>
    </w:p>
    <w:p w14:paraId="358CBA3D">
      <w:pPr>
        <w:rPr>
          <w:rFonts w:ascii="仿宋" w:hAnsi="仿宋" w:eastAsia="仿宋" w:cs="仿宋"/>
          <w:color w:val="auto"/>
          <w:sz w:val="24"/>
          <w:highlight w:val="none"/>
        </w:rPr>
      </w:pPr>
    </w:p>
    <w:p w14:paraId="16B51836">
      <w:pPr>
        <w:ind w:firstLine="420"/>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0038EC41">
      <w:pP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附件</w:t>
      </w:r>
      <w:r>
        <w:rPr>
          <w:rFonts w:hint="eastAsia" w:ascii="仿宋" w:hAnsi="仿宋" w:eastAsia="仿宋" w:cs="仿宋"/>
          <w:color w:val="auto"/>
          <w:sz w:val="24"/>
          <w:highlight w:val="none"/>
          <w:lang w:val="en-US" w:eastAsia="zh-CN"/>
        </w:rPr>
        <w:t>5</w:t>
      </w:r>
    </w:p>
    <w:p w14:paraId="4FF71A18">
      <w:pPr>
        <w:spacing w:before="156" w:beforeLines="50" w:after="156" w:afterLines="50" w:line="440" w:lineRule="exact"/>
        <w:jc w:val="center"/>
        <w:rPr>
          <w:rFonts w:eastAsia="黑体"/>
          <w:color w:val="auto"/>
          <w:sz w:val="28"/>
          <w:szCs w:val="28"/>
          <w:highlight w:val="none"/>
        </w:rPr>
      </w:pPr>
      <w:r>
        <w:rPr>
          <w:rFonts w:hint="eastAsia" w:eastAsia="黑体"/>
          <w:color w:val="auto"/>
          <w:sz w:val="28"/>
          <w:szCs w:val="28"/>
          <w:highlight w:val="none"/>
        </w:rPr>
        <w:t>廉洁诚信协议</w:t>
      </w:r>
    </w:p>
    <w:p w14:paraId="524AB192">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中国重汽集团济南动力有限公司</w:t>
      </w:r>
    </w:p>
    <w:p w14:paraId="779B0239">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本次中标单位</w:t>
      </w:r>
    </w:p>
    <w:p w14:paraId="2DAAD223">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14:paraId="231F9DD1">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1.甲乙双方应当共同遵守国家、地方法律法规以及本协议的约定，在合同的订立、履行过程中廉洁自律，绝不弄虚作假、以次充好，虚结虚算。</w:t>
      </w:r>
    </w:p>
    <w:p w14:paraId="58BB9A71">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14599994">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虽实际工作但领取明显超出同职级标准薪酬。（若乙方为甲方新合作伙伴，如在本协议签订前乙方存在本条规定情形的，需在本协议签订后30日内，将相关情况报甲方所属重汽集团纪委、监察部门备案）。</w:t>
      </w:r>
    </w:p>
    <w:p w14:paraId="178E9B5B">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2C9E4A26">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5.乙方承诺不以任何理由为甲方人员及其配偶、子女及其配偶等亲属和其他特定关系人提供如下：</w:t>
      </w:r>
    </w:p>
    <w:p w14:paraId="5A06E2FE">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a)赠送礼品、礼金、消费卡（券）、购物卡、充值卡、信用卡和有价证券、股权、其他金融产品等财物和其他贵重物品；</w:t>
      </w:r>
    </w:p>
    <w:p w14:paraId="49746862">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b)报销个人费用或以讲课费、课题费、咨询费等名义支付费用；</w:t>
      </w:r>
    </w:p>
    <w:p w14:paraId="5A4D86AC">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c)以洽谈业务、签订合同等为借口宴请或邀请外出旅游、健身、娱乐和进入营业性娱乐场所；</w:t>
      </w:r>
    </w:p>
    <w:p w14:paraId="77397481">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d)购置或提供通讯、交通工具、钱款、住房、车辆等或提供通过民间借贷等金融助其获得大额回报；</w:t>
      </w:r>
    </w:p>
    <w:p w14:paraId="132E0967">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e)住房装修、婚丧嫁娶、家属和子女的工作安排以及出国等提供任何金钱或非金钱方式的资助或帮助；</w:t>
      </w:r>
    </w:p>
    <w:p w14:paraId="434E9130">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f)吸收存款、推销金融产品、经营名贵特产类资源等提供帮助谋取利益；</w:t>
      </w:r>
    </w:p>
    <w:p w14:paraId="101F9201">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g)其他可能影响甲方人员公平、公正的履行职权或者履行职责的情形。</w:t>
      </w:r>
    </w:p>
    <w:p w14:paraId="065ECB54">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6.乙方应当通过正常途径开展相关业务，决不为谋取不正当利益诱使甲方人员就采购、服务或销售、经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00AC935E">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7.若乙方发现甲方人员或其配偶、子女及其配偶等亲属和其他特定关系人有任何形式的索贿受贿行为，乙方有责任向甲方所属重汽集团纪委、监察部门举报（举报电话：0531-58062233，举报邮箱：jianchabu@sinotruk.com）。甲方不得以任何借口对乙方进行报复。对举报属实和严格遵守廉洁协议的乙方，在同等条件下甲方优先考虑与乙方继续合作并给予更优惠的商务合作条件。</w:t>
      </w:r>
    </w:p>
    <w:p w14:paraId="6BF1CC0D">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8.若乙方知悉其它与甲方合作的供应商、服务商或采购商、经销商等合作伙伴存在违反本协议规定之行为，乙方应向甲方或甲方所属重汽集团纪委、监察部门检举并提供证据。</w:t>
      </w:r>
    </w:p>
    <w:p w14:paraId="4C8DEA54">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9.乙方承诺在双方业务往来期间，不得对甲方人员采取任何手段使其离开甲方到乙方或乙方关联企业任职，若出现上述情况，则属于乙方违约，应承担给甲方造成的一切损失。</w:t>
      </w:r>
    </w:p>
    <w:p w14:paraId="20674349">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10.乙方承诺不聘任甲方内退领导干部或其他人员在乙方或乙方关联企业工作；乙方承诺不聘任甲方离职或退休三年内的领导干部或其他人员在乙方或乙方关联企业工作。</w:t>
      </w:r>
    </w:p>
    <w:p w14:paraId="66E7FA7C">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59FC020">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6D709780">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B3E74E4">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1E2FA0B">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53BDA03">
      <w:pPr>
        <w:pStyle w:val="56"/>
        <w:tabs>
          <w:tab w:val="left" w:pos="1244"/>
        </w:tabs>
        <w:adjustRightInd w:val="0"/>
        <w:spacing w:line="360" w:lineRule="auto"/>
        <w:ind w:firstLine="472"/>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14.本协议作为执行甲乙双方采购协议或其他合作合同、协议的附件，自双方签署之日起生效，此协议在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87FA608">
      <w:pPr>
        <w:snapToGrid w:val="0"/>
        <w:spacing w:line="360" w:lineRule="auto"/>
        <w:ind w:firstLine="472" w:firstLineChars="200"/>
        <w:rPr>
          <w:rFonts w:hint="eastAsia" w:ascii="仿宋" w:hAnsi="仿宋" w:eastAsia="仿宋" w:cs="仿宋"/>
          <w:color w:val="auto"/>
          <w:spacing w:val="-2"/>
          <w:sz w:val="24"/>
          <w:highlight w:val="none"/>
        </w:rPr>
      </w:pPr>
      <w:r>
        <w:rPr>
          <w:rFonts w:hint="eastAsia" w:ascii="仿宋" w:hAnsi="仿宋" w:eastAsia="仿宋" w:cs="仿宋"/>
          <w:color w:val="auto"/>
          <w:spacing w:val="-2"/>
          <w:sz w:val="24"/>
          <w:highlight w:val="none"/>
        </w:rPr>
        <w:t>15.本协议一式二份，双方各执一份，具有同等法律效力。若产生争议，双方协商解决，协商不成的在甲方所在地有管辖权的法院诉讼解决。</w:t>
      </w:r>
    </w:p>
    <w:p w14:paraId="2DAEA206">
      <w:pPr>
        <w:pStyle w:val="56"/>
        <w:spacing w:line="30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甲方（盖章）：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乙方（盖章）：</w:t>
      </w:r>
    </w:p>
    <w:p w14:paraId="2C868D68">
      <w:pPr>
        <w:pStyle w:val="56"/>
        <w:spacing w:line="300" w:lineRule="auto"/>
        <w:ind w:firstLine="600"/>
        <w:rPr>
          <w:rFonts w:hint="eastAsia" w:ascii="仿宋" w:hAnsi="仿宋" w:eastAsia="仿宋" w:cs="仿宋"/>
          <w:color w:val="auto"/>
          <w:sz w:val="24"/>
          <w:szCs w:val="24"/>
          <w:highlight w:val="none"/>
        </w:rPr>
      </w:pPr>
    </w:p>
    <w:p w14:paraId="2D64071C">
      <w:pPr>
        <w:pStyle w:val="56"/>
        <w:spacing w:line="300" w:lineRule="auto"/>
        <w:ind w:firstLine="6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法人/授权代表（签字）：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法人/授权代表（签字）：</w:t>
      </w:r>
    </w:p>
    <w:p w14:paraId="16EBA6BB">
      <w:pPr>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14:paraId="7674B684">
      <w:pP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附件</w:t>
      </w:r>
      <w:r>
        <w:rPr>
          <w:rFonts w:hint="eastAsia" w:ascii="仿宋" w:hAnsi="仿宋" w:eastAsia="仿宋" w:cs="仿宋"/>
          <w:color w:val="auto"/>
          <w:sz w:val="24"/>
          <w:highlight w:val="none"/>
          <w:lang w:val="en-US" w:eastAsia="zh-CN"/>
        </w:rPr>
        <w:t>6</w:t>
      </w:r>
    </w:p>
    <w:p w14:paraId="499FB930">
      <w:pPr>
        <w:spacing w:before="156" w:beforeLines="50" w:after="156" w:afterLines="50" w:line="440" w:lineRule="exact"/>
        <w:ind w:firstLine="56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保密协议</w:t>
      </w:r>
    </w:p>
    <w:bookmarkEnd w:id="101"/>
    <w:bookmarkEnd w:id="102"/>
    <w:p w14:paraId="1996D967">
      <w:pPr>
        <w:pStyle w:val="56"/>
        <w:spacing w:line="30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本协议由以下双方于 </w:t>
      </w:r>
      <w:r>
        <w:rPr>
          <w:rFonts w:hint="eastAsia" w:ascii="仿宋" w:hAnsi="仿宋" w:eastAsia="仿宋" w:cs="仿宋"/>
          <w:color w:val="auto"/>
          <w:sz w:val="24"/>
          <w:highlight w:val="none"/>
          <w:u w:val="single"/>
        </w:rPr>
        <w:t xml:space="preserve"> </w:t>
      </w:r>
      <w:r>
        <w:rPr>
          <w:rFonts w:hint="eastAsia" w:ascii="仿宋" w:hAnsi="仿宋" w:eastAsia="仿宋" w:cs="仿宋"/>
          <w:i/>
          <w:iCs/>
          <w:color w:val="auto"/>
          <w:sz w:val="24"/>
          <w:highlight w:val="none"/>
          <w:u w:val="single"/>
        </w:rPr>
        <w:t>山东省济南市</w:t>
      </w:r>
      <w:r>
        <w:rPr>
          <w:rFonts w:hint="eastAsia" w:ascii="仿宋" w:hAnsi="仿宋" w:eastAsia="仿宋" w:cs="仿宋"/>
          <w:color w:val="auto"/>
          <w:sz w:val="24"/>
          <w:highlight w:val="none"/>
          <w:u w:val="single"/>
        </w:rPr>
        <w:t xml:space="preserve"> </w:t>
      </w:r>
      <w:r>
        <w:rPr>
          <w:rFonts w:hint="eastAsia" w:ascii="仿宋" w:hAnsi="仿宋" w:eastAsia="仿宋" w:cs="仿宋"/>
          <w:bCs/>
          <w:color w:val="auto"/>
          <w:sz w:val="24"/>
          <w:highlight w:val="none"/>
        </w:rPr>
        <w:t xml:space="preserve"> 共同签署：</w:t>
      </w:r>
    </w:p>
    <w:p w14:paraId="63686FCD">
      <w:pPr>
        <w:pStyle w:val="56"/>
        <w:spacing w:line="300" w:lineRule="auto"/>
        <w:rPr>
          <w:rFonts w:hint="default" w:ascii="仿宋" w:hAnsi="仿宋" w:eastAsia="仿宋" w:cs="仿宋"/>
          <w:bCs/>
          <w:color w:val="auto"/>
          <w:sz w:val="24"/>
          <w:highlight w:val="none"/>
          <w:u w:val="single"/>
          <w:lang w:val="en-US"/>
        </w:rPr>
      </w:pPr>
      <w:r>
        <w:rPr>
          <w:rFonts w:hint="eastAsia" w:ascii="仿宋" w:hAnsi="仿宋" w:eastAsia="仿宋" w:cs="仿宋"/>
          <w:bCs/>
          <w:color w:val="auto"/>
          <w:sz w:val="24"/>
          <w:highlight w:val="none"/>
        </w:rPr>
        <w:t>甲方</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发包人</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color w:val="auto"/>
          <w:sz w:val="24"/>
          <w:szCs w:val="24"/>
          <w:highlight w:val="none"/>
          <w:u w:val="single"/>
          <w:lang w:eastAsia="zh-CN"/>
        </w:rPr>
        <w:t>中国重汽集团济南动力有限公司</w:t>
      </w:r>
      <w:r>
        <w:rPr>
          <w:rFonts w:hint="eastAsia" w:ascii="仿宋" w:hAnsi="仿宋" w:eastAsia="仿宋" w:cs="仿宋"/>
          <w:color w:val="auto"/>
          <w:sz w:val="24"/>
          <w:szCs w:val="24"/>
          <w:highlight w:val="none"/>
          <w:u w:val="single"/>
          <w:lang w:val="en-US" w:eastAsia="zh-CN"/>
        </w:rPr>
        <w:t xml:space="preserve"> </w:t>
      </w:r>
    </w:p>
    <w:p w14:paraId="1033C710">
      <w:pPr>
        <w:pStyle w:val="56"/>
        <w:spacing w:line="300" w:lineRule="auto"/>
        <w:rPr>
          <w:rFonts w:hint="eastAsia" w:ascii="仿宋" w:hAnsi="仿宋" w:eastAsia="仿宋" w:cs="仿宋"/>
          <w:bCs/>
          <w:color w:val="auto"/>
          <w:sz w:val="24"/>
          <w:highlight w:val="none"/>
          <w:u w:val="single"/>
          <w:lang w:val="en-US" w:eastAsia="zh-CN"/>
        </w:rPr>
      </w:pPr>
      <w:r>
        <w:rPr>
          <w:rFonts w:hint="eastAsia" w:ascii="仿宋" w:hAnsi="仿宋" w:eastAsia="仿宋" w:cs="仿宋"/>
          <w:bCs/>
          <w:color w:val="auto"/>
          <w:sz w:val="24"/>
          <w:highlight w:val="none"/>
        </w:rPr>
        <w:t>公司住所：</w:t>
      </w:r>
      <w:r>
        <w:rPr>
          <w:rFonts w:hint="eastAsia" w:ascii="仿宋" w:hAnsi="仿宋" w:eastAsia="仿宋" w:cs="仿宋"/>
          <w:bCs/>
          <w:color w:val="auto"/>
          <w:sz w:val="24"/>
          <w:highlight w:val="none"/>
          <w:u w:val="single"/>
          <w:lang w:val="en-US" w:eastAsia="zh-CN"/>
        </w:rPr>
        <w:t xml:space="preserve">                   </w:t>
      </w:r>
    </w:p>
    <w:p w14:paraId="79220E3B">
      <w:pPr>
        <w:pStyle w:val="56"/>
        <w:spacing w:line="30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法定代表人：</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rPr>
        <w:t xml:space="preserve"> </w:t>
      </w:r>
    </w:p>
    <w:p w14:paraId="2B3F6C1D">
      <w:pPr>
        <w:pStyle w:val="56"/>
        <w:spacing w:line="300" w:lineRule="auto"/>
        <w:rPr>
          <w:rFonts w:hint="eastAsia" w:ascii="仿宋" w:hAnsi="仿宋" w:eastAsia="仿宋" w:cs="仿宋"/>
          <w:bCs/>
          <w:color w:val="auto"/>
          <w:sz w:val="24"/>
          <w:highlight w:val="none"/>
        </w:rPr>
      </w:pPr>
    </w:p>
    <w:p w14:paraId="156DECCA">
      <w:pPr>
        <w:spacing w:line="360" w:lineRule="auto"/>
        <w:ind w:firstLine="480" w:firstLineChars="200"/>
        <w:rPr>
          <w:rFonts w:hint="default" w:ascii="仿宋" w:hAnsi="仿宋" w:eastAsia="仿宋" w:cs="仿宋"/>
          <w:bCs/>
          <w:color w:val="auto"/>
          <w:sz w:val="24"/>
          <w:highlight w:val="none"/>
          <w:u w:val="single"/>
          <w:lang w:val="en-US"/>
        </w:rPr>
      </w:pPr>
      <w:r>
        <w:rPr>
          <w:rFonts w:hint="eastAsia" w:ascii="仿宋" w:hAnsi="仿宋" w:eastAsia="仿宋" w:cs="仿宋"/>
          <w:bCs/>
          <w:color w:val="auto"/>
          <w:sz w:val="24"/>
          <w:highlight w:val="none"/>
        </w:rPr>
        <w:t>乙方</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承包人</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color w:val="auto"/>
          <w:sz w:val="24"/>
          <w:szCs w:val="24"/>
          <w:highlight w:val="none"/>
          <w:u w:val="single"/>
          <w:lang w:eastAsia="zh-CN"/>
        </w:rPr>
        <w:t>本次中标单位</w:t>
      </w:r>
      <w:r>
        <w:rPr>
          <w:rFonts w:hint="eastAsia" w:ascii="仿宋" w:hAnsi="仿宋" w:eastAsia="仿宋" w:cs="仿宋"/>
          <w:color w:val="auto"/>
          <w:sz w:val="24"/>
          <w:szCs w:val="24"/>
          <w:highlight w:val="none"/>
          <w:u w:val="single"/>
          <w:lang w:val="en-US" w:eastAsia="zh-CN"/>
        </w:rPr>
        <w:t xml:space="preserve"> </w:t>
      </w:r>
    </w:p>
    <w:p w14:paraId="6169C31A">
      <w:pPr>
        <w:pStyle w:val="56"/>
        <w:spacing w:line="300" w:lineRule="auto"/>
        <w:rPr>
          <w:rFonts w:hint="default" w:ascii="仿宋" w:hAnsi="仿宋" w:eastAsia="仿宋" w:cs="仿宋"/>
          <w:bCs/>
          <w:color w:val="auto"/>
          <w:sz w:val="24"/>
          <w:highlight w:val="none"/>
          <w:u w:val="single"/>
          <w:lang w:val="en-US" w:eastAsia="zh-CN"/>
        </w:rPr>
      </w:pPr>
      <w:r>
        <w:rPr>
          <w:rFonts w:hint="eastAsia" w:ascii="仿宋" w:hAnsi="仿宋" w:eastAsia="仿宋" w:cs="仿宋"/>
          <w:bCs/>
          <w:color w:val="auto"/>
          <w:sz w:val="24"/>
          <w:highlight w:val="none"/>
        </w:rPr>
        <w:t>公司住所：</w:t>
      </w:r>
      <w:r>
        <w:rPr>
          <w:rFonts w:hint="eastAsia" w:ascii="仿宋" w:hAnsi="仿宋" w:eastAsia="仿宋" w:cs="仿宋"/>
          <w:bCs/>
          <w:color w:val="auto"/>
          <w:sz w:val="24"/>
          <w:highlight w:val="none"/>
          <w:u w:val="single"/>
          <w:lang w:val="en-US" w:eastAsia="zh-CN"/>
        </w:rPr>
        <w:t xml:space="preserve">                    </w:t>
      </w:r>
    </w:p>
    <w:p w14:paraId="6945DFF7">
      <w:pPr>
        <w:pStyle w:val="56"/>
        <w:spacing w:line="300" w:lineRule="auto"/>
        <w:rPr>
          <w:rFonts w:hint="eastAsia" w:ascii="仿宋" w:hAnsi="仿宋" w:eastAsia="仿宋" w:cs="仿宋"/>
          <w:bCs/>
          <w:color w:val="auto"/>
          <w:sz w:val="24"/>
          <w:highlight w:val="none"/>
          <w:u w:val="single"/>
          <w:lang w:val="en-US" w:eastAsia="zh-CN"/>
        </w:rPr>
      </w:pPr>
      <w:r>
        <w:rPr>
          <w:rFonts w:hint="eastAsia" w:ascii="仿宋" w:hAnsi="仿宋" w:eastAsia="仿宋" w:cs="仿宋"/>
          <w:bCs/>
          <w:color w:val="auto"/>
          <w:sz w:val="24"/>
          <w:highlight w:val="none"/>
        </w:rPr>
        <w:t>法定代表人：</w:t>
      </w:r>
      <w:r>
        <w:rPr>
          <w:rFonts w:hint="eastAsia" w:ascii="仿宋" w:hAnsi="仿宋" w:eastAsia="仿宋" w:cs="仿宋"/>
          <w:bCs/>
          <w:color w:val="auto"/>
          <w:sz w:val="24"/>
          <w:highlight w:val="none"/>
          <w:u w:val="single"/>
          <w:lang w:val="en-US" w:eastAsia="zh-CN"/>
        </w:rPr>
        <w:t xml:space="preserve">                   </w:t>
      </w:r>
    </w:p>
    <w:p w14:paraId="5FBC12CC">
      <w:pPr>
        <w:pStyle w:val="56"/>
        <w:spacing w:line="300" w:lineRule="auto"/>
        <w:rPr>
          <w:rFonts w:hint="default" w:ascii="仿宋" w:hAnsi="仿宋" w:eastAsia="仿宋" w:cs="仿宋"/>
          <w:bCs/>
          <w:color w:val="auto"/>
          <w:sz w:val="24"/>
          <w:highlight w:val="none"/>
          <w:u w:val="single"/>
          <w:lang w:val="en-US" w:eastAsia="zh-CN"/>
        </w:rPr>
      </w:pPr>
    </w:p>
    <w:p w14:paraId="21EB0FDB">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甲乙双方需开展</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bCs/>
          <w:color w:val="auto"/>
          <w:sz w:val="24"/>
          <w:highlight w:val="none"/>
        </w:rPr>
        <w:t>项目合作。出于该合作目的，甲方已经或将要向乙方提供有关项目的保密信息。经平等协商，双方自愿签订协议如下：</w:t>
      </w:r>
    </w:p>
    <w:p w14:paraId="35FB9B58">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第一条 定义</w:t>
      </w:r>
    </w:p>
    <w:p w14:paraId="23096DC9">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保密信息”指甲方现在或将来向乙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53FF1417">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2、信息提供方：甲方</w:t>
      </w:r>
    </w:p>
    <w:p w14:paraId="764F1112">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3、信息接受方：乙方</w:t>
      </w:r>
    </w:p>
    <w:p w14:paraId="12642E42">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4、第三方：指本协议双方之外的任何第三方。</w:t>
      </w:r>
    </w:p>
    <w:p w14:paraId="6F1B304A">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5、关联公司：直接或间接控制一方，或者受控于该方，或者与该方共同处于控制之下的任何第三方。</w:t>
      </w:r>
    </w:p>
    <w:p w14:paraId="471B6E95">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第二条 保密信息的提供</w:t>
      </w:r>
    </w:p>
    <w:p w14:paraId="5AE135CC">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1、本协议所述之保密信息均由协议双方为洽谈合作事项之目的而提供。</w:t>
      </w:r>
    </w:p>
    <w:p w14:paraId="25FF0E72">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2、保密信息的所有权及知识产权归属于甲方或甲方具有合法来源。</w:t>
      </w:r>
    </w:p>
    <w:p w14:paraId="4FF798FD">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3、本协议任何条款均不视为将保密信息的所有权和其他权利转让给乙方。</w:t>
      </w:r>
    </w:p>
    <w:p w14:paraId="0EFA3D9F">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第三条 保密义务</w:t>
      </w:r>
    </w:p>
    <w:p w14:paraId="18006AB9">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1、乙方仅能将甲方提供的保密信息用于本协议所约定的项目并承担保密义务。</w:t>
      </w:r>
    </w:p>
    <w:p w14:paraId="7C4E5A9F">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62733FD6">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73763293">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1A5FD609">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0E285EC6">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6、乙方应遵从甲方不时发出的有关使用、处理和保管保密信息的任何指令或政策，并按照甲方的要求将本协议项下保密信息的使用情况向甲方汇报。 </w:t>
      </w:r>
    </w:p>
    <w:p w14:paraId="3B199697">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7、乙方不得为第三方利益使用保密信息，不得非为实现双方合作目的使用保密信息，不得对保密信息采取任何反向工程、反向编译或反向分解等行为。</w:t>
      </w:r>
    </w:p>
    <w:p w14:paraId="32AFD3CB">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8、双方合作期间形成的与本协议有关的任何信息和数据受本协议约束。</w:t>
      </w:r>
    </w:p>
    <w:p w14:paraId="618965A3">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在本协议签订后，甲方仅将保密信息向乙方指定联系人：</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进行披露，如乙方联系人发生变更，应立即书面通知甲方并做出新的授权。</w:t>
      </w:r>
    </w:p>
    <w:p w14:paraId="29FA5829">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第四条 保密义务的例外</w:t>
      </w:r>
    </w:p>
    <w:p w14:paraId="34BEAE34">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1、根据有关法律或有管辖权的法院、仲裁机构、交易所或政府机构的要求而披露保密信息。</w:t>
      </w:r>
    </w:p>
    <w:p w14:paraId="03ADB9F6">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2、事先取得甲方书面同意而公开的信息。</w:t>
      </w:r>
    </w:p>
    <w:p w14:paraId="1DDF856B">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披露该等保密信息之前，乙方应当立即通知甲方，并提供有关该等命令的通知，协同甲方采取有效措施防范风险。</w:t>
      </w:r>
    </w:p>
    <w:p w14:paraId="06C14457">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第五条 保密信息的返还</w:t>
      </w:r>
    </w:p>
    <w:p w14:paraId="7E5AF51A">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根据甲方要求或乙方违约时，乙方应立即在甲方要求的时间内向甲方返还所有保密信息并不得保存副本，包括但不限于储存于计算机磁盘、CD-ROM驱动、CD-ROM、硬盘、软件或任何纸质媒介的材料及其备份。因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同时乙方应向甲方出具已经归还或销毁全部材料的书面承诺。</w:t>
      </w:r>
    </w:p>
    <w:p w14:paraId="14BCFABD">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第六条 保密期限</w:t>
      </w:r>
    </w:p>
    <w:p w14:paraId="08300968">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除本协议双方另有约定外，本协议的保密期限自甲方提供保密信息之日起至本协议所述保密信息向公众披露或为公众所知悉之日止。</w:t>
      </w:r>
    </w:p>
    <w:p w14:paraId="0F4BC9B7">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第七条 违约责任</w:t>
      </w:r>
    </w:p>
    <w:p w14:paraId="07D234D6">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6C209A6D">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317B2387">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3、在各种情况下，双方一致认为甲方的损失均应被视为最少不低于</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u w:val="single"/>
          <w:lang w:val="en-US" w:eastAsia="zh-CN"/>
        </w:rPr>
        <w:t xml:space="preserve">10 </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 xml:space="preserve">万元。 </w:t>
      </w:r>
    </w:p>
    <w:p w14:paraId="4D2AB4F2">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4、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7E8B59F2">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第八条 适用法律及争议的解决</w:t>
      </w:r>
    </w:p>
    <w:p w14:paraId="1B97E831">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本协议受中国现行有效的法律管辖，因本协议引起的或与本协议有关的任何争议，应由双方先行协商解决，协商不成的，由甲方所在地法院诉讼解决。</w:t>
      </w:r>
    </w:p>
    <w:p w14:paraId="765CE1FE">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第九条 继续有效 </w:t>
      </w:r>
    </w:p>
    <w:p w14:paraId="17A4C734">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如果本协议有任何条款或部分因任何原因被判定为无效或不可执行，本协议其他条款不应受到影响，在法律允许的范围内继续具有完全效力。</w:t>
      </w:r>
    </w:p>
    <w:p w14:paraId="4155D566">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第十条 协议生效</w:t>
      </w:r>
    </w:p>
    <w:p w14:paraId="3F20AA7F">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1、协议双方同意，本协议于双方签署之日起生效。但是如果本协议签订前存在甲方向乙方提供保密信息的，也适用本协议。 </w:t>
      </w:r>
    </w:p>
    <w:p w14:paraId="4DAAD855">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2、协议双方对本协议内容的修改或补充，应采用书面形式订立补充协议，补充协议经双方签署生效，成为本协议的有效组成部份、与本协议具有同等法律效力。</w:t>
      </w:r>
    </w:p>
    <w:p w14:paraId="0C0D4CA8">
      <w:pPr>
        <w:pStyle w:val="56"/>
        <w:spacing w:line="300" w:lineRule="auto"/>
        <w:ind w:firstLine="6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3、本协议正本一式三份，甲方执两份，乙方执一份，具有同等法律效力。</w:t>
      </w:r>
    </w:p>
    <w:p w14:paraId="1935A1C5">
      <w:pPr>
        <w:pStyle w:val="56"/>
        <w:spacing w:line="300" w:lineRule="auto"/>
        <w:ind w:firstLine="600"/>
        <w:rPr>
          <w:rFonts w:hint="eastAsia" w:ascii="仿宋" w:hAnsi="仿宋" w:eastAsia="仿宋" w:cs="仿宋"/>
          <w:color w:val="auto"/>
          <w:sz w:val="24"/>
          <w:szCs w:val="24"/>
          <w:highlight w:val="none"/>
        </w:rPr>
      </w:pPr>
      <w:r>
        <w:rPr>
          <w:rFonts w:hint="eastAsia" w:ascii="仿宋" w:hAnsi="仿宋" w:eastAsia="仿宋" w:cs="仿宋"/>
          <w:bCs/>
          <w:color w:val="auto"/>
          <w:sz w:val="24"/>
          <w:highlight w:val="none"/>
        </w:rPr>
        <w:t>兹此，双方已促使本协议由各自正式授权代表签署或加盖双方公章或合同专用章。</w:t>
      </w:r>
    </w:p>
    <w:p w14:paraId="26D996A6">
      <w:pPr>
        <w:pStyle w:val="56"/>
        <w:spacing w:line="300" w:lineRule="auto"/>
        <w:ind w:left="0" w:leftChars="0" w:firstLine="0" w:firstLineChars="0"/>
        <w:rPr>
          <w:rFonts w:hint="eastAsia" w:ascii="仿宋" w:hAnsi="仿宋" w:eastAsia="仿宋" w:cs="仿宋"/>
          <w:color w:val="auto"/>
          <w:sz w:val="24"/>
          <w:szCs w:val="24"/>
          <w:highlight w:val="none"/>
        </w:rPr>
      </w:pPr>
    </w:p>
    <w:p w14:paraId="6173911E">
      <w:pPr>
        <w:pStyle w:val="56"/>
        <w:spacing w:line="300" w:lineRule="auto"/>
        <w:ind w:firstLine="6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甲方（盖章）：               乙方（盖章）：</w:t>
      </w:r>
    </w:p>
    <w:p w14:paraId="36CA23F8">
      <w:pPr>
        <w:pStyle w:val="56"/>
        <w:spacing w:line="300" w:lineRule="auto"/>
        <w:ind w:firstLine="600"/>
        <w:rPr>
          <w:rFonts w:hint="eastAsia" w:ascii="仿宋" w:hAnsi="仿宋" w:eastAsia="仿宋" w:cs="仿宋"/>
          <w:color w:val="auto"/>
          <w:sz w:val="24"/>
          <w:szCs w:val="24"/>
          <w:highlight w:val="none"/>
        </w:rPr>
      </w:pPr>
    </w:p>
    <w:p w14:paraId="76958E8E">
      <w:pPr>
        <w:pStyle w:val="56"/>
        <w:spacing w:line="300" w:lineRule="auto"/>
        <w:ind w:firstLine="6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法人/授权代表（签字）：      法人/授权代表（签字）：</w:t>
      </w:r>
    </w:p>
    <w:p w14:paraId="3CDA9373">
      <w:pPr>
        <w:pStyle w:val="56"/>
        <w:spacing w:line="300" w:lineRule="auto"/>
        <w:ind w:firstLine="600"/>
        <w:rPr>
          <w:rFonts w:hint="eastAsia" w:ascii="仿宋" w:hAnsi="仿宋" w:eastAsia="仿宋" w:cs="仿宋"/>
          <w:color w:val="auto"/>
          <w:sz w:val="24"/>
          <w:szCs w:val="24"/>
          <w:highlight w:val="none"/>
        </w:rPr>
      </w:pPr>
    </w:p>
    <w:p w14:paraId="24E297DE">
      <w:pPr>
        <w:pStyle w:val="56"/>
        <w:spacing w:line="300" w:lineRule="auto"/>
        <w:ind w:firstLine="600"/>
        <w:rPr>
          <w:rFonts w:hint="eastAsia" w:ascii="仿宋" w:hAnsi="仿宋" w:eastAsia="仿宋" w:cs="仿宋"/>
          <w:color w:val="auto"/>
          <w:sz w:val="24"/>
          <w:szCs w:val="24"/>
          <w:highlight w:val="none"/>
        </w:rPr>
      </w:pPr>
    </w:p>
    <w:p w14:paraId="3B34334B">
      <w:pPr>
        <w:pStyle w:val="56"/>
        <w:spacing w:line="300" w:lineRule="auto"/>
        <w:ind w:firstLine="600"/>
        <w:rPr>
          <w:rFonts w:hint="eastAsia" w:ascii="仿宋" w:hAnsi="仿宋" w:eastAsia="仿宋" w:cs="仿宋"/>
          <w:color w:val="auto"/>
          <w:sz w:val="24"/>
          <w:szCs w:val="24"/>
          <w:highlight w:val="none"/>
        </w:rPr>
      </w:pPr>
    </w:p>
    <w:p w14:paraId="7FD68829">
      <w:pPr>
        <w:pStyle w:val="56"/>
        <w:spacing w:line="300" w:lineRule="auto"/>
        <w:ind w:firstLine="600"/>
        <w:rPr>
          <w:rFonts w:hint="eastAsia" w:ascii="仿宋" w:hAnsi="仿宋" w:eastAsia="仿宋" w:cs="仿宋"/>
          <w:color w:val="auto"/>
          <w:sz w:val="24"/>
          <w:szCs w:val="24"/>
          <w:highlight w:val="none"/>
        </w:rPr>
      </w:pPr>
    </w:p>
    <w:p w14:paraId="4C677090">
      <w:pPr>
        <w:pStyle w:val="56"/>
        <w:spacing w:line="300" w:lineRule="auto"/>
        <w:ind w:firstLine="600"/>
        <w:rPr>
          <w:rFonts w:hint="eastAsia" w:ascii="仿宋" w:hAnsi="仿宋" w:eastAsia="仿宋" w:cs="仿宋"/>
          <w:color w:val="auto"/>
          <w:sz w:val="24"/>
          <w:szCs w:val="24"/>
          <w:highlight w:val="none"/>
        </w:rPr>
      </w:pPr>
    </w:p>
    <w:p w14:paraId="6E6FC676">
      <w:pPr>
        <w:pStyle w:val="56"/>
        <w:spacing w:line="300" w:lineRule="auto"/>
        <w:ind w:firstLine="600"/>
        <w:rPr>
          <w:rFonts w:hint="eastAsia" w:ascii="仿宋" w:hAnsi="仿宋" w:eastAsia="仿宋" w:cs="仿宋"/>
          <w:color w:val="auto"/>
          <w:sz w:val="24"/>
          <w:szCs w:val="24"/>
          <w:highlight w:val="none"/>
        </w:rPr>
      </w:pPr>
    </w:p>
    <w:p w14:paraId="5F58F987">
      <w:pPr>
        <w:rPr>
          <w:rStyle w:val="47"/>
          <w:rFonts w:hint="eastAsia" w:ascii="仿宋" w:hAnsi="仿宋" w:eastAsia="仿宋" w:cs="仿宋"/>
          <w:b w:val="0"/>
          <w:bCs w:val="0"/>
          <w:color w:val="auto"/>
          <w:sz w:val="28"/>
          <w:szCs w:val="28"/>
          <w:highlight w:val="none"/>
          <w:lang w:val="en-US" w:eastAsia="zh-CN"/>
        </w:rPr>
      </w:pPr>
    </w:p>
    <w:p w14:paraId="2F516E97">
      <w:pPr>
        <w:pStyle w:val="21"/>
        <w:jc w:val="center"/>
        <w:rPr>
          <w:rFonts w:hint="eastAsia" w:ascii="宋体" w:hAnsi="宋体"/>
          <w:i w:val="0"/>
          <w:iCs w:val="0"/>
        </w:rPr>
      </w:pPr>
      <w:r>
        <w:rPr>
          <w:rFonts w:hint="eastAsia" w:ascii="宋体" w:hAnsi="宋体"/>
          <w:i w:val="0"/>
          <w:iCs w:val="0"/>
        </w:rPr>
        <w:br w:type="page"/>
      </w:r>
    </w:p>
    <w:p w14:paraId="7002E8CD">
      <w:pPr>
        <w:pStyle w:val="4"/>
        <w:spacing w:before="0" w:after="0" w:line="360" w:lineRule="auto"/>
        <w:jc w:val="center"/>
        <w:rPr>
          <w:rFonts w:ascii="宋体" w:hAnsi="宋体"/>
          <w:i w:val="0"/>
          <w:iCs w:val="0"/>
        </w:rPr>
      </w:pPr>
      <w:bookmarkStart w:id="108" w:name="_Toc18901"/>
      <w:r>
        <w:rPr>
          <w:rFonts w:hint="eastAsia" w:ascii="宋体" w:hAnsi="宋体"/>
          <w:i w:val="0"/>
          <w:iCs w:val="0"/>
        </w:rPr>
        <w:t xml:space="preserve">第五章 </w:t>
      </w:r>
      <w:bookmarkEnd w:id="87"/>
      <w:bookmarkEnd w:id="88"/>
      <w:r>
        <w:rPr>
          <w:rFonts w:hint="eastAsia" w:ascii="宋体" w:hAnsi="宋体"/>
          <w:i w:val="0"/>
          <w:iCs w:val="0"/>
        </w:rPr>
        <w:t>投标报价要求</w:t>
      </w:r>
      <w:bookmarkEnd w:id="89"/>
      <w:bookmarkEnd w:id="90"/>
      <w:bookmarkEnd w:id="91"/>
      <w:bookmarkEnd w:id="92"/>
      <w:bookmarkEnd w:id="93"/>
      <w:bookmarkEnd w:id="94"/>
      <w:bookmarkEnd w:id="95"/>
      <w:bookmarkEnd w:id="96"/>
      <w:bookmarkEnd w:id="97"/>
      <w:bookmarkEnd w:id="98"/>
      <w:bookmarkEnd w:id="108"/>
    </w:p>
    <w:p w14:paraId="63BE7740">
      <w:pPr>
        <w:pStyle w:val="5"/>
        <w:bidi w:val="0"/>
      </w:pPr>
      <w:bookmarkStart w:id="109" w:name="_Toc13861"/>
      <w:bookmarkStart w:id="110" w:name="_Toc30645"/>
      <w:bookmarkStart w:id="111" w:name="_Toc12962"/>
      <w:bookmarkStart w:id="112" w:name="_Toc16179"/>
      <w:bookmarkStart w:id="113" w:name="_Toc13043"/>
      <w:bookmarkStart w:id="114" w:name="_Toc22551"/>
      <w:bookmarkStart w:id="115" w:name="_Toc29049"/>
      <w:bookmarkStart w:id="116" w:name="_Toc10292"/>
      <w:bookmarkStart w:id="117" w:name="_Toc13478"/>
      <w:bookmarkStart w:id="118" w:name="_Toc32090"/>
      <w:bookmarkStart w:id="119" w:name="_Toc15712"/>
      <w:bookmarkStart w:id="120" w:name="_Toc31115"/>
      <w:bookmarkStart w:id="121" w:name="_Toc246997085"/>
      <w:bookmarkStart w:id="122" w:name="_Toc247085857"/>
      <w:bookmarkStart w:id="123" w:name="_Toc460268094"/>
      <w:bookmarkStart w:id="124" w:name="_Toc483482271"/>
      <w:bookmarkStart w:id="125" w:name="_Toc152045774"/>
      <w:bookmarkStart w:id="126" w:name="_Toc485293292"/>
      <w:bookmarkStart w:id="127" w:name="_Toc144974836"/>
      <w:bookmarkStart w:id="128" w:name="_Toc179632791"/>
      <w:bookmarkStart w:id="129" w:name="_Toc246996342"/>
      <w:bookmarkStart w:id="130" w:name="_Toc294124225"/>
      <w:bookmarkStart w:id="131" w:name="_Toc446768885"/>
      <w:bookmarkStart w:id="132" w:name="_Toc152042556"/>
      <w:r>
        <w:rPr>
          <w:rFonts w:hint="eastAsia"/>
        </w:rPr>
        <w:t>1 工程量清单部分</w:t>
      </w:r>
      <w:bookmarkEnd w:id="109"/>
      <w:bookmarkEnd w:id="110"/>
      <w:bookmarkEnd w:id="111"/>
      <w:bookmarkEnd w:id="112"/>
      <w:bookmarkEnd w:id="113"/>
      <w:bookmarkEnd w:id="114"/>
      <w:bookmarkEnd w:id="115"/>
      <w:bookmarkEnd w:id="116"/>
      <w:bookmarkEnd w:id="117"/>
      <w:bookmarkEnd w:id="118"/>
      <w:bookmarkEnd w:id="119"/>
      <w:bookmarkEnd w:id="120"/>
    </w:p>
    <w:p w14:paraId="14794DB1">
      <w:pPr>
        <w:spacing w:after="120" w:line="360" w:lineRule="auto"/>
        <w:ind w:firstLine="422" w:firstLineChars="200"/>
        <w:rPr>
          <w:b/>
          <w:bCs/>
        </w:rPr>
      </w:pPr>
      <w:r>
        <w:rPr>
          <w:rFonts w:hint="eastAsia"/>
          <w:b/>
          <w:bCs/>
        </w:rPr>
        <w:t>1.1工程量清单说明</w:t>
      </w:r>
    </w:p>
    <w:p w14:paraId="7DF68E67">
      <w:pPr>
        <w:snapToGrid w:val="0"/>
        <w:spacing w:line="440" w:lineRule="exact"/>
        <w:ind w:firstLine="525" w:firstLineChars="250"/>
        <w:rPr>
          <w:rFonts w:ascii="宋体" w:hAnsi="宋体"/>
          <w:szCs w:val="21"/>
        </w:rPr>
      </w:pPr>
      <w:r>
        <w:rPr>
          <w:rFonts w:hint="eastAsia" w:ascii="宋体" w:hAnsi="宋体"/>
          <w:szCs w:val="21"/>
        </w:rPr>
        <w:t>1.1.1本工程量清单是依据中华人民共和国国家标准《建设工程工程量清单计价规范》（GB50500-2013）(以下简称“计价规范”)、中华人民共和国国家标准《房屋建筑与装饰工程工程量计算规范》（GB50854-2013）、中华人民共和国国家标准《通用安装工程工程量计算规范》（GB50856-2013）、2016版《山东省建设工程费用项目组成及计算规则》、《山东省建筑工程消耗量定额》（SD 01-31-2016）、《山东省安装工程消耗量定额》（SD 02-31-2016）以及招标文件中包括的设计施工图纸及施工现场情况等编制计价规范中规定的工程量计算规则中没有的子目，应在本章第1.4款约定；计价规范中规定的工程量计算规则中没有且本章第1.4款也未约定的，双方协商确定；协商不成的，可向省级或行业工程造价管理机构申请裁定或按照有合同约束力的图纸所标示尺寸的理论净量计算。计量采用中华人民共和国法定的基本计量单位。</w:t>
      </w:r>
    </w:p>
    <w:p w14:paraId="347109B7">
      <w:pPr>
        <w:snapToGrid w:val="0"/>
        <w:spacing w:line="440" w:lineRule="exact"/>
        <w:ind w:firstLine="525" w:firstLineChars="250"/>
        <w:rPr>
          <w:rFonts w:ascii="宋体" w:hAnsi="宋体"/>
          <w:szCs w:val="21"/>
        </w:rPr>
      </w:pPr>
      <w:r>
        <w:rPr>
          <w:rFonts w:hint="eastAsia" w:ascii="宋体" w:hAnsi="宋体"/>
          <w:szCs w:val="21"/>
        </w:rPr>
        <w:t>1.1.2本工程量清单应与招标文件中的投标人须知、通用合同条款、专用合同条款、技术标准和要求及图纸等章节内容一起阅读和理解。</w:t>
      </w:r>
    </w:p>
    <w:p w14:paraId="03D4469B">
      <w:pPr>
        <w:snapToGrid w:val="0"/>
        <w:spacing w:line="440" w:lineRule="exact"/>
        <w:ind w:firstLine="525" w:firstLineChars="250"/>
        <w:rPr>
          <w:rFonts w:ascii="宋体" w:hAnsi="宋体"/>
          <w:szCs w:val="21"/>
        </w:rPr>
      </w:pPr>
      <w:r>
        <w:rPr>
          <w:rFonts w:hint="eastAsia" w:ascii="宋体" w:hAnsi="宋体"/>
          <w:szCs w:val="21"/>
        </w:rPr>
        <w:t>1.1.3本工程量清单仅是投标报价的共同基础，竣工结算的工程量按合同约定确定。合同价格的确定以及价款支付应遵循合同条款(包括通用合同条款和专用合同条款)、技术标准和要求以及本章的有关约定。</w:t>
      </w:r>
    </w:p>
    <w:p w14:paraId="16330C38">
      <w:pPr>
        <w:snapToGrid w:val="0"/>
        <w:spacing w:line="440" w:lineRule="exact"/>
        <w:ind w:firstLine="525" w:firstLineChars="250"/>
        <w:rPr>
          <w:rFonts w:ascii="宋体" w:hAnsi="宋体"/>
          <w:szCs w:val="21"/>
        </w:rPr>
      </w:pPr>
      <w:r>
        <w:rPr>
          <w:rFonts w:hint="eastAsia" w:ascii="宋体" w:hAnsi="宋体"/>
          <w:szCs w:val="21"/>
        </w:rPr>
        <w:t>1.1.4补充子目的子目特征、计量单位、工程量计算规则及工作内容说明如下：</w:t>
      </w:r>
    </w:p>
    <w:p w14:paraId="0CC1A60B">
      <w:pPr>
        <w:snapToGrid w:val="0"/>
        <w:spacing w:line="440" w:lineRule="exact"/>
        <w:ind w:firstLine="525" w:firstLineChars="250"/>
        <w:rPr>
          <w:rFonts w:ascii="宋体" w:hAnsi="宋体"/>
          <w:szCs w:val="21"/>
        </w:rPr>
      </w:pPr>
      <w:r>
        <w:rPr>
          <w:rFonts w:hint="eastAsia" w:ascii="宋体" w:hAnsi="宋体"/>
          <w:szCs w:val="21"/>
          <w:u w:val="single"/>
        </w:rPr>
        <w:t xml:space="preserve">                     详见招标工程量清单                      </w:t>
      </w:r>
      <w:r>
        <w:rPr>
          <w:rFonts w:hint="eastAsia" w:ascii="宋体" w:hAnsi="宋体"/>
          <w:szCs w:val="21"/>
        </w:rPr>
        <w:t>。</w:t>
      </w:r>
    </w:p>
    <w:p w14:paraId="6DD118C3">
      <w:pPr>
        <w:snapToGrid w:val="0"/>
        <w:spacing w:line="440" w:lineRule="exact"/>
        <w:ind w:firstLine="525" w:firstLineChars="250"/>
        <w:rPr>
          <w:rFonts w:ascii="宋体" w:hAnsi="宋体"/>
          <w:szCs w:val="21"/>
        </w:rPr>
      </w:pPr>
      <w:r>
        <w:rPr>
          <w:rFonts w:hint="eastAsia" w:ascii="宋体" w:hAnsi="宋体"/>
          <w:szCs w:val="21"/>
        </w:rPr>
        <w:t>1.1.5本条第1.1款中约定的计量和计价规则适用于合同履约过程中工程量计量与价款支付、工程变更、索赔和工程结算。</w:t>
      </w:r>
    </w:p>
    <w:p w14:paraId="79B77D9F">
      <w:pPr>
        <w:snapToGrid w:val="0"/>
        <w:spacing w:line="440" w:lineRule="exact"/>
        <w:ind w:firstLine="525" w:firstLineChars="250"/>
        <w:rPr>
          <w:rFonts w:ascii="宋体" w:hAnsi="宋体"/>
          <w:szCs w:val="21"/>
        </w:rPr>
      </w:pPr>
      <w:r>
        <w:rPr>
          <w:rFonts w:hint="eastAsia" w:ascii="宋体" w:hAnsi="宋体"/>
          <w:szCs w:val="21"/>
        </w:rPr>
        <w:t>1.1.6本条与下述第2条、第3条和第4条的说明内容是构成合同文件的已标价工程量清单的组成部分。</w:t>
      </w:r>
    </w:p>
    <w:p w14:paraId="2278903E">
      <w:pPr>
        <w:pStyle w:val="11"/>
      </w:pPr>
    </w:p>
    <w:p w14:paraId="581249A8">
      <w:pPr>
        <w:spacing w:after="120" w:line="360" w:lineRule="auto"/>
        <w:ind w:firstLine="422" w:firstLineChars="200"/>
        <w:rPr>
          <w:b/>
          <w:bCs/>
        </w:rPr>
      </w:pPr>
      <w:bookmarkStart w:id="133" w:name="_Toc483482272"/>
      <w:r>
        <w:rPr>
          <w:rFonts w:hint="eastAsia"/>
          <w:b/>
          <w:bCs/>
        </w:rPr>
        <w:t>1.2投标报价说明</w:t>
      </w:r>
      <w:bookmarkEnd w:id="133"/>
    </w:p>
    <w:p w14:paraId="1740F086">
      <w:pPr>
        <w:snapToGrid w:val="0"/>
        <w:spacing w:line="440" w:lineRule="exact"/>
        <w:ind w:firstLine="527" w:firstLineChars="250"/>
        <w:rPr>
          <w:rFonts w:ascii="宋体" w:hAnsi="宋体"/>
          <w:szCs w:val="21"/>
        </w:rPr>
      </w:pPr>
      <w:r>
        <w:rPr>
          <w:rFonts w:hint="eastAsia" w:ascii="宋体" w:hAnsi="宋体"/>
          <w:b/>
          <w:bCs/>
          <w:szCs w:val="21"/>
        </w:rPr>
        <w:t>1.2.1投标报价应根据招标文件中的有关计价要求，并按照下列依据自主报价。</w:t>
      </w:r>
    </w:p>
    <w:p w14:paraId="784B8CAF">
      <w:pPr>
        <w:numPr>
          <w:ilvl w:val="0"/>
          <w:numId w:val="14"/>
        </w:numPr>
        <w:snapToGrid w:val="0"/>
        <w:spacing w:line="440" w:lineRule="exact"/>
        <w:ind w:firstLine="525" w:firstLineChars="250"/>
        <w:rPr>
          <w:rFonts w:ascii="宋体" w:hAnsi="宋体"/>
          <w:szCs w:val="21"/>
        </w:rPr>
      </w:pPr>
      <w:r>
        <w:rPr>
          <w:rFonts w:hint="eastAsia" w:ascii="宋体" w:hAnsi="宋体"/>
          <w:szCs w:val="21"/>
        </w:rPr>
        <w:t>本招标文件；</w:t>
      </w:r>
    </w:p>
    <w:p w14:paraId="3051A3EC">
      <w:pPr>
        <w:snapToGrid w:val="0"/>
        <w:spacing w:line="440" w:lineRule="exact"/>
        <w:ind w:firstLine="525" w:firstLineChars="250"/>
        <w:rPr>
          <w:rFonts w:ascii="宋体" w:hAnsi="宋体"/>
          <w:szCs w:val="21"/>
        </w:rPr>
      </w:pPr>
      <w:r>
        <w:rPr>
          <w:rFonts w:hint="eastAsia" w:ascii="宋体" w:hAnsi="宋体"/>
          <w:szCs w:val="21"/>
        </w:rPr>
        <w:t>(2)《建设工程工程量清单计价规范》（GB50500-2013）；</w:t>
      </w:r>
    </w:p>
    <w:p w14:paraId="1F84852C">
      <w:pPr>
        <w:snapToGrid w:val="0"/>
        <w:spacing w:line="440" w:lineRule="exact"/>
        <w:ind w:firstLine="525" w:firstLineChars="250"/>
        <w:rPr>
          <w:rFonts w:ascii="宋体" w:hAnsi="宋体"/>
          <w:szCs w:val="21"/>
        </w:rPr>
      </w:pPr>
      <w:r>
        <w:rPr>
          <w:rFonts w:ascii="宋体" w:hAnsi="宋体"/>
          <w:szCs w:val="21"/>
        </w:rPr>
        <w:t>(3)</w:t>
      </w:r>
      <w:r>
        <w:rPr>
          <w:rFonts w:hint="eastAsia" w:ascii="宋体" w:hAnsi="宋体"/>
          <w:szCs w:val="21"/>
        </w:rPr>
        <w:t xml:space="preserve"> 2016版《山东省建设工程费用项目组成及计算规则》；</w:t>
      </w:r>
    </w:p>
    <w:p w14:paraId="74E2E303">
      <w:pPr>
        <w:snapToGrid w:val="0"/>
        <w:spacing w:line="440" w:lineRule="exact"/>
        <w:ind w:firstLine="525" w:firstLineChars="250"/>
        <w:rPr>
          <w:rFonts w:ascii="宋体" w:hAnsi="宋体"/>
          <w:szCs w:val="21"/>
        </w:rPr>
      </w:pPr>
      <w:r>
        <w:rPr>
          <w:rFonts w:hint="eastAsia" w:ascii="宋体" w:hAnsi="宋体"/>
          <w:szCs w:val="21"/>
        </w:rPr>
        <w:t>(4)招标文件(包括工程量清单)的澄清、补充和修改文件；</w:t>
      </w:r>
    </w:p>
    <w:p w14:paraId="3535C6B3">
      <w:pPr>
        <w:snapToGrid w:val="0"/>
        <w:spacing w:line="440" w:lineRule="exact"/>
        <w:ind w:firstLine="525" w:firstLineChars="250"/>
        <w:rPr>
          <w:rFonts w:ascii="宋体" w:hAnsi="宋体"/>
          <w:szCs w:val="21"/>
        </w:rPr>
      </w:pPr>
      <w:r>
        <w:rPr>
          <w:rFonts w:hint="eastAsia" w:ascii="宋体" w:hAnsi="宋体"/>
          <w:szCs w:val="21"/>
        </w:rPr>
        <w:t>(5)施工现场情况、工程特点及拟定的投标施工组织设计或施工方案；</w:t>
      </w:r>
    </w:p>
    <w:p w14:paraId="269C45B6">
      <w:pPr>
        <w:snapToGrid w:val="0"/>
        <w:spacing w:line="440" w:lineRule="exact"/>
        <w:ind w:firstLine="525" w:firstLineChars="250"/>
        <w:rPr>
          <w:rFonts w:ascii="宋体" w:hAnsi="宋体"/>
          <w:szCs w:val="21"/>
        </w:rPr>
      </w:pPr>
      <w:r>
        <w:rPr>
          <w:rFonts w:hint="eastAsia" w:ascii="宋体" w:hAnsi="宋体"/>
          <w:szCs w:val="21"/>
        </w:rPr>
        <w:t>(6)市场价格信息或工程造价管理机构发布的工程造价信息；</w:t>
      </w:r>
    </w:p>
    <w:p w14:paraId="026BB98E">
      <w:pPr>
        <w:snapToGrid w:val="0"/>
        <w:spacing w:line="440" w:lineRule="exact"/>
        <w:ind w:firstLine="525" w:firstLineChars="250"/>
        <w:rPr>
          <w:rFonts w:ascii="宋体" w:hAnsi="宋体"/>
          <w:szCs w:val="21"/>
        </w:rPr>
      </w:pPr>
      <w:r>
        <w:rPr>
          <w:rFonts w:hint="eastAsia" w:ascii="宋体" w:hAnsi="宋体"/>
          <w:szCs w:val="21"/>
        </w:rPr>
        <w:t>(7)济南市现行有关规定。</w:t>
      </w:r>
    </w:p>
    <w:p w14:paraId="18EDF51C">
      <w:pPr>
        <w:snapToGrid w:val="0"/>
        <w:spacing w:line="440" w:lineRule="exact"/>
        <w:ind w:firstLine="525" w:firstLineChars="250"/>
        <w:rPr>
          <w:rFonts w:ascii="宋体" w:hAnsi="宋体"/>
          <w:szCs w:val="21"/>
        </w:rPr>
      </w:pPr>
      <w:r>
        <w:rPr>
          <w:rFonts w:hint="eastAsia" w:ascii="宋体" w:hAnsi="宋体"/>
          <w:szCs w:val="21"/>
        </w:rPr>
        <w:t>(8)其他注意事项：</w:t>
      </w:r>
    </w:p>
    <w:p w14:paraId="7618EF74">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14:paraId="7892F421">
      <w:pPr>
        <w:snapToGrid w:val="0"/>
        <w:spacing w:line="440" w:lineRule="exact"/>
        <w:ind w:firstLine="525" w:firstLineChars="250"/>
        <w:rPr>
          <w:rFonts w:ascii="宋体" w:hAnsi="宋体"/>
          <w:szCs w:val="21"/>
        </w:rPr>
      </w:pPr>
      <w:r>
        <w:rPr>
          <w:rFonts w:hint="eastAsia" w:ascii="宋体" w:hAnsi="宋体"/>
          <w:szCs w:val="21"/>
        </w:rPr>
        <w:t>2）</w:t>
      </w:r>
      <w:r>
        <w:rPr>
          <w:rFonts w:hint="eastAsia" w:ascii="宋体" w:hAnsi="宋体"/>
          <w:b/>
          <w:bCs/>
          <w:szCs w:val="21"/>
        </w:rPr>
        <w:t>在工程建设过程中发生一切安全及质量责任事故均由中标单位承担，并支付所发生的一切费用。</w:t>
      </w:r>
    </w:p>
    <w:p w14:paraId="5639ADA7">
      <w:pPr>
        <w:snapToGrid w:val="0"/>
        <w:spacing w:line="440" w:lineRule="exact"/>
        <w:ind w:firstLine="527" w:firstLineChars="250"/>
        <w:rPr>
          <w:rFonts w:ascii="宋体" w:hAnsi="宋体"/>
          <w:b/>
          <w:bCs/>
          <w:szCs w:val="21"/>
        </w:rPr>
      </w:pPr>
      <w:bookmarkStart w:id="134" w:name="_Toc483482273"/>
      <w:bookmarkStart w:id="135" w:name="_Toc32311"/>
      <w:bookmarkStart w:id="136" w:name="_Toc2530"/>
      <w:r>
        <w:rPr>
          <w:rFonts w:hint="eastAsia" w:ascii="宋体" w:hAnsi="宋体"/>
          <w:b/>
          <w:bCs/>
          <w:szCs w:val="21"/>
        </w:rPr>
        <w:t>1.2.2投标人报价须知</w:t>
      </w:r>
      <w:bookmarkEnd w:id="134"/>
    </w:p>
    <w:p w14:paraId="1D17A499">
      <w:pPr>
        <w:snapToGrid w:val="0"/>
        <w:spacing w:line="440" w:lineRule="exact"/>
        <w:ind w:firstLine="525" w:firstLineChars="250"/>
        <w:rPr>
          <w:rFonts w:ascii="宋体" w:hAnsi="宋体"/>
          <w:szCs w:val="21"/>
        </w:rPr>
      </w:pPr>
      <w:r>
        <w:rPr>
          <w:rFonts w:hint="eastAsia" w:ascii="宋体" w:hAnsi="宋体"/>
          <w:szCs w:val="21"/>
        </w:rPr>
        <w:t>（1）应按工程量清单报价格式规定的内容进行编制、填写、签字、盖章。</w:t>
      </w:r>
    </w:p>
    <w:p w14:paraId="3DE79990">
      <w:pPr>
        <w:snapToGrid w:val="0"/>
        <w:spacing w:line="440" w:lineRule="exact"/>
        <w:ind w:firstLine="525" w:firstLineChars="250"/>
        <w:rPr>
          <w:rFonts w:ascii="宋体" w:hAnsi="宋体"/>
          <w:szCs w:val="21"/>
        </w:rPr>
      </w:pPr>
      <w:r>
        <w:rPr>
          <w:rFonts w:hint="eastAsia" w:ascii="宋体" w:hAnsi="宋体"/>
          <w:szCs w:val="21"/>
        </w:rPr>
        <w:t>（2）工程量清单及其报价格式中的任何内容不得随意删除或修改。</w:t>
      </w:r>
    </w:p>
    <w:p w14:paraId="4ADE7164">
      <w:pPr>
        <w:snapToGrid w:val="0"/>
        <w:spacing w:line="440" w:lineRule="exact"/>
        <w:ind w:firstLine="525" w:firstLineChars="250"/>
        <w:rPr>
          <w:rFonts w:ascii="宋体" w:hAnsi="宋体"/>
          <w:b/>
          <w:bCs/>
          <w:szCs w:val="21"/>
        </w:rPr>
      </w:pPr>
      <w:r>
        <w:rPr>
          <w:rFonts w:hint="eastAsia" w:ascii="宋体" w:hAnsi="宋体"/>
          <w:szCs w:val="21"/>
        </w:rPr>
        <w:t>（3）工程量清单报价格式中所有需要填报的单价和合价，投标人均应填报，每一项目只允许有一个报价，</w:t>
      </w:r>
      <w:r>
        <w:rPr>
          <w:rFonts w:hint="eastAsia" w:ascii="宋体" w:hAnsi="宋体"/>
          <w:b/>
          <w:bCs/>
          <w:szCs w:val="21"/>
        </w:rPr>
        <w:t>未填报的单价和合价视为此项费用已包含在工程量清单的其他单价或合价中。</w:t>
      </w:r>
    </w:p>
    <w:p w14:paraId="5DC56CB3">
      <w:pPr>
        <w:snapToGrid w:val="0"/>
        <w:spacing w:line="440" w:lineRule="exact"/>
        <w:ind w:firstLine="525" w:firstLineChars="250"/>
        <w:rPr>
          <w:rFonts w:ascii="宋体" w:hAnsi="宋体"/>
          <w:szCs w:val="21"/>
        </w:rPr>
      </w:pPr>
      <w:r>
        <w:rPr>
          <w:rFonts w:hint="eastAsia" w:ascii="宋体" w:hAnsi="宋体"/>
          <w:szCs w:val="21"/>
        </w:rPr>
        <w:t>（4）金额（价格）均应以人民币表示。</w:t>
      </w:r>
    </w:p>
    <w:p w14:paraId="52F50DF6">
      <w:pPr>
        <w:snapToGrid w:val="0"/>
        <w:spacing w:line="440" w:lineRule="exact"/>
        <w:ind w:firstLine="525" w:firstLineChars="250"/>
        <w:rPr>
          <w:rFonts w:ascii="宋体" w:hAnsi="宋体"/>
          <w:szCs w:val="21"/>
        </w:rPr>
      </w:pPr>
      <w:r>
        <w:rPr>
          <w:rFonts w:hint="eastAsia" w:ascii="宋体" w:hAnsi="宋体"/>
          <w:szCs w:val="21"/>
        </w:rPr>
        <w:t>（5）各分项工程量清单的编制详见各分项专业的编制说明。</w:t>
      </w:r>
    </w:p>
    <w:p w14:paraId="43BA0659">
      <w:pPr>
        <w:snapToGrid w:val="0"/>
        <w:spacing w:line="440" w:lineRule="exact"/>
        <w:ind w:firstLine="525" w:firstLineChars="250"/>
        <w:rPr>
          <w:rFonts w:ascii="宋体" w:hAnsi="宋体"/>
          <w:szCs w:val="21"/>
        </w:rPr>
      </w:pPr>
      <w:r>
        <w:rPr>
          <w:rFonts w:hint="eastAsia" w:ascii="宋体" w:hAnsi="宋体"/>
          <w:szCs w:val="21"/>
        </w:rPr>
        <w:t>（6）工程质量：合格标准。</w:t>
      </w:r>
    </w:p>
    <w:p w14:paraId="3098AD00">
      <w:pPr>
        <w:snapToGrid w:val="0"/>
        <w:spacing w:line="440" w:lineRule="exact"/>
        <w:ind w:firstLine="527" w:firstLineChars="250"/>
        <w:rPr>
          <w:rFonts w:ascii="宋体" w:hAnsi="宋体"/>
          <w:b/>
          <w:szCs w:val="21"/>
        </w:rPr>
      </w:pPr>
      <w:r>
        <w:rPr>
          <w:rFonts w:hint="eastAsia" w:ascii="宋体" w:hAnsi="宋体"/>
          <w:b/>
          <w:szCs w:val="21"/>
        </w:rPr>
        <w:t>（7）投标人的报价不得改变工程量清单中的“序号、项目编码、项目名称、项目特征描述、计量单位、工程量”等内容，且不得有缺漏报价表的情况，否则按评分细则相关约定处理。</w:t>
      </w:r>
    </w:p>
    <w:p w14:paraId="33B2C8B2">
      <w:pPr>
        <w:snapToGrid w:val="0"/>
        <w:spacing w:line="440" w:lineRule="exact"/>
        <w:ind w:firstLine="527" w:firstLineChars="250"/>
        <w:rPr>
          <w:rFonts w:ascii="宋体" w:hAnsi="宋体"/>
          <w:b/>
          <w:bCs/>
          <w:szCs w:val="21"/>
        </w:rPr>
      </w:pPr>
      <w:bookmarkStart w:id="137" w:name="_Toc483482274"/>
      <w:r>
        <w:rPr>
          <w:rFonts w:hint="eastAsia" w:ascii="宋体" w:hAnsi="宋体"/>
          <w:b/>
          <w:bCs/>
          <w:szCs w:val="21"/>
        </w:rPr>
        <w:t>1.2.3投标报价的一般规定（报价要求包括但不限于）：</w:t>
      </w:r>
      <w:bookmarkEnd w:id="137"/>
    </w:p>
    <w:p w14:paraId="211A15E3">
      <w:pPr>
        <w:snapToGrid w:val="0"/>
        <w:spacing w:line="440" w:lineRule="exact"/>
        <w:ind w:firstLine="525" w:firstLineChars="250"/>
        <w:rPr>
          <w:rFonts w:ascii="宋体" w:hAnsi="宋体"/>
          <w:szCs w:val="21"/>
        </w:rPr>
      </w:pPr>
      <w:r>
        <w:rPr>
          <w:rFonts w:hint="eastAsia" w:ascii="宋体" w:hAnsi="宋体"/>
          <w:szCs w:val="21"/>
        </w:rPr>
        <w:t>（1）投标报价为投标人在投标文件中提出的各项支付金额的总和。</w:t>
      </w:r>
    </w:p>
    <w:p w14:paraId="37F613D6">
      <w:pPr>
        <w:snapToGrid w:val="0"/>
        <w:spacing w:line="440" w:lineRule="exact"/>
        <w:ind w:firstLine="525" w:firstLineChars="250"/>
        <w:rPr>
          <w:rFonts w:ascii="宋体" w:hAnsi="宋体"/>
          <w:szCs w:val="21"/>
        </w:rPr>
      </w:pPr>
      <w:r>
        <w:rPr>
          <w:rFonts w:hint="eastAsia" w:ascii="宋体" w:hAnsi="宋体"/>
          <w:szCs w:val="21"/>
        </w:rPr>
        <w:t>（2）投标人的投标报价，应是完成本投标须知和合同条款上所列招标工程范围及要求工期（含质保期）的全部工作所需费用总和，各种费用不得以任何理由予以重复，作为投标人计算单价或总价的依据。</w:t>
      </w:r>
    </w:p>
    <w:p w14:paraId="423E8D41">
      <w:pPr>
        <w:snapToGrid w:val="0"/>
        <w:spacing w:line="440" w:lineRule="exact"/>
        <w:ind w:firstLine="525" w:firstLineChars="250"/>
        <w:rPr>
          <w:rFonts w:ascii="宋体" w:hAnsi="宋体"/>
          <w:szCs w:val="21"/>
        </w:rPr>
      </w:pPr>
      <w:r>
        <w:rPr>
          <w:rFonts w:hint="eastAsia" w:ascii="宋体" w:hAnsi="宋体"/>
          <w:szCs w:val="21"/>
        </w:rPr>
        <w:t>（3）各投标人须根据下发的图纸，依据招标文件中提供的技术要求、工程量清单，进行自主市场报价，投标人任何漏项、漏报、少报、错报所产生的后果，投标人承担全部责任。</w:t>
      </w:r>
    </w:p>
    <w:p w14:paraId="0633500C">
      <w:pPr>
        <w:snapToGrid w:val="0"/>
        <w:spacing w:line="440" w:lineRule="exact"/>
        <w:ind w:firstLine="525" w:firstLineChars="250"/>
        <w:rPr>
          <w:rFonts w:ascii="宋体" w:hAnsi="宋体"/>
          <w:b/>
          <w:bCs/>
          <w:color w:val="FF0000"/>
          <w:szCs w:val="21"/>
        </w:rPr>
      </w:pPr>
      <w:r>
        <w:rPr>
          <w:rFonts w:hint="eastAsia" w:ascii="宋体" w:hAnsi="宋体"/>
          <w:szCs w:val="21"/>
        </w:rPr>
        <w:t>工程量清单应按综合单价报价。综合单价应包括为</w:t>
      </w:r>
      <w:r>
        <w:t>完成一个规定清单项目所需的人工费</w:t>
      </w:r>
      <w:r>
        <w:rPr>
          <w:rFonts w:hint="eastAsia"/>
        </w:rPr>
        <w:t>、</w:t>
      </w:r>
      <w:r>
        <w:t>材料</w:t>
      </w:r>
      <w:r>
        <w:rPr>
          <w:rFonts w:hint="eastAsia"/>
        </w:rPr>
        <w:t>、</w:t>
      </w:r>
      <w:r>
        <w:t>施工机具使用费和企业管理费</w:t>
      </w:r>
      <w:r>
        <w:rPr>
          <w:rFonts w:hint="eastAsia"/>
        </w:rPr>
        <w:t>、</w:t>
      </w:r>
      <w:r>
        <w:t>利润以及一定范围的风险费用</w:t>
      </w:r>
      <w:r>
        <w:rPr>
          <w:rFonts w:hint="eastAsia"/>
        </w:rPr>
        <w:t>等</w:t>
      </w:r>
      <w:r>
        <w:rPr>
          <w:rFonts w:hint="eastAsia" w:ascii="宋体" w:hAnsi="宋体"/>
          <w:szCs w:val="21"/>
        </w:rPr>
        <w:t>，招标人的特殊要求等而增加的费用</w:t>
      </w:r>
      <w:r>
        <w:rPr>
          <w:rFonts w:hint="eastAsia" w:ascii="宋体" w:hAnsi="宋体"/>
        </w:rPr>
        <w:t>（中标的综合单价在合同期内不得调整）</w:t>
      </w:r>
      <w:r>
        <w:rPr>
          <w:rFonts w:hint="eastAsia" w:ascii="宋体" w:hAnsi="宋体"/>
          <w:szCs w:val="21"/>
        </w:rPr>
        <w:t>。</w:t>
      </w:r>
    </w:p>
    <w:p w14:paraId="7048D46F">
      <w:pPr>
        <w:snapToGrid w:val="0"/>
        <w:spacing w:line="440" w:lineRule="exact"/>
        <w:ind w:firstLine="525" w:firstLineChars="250"/>
        <w:rPr>
          <w:rFonts w:ascii="宋体" w:hAnsi="宋体"/>
          <w:i/>
          <w:iCs/>
          <w:szCs w:val="21"/>
          <w:u w:val="single"/>
        </w:rPr>
      </w:pPr>
      <w:r>
        <w:rPr>
          <w:rFonts w:hint="eastAsia" w:ascii="宋体" w:hAnsi="宋体"/>
          <w:szCs w:val="21"/>
        </w:rPr>
        <w:t>（4）投标人所报综合单价在合同有效期内，不随</w:t>
      </w:r>
      <w:r>
        <w:rPr>
          <w:rFonts w:hint="eastAsia" w:ascii="宋体" w:hAnsi="宋体"/>
          <w:i/>
          <w:iCs/>
          <w:szCs w:val="21"/>
          <w:u w:val="single"/>
        </w:rPr>
        <w:t>除合同条款约定之外的政策调整而变化，且不随量的调整而变化</w:t>
      </w:r>
      <w:r>
        <w:rPr>
          <w:rFonts w:hint="eastAsia" w:ascii="宋体" w:hAnsi="宋体"/>
          <w:szCs w:val="21"/>
        </w:rPr>
        <w:t>，并作为结算的依据，除双方另有约定外结算时不得调整，投标人报价时综合考虑。投标人不得以报价时对现场实际情况了解不充分、报价时设计不完善、按主管部门要求必须进行设计修改或方案变更</w:t>
      </w:r>
      <w:r>
        <w:rPr>
          <w:rFonts w:hint="eastAsia" w:ascii="宋体" w:hAnsi="宋体"/>
          <w:i/>
          <w:iCs/>
          <w:szCs w:val="21"/>
          <w:u w:val="single"/>
        </w:rPr>
        <w:t>、</w:t>
      </w:r>
      <w:r>
        <w:rPr>
          <w:rFonts w:hint="eastAsia" w:ascii="宋体" w:hAnsi="宋体"/>
          <w:szCs w:val="21"/>
        </w:rPr>
        <w:t>或其他政策性因素等情况为由，要求招标人调整合同单价。</w:t>
      </w:r>
    </w:p>
    <w:p w14:paraId="5FA2C760">
      <w:pPr>
        <w:snapToGrid w:val="0"/>
        <w:spacing w:line="440" w:lineRule="exact"/>
        <w:ind w:firstLine="525" w:firstLineChars="250"/>
        <w:rPr>
          <w:rFonts w:ascii="宋体" w:hAnsi="宋体"/>
          <w:i/>
          <w:iCs/>
          <w:szCs w:val="21"/>
          <w:u w:val="single"/>
        </w:rPr>
      </w:pPr>
      <w:r>
        <w:rPr>
          <w:rFonts w:hint="eastAsia" w:ascii="宋体" w:hAnsi="宋体"/>
          <w:szCs w:val="21"/>
        </w:rPr>
        <w:t>（5）本工程承包范围内的材料设备，按图纸设计要求和招标文件要求竞报。未做要求的其它材料设备由投标单位竞报,均必须标明相应产地、品牌、规格、型号、质量等级等，未填报质量层次的，现场以国标优等品验收（送检的时间在工期范围内）。</w:t>
      </w:r>
      <w:r>
        <w:rPr>
          <w:rFonts w:hint="eastAsia" w:ascii="宋体" w:hAnsi="宋体"/>
          <w:i/>
          <w:iCs/>
          <w:szCs w:val="21"/>
          <w:u w:val="single"/>
        </w:rPr>
        <w:t>投标单位所报材料设备的品牌、质量等级等作为评分的一部分。</w:t>
      </w:r>
    </w:p>
    <w:p w14:paraId="737CC7EF">
      <w:pPr>
        <w:snapToGrid w:val="0"/>
        <w:spacing w:line="440" w:lineRule="exact"/>
        <w:ind w:firstLine="525" w:firstLineChars="250"/>
        <w:rPr>
          <w:rFonts w:ascii="宋体" w:hAnsi="宋体"/>
          <w:szCs w:val="21"/>
        </w:rPr>
      </w:pPr>
      <w:r>
        <w:rPr>
          <w:rFonts w:hint="eastAsia" w:ascii="宋体" w:hAnsi="宋体"/>
          <w:szCs w:val="21"/>
        </w:rPr>
        <w:t>（6）工程量清单与招标文件一起发至投标人。</w:t>
      </w:r>
    </w:p>
    <w:p w14:paraId="695CB176">
      <w:pPr>
        <w:snapToGrid w:val="0"/>
        <w:spacing w:line="440" w:lineRule="exact"/>
        <w:ind w:firstLine="525" w:firstLineChars="250"/>
        <w:rPr>
          <w:rFonts w:ascii="宋体" w:hAnsi="宋体"/>
          <w:szCs w:val="21"/>
        </w:rPr>
      </w:pPr>
      <w:r>
        <w:rPr>
          <w:rFonts w:hint="eastAsia" w:ascii="宋体" w:hAnsi="宋体"/>
          <w:szCs w:val="21"/>
        </w:rPr>
        <w:t>（7）投标人可应先到工地踏勘以充分理解工地位置、情况、道路、储存空间、装卸限制及任何其他足以影响承包价的情况，任何因忽视或误解工地情况而导致的索赔或工期延长申请将不被批准。</w:t>
      </w:r>
    </w:p>
    <w:p w14:paraId="342FD4C4">
      <w:pPr>
        <w:snapToGrid w:val="0"/>
        <w:spacing w:line="440" w:lineRule="exact"/>
        <w:ind w:firstLine="525" w:firstLineChars="250"/>
        <w:rPr>
          <w:rFonts w:ascii="宋体" w:hAnsi="宋体"/>
          <w:szCs w:val="21"/>
        </w:rPr>
      </w:pPr>
      <w:r>
        <w:rPr>
          <w:rFonts w:hint="eastAsia" w:ascii="宋体" w:hAnsi="宋体"/>
          <w:szCs w:val="21"/>
        </w:rPr>
        <w:t>（8）其他注意事项：</w:t>
      </w:r>
    </w:p>
    <w:p w14:paraId="1DC0B778">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14:paraId="04DDDCC1">
      <w:pPr>
        <w:snapToGrid w:val="0"/>
        <w:spacing w:line="440" w:lineRule="exact"/>
        <w:ind w:firstLine="525" w:firstLineChars="250"/>
        <w:rPr>
          <w:rFonts w:ascii="宋体" w:hAnsi="宋体"/>
          <w:szCs w:val="21"/>
        </w:rPr>
      </w:pPr>
      <w:r>
        <w:rPr>
          <w:rFonts w:hint="eastAsia" w:ascii="宋体" w:hAnsi="宋体"/>
          <w:szCs w:val="21"/>
        </w:rPr>
        <w:t>2）在工程建设过程中发生一切安全及质量责任事故均由中标单位承担，并支付所发生的一切费用。</w:t>
      </w:r>
    </w:p>
    <w:p w14:paraId="61A4AE6A">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14:paraId="086E55B2">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14:paraId="494648B7">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14:paraId="06F7F283">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3）投标人投标报价时应充分考虑招标文件\第四章 合同主要条款中相关约定；</w:t>
      </w:r>
    </w:p>
    <w:p w14:paraId="4B10DFB5">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14:paraId="68FAA79C">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14:paraId="5EBFEDB4">
      <w:pPr>
        <w:snapToGrid w:val="0"/>
        <w:spacing w:line="360" w:lineRule="auto"/>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14:paraId="60D6DB1B">
      <w:pPr>
        <w:snapToGrid w:val="0"/>
        <w:spacing w:line="360" w:lineRule="auto"/>
        <w:ind w:firstLine="527" w:firstLineChars="250"/>
        <w:rPr>
          <w:rFonts w:hint="eastAsia" w:ascii="宋体" w:hAnsi="宋体"/>
          <w:b/>
          <w:bCs/>
          <w:color w:val="C00000"/>
          <w:szCs w:val="21"/>
        </w:rPr>
      </w:pPr>
      <w:r>
        <w:rPr>
          <w:rFonts w:hint="eastAsia" w:ascii="宋体" w:hAnsi="宋体"/>
          <w:b/>
          <w:bCs/>
          <w:color w:val="C00000"/>
          <w:szCs w:val="21"/>
        </w:rPr>
        <w:t>7）不允许投标单位采用不平衡报价，如发现非客观因素不平衡报价，招标人有权对其高报价部分予以调低价格</w:t>
      </w:r>
      <w:r>
        <w:rPr>
          <w:rFonts w:hint="eastAsia"/>
          <w:b/>
          <w:bCs/>
          <w:color w:val="C00000"/>
        </w:rPr>
        <w:t>，结算时按不利于投标人的方式结算</w:t>
      </w:r>
      <w:r>
        <w:rPr>
          <w:rFonts w:hint="eastAsia" w:ascii="宋体" w:hAnsi="宋体"/>
          <w:b/>
          <w:bCs/>
          <w:color w:val="C00000"/>
          <w:szCs w:val="21"/>
        </w:rPr>
        <w:t>。</w:t>
      </w:r>
    </w:p>
    <w:p w14:paraId="32FF405E">
      <w:pPr>
        <w:snapToGrid w:val="0"/>
        <w:spacing w:line="360" w:lineRule="auto"/>
        <w:ind w:firstLine="422" w:firstLineChars="200"/>
        <w:rPr>
          <w:rFonts w:hint="eastAsia" w:ascii="宋体" w:hAnsi="宋体" w:eastAsia="宋体" w:cs="宋体"/>
          <w:b/>
          <w:bCs/>
          <w:color w:val="C00000"/>
          <w:sz w:val="21"/>
          <w:szCs w:val="21"/>
        </w:rPr>
      </w:pPr>
      <w:r>
        <w:rPr>
          <w:rFonts w:hint="eastAsia" w:ascii="宋体" w:hAnsi="宋体"/>
          <w:b/>
          <w:bCs/>
          <w:color w:val="C00000"/>
          <w:szCs w:val="21"/>
          <w:lang w:val="en-US" w:eastAsia="zh-CN"/>
        </w:rPr>
        <w:t>8</w:t>
      </w:r>
      <w:r>
        <w:rPr>
          <w:rFonts w:hint="eastAsia" w:ascii="宋体" w:hAnsi="宋体"/>
          <w:b/>
          <w:bCs/>
          <w:color w:val="C00000"/>
          <w:szCs w:val="21"/>
        </w:rPr>
        <w:t>）</w:t>
      </w:r>
      <w:r>
        <w:rPr>
          <w:rFonts w:hint="eastAsia" w:ascii="宋体" w:hAnsi="宋体" w:eastAsia="宋体" w:cs="宋体"/>
          <w:b/>
          <w:bCs/>
          <w:color w:val="C00000"/>
          <w:sz w:val="21"/>
          <w:szCs w:val="21"/>
        </w:rPr>
        <w:t>项目描述及工作内容相同的清单子项综合单价必须相同，若有不同报价，结算时招标人有权按照较低报价确定该子项的综合单价。</w:t>
      </w:r>
    </w:p>
    <w:p w14:paraId="43E35C51">
      <w:pPr>
        <w:snapToGrid w:val="0"/>
        <w:spacing w:line="440" w:lineRule="exact"/>
        <w:ind w:firstLine="527" w:firstLineChars="250"/>
        <w:rPr>
          <w:rFonts w:ascii="宋体" w:hAnsi="宋体"/>
          <w:b/>
          <w:bCs/>
          <w:szCs w:val="21"/>
        </w:rPr>
      </w:pPr>
      <w:bookmarkStart w:id="138" w:name="_Toc483482275"/>
      <w:r>
        <w:rPr>
          <w:rFonts w:hint="eastAsia" w:ascii="宋体" w:hAnsi="宋体"/>
          <w:b/>
          <w:bCs/>
          <w:szCs w:val="21"/>
        </w:rPr>
        <w:t>1.2.4工程量清单报价格式：（详见最终发出的工程量清单及报价格式）</w:t>
      </w:r>
      <w:bookmarkEnd w:id="138"/>
    </w:p>
    <w:p w14:paraId="25836650">
      <w:pPr>
        <w:snapToGrid w:val="0"/>
        <w:spacing w:line="440" w:lineRule="exact"/>
        <w:ind w:firstLine="527" w:firstLineChars="250"/>
        <w:rPr>
          <w:rFonts w:ascii="宋体" w:hAnsi="宋体"/>
          <w:b/>
          <w:bCs/>
          <w:szCs w:val="21"/>
        </w:rPr>
      </w:pPr>
      <w:bookmarkStart w:id="139" w:name="_Toc483482276"/>
      <w:r>
        <w:rPr>
          <w:rFonts w:hint="eastAsia" w:ascii="宋体" w:hAnsi="宋体"/>
          <w:b/>
          <w:bCs/>
          <w:szCs w:val="21"/>
        </w:rPr>
        <w:t>1.2.5工程量清单报价须知：</w:t>
      </w:r>
      <w:bookmarkEnd w:id="139"/>
    </w:p>
    <w:p w14:paraId="1866F79D">
      <w:pPr>
        <w:snapToGrid w:val="0"/>
        <w:spacing w:line="440" w:lineRule="exact"/>
        <w:ind w:firstLine="525" w:firstLineChars="250"/>
        <w:rPr>
          <w:rFonts w:ascii="宋体" w:hAnsi="宋体"/>
          <w:szCs w:val="21"/>
        </w:rPr>
      </w:pPr>
      <w:r>
        <w:rPr>
          <w:rFonts w:hint="eastAsia" w:ascii="宋体" w:hAnsi="宋体"/>
          <w:szCs w:val="21"/>
        </w:rPr>
        <w:t>1）招标人对本次招标工程量清单准确性负责，工程量清单给各投标人价格竞争提供了统一的平台，投标人应按照守法、诚信、合理原则报价，并且承担报价的风险。本次招标投标人应特别注意：投标单位应依据山东省住房和城乡建设厅关于调整建设工程计价依据增值税税率的通知(鲁建标字〔2019〕10号文)、社会保障费按照鲁政办发〔2017〕57号执行。规费和税金为不可竞争费用，应计入投标报价中（规费取费标准详见最终发出的工程量清单；税金按“一般计税”法），工程价款结算执行财政部建设部关于印发《建设工程价款结算暂行办法》的通知</w:t>
      </w:r>
      <w:r>
        <w:rPr>
          <w:rFonts w:ascii="宋体" w:hAnsi="宋体"/>
          <w:szCs w:val="21"/>
        </w:rPr>
        <w:t>(</w:t>
      </w:r>
      <w:r>
        <w:rPr>
          <w:rFonts w:hint="eastAsia" w:ascii="宋体" w:hAnsi="宋体"/>
          <w:szCs w:val="21"/>
        </w:rPr>
        <w:t>财建</w:t>
      </w:r>
      <w:r>
        <w:rPr>
          <w:rFonts w:ascii="宋体" w:hAnsi="宋体"/>
          <w:szCs w:val="21"/>
        </w:rPr>
        <w:t>[2004]369</w:t>
      </w:r>
      <w:r>
        <w:rPr>
          <w:rFonts w:hint="eastAsia" w:ascii="宋体" w:hAnsi="宋体"/>
          <w:szCs w:val="21"/>
        </w:rPr>
        <w:t>号文件</w:t>
      </w:r>
      <w:r>
        <w:rPr>
          <w:rFonts w:ascii="宋体" w:hAnsi="宋体"/>
          <w:szCs w:val="21"/>
        </w:rPr>
        <w:t>)</w:t>
      </w:r>
      <w:r>
        <w:rPr>
          <w:rFonts w:hint="eastAsia" w:ascii="宋体" w:hAnsi="宋体"/>
          <w:szCs w:val="21"/>
        </w:rPr>
        <w:t>规定。</w:t>
      </w:r>
    </w:p>
    <w:p w14:paraId="1F80ADA6">
      <w:pPr>
        <w:tabs>
          <w:tab w:val="left" w:pos="2310"/>
        </w:tabs>
        <w:spacing w:line="440" w:lineRule="exact"/>
        <w:ind w:left="1" w:firstLine="413" w:firstLineChars="196"/>
        <w:rPr>
          <w:rFonts w:ascii="宋体" w:hAnsi="宋体" w:cs="TimesNewRomanPSMT"/>
          <w:b/>
          <w:szCs w:val="21"/>
          <w:u w:val="single"/>
        </w:rPr>
      </w:pPr>
      <w:r>
        <w:rPr>
          <w:rFonts w:hint="eastAsia" w:ascii="宋体" w:hAnsi="宋体" w:cs="TimesNewRomanPSMT"/>
          <w:b/>
          <w:szCs w:val="21"/>
          <w:u w:val="single"/>
        </w:rPr>
        <w:t>2）</w:t>
      </w:r>
      <w:r>
        <w:rPr>
          <w:rFonts w:hint="eastAsia" w:ascii="宋体" w:hAnsi="宋体" w:cs="TimesNewRomanPSMT"/>
          <w:b/>
          <w:szCs w:val="21"/>
          <w:u w:val="single"/>
        </w:rPr>
        <w:sym w:font="Wingdings 2" w:char="0052"/>
      </w:r>
      <w:r>
        <w:rPr>
          <w:rFonts w:hint="eastAsia" w:ascii="宋体" w:hAnsi="宋体" w:cs="TimesNewRomanPSMT"/>
          <w:b/>
          <w:szCs w:val="21"/>
          <w:u w:val="single"/>
        </w:rPr>
        <w:t>本项目无暂估价材料。</w:t>
      </w:r>
    </w:p>
    <w:p w14:paraId="23EBF07B">
      <w:pPr>
        <w:snapToGrid w:val="0"/>
        <w:spacing w:line="440" w:lineRule="exact"/>
        <w:ind w:firstLine="422" w:firstLineChars="200"/>
        <w:rPr>
          <w:rFonts w:ascii="宋体" w:hAnsi="宋体"/>
          <w:b/>
          <w:szCs w:val="21"/>
          <w:u w:val="single"/>
        </w:rPr>
      </w:pPr>
      <w:r>
        <w:rPr>
          <w:rFonts w:hint="eastAsia" w:ascii="宋体" w:hAnsi="宋体" w:cs="TimesNewRomanPSMT"/>
          <w:b/>
          <w:szCs w:val="21"/>
          <w:u w:val="single"/>
        </w:rPr>
        <w:t>3）投标人自购</w:t>
      </w:r>
      <w:r>
        <w:rPr>
          <w:rFonts w:hint="eastAsia" w:ascii="宋体" w:hAnsi="宋体"/>
          <w:b/>
          <w:szCs w:val="21"/>
          <w:u w:val="single"/>
        </w:rPr>
        <w:t>工程设备费计入设备费，不计入清单综合单价（材料和设备划分标准执行《建筑工程计价设备材料划分标准》GB/T50531-2009）。</w:t>
      </w:r>
    </w:p>
    <w:p w14:paraId="4A7BFBFB">
      <w:pPr>
        <w:snapToGrid w:val="0"/>
        <w:spacing w:line="440" w:lineRule="exact"/>
        <w:ind w:firstLine="420" w:firstLineChars="200"/>
        <w:rPr>
          <w:rFonts w:ascii="宋体" w:hAnsi="宋体"/>
          <w:b/>
          <w:szCs w:val="28"/>
          <w:u w:val="single"/>
        </w:rPr>
      </w:pPr>
      <w:r>
        <w:rPr>
          <w:rFonts w:hint="eastAsia" w:ascii="宋体" w:hAnsi="宋体"/>
          <w:bCs/>
          <w:szCs w:val="21"/>
        </w:rPr>
        <w:t>4）</w:t>
      </w:r>
      <w:r>
        <w:rPr>
          <w:rFonts w:hint="eastAsia" w:ascii="宋体" w:hAnsi="宋体"/>
          <w:bCs/>
          <w:szCs w:val="28"/>
        </w:rPr>
        <w:t>按照2016版《山东省建设工程费用项目组成及计算规则》规定，</w:t>
      </w:r>
      <w:r>
        <w:rPr>
          <w:rFonts w:hint="eastAsia" w:ascii="宋体" w:hAnsi="宋体"/>
          <w:b/>
          <w:szCs w:val="28"/>
          <w:u w:val="single"/>
        </w:rPr>
        <w:t>专业工程暂估价仅作为计取总包管理费的基数，不计入投标总报价。</w:t>
      </w:r>
    </w:p>
    <w:p w14:paraId="458059A3">
      <w:pPr>
        <w:tabs>
          <w:tab w:val="left" w:pos="2310"/>
        </w:tabs>
        <w:spacing w:line="440" w:lineRule="exact"/>
        <w:ind w:left="1" w:firstLine="422" w:firstLineChars="200"/>
        <w:rPr>
          <w:rFonts w:ascii="宋体" w:hAnsi="宋体" w:cs="TimesNewRomanPSMT"/>
          <w:b/>
          <w:szCs w:val="21"/>
          <w:u w:val="single"/>
        </w:rPr>
      </w:pPr>
      <w:r>
        <w:rPr>
          <w:rFonts w:hint="eastAsia" w:ascii="宋体" w:hAnsi="宋体" w:cs="TimesNewRomanPSMT"/>
          <w:b/>
          <w:szCs w:val="21"/>
        </w:rPr>
        <w:t>5）</w:t>
      </w:r>
      <w:r>
        <w:rPr>
          <w:rFonts w:hint="eastAsia" w:ascii="宋体" w:hAnsi="宋体" w:cs="TimesNewRomanPSMT"/>
          <w:bCs/>
          <w:szCs w:val="21"/>
        </w:rPr>
        <w:t>暂列金额是用于施工合同签订时尚未确定或者不可预见的所需材料、工程设备、服务的采购，施工中可能发生的工程变更、合同约定调整因素出现时的工程价款调整以及发生的索赔、现场签证等确认的费用</w:t>
      </w:r>
      <w:r>
        <w:rPr>
          <w:rFonts w:hint="eastAsia" w:ascii="宋体" w:hAnsi="宋体" w:cs="TimesNewRomanPSMT"/>
          <w:b/>
          <w:szCs w:val="21"/>
        </w:rPr>
        <w:t>。</w:t>
      </w:r>
      <w:r>
        <w:rPr>
          <w:rFonts w:hint="eastAsia" w:ascii="宋体" w:hAnsi="宋体" w:eastAsia="宋体" w:cs="TimesNewRomanPSMT"/>
          <w:b/>
          <w:color w:val="FF0000"/>
          <w:szCs w:val="21"/>
          <w:highlight w:val="none"/>
          <w:u w:val="single"/>
          <w:lang w:val="en-US" w:eastAsia="zh-CN"/>
        </w:rPr>
        <w:t>本项目无</w:t>
      </w:r>
      <w:r>
        <w:rPr>
          <w:rFonts w:hint="eastAsia" w:ascii="宋体" w:hAnsi="宋体" w:eastAsia="宋体" w:cs="TimesNewRomanPSMT"/>
          <w:b/>
          <w:color w:val="FF0000"/>
          <w:szCs w:val="21"/>
          <w:highlight w:val="none"/>
          <w:u w:val="single"/>
        </w:rPr>
        <w:t>暂</w:t>
      </w:r>
      <w:r>
        <w:rPr>
          <w:rFonts w:hint="eastAsia" w:ascii="宋体" w:hAnsi="宋体" w:cs="TimesNewRomanPSMT"/>
          <w:b/>
          <w:color w:val="FF0000"/>
          <w:szCs w:val="21"/>
          <w:highlight w:val="none"/>
          <w:u w:val="single"/>
        </w:rPr>
        <w:t>列金额。</w:t>
      </w:r>
    </w:p>
    <w:p w14:paraId="29604A96">
      <w:pPr>
        <w:snapToGrid w:val="0"/>
        <w:spacing w:line="440" w:lineRule="exact"/>
        <w:ind w:firstLine="420" w:firstLineChars="200"/>
        <w:rPr>
          <w:rFonts w:ascii="宋体" w:hAnsi="宋体" w:cs="TimesNewRomanPSMT"/>
          <w:b/>
          <w:szCs w:val="21"/>
        </w:rPr>
      </w:pPr>
      <w:r>
        <w:rPr>
          <w:rFonts w:hint="eastAsia" w:ascii="宋体" w:hAnsi="宋体"/>
          <w:bCs/>
          <w:szCs w:val="21"/>
        </w:rPr>
        <w:t>6）税金</w:t>
      </w:r>
      <w:r>
        <w:rPr>
          <w:rFonts w:hint="eastAsia" w:ascii="宋体" w:hAnsi="宋体"/>
          <w:bCs/>
        </w:rPr>
        <w:t>：本工程增值税税率为</w:t>
      </w:r>
      <w:r>
        <w:rPr>
          <w:rFonts w:ascii="宋体" w:hAnsi="宋体"/>
          <w:bCs/>
          <w:u w:val="single"/>
        </w:rPr>
        <w:t>9</w:t>
      </w:r>
      <w:r>
        <w:rPr>
          <w:rFonts w:hint="eastAsia" w:ascii="宋体" w:hAnsi="宋体"/>
          <w:bCs/>
          <w:u w:val="single"/>
        </w:rPr>
        <w:t xml:space="preserve"> </w:t>
      </w:r>
      <w:r>
        <w:rPr>
          <w:rFonts w:hint="eastAsia" w:ascii="宋体" w:hAnsi="宋体"/>
          <w:bCs/>
        </w:rPr>
        <w:t>%</w:t>
      </w:r>
      <w:r>
        <w:rPr>
          <w:rFonts w:hint="eastAsia" w:ascii="宋体" w:hAnsi="宋体"/>
          <w:bCs/>
          <w:szCs w:val="21"/>
        </w:rPr>
        <w:t>。</w:t>
      </w:r>
      <w:r>
        <w:rPr>
          <w:rFonts w:hint="eastAsia" w:ascii="宋体" w:hAnsi="宋体" w:cs="TimesNewRomanPSMT"/>
          <w:b/>
          <w:szCs w:val="21"/>
        </w:rPr>
        <w:t xml:space="preserve"> </w:t>
      </w:r>
    </w:p>
    <w:p w14:paraId="7C146046">
      <w:pPr>
        <w:pStyle w:val="5"/>
        <w:bidi w:val="0"/>
        <w:rPr>
          <w:rFonts w:hint="eastAsia" w:eastAsia="宋体" w:cs="Times New Roman"/>
        </w:rPr>
      </w:pPr>
      <w:bookmarkStart w:id="140" w:name="_Toc16763"/>
      <w:bookmarkStart w:id="141" w:name="_Toc5153"/>
      <w:bookmarkStart w:id="142" w:name="_Toc11150"/>
      <w:bookmarkStart w:id="143" w:name="_Toc28390"/>
      <w:bookmarkStart w:id="144" w:name="_Toc15995"/>
      <w:bookmarkStart w:id="145" w:name="_Toc15878"/>
      <w:bookmarkStart w:id="146" w:name="_Toc7120"/>
      <w:bookmarkStart w:id="147" w:name="_Toc5747"/>
      <w:bookmarkStart w:id="148" w:name="_Toc357"/>
      <w:bookmarkStart w:id="149" w:name="_Toc21712"/>
      <w:bookmarkStart w:id="150" w:name="_Toc17776"/>
      <w:bookmarkStart w:id="151" w:name="_Toc11051"/>
      <w:bookmarkStart w:id="152" w:name="_Toc483482277"/>
      <w:r>
        <w:rPr>
          <w:rFonts w:hint="eastAsia" w:eastAsia="宋体" w:cs="Times New Roman"/>
        </w:rPr>
        <w:t>2 清单以外项目</w:t>
      </w:r>
      <w:bookmarkEnd w:id="140"/>
      <w:bookmarkEnd w:id="141"/>
      <w:bookmarkEnd w:id="142"/>
      <w:bookmarkEnd w:id="143"/>
      <w:bookmarkEnd w:id="144"/>
      <w:bookmarkEnd w:id="145"/>
      <w:bookmarkEnd w:id="146"/>
      <w:bookmarkEnd w:id="147"/>
      <w:bookmarkEnd w:id="148"/>
      <w:bookmarkEnd w:id="149"/>
      <w:bookmarkEnd w:id="150"/>
      <w:bookmarkEnd w:id="151"/>
    </w:p>
    <w:p w14:paraId="7551D7BE">
      <w:pPr>
        <w:tabs>
          <w:tab w:val="left" w:pos="2310"/>
        </w:tabs>
        <w:spacing w:line="440" w:lineRule="exact"/>
        <w:ind w:left="1" w:firstLine="422" w:firstLineChars="200"/>
        <w:rPr>
          <w:rFonts w:ascii="宋体" w:hAnsi="宋体" w:cs="TimesNewRomanPSMT"/>
          <w:b/>
          <w:szCs w:val="21"/>
        </w:rPr>
      </w:pPr>
      <w:r>
        <w:rPr>
          <w:rFonts w:hint="eastAsia" w:ascii="宋体" w:hAnsi="宋体" w:cs="TimesNewRomanPSMT"/>
          <w:b/>
          <w:szCs w:val="21"/>
        </w:rPr>
        <w:t xml:space="preserve">  清单以外项目是指结算时不适用合同专用条款10.4 .1《变更估价》（1）、（2）进行结算的项目。</w:t>
      </w:r>
    </w:p>
    <w:p w14:paraId="155E3824">
      <w:pPr>
        <w:snapToGrid w:val="0"/>
        <w:spacing w:line="440" w:lineRule="exact"/>
        <w:ind w:firstLine="527" w:firstLineChars="250"/>
        <w:rPr>
          <w:rFonts w:ascii="宋体" w:hAnsi="宋体" w:cs="TimesNewRomanPSMT"/>
          <w:b/>
        </w:rPr>
      </w:pPr>
      <w:r>
        <w:rPr>
          <w:rFonts w:hint="eastAsia" w:ascii="宋体" w:hAnsi="宋体" w:cs="TimesNewRomanPSMT"/>
          <w:b/>
        </w:rPr>
        <w:t>2.1计价依据：</w:t>
      </w:r>
    </w:p>
    <w:p w14:paraId="2CC875F8">
      <w:pPr>
        <w:snapToGrid w:val="0"/>
        <w:spacing w:line="440" w:lineRule="exact"/>
        <w:ind w:firstLine="422" w:firstLineChars="200"/>
        <w:rPr>
          <w:rFonts w:ascii="宋体" w:hAnsi="宋体" w:cs="TimesNewRomanPSMT"/>
          <w:b/>
        </w:rPr>
      </w:pPr>
      <w:r>
        <w:rPr>
          <w:rFonts w:hint="eastAsia" w:ascii="宋体" w:hAnsi="宋体" w:cs="TimesNewRomanPSMT"/>
          <w:b/>
        </w:rPr>
        <w:t xml:space="preserve"> </w:t>
      </w:r>
      <w:r>
        <w:rPr>
          <w:rFonts w:hint="eastAsia" w:ascii="宋体" w:hAnsi="宋体" w:cs="TimesNewRomanPSMT"/>
          <w:b/>
        </w:rPr>
        <w:fldChar w:fldCharType="begin"/>
      </w:r>
      <w:r>
        <w:rPr>
          <w:rFonts w:hint="eastAsia" w:ascii="宋体" w:hAnsi="宋体" w:cs="TimesNewRomanPSMT"/>
          <w:b/>
        </w:rPr>
        <w:instrText xml:space="preserve"> = 1 \* GB3 \* MERGEFORMAT </w:instrText>
      </w:r>
      <w:r>
        <w:rPr>
          <w:rFonts w:hint="eastAsia" w:ascii="宋体" w:hAnsi="宋体" w:cs="TimesNewRomanPSMT"/>
          <w:b/>
        </w:rPr>
        <w:fldChar w:fldCharType="separate"/>
      </w:r>
      <w:r>
        <w:rPr>
          <w:rFonts w:hint="eastAsia" w:ascii="宋体" w:hAnsi="宋体" w:cs="TimesNewRomanPSMT"/>
          <w:b/>
        </w:rPr>
        <w:t>①</w:t>
      </w:r>
      <w:r>
        <w:rPr>
          <w:rFonts w:hint="eastAsia" w:ascii="宋体" w:hAnsi="宋体" w:cs="TimesNewRomanPSMT"/>
          <w:b/>
        </w:rPr>
        <w:fldChar w:fldCharType="end"/>
      </w:r>
      <w:r>
        <w:rPr>
          <w:rFonts w:hint="eastAsia" w:ascii="宋体" w:hAnsi="宋体" w:cs="TimesNewRomanPSMT"/>
          <w:b/>
        </w:rPr>
        <w:t>计价依据：2016版《山东省建筑工程消耗量定额》、2016版《山东省安装工程消耗量定额》、2016版《山东省市政工程消耗量定额》、2016版《山东省园林绿化工程消耗量定额》、2020版《山东省房屋修缮工程消耗量定额》及其补充定额，2021版价目表；</w:t>
      </w:r>
    </w:p>
    <w:p w14:paraId="394A6C9F">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hint="eastAsia" w:ascii="宋体" w:hAnsi="宋体" w:cs="TimesNewRomanPSMT"/>
          <w:b/>
        </w:rPr>
        <w:instrText xml:space="preserve"> = 2 \* GB3 \* MERGEFORMAT </w:instrText>
      </w:r>
      <w:r>
        <w:rPr>
          <w:rFonts w:hint="eastAsia" w:ascii="宋体" w:hAnsi="宋体" w:cs="TimesNewRomanPSMT"/>
          <w:b/>
        </w:rPr>
        <w:fldChar w:fldCharType="separate"/>
      </w:r>
      <w:r>
        <w:rPr>
          <w:rFonts w:hint="eastAsia" w:ascii="宋体" w:hAnsi="宋体" w:cs="TimesNewRomanPSMT"/>
          <w:b/>
        </w:rPr>
        <w:t>②</w:t>
      </w:r>
      <w:r>
        <w:rPr>
          <w:rFonts w:hint="eastAsia" w:ascii="宋体" w:hAnsi="宋体" w:cs="TimesNewRomanPSMT"/>
          <w:b/>
        </w:rPr>
        <w:fldChar w:fldCharType="end"/>
      </w:r>
      <w:r>
        <w:rPr>
          <w:rFonts w:hint="eastAsia" w:ascii="宋体" w:hAnsi="宋体" w:cs="TimesNewRomanPSMT"/>
          <w:b/>
        </w:rPr>
        <w:t>工程类别：建筑执行Ⅲ类取费，安装执行工业安装取费，装饰执行Ⅲ类取费，市政执行Ⅲ类取费；</w:t>
      </w:r>
    </w:p>
    <w:p w14:paraId="17CDB812">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hint="eastAsia" w:ascii="宋体" w:hAnsi="宋体" w:cs="TimesNewRomanPSMT"/>
          <w:b/>
        </w:rPr>
        <w:instrText xml:space="preserve"> = 3 \* GB3 \* MERGEFORMAT </w:instrText>
      </w:r>
      <w:r>
        <w:rPr>
          <w:rFonts w:hint="eastAsia" w:ascii="宋体" w:hAnsi="宋体" w:cs="TimesNewRomanPSMT"/>
          <w:b/>
        </w:rPr>
        <w:fldChar w:fldCharType="separate"/>
      </w:r>
      <w:r>
        <w:rPr>
          <w:rFonts w:hint="eastAsia" w:ascii="宋体" w:hAnsi="宋体" w:cs="TimesNewRomanPSMT"/>
          <w:b/>
        </w:rPr>
        <w:t>③</w:t>
      </w:r>
      <w:r>
        <w:rPr>
          <w:rFonts w:hint="eastAsia" w:ascii="宋体" w:hAnsi="宋体" w:cs="TimesNewRomanPSMT"/>
          <w:b/>
        </w:rPr>
        <w:fldChar w:fldCharType="end"/>
      </w:r>
      <w:r>
        <w:rPr>
          <w:rFonts w:hint="eastAsia" w:ascii="宋体" w:hAnsi="宋体" w:cs="TimesNewRomanPSMT"/>
          <w:b/>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材质不变仅规格型号发生变更的，变更后仅调整不同规格型号的材料市场价差；</w:t>
      </w:r>
    </w:p>
    <w:p w14:paraId="67FE8676">
      <w:pPr>
        <w:snapToGrid w:val="0"/>
        <w:spacing w:line="440" w:lineRule="exact"/>
        <w:ind w:firstLine="527" w:firstLineChars="250"/>
        <w:rPr>
          <w:rFonts w:hint="eastAsia" w:ascii="宋体" w:hAnsi="宋体" w:cs="TimesNewRomanPSMT"/>
          <w:b/>
          <w:color w:val="FF0000"/>
          <w:highlight w:val="none"/>
        </w:rPr>
      </w:pPr>
      <w:r>
        <w:rPr>
          <w:rFonts w:hint="eastAsia" w:ascii="宋体" w:hAnsi="宋体" w:cs="TimesNewRomanPSMT"/>
          <w:b/>
          <w:color w:val="FF0000"/>
          <w:highlight w:val="none"/>
        </w:rPr>
        <w:fldChar w:fldCharType="begin"/>
      </w:r>
      <w:r>
        <w:rPr>
          <w:rFonts w:hint="eastAsia" w:ascii="宋体" w:hAnsi="宋体" w:cs="TimesNewRomanPSMT"/>
          <w:b/>
          <w:color w:val="FF0000"/>
          <w:highlight w:val="none"/>
        </w:rPr>
        <w:instrText xml:space="preserve"> = 4 \* GB3 \* MERGEFORMAT </w:instrText>
      </w:r>
      <w:r>
        <w:rPr>
          <w:rFonts w:hint="eastAsia" w:ascii="宋体" w:hAnsi="宋体" w:cs="TimesNewRomanPSMT"/>
          <w:b/>
          <w:color w:val="FF0000"/>
          <w:highlight w:val="none"/>
        </w:rPr>
        <w:fldChar w:fldCharType="separate"/>
      </w:r>
      <w:r>
        <w:rPr>
          <w:rFonts w:hint="eastAsia" w:ascii="宋体" w:hAnsi="宋体" w:cs="TimesNewRomanPSMT"/>
          <w:b/>
          <w:color w:val="FF0000"/>
          <w:highlight w:val="none"/>
        </w:rPr>
        <w:t>④</w:t>
      </w:r>
      <w:r>
        <w:rPr>
          <w:rFonts w:hint="eastAsia" w:ascii="宋体" w:hAnsi="宋体" w:cs="TimesNewRomanPSMT"/>
          <w:b/>
          <w:color w:val="FF0000"/>
          <w:highlight w:val="none"/>
        </w:rPr>
        <w:fldChar w:fldCharType="end"/>
      </w:r>
      <w:r>
        <w:rPr>
          <w:rFonts w:hint="eastAsia" w:ascii="宋体" w:hAnsi="宋体" w:cs="TimesNewRomanPSMT"/>
          <w:b/>
          <w:color w:val="FF0000"/>
          <w:highlight w:val="none"/>
        </w:rPr>
        <w:t>承包人按上述原则就清单外工作内容按总造价统一让利</w:t>
      </w:r>
      <w:r>
        <w:rPr>
          <w:rFonts w:hint="eastAsia" w:ascii="宋体" w:hAnsi="宋体" w:cs="TimesNewRomanPSMT"/>
          <w:b/>
          <w:color w:val="FF0000"/>
          <w:highlight w:val="none"/>
          <w:u w:val="single"/>
        </w:rPr>
        <w:t xml:space="preserve">  </w:t>
      </w:r>
      <w:r>
        <w:rPr>
          <w:rFonts w:hint="eastAsia" w:ascii="宋体" w:hAnsi="宋体" w:cs="TimesNewRomanPSMT"/>
          <w:b/>
          <w:color w:val="FF0000"/>
          <w:highlight w:val="none"/>
          <w:u w:val="single"/>
          <w:lang w:val="en-US" w:eastAsia="zh-CN"/>
        </w:rPr>
        <w:t>5</w:t>
      </w:r>
      <w:r>
        <w:rPr>
          <w:rFonts w:hint="eastAsia" w:ascii="宋体" w:hAnsi="宋体" w:cs="TimesNewRomanPSMT"/>
          <w:b/>
          <w:color w:val="FF0000"/>
          <w:highlight w:val="none"/>
          <w:u w:val="single"/>
        </w:rPr>
        <w:t xml:space="preserve">  </w:t>
      </w:r>
      <w:r>
        <w:rPr>
          <w:rFonts w:hint="eastAsia" w:ascii="宋体" w:hAnsi="宋体" w:cs="TimesNewRomanPSMT"/>
          <w:b/>
          <w:color w:val="FF0000"/>
          <w:highlight w:val="none"/>
        </w:rPr>
        <w:t>%</w:t>
      </w:r>
      <w:r>
        <w:rPr>
          <w:rFonts w:hint="eastAsia" w:ascii="宋体" w:hAnsi="宋体" w:cs="TimesNewRomanPSMT"/>
          <w:b/>
          <w:color w:val="FF0000"/>
          <w:highlight w:val="none"/>
          <w:lang w:eastAsia="zh-CN"/>
        </w:rPr>
        <w:t>（</w:t>
      </w:r>
      <w:r>
        <w:rPr>
          <w:rFonts w:hint="eastAsia" w:ascii="宋体" w:hAnsi="宋体" w:cs="TimesNewRomanPSMT"/>
          <w:b/>
          <w:color w:val="FF0000"/>
          <w:highlight w:val="none"/>
          <w:lang w:val="en-US" w:eastAsia="zh-CN"/>
        </w:rPr>
        <w:t>统一费率，不再竞报</w:t>
      </w:r>
      <w:r>
        <w:rPr>
          <w:rFonts w:hint="eastAsia" w:ascii="宋体" w:hAnsi="宋体" w:cs="TimesNewRomanPSMT"/>
          <w:b/>
          <w:color w:val="FF0000"/>
          <w:highlight w:val="none"/>
          <w:lang w:eastAsia="zh-CN"/>
        </w:rPr>
        <w:t>）</w:t>
      </w:r>
      <w:r>
        <w:rPr>
          <w:rFonts w:hint="eastAsia" w:ascii="宋体" w:hAnsi="宋体" w:cs="TimesNewRomanPSMT"/>
          <w:b/>
          <w:color w:val="FF0000"/>
          <w:highlight w:val="none"/>
        </w:rPr>
        <w:t>。</w:t>
      </w:r>
    </w:p>
    <w:p w14:paraId="439A7386">
      <w:pPr>
        <w:snapToGrid w:val="0"/>
        <w:spacing w:line="440" w:lineRule="exact"/>
        <w:ind w:firstLine="525" w:firstLineChars="250"/>
        <w:rPr>
          <w:rFonts w:ascii="宋体" w:hAnsi="宋体"/>
          <w:highlight w:val="none"/>
        </w:rPr>
      </w:pPr>
      <w:r>
        <w:rPr>
          <w:rFonts w:hint="eastAsia" w:ascii="宋体" w:hAnsi="宋体"/>
          <w:highlight w:val="none"/>
        </w:rPr>
        <w:t>2.2补充说明</w:t>
      </w:r>
    </w:p>
    <w:p w14:paraId="4471CC5C">
      <w:pPr>
        <w:snapToGrid w:val="0"/>
        <w:spacing w:line="440" w:lineRule="exact"/>
        <w:ind w:firstLine="525" w:firstLineChars="250"/>
        <w:rPr>
          <w:rFonts w:ascii="宋体" w:hAnsi="宋体"/>
          <w:highlight w:val="none"/>
        </w:rPr>
      </w:pPr>
      <w:r>
        <w:rPr>
          <w:rFonts w:hint="eastAsia" w:ascii="宋体" w:hAnsi="宋体"/>
          <w:highlight w:val="none"/>
        </w:rPr>
        <w:t>2.2.1本工程的投标报价应是投标须知所确定工程招标范围内完成全部工作所需的费用。其中包括施工设备、劳务、管理、材料、运输、试验、完工、维护、利润、保险、税金及政策性文件规定等各项应有费用，及中标人作为本工程项目的总承包人，配合招标方办理建设手续消防验收、环评验收等相关费用（包括但不限于公证费等）。</w:t>
      </w:r>
    </w:p>
    <w:p w14:paraId="74B05E36">
      <w:pPr>
        <w:snapToGrid w:val="0"/>
        <w:spacing w:line="440" w:lineRule="exact"/>
        <w:ind w:firstLine="525" w:firstLineChars="250"/>
        <w:rPr>
          <w:rFonts w:ascii="宋体" w:hAnsi="宋体"/>
          <w:highlight w:val="none"/>
        </w:rPr>
      </w:pPr>
      <w:r>
        <w:rPr>
          <w:rFonts w:hint="eastAsia" w:ascii="宋体" w:hAnsi="宋体"/>
          <w:highlight w:val="none"/>
        </w:rPr>
        <w:t>2.2.2投标人应到工地踏勘以充分了解工地位置、情况、道路、储存空间、装卸限制及任何其他足以影响结算系数的情况，应充分考虑招标项目内容、施工特点以及市场变化、政策性调整、风险等所有因素，结合自身综合实力对项目建设进行竞争，任何忽视或误解工地情况而导致的索赔或工期延长申请将不被批准。</w:t>
      </w:r>
    </w:p>
    <w:p w14:paraId="2E75CBB4">
      <w:pPr>
        <w:snapToGrid w:val="0"/>
        <w:spacing w:line="440" w:lineRule="exact"/>
        <w:ind w:firstLine="527" w:firstLineChars="250"/>
        <w:rPr>
          <w:rFonts w:ascii="宋体" w:hAnsi="宋体"/>
          <w:b/>
          <w:bCs/>
          <w:color w:val="FF0000"/>
          <w:highlight w:val="none"/>
        </w:rPr>
      </w:pPr>
      <w:r>
        <w:rPr>
          <w:rFonts w:hint="eastAsia" w:ascii="宋体" w:hAnsi="宋体"/>
          <w:b/>
          <w:bCs/>
          <w:color w:val="FF0000"/>
          <w:highlight w:val="none"/>
        </w:rPr>
        <w:t>2.2.3计日工</w:t>
      </w:r>
      <w:r>
        <w:rPr>
          <w:rFonts w:hint="eastAsia" w:ascii="宋体" w:hAnsi="宋体"/>
          <w:b/>
          <w:bCs/>
          <w:color w:val="FF0000"/>
          <w:highlight w:val="none"/>
          <w:u w:val="single"/>
        </w:rPr>
        <w:t xml:space="preserve">  </w:t>
      </w:r>
      <w:r>
        <w:rPr>
          <w:rFonts w:hint="eastAsia" w:ascii="宋体" w:hAnsi="宋体"/>
          <w:b/>
          <w:bCs/>
          <w:color w:val="FF0000"/>
          <w:highlight w:val="none"/>
          <w:u w:val="single"/>
          <w:lang w:val="en-US" w:eastAsia="zh-CN"/>
        </w:rPr>
        <w:t>220</w:t>
      </w:r>
      <w:r>
        <w:rPr>
          <w:rFonts w:hint="eastAsia" w:ascii="宋体" w:hAnsi="宋体"/>
          <w:b/>
          <w:bCs/>
          <w:color w:val="FF0000"/>
          <w:highlight w:val="none"/>
          <w:u w:val="single"/>
        </w:rPr>
        <w:t xml:space="preserve">   </w:t>
      </w:r>
      <w:r>
        <w:rPr>
          <w:rFonts w:hint="eastAsia" w:ascii="宋体" w:hAnsi="宋体"/>
          <w:b/>
          <w:bCs/>
          <w:color w:val="FF0000"/>
          <w:highlight w:val="none"/>
        </w:rPr>
        <w:t>元/工日</w:t>
      </w:r>
      <w:r>
        <w:rPr>
          <w:rFonts w:hint="eastAsia" w:ascii="宋体" w:hAnsi="宋体" w:cs="TimesNewRomanPSMT"/>
          <w:b/>
          <w:bCs/>
          <w:color w:val="FF0000"/>
          <w:highlight w:val="none"/>
        </w:rPr>
        <w:t>（</w:t>
      </w:r>
      <w:r>
        <w:rPr>
          <w:rFonts w:hint="eastAsia" w:ascii="宋体" w:hAnsi="宋体" w:cs="TimesNewRomanPSMT"/>
          <w:b/>
          <w:bCs/>
          <w:color w:val="FF0000"/>
          <w:highlight w:val="none"/>
          <w:lang w:val="en-US" w:eastAsia="zh-CN"/>
        </w:rPr>
        <w:t>全费用，统一单价，不再竞报</w:t>
      </w:r>
      <w:r>
        <w:rPr>
          <w:rFonts w:hint="eastAsia" w:ascii="宋体" w:hAnsi="宋体" w:cs="TimesNewRomanPSMT"/>
          <w:b/>
          <w:bCs/>
          <w:color w:val="FF0000"/>
          <w:highlight w:val="none"/>
        </w:rPr>
        <w:t>）</w:t>
      </w:r>
      <w:r>
        <w:rPr>
          <w:rFonts w:hint="eastAsia" w:ascii="宋体" w:hAnsi="宋体"/>
          <w:b/>
          <w:bCs/>
          <w:color w:val="FF0000"/>
          <w:highlight w:val="none"/>
        </w:rPr>
        <w:t>。</w:t>
      </w:r>
    </w:p>
    <w:bookmarkEnd w:id="152"/>
    <w:p w14:paraId="696C9D6C">
      <w:pPr>
        <w:pStyle w:val="5"/>
        <w:bidi w:val="0"/>
        <w:rPr>
          <w:rFonts w:hint="eastAsia" w:eastAsia="宋体" w:cs="Times New Roman"/>
        </w:rPr>
      </w:pPr>
      <w:bookmarkStart w:id="153" w:name="_Toc7198"/>
      <w:bookmarkStart w:id="154" w:name="_Toc7489"/>
      <w:r>
        <w:rPr>
          <w:rFonts w:hint="eastAsia" w:eastAsia="宋体" w:cs="Times New Roman"/>
        </w:rPr>
        <w:t>3 其他说明</w:t>
      </w:r>
      <w:bookmarkEnd w:id="135"/>
      <w:bookmarkEnd w:id="136"/>
      <w:bookmarkEnd w:id="153"/>
      <w:bookmarkEnd w:id="154"/>
    </w:p>
    <w:p w14:paraId="5580B454">
      <w:pPr>
        <w:snapToGrid w:val="0"/>
        <w:spacing w:line="440" w:lineRule="exact"/>
        <w:ind w:firstLine="527" w:firstLineChars="250"/>
        <w:rPr>
          <w:rFonts w:ascii="宋体" w:hAnsi="宋体" w:cs="TimesNewRomanPSMT"/>
          <w:b/>
        </w:rPr>
      </w:pPr>
      <w:r>
        <w:rPr>
          <w:rFonts w:hint="eastAsia" w:ascii="宋体" w:hAnsi="宋体" w:cs="TimesNewRomanPSMT"/>
          <w:b/>
        </w:rPr>
        <w:t>3.1词语和定义</w:t>
      </w:r>
    </w:p>
    <w:p w14:paraId="30E97980">
      <w:pPr>
        <w:snapToGrid w:val="0"/>
        <w:spacing w:line="440" w:lineRule="exact"/>
        <w:ind w:firstLine="525" w:firstLineChars="250"/>
        <w:rPr>
          <w:rFonts w:ascii="宋体" w:hAnsi="宋体"/>
        </w:rPr>
      </w:pPr>
      <w:r>
        <w:rPr>
          <w:rFonts w:hint="eastAsia" w:ascii="宋体" w:hAnsi="宋体"/>
        </w:rPr>
        <w:t>3.1.1  工程量清单</w:t>
      </w:r>
    </w:p>
    <w:p w14:paraId="026BF8E7">
      <w:pPr>
        <w:snapToGrid w:val="0"/>
        <w:spacing w:line="440" w:lineRule="exact"/>
        <w:ind w:firstLine="525" w:firstLineChars="250"/>
        <w:rPr>
          <w:rFonts w:ascii="宋体" w:hAnsi="宋体"/>
          <w:szCs w:val="21"/>
        </w:rPr>
      </w:pPr>
      <w:r>
        <w:rPr>
          <w:rFonts w:hint="eastAsia" w:ascii="宋体" w:hAnsi="宋体"/>
        </w:rPr>
        <w:t>是表现本工程分部分项工</w:t>
      </w:r>
      <w:r>
        <w:rPr>
          <w:rFonts w:hint="eastAsia" w:ascii="宋体" w:hAnsi="宋体"/>
          <w:szCs w:val="21"/>
        </w:rPr>
        <w:t>程项目、措施项目、其他项目、规费项目和税金的名称和相应数量等的明细清单。</w:t>
      </w:r>
    </w:p>
    <w:p w14:paraId="4ADA3B94">
      <w:pPr>
        <w:snapToGrid w:val="0"/>
        <w:spacing w:line="440" w:lineRule="exact"/>
        <w:ind w:firstLine="525" w:firstLineChars="250"/>
        <w:rPr>
          <w:rFonts w:ascii="宋体" w:hAnsi="宋体"/>
          <w:szCs w:val="21"/>
        </w:rPr>
      </w:pPr>
      <w:r>
        <w:rPr>
          <w:rFonts w:hint="eastAsia" w:ascii="宋体" w:hAnsi="宋体"/>
          <w:szCs w:val="21"/>
        </w:rPr>
        <w:t>3.1.2  总价子目</w:t>
      </w:r>
    </w:p>
    <w:p w14:paraId="4D351AD6">
      <w:pPr>
        <w:snapToGrid w:val="0"/>
        <w:spacing w:line="440" w:lineRule="exact"/>
        <w:ind w:firstLine="525" w:firstLineChars="250"/>
        <w:rPr>
          <w:rFonts w:ascii="宋体" w:hAnsi="宋体"/>
          <w:szCs w:val="21"/>
        </w:rPr>
      </w:pPr>
      <w:r>
        <w:rPr>
          <w:rFonts w:hint="eastAsia" w:ascii="宋体" w:hAnsi="宋体"/>
          <w:szCs w:val="21"/>
        </w:rPr>
        <w:t>工程量清单中以总价计价，以“项”为计量单位，工程量为整数1的子目，除专用合同条款另有约定外，总价固定包干。采用总价合同形式时，合同订立后，已标价工程量清单中的工程量均没有合同约束力，所有子目均是总价子目，视同按项计量(合同条款约定的变更除外)。</w:t>
      </w:r>
    </w:p>
    <w:p w14:paraId="4038D0EA">
      <w:pPr>
        <w:snapToGrid w:val="0"/>
        <w:spacing w:line="440" w:lineRule="exact"/>
        <w:ind w:firstLine="525" w:firstLineChars="250"/>
        <w:rPr>
          <w:rFonts w:ascii="宋体" w:hAnsi="宋体"/>
          <w:szCs w:val="21"/>
        </w:rPr>
      </w:pPr>
      <w:r>
        <w:rPr>
          <w:rFonts w:hint="eastAsia" w:ascii="宋体" w:hAnsi="宋体"/>
          <w:szCs w:val="21"/>
        </w:rPr>
        <w:t>3.1.3  单价子目</w:t>
      </w:r>
    </w:p>
    <w:p w14:paraId="450AAE01">
      <w:pPr>
        <w:snapToGrid w:val="0"/>
        <w:spacing w:line="440" w:lineRule="exact"/>
        <w:ind w:firstLine="525" w:firstLineChars="250"/>
        <w:rPr>
          <w:rFonts w:ascii="宋体" w:hAnsi="宋体"/>
          <w:szCs w:val="21"/>
        </w:rPr>
      </w:pPr>
      <w:r>
        <w:rPr>
          <w:rFonts w:hint="eastAsia" w:ascii="宋体" w:hAnsi="宋体"/>
          <w:szCs w:val="21"/>
        </w:rPr>
        <w:t>工程量清单中以单价计价，根据有合同约束力的图纸和工程量计算规则进行计量，以实际完成数量乘以相应单价进行结算的子目。</w:t>
      </w:r>
    </w:p>
    <w:p w14:paraId="00989E28">
      <w:pPr>
        <w:snapToGrid w:val="0"/>
        <w:spacing w:line="440" w:lineRule="exact"/>
        <w:ind w:firstLine="525" w:firstLineChars="250"/>
        <w:rPr>
          <w:rFonts w:ascii="宋体" w:hAnsi="宋体"/>
          <w:szCs w:val="21"/>
        </w:rPr>
      </w:pPr>
      <w:r>
        <w:rPr>
          <w:rFonts w:hint="eastAsia" w:ascii="宋体" w:hAnsi="宋体"/>
          <w:szCs w:val="21"/>
        </w:rPr>
        <w:t>3.1.4  子目编码</w:t>
      </w:r>
    </w:p>
    <w:p w14:paraId="5AED521D">
      <w:pPr>
        <w:snapToGrid w:val="0"/>
        <w:spacing w:line="440" w:lineRule="exact"/>
        <w:ind w:firstLine="525" w:firstLineChars="250"/>
        <w:rPr>
          <w:rFonts w:ascii="宋体" w:hAnsi="宋体"/>
          <w:szCs w:val="21"/>
        </w:rPr>
      </w:pPr>
      <w:r>
        <w:rPr>
          <w:rFonts w:hint="eastAsia" w:ascii="宋体" w:hAnsi="宋体"/>
          <w:szCs w:val="21"/>
        </w:rPr>
        <w:t>分部分项工程项目清单中所列的子目名称的数字标识和代码，子目编码与项目编码同义。</w:t>
      </w:r>
    </w:p>
    <w:p w14:paraId="7DF7D329">
      <w:pPr>
        <w:snapToGrid w:val="0"/>
        <w:spacing w:line="440" w:lineRule="exact"/>
        <w:ind w:firstLine="525" w:firstLineChars="250"/>
        <w:rPr>
          <w:rFonts w:ascii="宋体" w:hAnsi="宋体"/>
          <w:szCs w:val="21"/>
        </w:rPr>
      </w:pPr>
      <w:r>
        <w:rPr>
          <w:rFonts w:hint="eastAsia" w:ascii="宋体" w:hAnsi="宋体"/>
          <w:szCs w:val="21"/>
        </w:rPr>
        <w:t>3.1.5  子目特征</w:t>
      </w:r>
    </w:p>
    <w:p w14:paraId="126FD85C">
      <w:pPr>
        <w:snapToGrid w:val="0"/>
        <w:spacing w:line="440" w:lineRule="exact"/>
        <w:ind w:firstLine="525" w:firstLineChars="250"/>
        <w:rPr>
          <w:rFonts w:ascii="宋体" w:hAnsi="宋体"/>
          <w:szCs w:val="21"/>
        </w:rPr>
      </w:pPr>
      <w:r>
        <w:rPr>
          <w:rFonts w:hint="eastAsia" w:ascii="宋体" w:hAnsi="宋体"/>
          <w:szCs w:val="21"/>
        </w:rPr>
        <w:t>构成分部分项工程项目清单子目、措施项目的实质内容、决定其自身价值的本质特征，子目特征与项目特征同义。</w:t>
      </w:r>
    </w:p>
    <w:p w14:paraId="00422DF8">
      <w:pPr>
        <w:snapToGrid w:val="0"/>
        <w:spacing w:line="440" w:lineRule="exact"/>
        <w:ind w:firstLine="525" w:firstLineChars="250"/>
        <w:rPr>
          <w:rFonts w:ascii="宋体" w:hAnsi="宋体"/>
          <w:szCs w:val="21"/>
        </w:rPr>
      </w:pPr>
      <w:r>
        <w:rPr>
          <w:rFonts w:hint="eastAsia" w:ascii="宋体" w:hAnsi="宋体"/>
          <w:szCs w:val="21"/>
        </w:rPr>
        <w:t>3.1.6  规费</w:t>
      </w:r>
    </w:p>
    <w:p w14:paraId="25BAE1EA">
      <w:pPr>
        <w:snapToGrid w:val="0"/>
        <w:spacing w:line="440" w:lineRule="exact"/>
        <w:ind w:firstLine="525" w:firstLineChars="250"/>
        <w:rPr>
          <w:rFonts w:ascii="宋体" w:hAnsi="宋体"/>
          <w:szCs w:val="21"/>
        </w:rPr>
      </w:pPr>
      <w:r>
        <w:rPr>
          <w:rFonts w:hint="eastAsia" w:ascii="宋体" w:hAnsi="宋体"/>
          <w:szCs w:val="21"/>
        </w:rPr>
        <w:t>承包人根据省级政府或省级有关权力部门规定必须缴纳的，应计入建筑安装工程造价的费用。</w:t>
      </w:r>
    </w:p>
    <w:p w14:paraId="6BEC7DF1">
      <w:pPr>
        <w:snapToGrid w:val="0"/>
        <w:spacing w:line="440" w:lineRule="exact"/>
        <w:ind w:firstLine="525" w:firstLineChars="250"/>
        <w:rPr>
          <w:rFonts w:ascii="宋体" w:hAnsi="宋体"/>
          <w:szCs w:val="21"/>
        </w:rPr>
      </w:pPr>
      <w:r>
        <w:rPr>
          <w:rFonts w:hint="eastAsia" w:ascii="宋体" w:hAnsi="宋体"/>
          <w:szCs w:val="21"/>
        </w:rPr>
        <w:t>3.1.7  税金</w:t>
      </w:r>
    </w:p>
    <w:p w14:paraId="2EA61FBB">
      <w:pPr>
        <w:snapToGrid w:val="0"/>
        <w:spacing w:line="440" w:lineRule="exact"/>
        <w:ind w:firstLine="525" w:firstLineChars="250"/>
        <w:rPr>
          <w:rFonts w:ascii="宋体" w:hAnsi="宋体"/>
          <w:szCs w:val="21"/>
        </w:rPr>
      </w:pPr>
      <w:r>
        <w:rPr>
          <w:rFonts w:hint="eastAsia" w:ascii="宋体" w:hAnsi="宋体"/>
          <w:szCs w:val="21"/>
        </w:rPr>
        <w:t>国家税法规定的应计入建筑安装工程造价内的营业税、城市维护建设税及教育费附加等。</w:t>
      </w:r>
    </w:p>
    <w:p w14:paraId="6E2A6321">
      <w:pPr>
        <w:snapToGrid w:val="0"/>
        <w:spacing w:line="440" w:lineRule="exact"/>
        <w:ind w:firstLine="525" w:firstLineChars="250"/>
        <w:rPr>
          <w:rFonts w:ascii="宋体" w:hAnsi="宋体"/>
          <w:szCs w:val="21"/>
        </w:rPr>
      </w:pPr>
      <w:r>
        <w:rPr>
          <w:rFonts w:hint="eastAsia" w:ascii="宋体" w:hAnsi="宋体"/>
          <w:szCs w:val="21"/>
        </w:rPr>
        <w:t>3.1.8  总承包服务费</w:t>
      </w:r>
    </w:p>
    <w:p w14:paraId="201C37B0">
      <w:pPr>
        <w:snapToGrid w:val="0"/>
        <w:spacing w:line="440" w:lineRule="exact"/>
        <w:ind w:firstLine="525" w:firstLineChars="250"/>
        <w:rPr>
          <w:rFonts w:ascii="宋体" w:hAnsi="宋体"/>
          <w:szCs w:val="21"/>
        </w:rPr>
      </w:pPr>
      <w:r>
        <w:rPr>
          <w:rFonts w:hint="eastAsia" w:ascii="宋体" w:hAnsi="宋体"/>
          <w:szCs w:val="21"/>
        </w:rPr>
        <w:t>总承包人为配合协调发包人发包的专业工程以及发包人采购的材料和工程设备等进行管理、服务以及施工现场管理、竣工资料汇总整理等所需的费用。</w:t>
      </w:r>
    </w:p>
    <w:p w14:paraId="5007BB23">
      <w:pPr>
        <w:snapToGrid w:val="0"/>
        <w:spacing w:line="440" w:lineRule="exact"/>
        <w:ind w:firstLine="525" w:firstLineChars="250"/>
        <w:rPr>
          <w:rFonts w:ascii="宋体" w:hAnsi="宋体"/>
          <w:szCs w:val="21"/>
        </w:rPr>
      </w:pPr>
      <w:r>
        <w:rPr>
          <w:rFonts w:hint="eastAsia" w:ascii="宋体" w:hAnsi="宋体"/>
          <w:szCs w:val="21"/>
        </w:rPr>
        <w:t>3.1.9  同义词语</w:t>
      </w:r>
    </w:p>
    <w:p w14:paraId="3FF316B1">
      <w:pPr>
        <w:snapToGrid w:val="0"/>
        <w:spacing w:line="440" w:lineRule="exact"/>
        <w:ind w:firstLine="525" w:firstLineChars="250"/>
        <w:rPr>
          <w:rFonts w:ascii="宋体" w:hAnsi="宋体"/>
          <w:szCs w:val="21"/>
        </w:rPr>
      </w:pPr>
      <w:r>
        <w:rPr>
          <w:rFonts w:hint="eastAsia" w:ascii="宋体" w:hAnsi="宋体"/>
          <w:szCs w:val="21"/>
        </w:rPr>
        <w:t>本章中使用的词语“招标人”和“投标人”分别与合同条款中定义的“发包人”和“承包人”同义；就工程量清单而言，“子目”与“项目”同义。</w:t>
      </w:r>
    </w:p>
    <w:p w14:paraId="1E8597C4">
      <w:pPr>
        <w:snapToGrid w:val="0"/>
        <w:spacing w:line="440" w:lineRule="exact"/>
        <w:ind w:firstLine="527" w:firstLineChars="250"/>
        <w:rPr>
          <w:rFonts w:ascii="宋体" w:hAnsi="宋体" w:cs="TimesNewRomanPSMT"/>
          <w:b/>
        </w:rPr>
      </w:pPr>
      <w:r>
        <w:rPr>
          <w:rFonts w:hint="eastAsia" w:ascii="宋体" w:hAnsi="宋体" w:cs="TimesNewRomanPSMT"/>
          <w:b/>
        </w:rPr>
        <w:t>3.2暂列金额和暂估价</w:t>
      </w:r>
    </w:p>
    <w:p w14:paraId="4E636345">
      <w:pPr>
        <w:snapToGrid w:val="0"/>
        <w:spacing w:line="440" w:lineRule="exact"/>
        <w:ind w:firstLine="525" w:firstLineChars="250"/>
        <w:rPr>
          <w:rFonts w:ascii="宋体" w:hAnsi="宋体"/>
          <w:szCs w:val="21"/>
        </w:rPr>
      </w:pPr>
      <w:r>
        <w:rPr>
          <w:rFonts w:hint="eastAsia" w:ascii="宋体" w:hAnsi="宋体"/>
          <w:szCs w:val="21"/>
        </w:rPr>
        <w:t>3.2.1  “暂列金额明细表”中所列暂列金额(不包括计日工金额)中已经包含与其对应的管理费、利润，但不含规费、税金。投标人应按本招标文件规定将此类暂列金额直接纳入其他项目清单的投标价格，不需要考虑除规费、税金以外的其他任何费用。</w:t>
      </w:r>
    </w:p>
    <w:p w14:paraId="6D8A9F72">
      <w:pPr>
        <w:snapToGrid w:val="0"/>
        <w:spacing w:line="440" w:lineRule="exact"/>
        <w:ind w:firstLine="525" w:firstLineChars="250"/>
        <w:rPr>
          <w:rFonts w:ascii="宋体" w:hAnsi="宋体"/>
          <w:szCs w:val="21"/>
        </w:rPr>
      </w:pPr>
      <w:r>
        <w:rPr>
          <w:rFonts w:hint="eastAsia" w:ascii="宋体" w:hAnsi="宋体"/>
          <w:szCs w:val="21"/>
        </w:rPr>
        <w:t>3.2.2  “材料和工程设备暂估价表”中所列的材料和工程设备暂估价是此类材料、工程设备本身运至施工现场内的工地地面价，不包括其本身所对应的管理费、利润、规费、税金以及这些材料和工程设备的安装、安装所需要的辅助材料、安装损耗、驻厂监造以及发生在现场内的验收、存储、保管、开箱、二次倒运、从存放地点运至安装地点以及其他任何必要的辅助工作(以下简称“暂估价材料和工程设备的安装及辅助工作”)所发生的费用及其对应的管理费、利润、规费和税金。暂估价材料应按工程量清单中提供的暂估价格计入分部分项工程量清单相应子目的综合单价，暂估价设备按工程量清单中提供的暂估价格计入设备费，除此以外投标人还应将上述材料和工程设备的安装及辅助工作所发生的费用以及与此类费用有关的管理费和利润计入在分部分项工程量清单相应子目的综合单价中。</w:t>
      </w:r>
    </w:p>
    <w:p w14:paraId="2D6A4417">
      <w:pPr>
        <w:snapToGrid w:val="0"/>
        <w:spacing w:line="440" w:lineRule="exact"/>
        <w:ind w:firstLine="527" w:firstLineChars="250"/>
        <w:rPr>
          <w:rFonts w:ascii="宋体" w:hAnsi="宋体"/>
          <w:b/>
          <w:bCs/>
          <w:szCs w:val="21"/>
        </w:rPr>
      </w:pPr>
      <w:r>
        <w:rPr>
          <w:rFonts w:hint="eastAsia" w:ascii="宋体" w:hAnsi="宋体"/>
          <w:b/>
          <w:bCs/>
          <w:szCs w:val="21"/>
        </w:rPr>
        <w:t>3.3 其他补充说明</w:t>
      </w:r>
    </w:p>
    <w:p w14:paraId="538195F3">
      <w:pPr>
        <w:snapToGrid w:val="0"/>
        <w:spacing w:line="360" w:lineRule="auto"/>
        <w:ind w:firstLine="525" w:firstLineChars="250"/>
        <w:rPr>
          <w:rFonts w:ascii="宋体" w:hAnsi="宋体"/>
          <w:szCs w:val="21"/>
        </w:rPr>
      </w:pPr>
      <w:r>
        <w:rPr>
          <w:rFonts w:hint="eastAsia" w:ascii="宋体" w:hAnsi="宋体"/>
          <w:szCs w:val="21"/>
        </w:rPr>
        <w:t>3.3.1完成招标范围中所需的各项费用应综合考虑在投标总报价及分部分项清单综合单价中，不再单独列项填报、结算。</w:t>
      </w:r>
    </w:p>
    <w:p w14:paraId="4C7C7105">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.2</w:t>
      </w:r>
      <w:r>
        <w:rPr>
          <w:rFonts w:hint="eastAsia" w:ascii="宋体" w:hAnsi="宋体"/>
          <w:b/>
          <w:bCs/>
          <w:szCs w:val="21"/>
        </w:rPr>
        <w:t>根据山东省住房和城乡建设厅关于调整建设项目工伤保险费率的通知（鲁建标字〔2020〕17号）建设项目工伤保险按省统一发布费率进行计算，一般计税法下为0.105%，简易计税法下为0.1%。承包人应按照相关规定办理工伤保险并缴纳该部分费用。</w:t>
      </w:r>
    </w:p>
    <w:p w14:paraId="32F34049">
      <w:pPr>
        <w:snapToGrid w:val="0"/>
        <w:spacing w:line="360" w:lineRule="auto"/>
        <w:ind w:firstLine="527" w:firstLineChars="250"/>
        <w:rPr>
          <w:rFonts w:ascii="宋体" w:hAnsi="宋体"/>
          <w:b/>
          <w:bCs/>
          <w:color w:val="auto"/>
          <w:szCs w:val="21"/>
        </w:rPr>
      </w:pPr>
      <w:r>
        <w:rPr>
          <w:rFonts w:hint="eastAsia" w:ascii="宋体" w:hAnsi="宋体"/>
          <w:b/>
          <w:bCs/>
          <w:color w:val="auto"/>
          <w:szCs w:val="21"/>
        </w:rPr>
        <w:t>3.3.3项目描述及工作内容相同的清单子项综合单价必须相同，若有不同报价，结算时招标人有权按照较低报价确定该子项的综合单价。</w:t>
      </w:r>
    </w:p>
    <w:p w14:paraId="6944858A">
      <w:pPr>
        <w:snapToGrid w:val="0"/>
        <w:spacing w:line="360" w:lineRule="auto"/>
        <w:ind w:firstLine="527" w:firstLineChars="250"/>
        <w:rPr>
          <w:rFonts w:ascii="宋体" w:hAnsi="宋体"/>
          <w:b/>
          <w:bCs/>
          <w:szCs w:val="21"/>
        </w:rPr>
      </w:pPr>
      <w:r>
        <w:rPr>
          <w:rFonts w:hint="eastAsia" w:ascii="宋体" w:hAnsi="宋体"/>
          <w:b/>
          <w:bCs/>
          <w:szCs w:val="21"/>
        </w:rPr>
        <w:t>3.3.4投标人要对拟建工程可能发生（含设计变更及工程量变化）的措施项目和措施费用作通盘考虑，清单计价一经报出，即被认为是包括了所有应该发生的措施项目的全部费用。如果报出的清单中没有列项，而施工中又必须发生的项目，</w:t>
      </w:r>
      <w:r>
        <w:rPr>
          <w:rFonts w:hint="eastAsia" w:ascii="宋体" w:hAnsi="宋体"/>
          <w:b/>
          <w:bCs/>
          <w:szCs w:val="21"/>
          <w:lang w:val="en-US" w:eastAsia="zh-CN"/>
        </w:rPr>
        <w:t>业主</w:t>
      </w:r>
      <w:r>
        <w:rPr>
          <w:rFonts w:hint="eastAsia" w:ascii="宋体" w:hAnsi="宋体"/>
          <w:b/>
          <w:bCs/>
          <w:szCs w:val="21"/>
        </w:rPr>
        <w:t>有权认为，其已经综合在分部分项工程量清单的综合单价中。将来措施项目发生时投标人不得以任何借口提出索赔与调整。</w:t>
      </w:r>
    </w:p>
    <w:p w14:paraId="75DD860C">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.5工程量清单另册提供。投标人报价时按给定的工程量清单格式报价。</w:t>
      </w:r>
      <w:bookmarkEnd w:id="121"/>
      <w:bookmarkEnd w:id="122"/>
      <w:bookmarkEnd w:id="123"/>
      <w:bookmarkEnd w:id="124"/>
      <w:bookmarkEnd w:id="125"/>
      <w:bookmarkEnd w:id="126"/>
      <w:bookmarkEnd w:id="127"/>
      <w:bookmarkEnd w:id="128"/>
      <w:bookmarkEnd w:id="129"/>
      <w:bookmarkEnd w:id="130"/>
      <w:bookmarkEnd w:id="131"/>
      <w:bookmarkEnd w:id="132"/>
    </w:p>
    <w:p w14:paraId="5E9C59CA">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.6施工中因承包人私自变更施工组织设计引起的造价变动一律不计入结算，造成所有损失均有承包人自行负责。</w:t>
      </w:r>
    </w:p>
    <w:p w14:paraId="3FE18628">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.7发包人有权就发包人直接发包的专业工程要求承包人与专业工程承包人签订分包合同，承包人不得有任何异议并应积极配合，否则，发包人有权拒绝支付工程款。</w:t>
      </w:r>
    </w:p>
    <w:p w14:paraId="2557CB67">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8发包人应遵守我国现行的关于保护劳动者的法规，其中包括不得雇佣强迫劳动力和童工；确保工作场所健康、安全，进一步提高和改善工作环境；确保劳动者获得有法律效力并受法律保障的相应报酬。如承包人拖欠劳动者（包含为承包人提供劳动的一切书面或非书面雇佣的工人）工资，造成群体性事件或上访的,承包人须立即出面解决，疏散人群，否则发包人有权从工程款中直接扣除发包人因此遭受的损失。拖欠工资经有关部门调查属实的，发包人有权从工程款中扣除直接向劳动者支付，折抵承包人的工程款。</w:t>
      </w:r>
    </w:p>
    <w:p w14:paraId="698A8BDE">
      <w:pPr>
        <w:snapToGrid w:val="0"/>
        <w:spacing w:line="360" w:lineRule="auto"/>
        <w:ind w:firstLine="525" w:firstLineChars="250"/>
        <w:rPr>
          <w:rFonts w:ascii="宋体" w:hAnsi="宋体"/>
          <w:bCs/>
          <w:szCs w:val="21"/>
        </w:rPr>
      </w:pPr>
      <w:r>
        <w:rPr>
          <w:rFonts w:hint="eastAsia" w:ascii="宋体" w:hAnsi="宋体"/>
          <w:bCs/>
          <w:szCs w:val="21"/>
        </w:rPr>
        <w:t>由于承包人或其管理的分包单位拖欠劳动者工资致使发包人被投诉或起诉并被判令先行垫付劳动者工资的，承包人除承担1次严重违约责任外，还应向发包人支付发包人先行垫付的劳动者工资金额的两倍作为补偿。</w:t>
      </w:r>
    </w:p>
    <w:p w14:paraId="19A6CF8D">
      <w:pPr>
        <w:snapToGrid w:val="0"/>
        <w:spacing w:line="360" w:lineRule="auto"/>
        <w:ind w:firstLine="525" w:firstLineChars="250"/>
        <w:rPr>
          <w:rFonts w:ascii="宋体" w:hAnsi="宋体"/>
          <w:bCs/>
          <w:szCs w:val="21"/>
        </w:rPr>
      </w:pPr>
      <w:r>
        <w:rPr>
          <w:rFonts w:hint="eastAsia" w:ascii="宋体" w:hAnsi="宋体"/>
          <w:bCs/>
          <w:szCs w:val="21"/>
        </w:rPr>
        <w:t>因承包人违约导致发包人暂停支付工程款时，承包人不得以此为理由拖欠工资，在发包人和承包人就暂停支付工程款问题解决之前，承包人有义务先行支付其所属工人工资。</w:t>
      </w:r>
    </w:p>
    <w:p w14:paraId="1FC122FB">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9发包人有权在工程款内扣留10万元群体事件保证金，若发生因承包人原因造成的群体上访事件或拖欠工人工资的情形，经发包人核实后，发包人有权在该笔保证金内扣除相应金额的款项代为支付；若未发生因承包人原因造成的群体上访事件或拖欠工人工资的情形，该保证金无息返还或冲抵工程款。</w:t>
      </w:r>
    </w:p>
    <w:p w14:paraId="346A06EC">
      <w:pPr>
        <w:snapToGrid w:val="0"/>
        <w:spacing w:line="360" w:lineRule="auto"/>
        <w:ind w:firstLine="527" w:firstLineChars="250"/>
        <w:rPr>
          <w:rFonts w:hint="eastAsia" w:ascii="宋体" w:hAnsi="宋体" w:eastAsia="宋体" w:cs="Times New Roman"/>
          <w:b/>
          <w:bCs/>
          <w:szCs w:val="21"/>
        </w:rPr>
      </w:pPr>
      <w:r>
        <w:rPr>
          <w:rFonts w:hint="eastAsia" w:ascii="宋体" w:hAnsi="宋体"/>
          <w:b/>
          <w:bCs/>
          <w:szCs w:val="21"/>
        </w:rPr>
        <w:t>3.3.10</w:t>
      </w:r>
      <w:r>
        <w:rPr>
          <w:rFonts w:hint="eastAsia" w:ascii="宋体" w:hAnsi="宋体" w:eastAsia="宋体" w:cs="Times New Roman"/>
          <w:b/>
          <w:bCs/>
          <w:szCs w:val="21"/>
        </w:rPr>
        <w:t>工程结算需委托社会审计时，由发包人委托造价咨询单位审计或自行审计。承包人应支付的审计费未直接支付的，由发包人在工程款中代扣代缴</w:t>
      </w:r>
      <w:r>
        <w:rPr>
          <w:rFonts w:hint="eastAsia" w:ascii="宋体" w:hAnsi="宋体" w:eastAsia="宋体" w:cs="Times New Roman"/>
          <w:b/>
          <w:bCs/>
          <w:szCs w:val="21"/>
          <w:lang w:val="en-US" w:eastAsia="zh-CN"/>
        </w:rPr>
        <w:t>或者由承包人直接支付</w:t>
      </w:r>
      <w:r>
        <w:rPr>
          <w:rFonts w:hint="eastAsia" w:ascii="宋体" w:hAnsi="宋体" w:eastAsia="宋体" w:cs="Times New Roman"/>
          <w:b/>
          <w:bCs/>
          <w:szCs w:val="21"/>
        </w:rPr>
        <w:t>。</w:t>
      </w:r>
      <w:r>
        <w:rPr>
          <w:rFonts w:hint="eastAsia" w:ascii="宋体" w:hAnsi="宋体" w:eastAsia="宋体" w:cs="Times New Roman"/>
          <w:b/>
          <w:bCs/>
          <w:szCs w:val="21"/>
          <w:lang w:val="en-US" w:eastAsia="zh-CN"/>
        </w:rPr>
        <w:t>若结算时考核标准发生变化的，按最新规定执行</w:t>
      </w:r>
      <w:r>
        <w:rPr>
          <w:rFonts w:hint="eastAsia" w:ascii="宋体" w:hAnsi="宋体" w:eastAsia="宋体" w:cs="Times New Roman"/>
          <w:b/>
          <w:bCs/>
          <w:szCs w:val="21"/>
        </w:rPr>
        <w:t>。</w:t>
      </w:r>
    </w:p>
    <w:p w14:paraId="375EE3FF">
      <w:pPr>
        <w:snapToGrid w:val="0"/>
        <w:spacing w:line="360" w:lineRule="auto"/>
        <w:ind w:firstLine="527" w:firstLineChars="250"/>
        <w:rPr>
          <w:rFonts w:ascii="宋体" w:hAnsi="宋体"/>
          <w:b/>
          <w:bCs/>
          <w:szCs w:val="21"/>
        </w:rPr>
      </w:pPr>
      <w:r>
        <w:rPr>
          <w:rFonts w:hint="eastAsia" w:ascii="宋体" w:hAnsi="宋体"/>
          <w:b/>
          <w:bCs/>
          <w:szCs w:val="21"/>
        </w:rPr>
        <w:t>3.3.11中标人需严格按照发包人的设计变更、一单一结、月清月结等制度执行。</w:t>
      </w:r>
    </w:p>
    <w:p w14:paraId="49E31D00">
      <w:pPr>
        <w:snapToGrid w:val="0"/>
        <w:spacing w:line="360" w:lineRule="auto"/>
        <w:ind w:firstLine="527" w:firstLineChars="250"/>
      </w:pPr>
      <w:r>
        <w:rPr>
          <w:rFonts w:hint="eastAsia" w:ascii="宋体" w:hAnsi="宋体"/>
          <w:b/>
          <w:bCs/>
          <w:szCs w:val="21"/>
        </w:rPr>
        <w:t>3.3.12</w:t>
      </w:r>
      <w:r>
        <w:rPr>
          <w:rStyle w:val="47"/>
          <w:rFonts w:hint="eastAsia" w:ascii="宋体" w:hAnsi="宋体"/>
          <w:b/>
          <w:szCs w:val="21"/>
        </w:rPr>
        <w:t>本项目不计取采保费及总包服务费，综合考虑至投标总报价中</w:t>
      </w:r>
      <w:r>
        <w:rPr>
          <w:rFonts w:hint="eastAsia" w:ascii="宋体" w:hAnsi="宋体"/>
          <w:b/>
          <w:bCs/>
          <w:szCs w:val="21"/>
        </w:rPr>
        <w:t>。</w:t>
      </w:r>
    </w:p>
    <w:p w14:paraId="126F8ECC">
      <w:pPr>
        <w:snapToGrid w:val="0"/>
        <w:spacing w:line="360" w:lineRule="auto"/>
        <w:ind w:firstLine="527" w:firstLineChars="250"/>
        <w:rPr>
          <w:rFonts w:ascii="宋体" w:hAnsi="宋体"/>
          <w:b/>
          <w:bCs/>
          <w:szCs w:val="21"/>
        </w:rPr>
      </w:pPr>
      <w:r>
        <w:rPr>
          <w:rFonts w:hint="eastAsia" w:ascii="宋体" w:hAnsi="宋体"/>
          <w:b/>
          <w:bCs/>
          <w:szCs w:val="21"/>
        </w:rPr>
        <w:t>3.3.13主要设备及主要材料品牌按照附表中选择。投标文件中已按附表选择主要设备及主要材料品牌的，按投标文件所报品牌执行；未按此选择的，施工过程中必须按此表选择品牌；附表外其他材料承包人在投标时明确品牌的必须使用投标品牌。材料及设备必须是原厂生产，禁止使用委托第三人生产后贴牌的材料和设备，否则按不合格材料处理，承包人按合同条款承担违约责任。</w:t>
      </w:r>
    </w:p>
    <w:p w14:paraId="1C76F6ED">
      <w:pPr>
        <w:snapToGrid w:val="0"/>
        <w:spacing w:line="360" w:lineRule="auto"/>
        <w:ind w:firstLine="527" w:firstLineChars="250"/>
        <w:rPr>
          <w:rFonts w:ascii="宋体" w:hAnsi="宋体"/>
          <w:b/>
          <w:bCs/>
          <w:szCs w:val="21"/>
        </w:rPr>
      </w:pPr>
      <w:r>
        <w:rPr>
          <w:rFonts w:hint="eastAsia" w:ascii="宋体" w:hAnsi="宋体"/>
          <w:b/>
          <w:bCs/>
          <w:szCs w:val="21"/>
        </w:rPr>
        <w:t>承包人未按照上述约定执行的，一经发现应按照合同约定使用材料及设备总价的2倍向发包人承担违约金，同时应按照监理人发包人要求予以整改，替换成合格的材料和设备，因整改造成工期延误的承包人承担工期延误的违约责任。</w:t>
      </w:r>
    </w:p>
    <w:p w14:paraId="44595DF0">
      <w:pPr>
        <w:snapToGrid w:val="0"/>
        <w:spacing w:line="360" w:lineRule="auto"/>
        <w:ind w:firstLine="527" w:firstLineChars="250"/>
        <w:rPr>
          <w:rFonts w:ascii="宋体" w:hAnsi="宋体"/>
          <w:b/>
          <w:bCs/>
          <w:szCs w:val="21"/>
        </w:rPr>
      </w:pPr>
      <w:r>
        <w:rPr>
          <w:rFonts w:hint="eastAsia" w:ascii="宋体" w:hAnsi="宋体"/>
          <w:b/>
          <w:bCs/>
          <w:szCs w:val="21"/>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实调整价差。若未经发包人同意而使用其他品牌的，视为使用不合格材料，承包人按合同条款承担违约责任。</w:t>
      </w:r>
    </w:p>
    <w:p w14:paraId="083C7EF7">
      <w:pPr>
        <w:snapToGrid w:val="0"/>
        <w:spacing w:line="360" w:lineRule="auto"/>
        <w:ind w:firstLine="527" w:firstLineChars="250"/>
        <w:rPr>
          <w:rFonts w:ascii="宋体" w:hAnsi="宋体"/>
          <w:b/>
          <w:bCs/>
          <w:szCs w:val="21"/>
        </w:rPr>
      </w:pPr>
      <w:r>
        <w:rPr>
          <w:rFonts w:hint="eastAsia" w:ascii="宋体" w:hAnsi="宋体"/>
          <w:b/>
          <w:bCs/>
          <w:szCs w:val="21"/>
        </w:rPr>
        <w:t>3.3.14本项目中建设单位有特别要求的建筑材料、设备设施或构配件，需在订货前征得建设单位同意后方可采购。</w:t>
      </w:r>
    </w:p>
    <w:p w14:paraId="5BCDC990">
      <w:pPr>
        <w:snapToGrid w:val="0"/>
        <w:spacing w:line="360" w:lineRule="auto"/>
        <w:ind w:firstLine="527" w:firstLineChars="250"/>
        <w:rPr>
          <w:rFonts w:ascii="宋体" w:hAnsi="宋体"/>
          <w:b/>
          <w:bCs/>
          <w:szCs w:val="21"/>
        </w:rPr>
      </w:pPr>
      <w:r>
        <w:rPr>
          <w:rFonts w:hint="eastAsia" w:ascii="宋体" w:hAnsi="宋体"/>
          <w:b/>
          <w:bCs/>
          <w:szCs w:val="21"/>
        </w:rPr>
        <w:t>3.3.15本项目中所有使用的主要关键材料等均须经过建设单位和监理单位对样品进行书面审批同意后方可采购进场。</w:t>
      </w:r>
    </w:p>
    <w:p w14:paraId="68EBF67D">
      <w:pPr>
        <w:snapToGrid w:val="0"/>
        <w:spacing w:line="360" w:lineRule="auto"/>
        <w:ind w:firstLine="527" w:firstLineChars="250"/>
        <w:rPr>
          <w:rFonts w:ascii="宋体" w:hAnsi="宋体"/>
          <w:b/>
          <w:bCs/>
          <w:szCs w:val="21"/>
        </w:rPr>
      </w:pPr>
      <w:r>
        <w:rPr>
          <w:rFonts w:hint="eastAsia" w:ascii="宋体" w:hAnsi="宋体"/>
          <w:b/>
          <w:bCs/>
          <w:szCs w:val="21"/>
        </w:rPr>
        <w:t>3.3.16农民工工资保证金由中标方按相关项目属地政府规定按期自行办理。</w:t>
      </w:r>
      <w:r>
        <w:rPr>
          <w:rFonts w:hint="eastAsia" w:ascii="宋体" w:hAnsi="宋体"/>
          <w:b/>
          <w:bCs/>
          <w:szCs w:val="21"/>
        </w:rPr>
        <w:tab/>
      </w:r>
    </w:p>
    <w:p w14:paraId="06381853">
      <w:pPr>
        <w:snapToGrid w:val="0"/>
        <w:spacing w:line="360" w:lineRule="auto"/>
        <w:ind w:firstLine="527" w:firstLineChars="250"/>
        <w:rPr>
          <w:rFonts w:ascii="宋体" w:hAnsi="宋体"/>
          <w:b/>
          <w:bCs/>
          <w:szCs w:val="21"/>
        </w:rPr>
      </w:pPr>
      <w:r>
        <w:rPr>
          <w:rFonts w:hint="eastAsia" w:ascii="宋体" w:hAnsi="宋体"/>
          <w:b/>
          <w:bCs/>
          <w:szCs w:val="21"/>
        </w:rPr>
        <w:t>3.3.17工伤保险由中标方按相关政府标准规定缴纳。</w:t>
      </w:r>
    </w:p>
    <w:p w14:paraId="0D3A518E">
      <w:pPr>
        <w:snapToGrid w:val="0"/>
        <w:spacing w:line="360" w:lineRule="auto"/>
        <w:ind w:firstLine="527" w:firstLineChars="250"/>
        <w:rPr>
          <w:rFonts w:hint="eastAsia" w:ascii="宋体" w:hAnsi="宋体"/>
          <w:b/>
          <w:bCs/>
          <w:szCs w:val="21"/>
        </w:rPr>
      </w:pPr>
      <w:r>
        <w:rPr>
          <w:rFonts w:hint="eastAsia" w:ascii="宋体" w:hAnsi="宋体"/>
          <w:b/>
          <w:bCs/>
          <w:szCs w:val="21"/>
        </w:rPr>
        <w:t>3.3.18投标人在投标前应进行现场踏勘，充分了解现场情况，投标报价一经报出，即认为是包含了为完成本项施工内容进行的所有工作，相关的施工费用不再单独计取。</w:t>
      </w:r>
      <w:bookmarkEnd w:id="99"/>
      <w:bookmarkEnd w:id="100"/>
      <w:bookmarkStart w:id="155" w:name="_Toc28237"/>
    </w:p>
    <w:p w14:paraId="5F11CCE0">
      <w:pPr>
        <w:snapToGrid w:val="0"/>
        <w:spacing w:line="360" w:lineRule="auto"/>
        <w:ind w:firstLine="527" w:firstLineChars="250"/>
        <w:rPr>
          <w:rFonts w:hint="eastAsia" w:ascii="宋体" w:hAnsi="宋体"/>
          <w:b/>
          <w:bCs/>
          <w:szCs w:val="21"/>
        </w:rPr>
      </w:pPr>
    </w:p>
    <w:p w14:paraId="287FE7C3">
      <w:pPr>
        <w:snapToGrid w:val="0"/>
        <w:spacing w:line="360" w:lineRule="auto"/>
        <w:ind w:firstLine="527" w:firstLineChars="250"/>
        <w:rPr>
          <w:rFonts w:hint="eastAsia" w:ascii="宋体" w:hAnsi="宋体"/>
          <w:b/>
          <w:bCs/>
          <w:szCs w:val="21"/>
        </w:rPr>
      </w:pPr>
    </w:p>
    <w:p w14:paraId="36AAC9EF">
      <w:pPr>
        <w:pStyle w:val="3"/>
        <w:jc w:val="center"/>
        <w:rPr>
          <w:sz w:val="48"/>
          <w:szCs w:val="48"/>
        </w:rPr>
      </w:pPr>
      <w:bookmarkStart w:id="156" w:name="_Toc13590"/>
      <w:r>
        <w:rPr>
          <w:sz w:val="48"/>
          <w:szCs w:val="48"/>
        </w:rPr>
        <w:t>第二卷</w:t>
      </w:r>
      <w:bookmarkEnd w:id="155"/>
      <w:bookmarkEnd w:id="156"/>
    </w:p>
    <w:p w14:paraId="15A5132F">
      <w:pPr>
        <w:pStyle w:val="3"/>
        <w:jc w:val="center"/>
        <w:rPr>
          <w:sz w:val="48"/>
          <w:szCs w:val="48"/>
        </w:rPr>
        <w:sectPr>
          <w:headerReference r:id="rId10" w:type="first"/>
          <w:footerReference r:id="rId12" w:type="first"/>
          <w:headerReference r:id="rId9" w:type="default"/>
          <w:footerReference r:id="rId11" w:type="default"/>
          <w:pgSz w:w="11905" w:h="16838"/>
          <w:pgMar w:top="1304" w:right="1304" w:bottom="1247" w:left="1304" w:header="850" w:footer="992" w:gutter="0"/>
          <w:pgNumType w:fmt="decimal"/>
          <w:cols w:space="0" w:num="1"/>
          <w:titlePg/>
          <w:rtlGutter w:val="0"/>
          <w:vAlign w:val="center"/>
          <w:docGrid w:type="lines" w:linePitch="320" w:charSpace="0"/>
        </w:sectPr>
      </w:pPr>
    </w:p>
    <w:p w14:paraId="15C91553">
      <w:pPr>
        <w:pStyle w:val="4"/>
        <w:jc w:val="center"/>
        <w:rPr>
          <w:i w:val="0"/>
          <w:iCs w:val="0"/>
          <w:sz w:val="32"/>
          <w:szCs w:val="32"/>
        </w:rPr>
      </w:pPr>
      <w:bookmarkStart w:id="157" w:name="_Toc21285"/>
      <w:bookmarkStart w:id="158" w:name="_Toc10358"/>
      <w:bookmarkStart w:id="159" w:name="_Toc17817345"/>
      <w:r>
        <w:rPr>
          <w:i w:val="0"/>
          <w:iCs w:val="0"/>
          <w:sz w:val="32"/>
          <w:szCs w:val="32"/>
        </w:rPr>
        <w:t>第六章  图  纸</w:t>
      </w:r>
      <w:bookmarkEnd w:id="157"/>
      <w:bookmarkEnd w:id="158"/>
      <w:bookmarkEnd w:id="159"/>
    </w:p>
    <w:p w14:paraId="75C30358">
      <w:pPr>
        <w:spacing w:line="500" w:lineRule="exact"/>
        <w:ind w:firstLine="422" w:firstLineChars="200"/>
        <w:rPr>
          <w:rStyle w:val="47"/>
          <w:rFonts w:ascii="宋体" w:hAnsi="宋体"/>
          <w:b/>
          <w:bCs/>
        </w:rPr>
      </w:pPr>
      <w:r>
        <w:rPr>
          <w:rStyle w:val="47"/>
          <w:rFonts w:ascii="宋体" w:hAnsi="宋体"/>
          <w:b/>
          <w:bCs/>
        </w:rPr>
        <w:t>图纸以</w:t>
      </w:r>
      <w:r>
        <w:rPr>
          <w:rStyle w:val="47"/>
          <w:rFonts w:hint="eastAsia" w:ascii="宋体" w:hAnsi="宋体"/>
          <w:b/>
          <w:bCs/>
        </w:rPr>
        <w:t>同招标文件一同发出的电子版</w:t>
      </w:r>
      <w:r>
        <w:rPr>
          <w:rStyle w:val="47"/>
          <w:rFonts w:ascii="宋体" w:hAnsi="宋体"/>
          <w:b/>
          <w:bCs/>
        </w:rPr>
        <w:t>为准。具体施工范围请对应工程量清单及招标文件要求。</w:t>
      </w:r>
    </w:p>
    <w:p w14:paraId="01956282">
      <w:pPr>
        <w:rPr>
          <w:rStyle w:val="47"/>
          <w:rFonts w:ascii="宋体" w:hAnsi="宋体"/>
          <w:szCs w:val="21"/>
        </w:rPr>
      </w:pPr>
    </w:p>
    <w:p w14:paraId="538528F3">
      <w:pPr>
        <w:jc w:val="center"/>
        <w:rPr>
          <w:rStyle w:val="47"/>
          <w:rFonts w:hint="eastAsia" w:ascii="宋体" w:hAnsi="宋体"/>
          <w:szCs w:val="21"/>
          <w:highlight w:val="yellow"/>
          <w:lang w:val="en-US" w:eastAsia="zh-CN"/>
        </w:rPr>
      </w:pPr>
    </w:p>
    <w:p w14:paraId="577B628F">
      <w:pPr>
        <w:jc w:val="center"/>
        <w:rPr>
          <w:rStyle w:val="47"/>
          <w:rFonts w:hint="default" w:ascii="宋体" w:hAnsi="宋体" w:eastAsia="宋体"/>
          <w:szCs w:val="21"/>
          <w:highlight w:val="yellow"/>
          <w:lang w:val="en-US" w:eastAsia="zh-CN"/>
        </w:rPr>
      </w:pPr>
      <w:r>
        <w:rPr>
          <w:rStyle w:val="47"/>
          <w:rFonts w:hint="eastAsia" w:ascii="宋体" w:hAnsi="宋体"/>
          <w:szCs w:val="21"/>
          <w:highlight w:val="yellow"/>
          <w:lang w:val="en-US" w:eastAsia="zh-CN"/>
        </w:rPr>
        <w:t>图纸附件</w:t>
      </w:r>
    </w:p>
    <w:p w14:paraId="5C6218CD">
      <w:pPr>
        <w:rPr>
          <w:rStyle w:val="47"/>
          <w:rFonts w:ascii="宋体" w:hAnsi="宋体"/>
          <w:szCs w:val="21"/>
        </w:rPr>
      </w:pPr>
    </w:p>
    <w:p w14:paraId="1771698F">
      <w:pPr>
        <w:rPr>
          <w:rStyle w:val="47"/>
          <w:rFonts w:ascii="宋体" w:hAnsi="宋体"/>
        </w:rPr>
      </w:pPr>
    </w:p>
    <w:p w14:paraId="4FB8DF01">
      <w:pPr>
        <w:rPr>
          <w:rStyle w:val="47"/>
          <w:rFonts w:hint="eastAsia" w:ascii="宋体" w:hAnsi="宋体" w:eastAsia="宋体"/>
          <w:lang w:eastAsia="zh-CN"/>
        </w:rPr>
      </w:pPr>
      <w:r>
        <w:rPr>
          <w:rStyle w:val="47"/>
          <w:rFonts w:hint="eastAsia" w:ascii="宋体" w:hAnsi="宋体" w:eastAsia="宋体"/>
          <w:lang w:eastAsia="zh-CN"/>
        </w:rPr>
        <w:object>
          <v:shape id="_x0000_i1025" o:spt="75" type="#_x0000_t75" style="height:37.1pt;width:132.8pt;" o:ole="t" filled="f" o:preferrelative="t" stroked="f" coordsize="21600,21600">
            <v:path/>
            <v:fill on="f" focussize="0,0"/>
            <v:stroke on="f"/>
            <v:imagedata r:id="rId21" o:title=""/>
            <o:lock v:ext="edit" aspectratio="t"/>
            <w10:wrap type="none"/>
            <w10:anchorlock/>
          </v:shape>
          <o:OLEObject Type="Embed" ProgID="Package" ShapeID="_x0000_i1025" DrawAspect="Content" ObjectID="_1468075725" r:id="rId20">
            <o:LockedField>false</o:LockedField>
          </o:OLEObject>
        </w:object>
      </w:r>
    </w:p>
    <w:p w14:paraId="30C26FBE">
      <w:pPr>
        <w:rPr>
          <w:rStyle w:val="47"/>
          <w:rFonts w:hint="eastAsia" w:ascii="宋体" w:hAnsi="宋体" w:eastAsia="宋体"/>
          <w:lang w:eastAsia="zh-CN"/>
        </w:rPr>
      </w:pPr>
    </w:p>
    <w:p w14:paraId="18551163">
      <w:pPr>
        <w:rPr>
          <w:rStyle w:val="47"/>
          <w:rFonts w:hint="eastAsia" w:ascii="宋体" w:hAnsi="宋体" w:eastAsia="宋体"/>
          <w:lang w:eastAsia="zh-CN"/>
        </w:rPr>
        <w:sectPr>
          <w:pgSz w:w="11905" w:h="16838"/>
          <w:pgMar w:top="1304" w:right="1304" w:bottom="1247" w:left="1304" w:header="850" w:footer="992" w:gutter="0"/>
          <w:pgNumType w:fmt="decimal"/>
          <w:cols w:space="0" w:num="1"/>
          <w:titlePg/>
          <w:rtlGutter w:val="0"/>
          <w:docGrid w:type="lines" w:linePitch="320" w:charSpace="0"/>
        </w:sectPr>
      </w:pPr>
      <w:r>
        <w:rPr>
          <w:rStyle w:val="47"/>
          <w:rFonts w:hint="eastAsia" w:ascii="宋体" w:hAnsi="宋体" w:eastAsia="宋体"/>
          <w:lang w:eastAsia="zh-CN"/>
        </w:rPr>
        <w:object>
          <v:shape id="_x0000_i1026" o:spt="75" type="#_x0000_t75" style="height:37.1pt;width:182.9pt;" o:ole="t" filled="f" o:preferrelative="t" stroked="f" coordsize="21600,21600">
            <v:path/>
            <v:fill on="f" focussize="0,0"/>
            <v:stroke on="f"/>
            <v:imagedata r:id="rId23" o:title=""/>
            <o:lock v:ext="edit" aspectratio="t"/>
            <w10:wrap type="none"/>
            <w10:anchorlock/>
          </v:shape>
          <o:OLEObject Type="Embed" ProgID="Package" ShapeID="_x0000_i1026" DrawAspect="Content" ObjectID="_1468075726" r:id="rId22">
            <o:LockedField>false</o:LockedField>
          </o:OLEObject>
        </w:object>
      </w:r>
    </w:p>
    <w:p w14:paraId="249AA82C">
      <w:pPr>
        <w:rPr>
          <w:rStyle w:val="47"/>
          <w:rFonts w:ascii="宋体" w:hAnsi="宋体"/>
        </w:rPr>
      </w:pPr>
    </w:p>
    <w:p w14:paraId="5ABCB3BE">
      <w:pPr>
        <w:pStyle w:val="3"/>
        <w:jc w:val="center"/>
        <w:rPr>
          <w:sz w:val="48"/>
          <w:szCs w:val="48"/>
        </w:rPr>
      </w:pPr>
      <w:bookmarkStart w:id="160" w:name="_Toc2751"/>
      <w:bookmarkStart w:id="161" w:name="_Toc3146"/>
      <w:bookmarkStart w:id="162" w:name="_Toc162361723"/>
      <w:r>
        <w:rPr>
          <w:sz w:val="48"/>
          <w:szCs w:val="48"/>
        </w:rPr>
        <w:t>第三卷</w:t>
      </w:r>
      <w:bookmarkEnd w:id="160"/>
      <w:bookmarkEnd w:id="161"/>
      <w:bookmarkEnd w:id="162"/>
    </w:p>
    <w:p w14:paraId="2535A6FB">
      <w:pPr>
        <w:pStyle w:val="3"/>
        <w:jc w:val="center"/>
        <w:rPr>
          <w:sz w:val="48"/>
          <w:szCs w:val="48"/>
        </w:rPr>
        <w:sectPr>
          <w:pgSz w:w="11905" w:h="16838"/>
          <w:pgMar w:top="1304" w:right="1304" w:bottom="1247" w:left="1304" w:header="850" w:footer="992" w:gutter="0"/>
          <w:pgNumType w:fmt="decimal"/>
          <w:cols w:space="0" w:num="1"/>
          <w:titlePg/>
          <w:rtlGutter w:val="0"/>
          <w:vAlign w:val="center"/>
          <w:docGrid w:type="lines" w:linePitch="320" w:charSpace="0"/>
        </w:sectPr>
      </w:pPr>
    </w:p>
    <w:p w14:paraId="04F5DF95">
      <w:pPr>
        <w:pStyle w:val="4"/>
        <w:numPr>
          <w:ilvl w:val="0"/>
          <w:numId w:val="15"/>
        </w:numPr>
        <w:jc w:val="center"/>
        <w:rPr>
          <w:i w:val="0"/>
          <w:iCs w:val="0"/>
          <w:sz w:val="32"/>
          <w:szCs w:val="32"/>
        </w:rPr>
      </w:pPr>
      <w:bookmarkStart w:id="163" w:name="_Toc162361724"/>
      <w:bookmarkStart w:id="164" w:name="_Toc17817346"/>
      <w:bookmarkStart w:id="165" w:name="_Toc4366"/>
      <w:r>
        <w:rPr>
          <w:i w:val="0"/>
          <w:iCs w:val="0"/>
          <w:sz w:val="32"/>
          <w:szCs w:val="32"/>
        </w:rPr>
        <w:t xml:space="preserve"> </w:t>
      </w:r>
      <w:bookmarkStart w:id="166" w:name="_Toc10063"/>
      <w:r>
        <w:rPr>
          <w:i w:val="0"/>
          <w:iCs w:val="0"/>
          <w:sz w:val="32"/>
          <w:szCs w:val="32"/>
        </w:rPr>
        <w:t>技术标准和要求</w:t>
      </w:r>
      <w:bookmarkEnd w:id="163"/>
      <w:bookmarkEnd w:id="164"/>
      <w:bookmarkEnd w:id="165"/>
      <w:bookmarkEnd w:id="166"/>
    </w:p>
    <w:p w14:paraId="6E2EC252">
      <w:pPr>
        <w:snapToGrid w:val="0"/>
        <w:spacing w:line="440" w:lineRule="exact"/>
        <w:ind w:firstLine="600" w:firstLineChars="250"/>
        <w:rPr>
          <w:rStyle w:val="47"/>
          <w:rFonts w:ascii="宋体" w:hAnsi="宋体"/>
          <w:sz w:val="24"/>
          <w:szCs w:val="32"/>
        </w:rPr>
      </w:pPr>
      <w:bookmarkStart w:id="167" w:name="_Toc8712"/>
      <w:bookmarkStart w:id="168" w:name="_Toc24765"/>
      <w:bookmarkStart w:id="169" w:name="_甲限乙购材料（设备）品牌表"/>
      <w:bookmarkStart w:id="170" w:name="_Toc31859"/>
      <w:r>
        <w:rPr>
          <w:rStyle w:val="47"/>
          <w:rFonts w:hint="eastAsia" w:ascii="宋体" w:hAnsi="宋体"/>
          <w:sz w:val="24"/>
          <w:szCs w:val="32"/>
        </w:rPr>
        <w:t>1、依据设计施工图纸和技术文件要求，本工程项目的材料、设备、施工必须达到现行中华人民共和国及省、市、行业的一切有关法规、规范的要求，如各标准及规范要求有出入则以较严格者为准。</w:t>
      </w:r>
    </w:p>
    <w:p w14:paraId="1E6B56DD">
      <w:pPr>
        <w:snapToGrid w:val="0"/>
        <w:spacing w:line="440" w:lineRule="exact"/>
        <w:ind w:firstLine="600" w:firstLineChars="250"/>
        <w:rPr>
          <w:rStyle w:val="47"/>
          <w:rFonts w:ascii="宋体" w:hAnsi="宋体"/>
          <w:sz w:val="24"/>
          <w:szCs w:val="32"/>
        </w:rPr>
      </w:pPr>
      <w:r>
        <w:rPr>
          <w:rStyle w:val="47"/>
          <w:rFonts w:hint="eastAsia" w:ascii="宋体" w:hAnsi="宋体"/>
          <w:sz w:val="24"/>
          <w:szCs w:val="32"/>
        </w:rPr>
        <w:t>2、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Style w:val="47"/>
          <w:rFonts w:ascii="宋体" w:hAnsi="宋体"/>
          <w:sz w:val="24"/>
          <w:szCs w:val="32"/>
        </w:rPr>
        <w:tab/>
      </w:r>
    </w:p>
    <w:p w14:paraId="1A166916">
      <w:pPr>
        <w:snapToGrid w:val="0"/>
        <w:spacing w:line="440" w:lineRule="exact"/>
        <w:ind w:firstLine="600" w:firstLineChars="250"/>
        <w:rPr>
          <w:rStyle w:val="47"/>
          <w:rFonts w:hint="eastAsia" w:ascii="宋体" w:hAnsi="宋体"/>
          <w:sz w:val="24"/>
          <w:szCs w:val="32"/>
          <w:lang w:val="en-US" w:eastAsia="zh-CN"/>
        </w:rPr>
      </w:pPr>
      <w:r>
        <w:rPr>
          <w:rStyle w:val="47"/>
          <w:rFonts w:hint="eastAsia" w:ascii="宋体" w:hAnsi="宋体"/>
          <w:sz w:val="24"/>
          <w:szCs w:val="32"/>
          <w:lang w:val="en-US" w:eastAsia="zh-CN"/>
        </w:rPr>
        <w:t>3、投标时应明确板房供货厂家，并按投标文件格式要求填写，原则上中标后应在拟选供货厂家中选择执行并接受招标人的考察，未经招标人考察审核同意不得变更。</w:t>
      </w:r>
    </w:p>
    <w:p w14:paraId="65754887">
      <w:pPr>
        <w:snapToGrid w:val="0"/>
        <w:spacing w:line="440" w:lineRule="exact"/>
        <w:ind w:firstLine="600" w:firstLineChars="250"/>
        <w:rPr>
          <w:rStyle w:val="47"/>
          <w:rFonts w:hint="eastAsia" w:ascii="宋体" w:hAnsi="宋体"/>
          <w:sz w:val="24"/>
          <w:szCs w:val="32"/>
          <w:lang w:val="en-US" w:eastAsia="zh-CN"/>
        </w:rPr>
      </w:pPr>
    </w:p>
    <w:p w14:paraId="3E40C93A">
      <w:pPr>
        <w:snapToGrid w:val="0"/>
        <w:spacing w:line="440" w:lineRule="exact"/>
        <w:ind w:firstLine="600" w:firstLineChars="250"/>
        <w:rPr>
          <w:rStyle w:val="47"/>
          <w:rFonts w:hint="default" w:ascii="宋体" w:hAnsi="宋体"/>
          <w:sz w:val="24"/>
          <w:szCs w:val="32"/>
          <w:lang w:val="en-US" w:eastAsia="zh-CN"/>
        </w:rPr>
      </w:pPr>
    </w:p>
    <w:p w14:paraId="74315D42">
      <w:pPr>
        <w:snapToGrid w:val="0"/>
        <w:spacing w:line="440" w:lineRule="exact"/>
        <w:ind w:firstLine="753" w:firstLineChars="250"/>
        <w:jc w:val="center"/>
        <w:rPr>
          <w:rFonts w:hint="eastAsia" w:ascii="黑体" w:hAnsi="黑体" w:eastAsia="黑体" w:cs="黑体"/>
          <w:b/>
          <w:bCs/>
          <w:color w:val="auto"/>
          <w:sz w:val="30"/>
          <w:szCs w:val="30"/>
          <w:highlight w:val="magenta"/>
          <w:lang w:val="en-US" w:eastAsia="zh-CN"/>
        </w:rPr>
      </w:pPr>
      <w:r>
        <w:rPr>
          <w:rFonts w:hint="eastAsia" w:ascii="黑体" w:hAnsi="黑体" w:eastAsia="黑体" w:cs="黑体"/>
          <w:b/>
          <w:bCs/>
          <w:color w:val="auto"/>
          <w:sz w:val="30"/>
          <w:szCs w:val="30"/>
          <w:highlight w:val="magenta"/>
        </w:rPr>
        <w:t>甲限乙购材料（设备）品牌表</w:t>
      </w:r>
      <w:bookmarkEnd w:id="167"/>
      <w:bookmarkEnd w:id="168"/>
    </w:p>
    <w:bookmarkEnd w:id="169"/>
    <w:p w14:paraId="23FEEEF8">
      <w:pPr>
        <w:spacing w:line="360" w:lineRule="auto"/>
        <w:ind w:firstLine="480" w:firstLineChars="200"/>
        <w:rPr>
          <w:rStyle w:val="47"/>
          <w:rFonts w:hint="eastAsia" w:ascii="宋体" w:hAnsi="宋体" w:eastAsia="宋体" w:cs="宋体"/>
          <w:sz w:val="24"/>
          <w:szCs w:val="24"/>
        </w:rPr>
      </w:pPr>
      <w:r>
        <w:rPr>
          <w:rFonts w:hint="eastAsia" w:ascii="宋体" w:hAnsi="宋体" w:eastAsia="宋体" w:cs="宋体"/>
          <w:sz w:val="24"/>
          <w:szCs w:val="24"/>
        </w:rPr>
        <w:t>注：请在甲方限定品牌范围内选择</w:t>
      </w:r>
      <w:r>
        <w:rPr>
          <w:rFonts w:hint="eastAsia" w:ascii="宋体" w:hAnsi="宋体" w:cs="宋体"/>
          <w:sz w:val="24"/>
          <w:szCs w:val="24"/>
          <w:lang w:eastAsia="zh-CN"/>
        </w:rPr>
        <w:t>，</w:t>
      </w:r>
      <w:r>
        <w:rPr>
          <w:rFonts w:hint="eastAsia" w:ascii="宋体" w:hAnsi="宋体" w:cs="宋体"/>
          <w:b/>
          <w:bCs/>
          <w:sz w:val="24"/>
          <w:szCs w:val="24"/>
          <w:lang w:eastAsia="zh-CN"/>
        </w:rPr>
        <w:t>如果选择其他同</w:t>
      </w:r>
      <w:r>
        <w:rPr>
          <w:rFonts w:hint="eastAsia" w:ascii="宋体" w:hAnsi="宋体" w:cs="宋体"/>
          <w:b/>
          <w:bCs/>
          <w:sz w:val="24"/>
          <w:szCs w:val="24"/>
          <w:lang w:val="en-US" w:eastAsia="zh-CN"/>
        </w:rPr>
        <w:t>等档次</w:t>
      </w:r>
      <w:r>
        <w:rPr>
          <w:rFonts w:hint="eastAsia" w:ascii="宋体" w:hAnsi="宋体" w:cs="宋体"/>
          <w:b/>
          <w:bCs/>
          <w:sz w:val="24"/>
          <w:szCs w:val="24"/>
          <w:lang w:eastAsia="zh-CN"/>
        </w:rPr>
        <w:t>品牌的，在</w:t>
      </w:r>
      <w:r>
        <w:rPr>
          <w:rFonts w:hint="eastAsia" w:ascii="宋体" w:hAnsi="宋体" w:cs="宋体"/>
          <w:b/>
          <w:bCs/>
          <w:sz w:val="24"/>
          <w:szCs w:val="24"/>
          <w:lang w:val="en-US" w:eastAsia="zh-CN"/>
        </w:rPr>
        <w:t>投标</w:t>
      </w:r>
      <w:r>
        <w:rPr>
          <w:rFonts w:hint="eastAsia" w:ascii="宋体" w:hAnsi="宋体" w:cs="宋体"/>
          <w:b/>
          <w:bCs/>
          <w:sz w:val="24"/>
          <w:szCs w:val="24"/>
          <w:lang w:eastAsia="zh-CN"/>
        </w:rPr>
        <w:t>文件中提出偏离，明确拟选定品牌</w:t>
      </w:r>
      <w:r>
        <w:rPr>
          <w:rFonts w:hint="eastAsia" w:ascii="宋体" w:hAnsi="宋体" w:eastAsia="宋体" w:cs="宋体"/>
          <w:b/>
          <w:bCs/>
          <w:sz w:val="24"/>
          <w:szCs w:val="24"/>
        </w:rPr>
        <w:t>。</w:t>
      </w:r>
      <w:r>
        <w:rPr>
          <w:rStyle w:val="47"/>
          <w:rFonts w:hint="eastAsia" w:ascii="宋体" w:hAnsi="宋体" w:eastAsia="宋体" w:cs="宋体"/>
          <w:sz w:val="24"/>
          <w:szCs w:val="24"/>
        </w:rPr>
        <w:t>在选择投标品牌及实际采购过程中，若发现各品牌间存在形成价格同盟或者垄断代理等影响公平竞争行为的，请投标人及时向招标人进行反映，经落实属实的，招标人可以视情况采取变更品牌库、以及对品牌方采取惩戒等措施。</w:t>
      </w:r>
    </w:p>
    <w:tbl>
      <w:tblPr>
        <w:tblStyle w:val="26"/>
        <w:tblW w:w="9116"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6"/>
        <w:gridCol w:w="2295"/>
        <w:gridCol w:w="3891"/>
        <w:gridCol w:w="2184"/>
      </w:tblGrid>
      <w:tr w14:paraId="5B291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DD4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392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主材及设备名称</w:t>
            </w:r>
          </w:p>
        </w:tc>
        <w:tc>
          <w:tcPr>
            <w:tcW w:w="3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D4C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甲限品牌范围</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861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备注</w:t>
            </w:r>
          </w:p>
        </w:tc>
      </w:tr>
      <w:tr w14:paraId="1C130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89A8B">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F860">
            <w:pPr>
              <w:jc w:val="center"/>
              <w:textAlignment w:val="center"/>
              <w:rPr>
                <w:rFonts w:hint="default"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2"/>
                <w:sz w:val="24"/>
                <w:szCs w:val="24"/>
                <w:u w:val="none"/>
                <w:lang w:val="en-US" w:eastAsia="zh-CN" w:bidi="ar-SA"/>
              </w:rPr>
              <w:t>空调</w:t>
            </w:r>
          </w:p>
        </w:tc>
        <w:tc>
          <w:tcPr>
            <w:tcW w:w="3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00C2">
            <w:pPr>
              <w:keepNext w:val="0"/>
              <w:keepLines w:val="0"/>
              <w:widowControl/>
              <w:suppressLineNumbers w:val="0"/>
              <w:jc w:val="left"/>
              <w:textAlignment w:val="center"/>
              <w:rPr>
                <w:rFonts w:hint="default"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rPr>
              <w:t>GREE格力、Midea美的、Haier海尔、Hisense海信</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49EF">
            <w:pPr>
              <w:jc w:val="left"/>
              <w:rPr>
                <w:rFonts w:hint="eastAsia" w:ascii="仿宋" w:hAnsi="仿宋" w:eastAsia="仿宋" w:cs="仿宋"/>
                <w:b w:val="0"/>
                <w:bCs w:val="0"/>
                <w:i w:val="0"/>
                <w:iCs w:val="0"/>
                <w:color w:val="000000"/>
                <w:sz w:val="24"/>
                <w:szCs w:val="24"/>
                <w:u w:val="none"/>
              </w:rPr>
            </w:pPr>
          </w:p>
        </w:tc>
      </w:tr>
      <w:tr w14:paraId="6FA9A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3114">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2"/>
                <w:sz w:val="24"/>
                <w:szCs w:val="24"/>
                <w:u w:val="none"/>
                <w:lang w:val="en-US" w:eastAsia="zh-CN" w:bidi="ar-SA"/>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3FD59">
            <w:pPr>
              <w:jc w:val="center"/>
              <w:textAlignment w:val="center"/>
              <w:rPr>
                <w:rFonts w:hint="eastAsia" w:ascii="仿宋" w:hAnsi="仿宋" w:eastAsia="仿宋" w:cs="仿宋"/>
                <w:b w:val="0"/>
                <w:bCs w:val="0"/>
                <w:color w:val="000000"/>
                <w:kern w:val="2"/>
                <w:sz w:val="24"/>
                <w:szCs w:val="24"/>
                <w:u w:val="none"/>
                <w:lang w:val="en-US" w:eastAsia="zh-CN" w:bidi="ar"/>
              </w:rPr>
            </w:pPr>
          </w:p>
        </w:tc>
        <w:tc>
          <w:tcPr>
            <w:tcW w:w="3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91740">
            <w:pPr>
              <w:keepNext w:val="0"/>
              <w:keepLines w:val="0"/>
              <w:widowControl/>
              <w:suppressLineNumbers w:val="0"/>
              <w:jc w:val="left"/>
              <w:textAlignment w:val="center"/>
              <w:rPr>
                <w:rStyle w:val="110"/>
                <w:rFonts w:hint="eastAsia" w:ascii="仿宋" w:hAnsi="仿宋" w:eastAsia="仿宋" w:cs="仿宋"/>
                <w:b w:val="0"/>
                <w:bCs w:val="0"/>
                <w:sz w:val="24"/>
                <w:szCs w:val="24"/>
                <w:lang w:val="en-US" w:eastAsia="zh-CN" w:bidi="ar"/>
              </w:rPr>
            </w:pP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D364">
            <w:pPr>
              <w:jc w:val="left"/>
              <w:rPr>
                <w:rFonts w:hint="eastAsia" w:ascii="仿宋" w:hAnsi="仿宋" w:eastAsia="仿宋" w:cs="仿宋"/>
                <w:b w:val="0"/>
                <w:bCs w:val="0"/>
                <w:i w:val="0"/>
                <w:iCs w:val="0"/>
                <w:color w:val="000000"/>
                <w:sz w:val="24"/>
                <w:szCs w:val="24"/>
                <w:u w:val="none"/>
              </w:rPr>
            </w:pPr>
          </w:p>
        </w:tc>
      </w:tr>
      <w:tr w14:paraId="5E137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C42B">
            <w:pPr>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D85A">
            <w:pPr>
              <w:jc w:val="center"/>
              <w:textAlignment w:val="center"/>
              <w:rPr>
                <w:rFonts w:hint="eastAsia" w:ascii="仿宋" w:hAnsi="仿宋" w:eastAsia="仿宋" w:cs="仿宋"/>
                <w:b w:val="0"/>
                <w:bCs w:val="0"/>
                <w:i w:val="0"/>
                <w:iCs w:val="0"/>
                <w:color w:val="000000"/>
                <w:kern w:val="2"/>
                <w:sz w:val="24"/>
                <w:szCs w:val="24"/>
                <w:u w:val="none"/>
                <w:lang w:val="en-US" w:eastAsia="zh-CN" w:bidi="ar-SA"/>
              </w:rPr>
            </w:pPr>
          </w:p>
        </w:tc>
        <w:tc>
          <w:tcPr>
            <w:tcW w:w="3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C8D2">
            <w:pPr>
              <w:keepNext w:val="0"/>
              <w:keepLines w:val="0"/>
              <w:widowControl/>
              <w:suppressLineNumbers w:val="0"/>
              <w:jc w:val="left"/>
              <w:textAlignment w:val="center"/>
              <w:rPr>
                <w:rFonts w:hint="eastAsia" w:ascii="仿宋" w:hAnsi="仿宋" w:eastAsia="仿宋" w:cs="仿宋"/>
                <w:b w:val="0"/>
                <w:bCs w:val="0"/>
                <w:i w:val="0"/>
                <w:iCs w:val="0"/>
                <w:color w:val="000000"/>
                <w:sz w:val="24"/>
                <w:szCs w:val="24"/>
                <w:u w:val="none"/>
              </w:rPr>
            </w:pP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8CCC">
            <w:pPr>
              <w:jc w:val="left"/>
              <w:rPr>
                <w:rFonts w:hint="eastAsia" w:ascii="仿宋" w:hAnsi="仿宋" w:eastAsia="仿宋" w:cs="仿宋"/>
                <w:b w:val="0"/>
                <w:bCs w:val="0"/>
                <w:i w:val="0"/>
                <w:iCs w:val="0"/>
                <w:color w:val="000000"/>
                <w:sz w:val="24"/>
                <w:szCs w:val="24"/>
                <w:u w:val="none"/>
              </w:rPr>
            </w:pPr>
          </w:p>
        </w:tc>
      </w:tr>
    </w:tbl>
    <w:p w14:paraId="5C793AB2">
      <w:pPr>
        <w:pStyle w:val="25"/>
        <w:ind w:left="0" w:leftChars="0" w:firstLine="0" w:firstLineChars="0"/>
        <w:outlineLvl w:val="9"/>
        <w:rPr>
          <w:sz w:val="48"/>
          <w:szCs w:val="48"/>
        </w:rPr>
      </w:pPr>
    </w:p>
    <w:p w14:paraId="31A49E7A">
      <w:pPr>
        <w:rPr>
          <w:rFonts w:hint="eastAsia" w:ascii="黑体" w:hAnsi="黑体" w:eastAsia="黑体" w:cs="黑体"/>
          <w:b/>
          <w:bCs/>
          <w:color w:val="auto"/>
          <w:sz w:val="30"/>
          <w:szCs w:val="30"/>
          <w:highlight w:val="magenta"/>
          <w:lang w:val="en-US" w:eastAsia="zh-CN"/>
        </w:rPr>
      </w:pPr>
      <w:r>
        <w:rPr>
          <w:rFonts w:hint="eastAsia" w:ascii="黑体" w:hAnsi="黑体" w:eastAsia="黑体" w:cs="黑体"/>
          <w:b/>
          <w:bCs/>
          <w:color w:val="auto"/>
          <w:sz w:val="30"/>
          <w:szCs w:val="30"/>
          <w:highlight w:val="magenta"/>
          <w:lang w:val="en-US" w:eastAsia="zh-CN"/>
        </w:rPr>
        <w:br w:type="page"/>
      </w:r>
    </w:p>
    <w:p w14:paraId="0E013495">
      <w:pPr>
        <w:pStyle w:val="5"/>
        <w:numPr>
          <w:ilvl w:val="0"/>
          <w:numId w:val="0"/>
        </w:numPr>
        <w:spacing w:before="0" w:after="0" w:line="480" w:lineRule="auto"/>
        <w:jc w:val="center"/>
        <w:rPr>
          <w:sz w:val="48"/>
          <w:szCs w:val="48"/>
        </w:rPr>
      </w:pPr>
    </w:p>
    <w:p w14:paraId="0C043140">
      <w:pPr>
        <w:pStyle w:val="5"/>
        <w:numPr>
          <w:ilvl w:val="0"/>
          <w:numId w:val="0"/>
        </w:numPr>
        <w:spacing w:before="0" w:after="0" w:line="480" w:lineRule="auto"/>
        <w:jc w:val="center"/>
        <w:rPr>
          <w:sz w:val="48"/>
          <w:szCs w:val="48"/>
        </w:rPr>
      </w:pPr>
    </w:p>
    <w:p w14:paraId="23657206">
      <w:pPr>
        <w:pStyle w:val="3"/>
        <w:jc w:val="center"/>
        <w:rPr>
          <w:sz w:val="48"/>
          <w:szCs w:val="48"/>
        </w:rPr>
      </w:pPr>
      <w:bookmarkStart w:id="171" w:name="_Toc23927"/>
      <w:r>
        <w:rPr>
          <w:sz w:val="48"/>
          <w:szCs w:val="48"/>
        </w:rPr>
        <w:t>第四卷</w:t>
      </w:r>
      <w:bookmarkEnd w:id="170"/>
      <w:bookmarkEnd w:id="171"/>
      <w:bookmarkStart w:id="172" w:name="_Toc28132"/>
      <w:bookmarkStart w:id="173" w:name="_Toc17817347"/>
    </w:p>
    <w:p w14:paraId="6CB1EEA2">
      <w:pPr>
        <w:pStyle w:val="5"/>
        <w:numPr>
          <w:ilvl w:val="0"/>
          <w:numId w:val="0"/>
        </w:numPr>
        <w:spacing w:before="0" w:after="0" w:line="480" w:lineRule="auto"/>
        <w:jc w:val="both"/>
        <w:rPr>
          <w:sz w:val="48"/>
          <w:szCs w:val="48"/>
        </w:rPr>
      </w:pPr>
    </w:p>
    <w:p w14:paraId="68A42D07">
      <w:pPr>
        <w:pStyle w:val="5"/>
        <w:numPr>
          <w:ilvl w:val="0"/>
          <w:numId w:val="0"/>
        </w:numPr>
        <w:spacing w:before="0" w:after="0" w:line="480" w:lineRule="auto"/>
        <w:jc w:val="center"/>
        <w:rPr>
          <w:i w:val="0"/>
          <w:iCs w:val="0"/>
          <w:sz w:val="32"/>
          <w:szCs w:val="32"/>
        </w:rPr>
      </w:pPr>
    </w:p>
    <w:p w14:paraId="010AFFCB">
      <w:pPr>
        <w:pStyle w:val="5"/>
        <w:numPr>
          <w:ilvl w:val="0"/>
          <w:numId w:val="0"/>
        </w:numPr>
        <w:spacing w:before="0" w:after="0" w:line="480" w:lineRule="auto"/>
        <w:jc w:val="center"/>
        <w:rPr>
          <w:i w:val="0"/>
          <w:iCs w:val="0"/>
          <w:sz w:val="32"/>
          <w:szCs w:val="32"/>
        </w:rPr>
      </w:pPr>
    </w:p>
    <w:p w14:paraId="00130D9E">
      <w:pPr>
        <w:rPr>
          <w:i w:val="0"/>
          <w:iCs w:val="0"/>
          <w:sz w:val="32"/>
          <w:szCs w:val="32"/>
        </w:rPr>
      </w:pPr>
    </w:p>
    <w:p w14:paraId="5F89530F">
      <w:pPr>
        <w:pStyle w:val="25"/>
        <w:rPr>
          <w:i w:val="0"/>
          <w:iCs w:val="0"/>
          <w:sz w:val="32"/>
          <w:szCs w:val="32"/>
        </w:rPr>
      </w:pPr>
    </w:p>
    <w:p w14:paraId="5D7C0876">
      <w:pPr>
        <w:pStyle w:val="21"/>
        <w:rPr>
          <w:i w:val="0"/>
          <w:iCs w:val="0"/>
          <w:sz w:val="32"/>
          <w:szCs w:val="32"/>
        </w:rPr>
      </w:pPr>
    </w:p>
    <w:p w14:paraId="4C8B9935">
      <w:pPr>
        <w:rPr>
          <w:i w:val="0"/>
          <w:iCs w:val="0"/>
          <w:sz w:val="32"/>
          <w:szCs w:val="32"/>
        </w:rPr>
      </w:pPr>
    </w:p>
    <w:p w14:paraId="697926B7">
      <w:pPr>
        <w:pStyle w:val="25"/>
        <w:rPr>
          <w:i w:val="0"/>
          <w:iCs w:val="0"/>
          <w:sz w:val="32"/>
          <w:szCs w:val="32"/>
        </w:rPr>
      </w:pPr>
    </w:p>
    <w:p w14:paraId="4F422D87">
      <w:pPr>
        <w:pStyle w:val="21"/>
        <w:rPr>
          <w:i w:val="0"/>
          <w:iCs w:val="0"/>
          <w:sz w:val="32"/>
          <w:szCs w:val="32"/>
        </w:rPr>
      </w:pPr>
    </w:p>
    <w:p w14:paraId="18DA14F8">
      <w:pPr>
        <w:rPr>
          <w:i w:val="0"/>
          <w:iCs w:val="0"/>
          <w:sz w:val="32"/>
          <w:szCs w:val="32"/>
        </w:rPr>
      </w:pPr>
    </w:p>
    <w:p w14:paraId="482CCE1D">
      <w:pPr>
        <w:pStyle w:val="25"/>
        <w:rPr>
          <w:i w:val="0"/>
          <w:iCs w:val="0"/>
          <w:sz w:val="32"/>
          <w:szCs w:val="32"/>
        </w:rPr>
      </w:pPr>
    </w:p>
    <w:p w14:paraId="6459DEB8">
      <w:pPr>
        <w:rPr>
          <w:i w:val="0"/>
          <w:iCs w:val="0"/>
          <w:sz w:val="32"/>
          <w:szCs w:val="32"/>
        </w:rPr>
      </w:pPr>
      <w:r>
        <w:rPr>
          <w:i w:val="0"/>
          <w:iCs w:val="0"/>
          <w:sz w:val="32"/>
          <w:szCs w:val="32"/>
        </w:rPr>
        <w:br w:type="page"/>
      </w:r>
    </w:p>
    <w:p w14:paraId="482792AA"/>
    <w:p w14:paraId="6D830F77">
      <w:pPr>
        <w:pStyle w:val="4"/>
        <w:numPr>
          <w:ilvl w:val="0"/>
          <w:numId w:val="15"/>
        </w:numPr>
        <w:jc w:val="center"/>
        <w:rPr>
          <w:i w:val="0"/>
          <w:iCs w:val="0"/>
          <w:sz w:val="32"/>
          <w:szCs w:val="32"/>
        </w:rPr>
      </w:pPr>
      <w:r>
        <w:rPr>
          <w:i w:val="0"/>
          <w:iCs w:val="0"/>
          <w:sz w:val="32"/>
          <w:szCs w:val="32"/>
        </w:rPr>
        <w:t xml:space="preserve">  </w:t>
      </w:r>
      <w:bookmarkStart w:id="174" w:name="_Toc21923"/>
      <w:r>
        <w:rPr>
          <w:i w:val="0"/>
          <w:iCs w:val="0"/>
          <w:sz w:val="32"/>
          <w:szCs w:val="32"/>
        </w:rPr>
        <w:t>投标文件格式</w:t>
      </w:r>
      <w:bookmarkEnd w:id="172"/>
      <w:bookmarkEnd w:id="173"/>
      <w:bookmarkEnd w:id="174"/>
    </w:p>
    <w:p w14:paraId="50EA5E59">
      <w:pPr>
        <w:spacing w:before="120" w:after="120" w:line="480" w:lineRule="exact"/>
        <w:rPr>
          <w:rStyle w:val="47"/>
          <w:rFonts w:ascii="宋体" w:hAnsi="宋体"/>
        </w:rPr>
      </w:pPr>
    </w:p>
    <w:p w14:paraId="07106C62">
      <w:pPr>
        <w:spacing w:before="120" w:after="120" w:line="480" w:lineRule="exact"/>
        <w:rPr>
          <w:rStyle w:val="47"/>
          <w:rFonts w:ascii="宋体" w:hAnsi="宋体"/>
        </w:rPr>
      </w:pPr>
    </w:p>
    <w:p w14:paraId="2228CA5A">
      <w:pPr>
        <w:jc w:val="center"/>
        <w:rPr>
          <w:rStyle w:val="47"/>
          <w:rFonts w:ascii="宋体" w:hAnsi="宋体"/>
          <w:sz w:val="28"/>
          <w:szCs w:val="28"/>
          <w:u w:val="single"/>
        </w:rPr>
      </w:pPr>
      <w:r>
        <w:rPr>
          <w:rStyle w:val="47"/>
          <w:rFonts w:ascii="宋体" w:hAnsi="宋体"/>
          <w:sz w:val="28"/>
          <w:szCs w:val="28"/>
        </w:rPr>
        <w:t>（项目名称）</w:t>
      </w:r>
    </w:p>
    <w:p w14:paraId="4E004097">
      <w:pPr>
        <w:spacing w:before="240"/>
        <w:jc w:val="center"/>
        <w:rPr>
          <w:rStyle w:val="47"/>
          <w:rFonts w:ascii="宋体" w:hAnsi="宋体"/>
          <w:sz w:val="44"/>
          <w:szCs w:val="44"/>
        </w:rPr>
      </w:pPr>
      <w:r>
        <w:rPr>
          <w:rStyle w:val="47"/>
          <w:rFonts w:ascii="宋体" w:hAnsi="宋体"/>
          <w:sz w:val="44"/>
          <w:szCs w:val="44"/>
        </w:rPr>
        <w:t>投  标  文  件</w:t>
      </w:r>
    </w:p>
    <w:p w14:paraId="796BA424">
      <w:pPr>
        <w:jc w:val="center"/>
        <w:rPr>
          <w:rStyle w:val="47"/>
          <w:rFonts w:ascii="宋体" w:hAnsi="宋体"/>
          <w:sz w:val="32"/>
          <w:szCs w:val="32"/>
        </w:rPr>
      </w:pPr>
    </w:p>
    <w:p w14:paraId="6D20FFDF">
      <w:pPr>
        <w:jc w:val="center"/>
        <w:rPr>
          <w:rStyle w:val="47"/>
          <w:rFonts w:ascii="宋体" w:hAnsi="宋体"/>
          <w:sz w:val="32"/>
          <w:szCs w:val="32"/>
        </w:rPr>
      </w:pPr>
    </w:p>
    <w:p w14:paraId="613F3559">
      <w:pPr>
        <w:jc w:val="center"/>
        <w:rPr>
          <w:rStyle w:val="47"/>
          <w:rFonts w:ascii="宋体" w:hAnsi="宋体"/>
          <w:sz w:val="32"/>
          <w:szCs w:val="32"/>
        </w:rPr>
      </w:pPr>
    </w:p>
    <w:p w14:paraId="34F1F0FB">
      <w:pPr>
        <w:jc w:val="center"/>
        <w:rPr>
          <w:rStyle w:val="47"/>
          <w:rFonts w:ascii="宋体" w:hAnsi="宋体"/>
          <w:sz w:val="32"/>
          <w:szCs w:val="32"/>
        </w:rPr>
      </w:pPr>
    </w:p>
    <w:p w14:paraId="60B4889B">
      <w:pPr>
        <w:pStyle w:val="25"/>
        <w:ind w:left="420" w:firstLine="420"/>
      </w:pPr>
    </w:p>
    <w:p w14:paraId="348AFBB7">
      <w:pPr>
        <w:pStyle w:val="21"/>
        <w:ind w:left="420"/>
      </w:pPr>
    </w:p>
    <w:p w14:paraId="75CF0452">
      <w:pPr>
        <w:jc w:val="center"/>
        <w:rPr>
          <w:rStyle w:val="47"/>
          <w:rFonts w:ascii="宋体" w:hAnsi="宋体"/>
          <w:sz w:val="32"/>
          <w:szCs w:val="32"/>
        </w:rPr>
      </w:pPr>
    </w:p>
    <w:p w14:paraId="6F9C236C">
      <w:pPr>
        <w:jc w:val="center"/>
        <w:rPr>
          <w:rStyle w:val="47"/>
          <w:rFonts w:ascii="宋体" w:hAnsi="宋体"/>
          <w:sz w:val="32"/>
          <w:szCs w:val="32"/>
        </w:rPr>
      </w:pPr>
    </w:p>
    <w:p w14:paraId="3F2A9B69">
      <w:pPr>
        <w:jc w:val="center"/>
        <w:rPr>
          <w:rStyle w:val="47"/>
          <w:rFonts w:ascii="宋体" w:hAnsi="宋体"/>
          <w:sz w:val="32"/>
          <w:szCs w:val="32"/>
        </w:rPr>
      </w:pPr>
    </w:p>
    <w:p w14:paraId="59FCE32C">
      <w:pPr>
        <w:jc w:val="center"/>
        <w:rPr>
          <w:rStyle w:val="47"/>
          <w:rFonts w:ascii="宋体" w:hAnsi="宋体"/>
          <w:sz w:val="32"/>
          <w:szCs w:val="32"/>
        </w:rPr>
      </w:pPr>
    </w:p>
    <w:p w14:paraId="13C1321B">
      <w:pPr>
        <w:spacing w:line="360" w:lineRule="auto"/>
        <w:ind w:firstLine="2520" w:firstLineChars="900"/>
        <w:jc w:val="both"/>
        <w:rPr>
          <w:rStyle w:val="47"/>
          <w:rFonts w:ascii="宋体" w:hAnsi="宋体"/>
          <w:sz w:val="28"/>
          <w:szCs w:val="28"/>
        </w:rPr>
      </w:pPr>
      <w:r>
        <w:rPr>
          <w:rStyle w:val="47"/>
          <w:rFonts w:ascii="宋体" w:hAnsi="宋体"/>
          <w:sz w:val="28"/>
          <w:szCs w:val="28"/>
        </w:rPr>
        <w:t>投标人：（盖单位公章）</w:t>
      </w:r>
    </w:p>
    <w:p w14:paraId="0E78139D">
      <w:pPr>
        <w:spacing w:line="360" w:lineRule="auto"/>
        <w:ind w:firstLine="2380" w:firstLineChars="850"/>
        <w:rPr>
          <w:rStyle w:val="47"/>
          <w:rFonts w:ascii="宋体" w:hAnsi="宋体"/>
          <w:sz w:val="28"/>
          <w:szCs w:val="28"/>
        </w:rPr>
      </w:pPr>
      <w:r>
        <w:rPr>
          <w:rStyle w:val="47"/>
          <w:rFonts w:ascii="宋体" w:hAnsi="宋体"/>
          <w:sz w:val="28"/>
          <w:szCs w:val="28"/>
        </w:rPr>
        <w:t>法定代表人或其委托代理人：（签字或盖章）</w:t>
      </w:r>
    </w:p>
    <w:p w14:paraId="2E3222EB">
      <w:pPr>
        <w:jc w:val="center"/>
        <w:rPr>
          <w:rStyle w:val="47"/>
          <w:rFonts w:ascii="宋体" w:hAnsi="宋体"/>
          <w:sz w:val="28"/>
          <w:szCs w:val="28"/>
        </w:rPr>
      </w:pPr>
    </w:p>
    <w:p w14:paraId="78D3F6FC">
      <w:pPr>
        <w:jc w:val="center"/>
        <w:rPr>
          <w:rStyle w:val="47"/>
          <w:rFonts w:ascii="宋体" w:hAnsi="宋体"/>
          <w:sz w:val="28"/>
          <w:szCs w:val="28"/>
        </w:rPr>
      </w:pPr>
    </w:p>
    <w:p w14:paraId="7CDA5A16">
      <w:pPr>
        <w:jc w:val="center"/>
        <w:rPr>
          <w:rStyle w:val="47"/>
          <w:rFonts w:ascii="宋体" w:hAnsi="宋体"/>
          <w:sz w:val="28"/>
          <w:szCs w:val="28"/>
        </w:rPr>
      </w:pPr>
      <w:r>
        <w:rPr>
          <w:rStyle w:val="47"/>
          <w:rFonts w:ascii="宋体" w:hAnsi="宋体"/>
          <w:sz w:val="28"/>
          <w:szCs w:val="28"/>
        </w:rPr>
        <w:t>年</w:t>
      </w:r>
      <w:r>
        <w:rPr>
          <w:rStyle w:val="47"/>
          <w:rFonts w:hint="eastAsia" w:ascii="宋体" w:hAnsi="宋体"/>
          <w:sz w:val="28"/>
          <w:szCs w:val="28"/>
          <w:lang w:val="en-US" w:eastAsia="zh-CN"/>
        </w:rPr>
        <w:t xml:space="preserve">    </w:t>
      </w:r>
      <w:r>
        <w:rPr>
          <w:rStyle w:val="47"/>
          <w:rFonts w:ascii="宋体" w:hAnsi="宋体"/>
          <w:sz w:val="28"/>
          <w:szCs w:val="28"/>
        </w:rPr>
        <w:t>月</w:t>
      </w:r>
      <w:r>
        <w:rPr>
          <w:rStyle w:val="47"/>
          <w:rFonts w:hint="eastAsia" w:ascii="宋体" w:hAnsi="宋体"/>
          <w:sz w:val="28"/>
          <w:szCs w:val="28"/>
          <w:lang w:val="en-US" w:eastAsia="zh-CN"/>
        </w:rPr>
        <w:t xml:space="preserve">    </w:t>
      </w:r>
      <w:r>
        <w:rPr>
          <w:rStyle w:val="47"/>
          <w:rFonts w:ascii="宋体" w:hAnsi="宋体"/>
          <w:sz w:val="28"/>
          <w:szCs w:val="28"/>
        </w:rPr>
        <w:t>日</w:t>
      </w:r>
      <w:r>
        <w:rPr>
          <w:rStyle w:val="47"/>
          <w:rFonts w:ascii="宋体" w:hAnsi="宋体"/>
          <w:sz w:val="28"/>
          <w:szCs w:val="28"/>
        </w:rPr>
        <w:br w:type="page"/>
      </w:r>
    </w:p>
    <w:p w14:paraId="72123C25">
      <w:pPr>
        <w:jc w:val="center"/>
        <w:rPr>
          <w:rStyle w:val="47"/>
          <w:rFonts w:ascii="宋体" w:hAnsi="宋体"/>
          <w:sz w:val="28"/>
          <w:szCs w:val="28"/>
        </w:rPr>
      </w:pPr>
      <w:r>
        <w:rPr>
          <w:rStyle w:val="47"/>
          <w:rFonts w:ascii="宋体" w:hAnsi="宋体"/>
          <w:sz w:val="28"/>
          <w:szCs w:val="28"/>
        </w:rPr>
        <w:t>目    录</w:t>
      </w:r>
    </w:p>
    <w:p w14:paraId="3A8A6C5C">
      <w:pPr>
        <w:spacing w:line="360" w:lineRule="auto"/>
        <w:rPr>
          <w:rStyle w:val="47"/>
          <w:rFonts w:ascii="宋体" w:hAnsi="宋体"/>
          <w:szCs w:val="21"/>
        </w:rPr>
      </w:pPr>
      <w:r>
        <w:rPr>
          <w:rStyle w:val="47"/>
          <w:rFonts w:ascii="宋体" w:hAnsi="宋体"/>
          <w:szCs w:val="21"/>
        </w:rPr>
        <w:t>一、投标函及投标函附录</w:t>
      </w:r>
    </w:p>
    <w:p w14:paraId="153CF202">
      <w:pPr>
        <w:spacing w:line="360" w:lineRule="auto"/>
        <w:rPr>
          <w:rStyle w:val="47"/>
          <w:rFonts w:ascii="宋体" w:hAnsi="宋体"/>
          <w:szCs w:val="21"/>
        </w:rPr>
      </w:pPr>
      <w:r>
        <w:rPr>
          <w:rStyle w:val="47"/>
          <w:rFonts w:ascii="宋体" w:hAnsi="宋体"/>
          <w:szCs w:val="21"/>
        </w:rPr>
        <w:t>二、法定代表人身份证明</w:t>
      </w:r>
    </w:p>
    <w:p w14:paraId="4F2A7CC8">
      <w:pPr>
        <w:spacing w:line="360" w:lineRule="auto"/>
        <w:rPr>
          <w:rStyle w:val="47"/>
          <w:rFonts w:ascii="宋体" w:hAnsi="宋体"/>
          <w:szCs w:val="21"/>
        </w:rPr>
      </w:pPr>
      <w:r>
        <w:rPr>
          <w:rStyle w:val="47"/>
          <w:rFonts w:ascii="宋体" w:hAnsi="宋体"/>
          <w:szCs w:val="21"/>
        </w:rPr>
        <w:t>三、授权委托书</w:t>
      </w:r>
    </w:p>
    <w:p w14:paraId="62781E6F">
      <w:pPr>
        <w:spacing w:line="360" w:lineRule="auto"/>
        <w:rPr>
          <w:rStyle w:val="47"/>
          <w:rFonts w:ascii="宋体" w:hAnsi="宋体"/>
          <w:szCs w:val="21"/>
        </w:rPr>
      </w:pPr>
      <w:r>
        <w:rPr>
          <w:rStyle w:val="47"/>
          <w:rFonts w:ascii="宋体" w:hAnsi="宋体"/>
          <w:szCs w:val="21"/>
        </w:rPr>
        <w:t>四、投标保证金</w:t>
      </w:r>
    </w:p>
    <w:p w14:paraId="4F76C818">
      <w:pPr>
        <w:spacing w:line="360" w:lineRule="auto"/>
        <w:rPr>
          <w:rStyle w:val="47"/>
          <w:rFonts w:ascii="宋体" w:hAnsi="宋体"/>
          <w:szCs w:val="21"/>
        </w:rPr>
      </w:pPr>
      <w:r>
        <w:rPr>
          <w:rStyle w:val="47"/>
          <w:rFonts w:ascii="宋体" w:hAnsi="宋体"/>
          <w:szCs w:val="21"/>
        </w:rPr>
        <w:t>五、已标价工程量清单</w:t>
      </w:r>
    </w:p>
    <w:p w14:paraId="5BDF134D">
      <w:pPr>
        <w:spacing w:line="360" w:lineRule="auto"/>
        <w:rPr>
          <w:rStyle w:val="47"/>
          <w:rFonts w:ascii="宋体" w:hAnsi="宋体"/>
        </w:rPr>
      </w:pPr>
      <w:r>
        <w:rPr>
          <w:rStyle w:val="47"/>
          <w:rFonts w:hint="eastAsia" w:ascii="宋体" w:hAnsi="宋体"/>
        </w:rPr>
        <w:t>六、施工组织设计</w:t>
      </w:r>
    </w:p>
    <w:p w14:paraId="58D2EB8D">
      <w:pPr>
        <w:spacing w:line="360" w:lineRule="auto"/>
        <w:rPr>
          <w:rStyle w:val="47"/>
          <w:rFonts w:ascii="宋体" w:hAnsi="宋体"/>
          <w:szCs w:val="21"/>
        </w:rPr>
      </w:pPr>
      <w:r>
        <w:rPr>
          <w:rStyle w:val="47"/>
          <w:rFonts w:hint="eastAsia" w:ascii="宋体" w:hAnsi="宋体"/>
        </w:rPr>
        <w:t>七、</w:t>
      </w:r>
      <w:r>
        <w:rPr>
          <w:rStyle w:val="47"/>
          <w:rFonts w:ascii="宋体" w:hAnsi="宋体"/>
          <w:szCs w:val="21"/>
        </w:rPr>
        <w:t>其他材料</w:t>
      </w:r>
    </w:p>
    <w:p w14:paraId="00A0E0A2">
      <w:pPr>
        <w:spacing w:line="360" w:lineRule="auto"/>
        <w:rPr>
          <w:rStyle w:val="47"/>
          <w:rFonts w:ascii="宋体" w:hAnsi="宋体"/>
          <w:szCs w:val="21"/>
        </w:rPr>
      </w:pPr>
    </w:p>
    <w:p w14:paraId="27480026">
      <w:pPr>
        <w:spacing w:line="600" w:lineRule="exact"/>
        <w:rPr>
          <w:rStyle w:val="47"/>
          <w:rFonts w:ascii="宋体" w:hAnsi="宋体"/>
          <w:szCs w:val="21"/>
        </w:rPr>
      </w:pPr>
    </w:p>
    <w:p w14:paraId="4A5E91D5">
      <w:pPr>
        <w:spacing w:line="600" w:lineRule="exact"/>
        <w:rPr>
          <w:rStyle w:val="47"/>
          <w:rFonts w:ascii="宋体" w:hAnsi="宋体"/>
          <w:szCs w:val="21"/>
        </w:rPr>
      </w:pPr>
    </w:p>
    <w:p w14:paraId="22EA1092">
      <w:pPr>
        <w:spacing w:line="600" w:lineRule="exact"/>
        <w:rPr>
          <w:rStyle w:val="47"/>
          <w:rFonts w:ascii="宋体" w:hAnsi="宋体"/>
          <w:szCs w:val="21"/>
        </w:rPr>
      </w:pPr>
    </w:p>
    <w:p w14:paraId="239D7B03">
      <w:pPr>
        <w:spacing w:line="600" w:lineRule="exact"/>
        <w:rPr>
          <w:rStyle w:val="47"/>
          <w:rFonts w:ascii="宋体" w:hAnsi="宋体"/>
          <w:szCs w:val="21"/>
        </w:rPr>
      </w:pPr>
    </w:p>
    <w:p w14:paraId="3394070A">
      <w:pPr>
        <w:spacing w:line="600" w:lineRule="exact"/>
        <w:rPr>
          <w:rStyle w:val="47"/>
          <w:rFonts w:ascii="宋体" w:hAnsi="宋体"/>
          <w:szCs w:val="21"/>
        </w:rPr>
      </w:pPr>
      <w:r>
        <w:rPr>
          <w:rStyle w:val="47"/>
          <w:rFonts w:ascii="宋体" w:hAnsi="宋体"/>
          <w:szCs w:val="21"/>
        </w:rPr>
        <w:br w:type="page"/>
      </w:r>
    </w:p>
    <w:p w14:paraId="28A97A91">
      <w:pPr>
        <w:pStyle w:val="5"/>
        <w:spacing w:before="0" w:after="0" w:line="480" w:lineRule="auto"/>
        <w:jc w:val="center"/>
        <w:rPr>
          <w:sz w:val="30"/>
          <w:szCs w:val="30"/>
        </w:rPr>
      </w:pPr>
      <w:bookmarkStart w:id="175" w:name="_Toc17817348"/>
      <w:bookmarkStart w:id="176" w:name="_Toc6538"/>
      <w:bookmarkStart w:id="177" w:name="_Toc29455"/>
      <w:bookmarkStart w:id="178" w:name="_Toc23716"/>
      <w:bookmarkStart w:id="179" w:name="_Toc8872"/>
      <w:bookmarkStart w:id="180" w:name="_Toc16063994"/>
      <w:bookmarkStart w:id="181" w:name="_一、投标函及投标函附录"/>
      <w:r>
        <w:rPr>
          <w:sz w:val="30"/>
          <w:szCs w:val="30"/>
        </w:rPr>
        <w:t>一、投标函及投标函附录</w:t>
      </w:r>
      <w:bookmarkEnd w:id="175"/>
      <w:bookmarkEnd w:id="176"/>
      <w:bookmarkEnd w:id="177"/>
      <w:bookmarkEnd w:id="178"/>
      <w:bookmarkEnd w:id="179"/>
      <w:bookmarkEnd w:id="180"/>
    </w:p>
    <w:bookmarkEnd w:id="181"/>
    <w:p w14:paraId="6D3D08D1">
      <w:pPr>
        <w:snapToGrid w:val="0"/>
        <w:spacing w:line="440" w:lineRule="exact"/>
        <w:ind w:firstLine="527" w:firstLineChars="250"/>
        <w:jc w:val="center"/>
        <w:rPr>
          <w:rStyle w:val="47"/>
          <w:rFonts w:ascii="宋体" w:hAnsi="宋体"/>
          <w:b/>
          <w:szCs w:val="21"/>
        </w:rPr>
      </w:pPr>
      <w:bookmarkStart w:id="182" w:name="_Toc16063995"/>
      <w:r>
        <w:rPr>
          <w:rStyle w:val="47"/>
          <w:rFonts w:ascii="宋体" w:hAnsi="宋体"/>
          <w:b/>
          <w:szCs w:val="21"/>
        </w:rPr>
        <w:t>（一）投标函</w:t>
      </w:r>
      <w:bookmarkEnd w:id="182"/>
    </w:p>
    <w:p w14:paraId="70BEB267">
      <w:pPr>
        <w:snapToGrid w:val="0"/>
        <w:spacing w:line="440" w:lineRule="exact"/>
        <w:ind w:firstLine="527" w:firstLineChars="250"/>
        <w:jc w:val="center"/>
        <w:rPr>
          <w:rStyle w:val="47"/>
          <w:rFonts w:ascii="宋体" w:hAnsi="宋体"/>
          <w:b/>
          <w:szCs w:val="21"/>
        </w:rPr>
      </w:pPr>
    </w:p>
    <w:p w14:paraId="5074674A">
      <w:pPr>
        <w:spacing w:line="480" w:lineRule="exact"/>
        <w:rPr>
          <w:rStyle w:val="47"/>
          <w:rFonts w:ascii="宋体" w:hAnsi="宋体"/>
        </w:rPr>
      </w:pPr>
      <w:r>
        <w:rPr>
          <w:rStyle w:val="47"/>
          <w:rFonts w:ascii="宋体" w:hAnsi="宋体"/>
        </w:rPr>
        <w:t>致：（招标人名称）</w:t>
      </w:r>
    </w:p>
    <w:p w14:paraId="5A6DF5E1">
      <w:pPr>
        <w:spacing w:line="480" w:lineRule="exact"/>
        <w:ind w:firstLine="420" w:firstLineChars="200"/>
        <w:rPr>
          <w:rStyle w:val="47"/>
          <w:rFonts w:ascii="宋体" w:hAnsi="宋体"/>
        </w:rPr>
      </w:pPr>
      <w:r>
        <w:rPr>
          <w:rStyle w:val="47"/>
          <w:rFonts w:ascii="宋体" w:hAnsi="宋体"/>
        </w:rPr>
        <w:t>根据已收到贵方的招标编号为</w:t>
      </w:r>
      <w:r>
        <w:rPr>
          <w:rStyle w:val="47"/>
          <w:rFonts w:hint="eastAsia" w:ascii="宋体" w:hAnsi="宋体"/>
          <w:u w:val="single"/>
        </w:rPr>
        <w:t xml:space="preserve"> </w:t>
      </w:r>
      <w:r>
        <w:rPr>
          <w:rStyle w:val="47"/>
          <w:rFonts w:ascii="宋体" w:hAnsi="宋体"/>
          <w:u w:val="single"/>
        </w:rPr>
        <w:t xml:space="preserve">       </w:t>
      </w:r>
      <w:r>
        <w:rPr>
          <w:rStyle w:val="47"/>
          <w:rFonts w:ascii="宋体" w:hAnsi="宋体"/>
        </w:rPr>
        <w:t xml:space="preserve"> 的</w:t>
      </w:r>
      <w:r>
        <w:rPr>
          <w:rStyle w:val="47"/>
          <w:rFonts w:hint="eastAsia" w:ascii="宋体" w:hAnsi="宋体"/>
          <w:u w:val="single"/>
        </w:rPr>
        <w:t xml:space="preserve"> </w:t>
      </w:r>
      <w:r>
        <w:rPr>
          <w:rStyle w:val="47"/>
          <w:rFonts w:ascii="宋体" w:hAnsi="宋体"/>
          <w:u w:val="single"/>
        </w:rPr>
        <w:t xml:space="preserve">          </w:t>
      </w:r>
      <w:r>
        <w:rPr>
          <w:rStyle w:val="47"/>
          <w:rFonts w:ascii="宋体" w:hAnsi="宋体"/>
        </w:rPr>
        <w:t xml:space="preserve"> 工程的招标文件，遵照《中华人民共和国招标投标法》等有关规定，我方经考察现场和研究上述招标文件的投标须知、合同条款、技术规范、图纸和工程量清单及其他有关文件后，我方愿以工程唱标单中的投标报价，并按上述图纸、合同条款、技术规范和工程量清单的条件要求承包上述工程的施工、竣工并承担任何质量缺陷保修责任。</w:t>
      </w:r>
    </w:p>
    <w:p w14:paraId="382DDB2A">
      <w:pPr>
        <w:spacing w:line="480" w:lineRule="exact"/>
        <w:ind w:firstLine="420" w:firstLineChars="200"/>
        <w:rPr>
          <w:rStyle w:val="47"/>
          <w:rFonts w:ascii="宋体" w:hAnsi="宋体"/>
        </w:rPr>
      </w:pPr>
      <w:r>
        <w:rPr>
          <w:rStyle w:val="47"/>
          <w:rFonts w:ascii="宋体" w:hAnsi="宋体"/>
        </w:rPr>
        <w:t>如果我方中标，我方保证在</w:t>
      </w:r>
      <w:r>
        <w:rPr>
          <w:rStyle w:val="47"/>
          <w:rFonts w:hint="eastAsia" w:ascii="宋体" w:hAnsi="宋体"/>
          <w:u w:val="single"/>
        </w:rPr>
        <w:t xml:space="preserve"> </w:t>
      </w:r>
      <w:r>
        <w:rPr>
          <w:rStyle w:val="47"/>
          <w:rFonts w:ascii="宋体" w:hAnsi="宋体"/>
          <w:u w:val="single"/>
        </w:rPr>
        <w:t xml:space="preserve">  </w:t>
      </w:r>
      <w:r>
        <w:rPr>
          <w:rStyle w:val="47"/>
          <w:rFonts w:ascii="宋体" w:hAnsi="宋体"/>
        </w:rPr>
        <w:t>年</w:t>
      </w:r>
      <w:r>
        <w:rPr>
          <w:rStyle w:val="47"/>
          <w:rFonts w:hint="eastAsia" w:ascii="宋体" w:hAnsi="宋体"/>
          <w:u w:val="single"/>
        </w:rPr>
        <w:t xml:space="preserve"> </w:t>
      </w:r>
      <w:r>
        <w:rPr>
          <w:rStyle w:val="47"/>
          <w:rFonts w:ascii="宋体" w:hAnsi="宋体"/>
          <w:u w:val="single"/>
        </w:rPr>
        <w:t xml:space="preserve"> </w:t>
      </w:r>
      <w:r>
        <w:rPr>
          <w:rStyle w:val="47"/>
          <w:rFonts w:ascii="宋体" w:hAnsi="宋体"/>
        </w:rPr>
        <w:t>月</w:t>
      </w:r>
      <w:r>
        <w:rPr>
          <w:rStyle w:val="47"/>
          <w:rFonts w:hint="eastAsia" w:ascii="宋体" w:hAnsi="宋体"/>
          <w:u w:val="single"/>
        </w:rPr>
        <w:t xml:space="preserve"> </w:t>
      </w:r>
      <w:r>
        <w:rPr>
          <w:rStyle w:val="47"/>
          <w:rFonts w:ascii="宋体" w:hAnsi="宋体"/>
          <w:u w:val="single"/>
        </w:rPr>
        <w:t xml:space="preserve"> </w:t>
      </w:r>
      <w:r>
        <w:rPr>
          <w:rStyle w:val="47"/>
          <w:rFonts w:ascii="宋体" w:hAnsi="宋体"/>
        </w:rPr>
        <w:t>日或按照合同约定的开工日期开始本工程的施工，</w:t>
      </w:r>
      <w:r>
        <w:rPr>
          <w:rStyle w:val="47"/>
          <w:rFonts w:hint="eastAsia" w:ascii="宋体" w:hAnsi="宋体"/>
          <w:u w:val="single"/>
        </w:rPr>
        <w:t xml:space="preserve"> </w:t>
      </w:r>
      <w:r>
        <w:rPr>
          <w:rStyle w:val="47"/>
          <w:rFonts w:ascii="宋体" w:hAnsi="宋体"/>
          <w:u w:val="single"/>
        </w:rPr>
        <w:t xml:space="preserve">  </w:t>
      </w:r>
      <w:r>
        <w:rPr>
          <w:rStyle w:val="47"/>
          <w:rFonts w:ascii="宋体" w:hAnsi="宋体"/>
        </w:rPr>
        <w:t>天内竣工，并确保工程质量合格。我方同意本投标函在招标文件规定的提交投标文件截止时间后</w:t>
      </w:r>
      <w:r>
        <w:rPr>
          <w:rStyle w:val="47"/>
          <w:rFonts w:hint="eastAsia" w:ascii="宋体" w:hAnsi="宋体"/>
        </w:rPr>
        <w:t>、</w:t>
      </w:r>
      <w:r>
        <w:rPr>
          <w:rStyle w:val="47"/>
          <w:rFonts w:ascii="宋体" w:hAnsi="宋体"/>
        </w:rPr>
        <w:t>在招标文件规定的投标有效期期满前对我方具有约束力，且随时准备接受你方发出的中标通知书。</w:t>
      </w:r>
    </w:p>
    <w:p w14:paraId="43CDB80A">
      <w:pPr>
        <w:spacing w:line="480" w:lineRule="exact"/>
        <w:ind w:firstLine="420" w:firstLineChars="200"/>
        <w:rPr>
          <w:rStyle w:val="47"/>
          <w:rFonts w:ascii="宋体" w:hAnsi="宋体"/>
        </w:rPr>
      </w:pPr>
      <w:r>
        <w:rPr>
          <w:rStyle w:val="47"/>
          <w:rFonts w:ascii="宋体" w:hAnsi="宋体"/>
        </w:rPr>
        <w:t>随本投标函递交的投标函附录是本投标函的组成部分，对我方构成约束力。</w:t>
      </w:r>
    </w:p>
    <w:p w14:paraId="33C469D3">
      <w:pPr>
        <w:spacing w:line="480" w:lineRule="exact"/>
        <w:ind w:firstLine="420" w:firstLineChars="200"/>
        <w:rPr>
          <w:rStyle w:val="47"/>
          <w:rFonts w:ascii="宋体" w:hAnsi="宋体"/>
        </w:rPr>
      </w:pPr>
      <w:r>
        <w:rPr>
          <w:rStyle w:val="47"/>
          <w:rFonts w:ascii="宋体" w:hAnsi="宋体"/>
        </w:rPr>
        <w:t>随同本投标函递交投标保证金一份，金额为人民币（大写）：</w:t>
      </w:r>
      <w:r>
        <w:rPr>
          <w:rStyle w:val="47"/>
          <w:rFonts w:hint="eastAsia" w:ascii="宋体" w:hAnsi="宋体"/>
          <w:u w:val="single"/>
        </w:rPr>
        <w:t xml:space="preserve"> </w:t>
      </w:r>
      <w:r>
        <w:rPr>
          <w:rStyle w:val="47"/>
          <w:rFonts w:ascii="宋体" w:hAnsi="宋体"/>
          <w:u w:val="single"/>
        </w:rPr>
        <w:t xml:space="preserve">  </w:t>
      </w:r>
      <w:r>
        <w:rPr>
          <w:rStyle w:val="47"/>
          <w:rFonts w:hint="eastAsia" w:ascii="宋体" w:hAnsi="宋体"/>
          <w:u w:val="single"/>
          <w:lang w:val="en-US" w:eastAsia="zh-CN"/>
        </w:rPr>
        <w:t xml:space="preserve">  </w:t>
      </w:r>
      <w:r>
        <w:rPr>
          <w:rStyle w:val="47"/>
          <w:rFonts w:ascii="宋体" w:hAnsi="宋体"/>
          <w:u w:val="single"/>
        </w:rPr>
        <w:t xml:space="preserve">  </w:t>
      </w:r>
      <w:r>
        <w:rPr>
          <w:rStyle w:val="47"/>
          <w:rFonts w:ascii="宋体" w:hAnsi="宋体"/>
        </w:rPr>
        <w:t>元（</w:t>
      </w:r>
      <w:r>
        <w:rPr>
          <w:rStyle w:val="47"/>
          <w:rFonts w:hint="eastAsia" w:ascii="宋体" w:hAnsi="宋体"/>
        </w:rPr>
        <w:t>¥</w:t>
      </w:r>
      <w:r>
        <w:rPr>
          <w:rStyle w:val="47"/>
          <w:rFonts w:hint="eastAsia" w:ascii="宋体" w:hAnsi="宋体"/>
          <w:u w:val="single"/>
        </w:rPr>
        <w:t xml:space="preserve"> </w:t>
      </w:r>
      <w:r>
        <w:rPr>
          <w:rStyle w:val="47"/>
          <w:rFonts w:ascii="宋体" w:hAnsi="宋体"/>
          <w:u w:val="single"/>
        </w:rPr>
        <w:t xml:space="preserve">    </w:t>
      </w:r>
      <w:r>
        <w:rPr>
          <w:rStyle w:val="47"/>
          <w:rFonts w:ascii="宋体" w:hAnsi="宋体"/>
        </w:rPr>
        <w:t>元）。</w:t>
      </w:r>
    </w:p>
    <w:p w14:paraId="3F46C768">
      <w:pPr>
        <w:spacing w:line="480" w:lineRule="exact"/>
        <w:ind w:firstLine="420" w:firstLineChars="200"/>
        <w:rPr>
          <w:rStyle w:val="47"/>
          <w:rFonts w:ascii="宋体" w:hAnsi="宋体"/>
        </w:rPr>
      </w:pPr>
      <w:r>
        <w:rPr>
          <w:rStyle w:val="47"/>
          <w:rFonts w:ascii="宋体" w:hAnsi="宋体"/>
        </w:rPr>
        <w:t>在签署协议书之前，你方中标通知书连同本投标函，包括投标函附录，对双方具有约束力。</w:t>
      </w:r>
    </w:p>
    <w:p w14:paraId="19069084">
      <w:pPr>
        <w:spacing w:line="480" w:lineRule="exact"/>
        <w:ind w:firstLine="420" w:firstLineChars="200"/>
        <w:rPr>
          <w:rStyle w:val="47"/>
          <w:rFonts w:ascii="宋体" w:hAnsi="宋体"/>
        </w:rPr>
      </w:pPr>
      <w:r>
        <w:rPr>
          <w:rStyle w:val="47"/>
          <w:rFonts w:ascii="宋体" w:hAnsi="宋体"/>
        </w:rPr>
        <w:t>我公司承诺遵守贵公司由于招标人公司政策变化引起的随时终止项目的要求并承担由此带来的一切损失。</w:t>
      </w:r>
    </w:p>
    <w:p w14:paraId="38FDDBB1">
      <w:pPr>
        <w:pStyle w:val="11"/>
      </w:pPr>
    </w:p>
    <w:p w14:paraId="6302048F">
      <w:pPr>
        <w:spacing w:line="200" w:lineRule="exact"/>
        <w:ind w:firstLine="420" w:firstLineChars="200"/>
        <w:rPr>
          <w:rStyle w:val="47"/>
          <w:rFonts w:ascii="宋体" w:hAnsi="宋体"/>
        </w:rPr>
      </w:pPr>
    </w:p>
    <w:p w14:paraId="01036F59">
      <w:pPr>
        <w:spacing w:line="480" w:lineRule="exact"/>
        <w:rPr>
          <w:rStyle w:val="47"/>
          <w:rFonts w:ascii="宋体" w:hAnsi="宋体"/>
        </w:rPr>
      </w:pPr>
      <w:r>
        <w:rPr>
          <w:rStyle w:val="47"/>
          <w:rFonts w:ascii="宋体" w:hAnsi="宋体"/>
        </w:rPr>
        <w:t>投  标  人（盖单位公章）：</w:t>
      </w:r>
    </w:p>
    <w:p w14:paraId="71DC7F75">
      <w:pPr>
        <w:spacing w:line="480" w:lineRule="exact"/>
        <w:rPr>
          <w:rStyle w:val="47"/>
          <w:rFonts w:ascii="宋体" w:hAnsi="宋体"/>
        </w:rPr>
      </w:pPr>
      <w:r>
        <w:rPr>
          <w:rStyle w:val="47"/>
          <w:rFonts w:ascii="宋体" w:hAnsi="宋体"/>
        </w:rPr>
        <w:t>法人代表或委托代理人（签字或盖章）：</w:t>
      </w:r>
    </w:p>
    <w:p w14:paraId="41E33D34">
      <w:pPr>
        <w:spacing w:line="480" w:lineRule="exact"/>
        <w:rPr>
          <w:rStyle w:val="47"/>
          <w:rFonts w:ascii="宋体" w:hAnsi="宋体"/>
        </w:rPr>
      </w:pPr>
      <w:r>
        <w:rPr>
          <w:rStyle w:val="47"/>
          <w:rFonts w:ascii="宋体" w:hAnsi="宋体"/>
        </w:rPr>
        <w:t>日  期：</w:t>
      </w:r>
      <w:r>
        <w:rPr>
          <w:rStyle w:val="47"/>
          <w:rFonts w:hint="eastAsia" w:ascii="宋体" w:hAnsi="宋体"/>
        </w:rPr>
        <w:t xml:space="preserve"> </w:t>
      </w:r>
      <w:r>
        <w:rPr>
          <w:rStyle w:val="47"/>
          <w:rFonts w:ascii="宋体" w:hAnsi="宋体"/>
        </w:rPr>
        <w:t xml:space="preserve">   年</w:t>
      </w:r>
      <w:r>
        <w:rPr>
          <w:rStyle w:val="47"/>
          <w:rFonts w:hint="eastAsia" w:ascii="宋体" w:hAnsi="宋体"/>
        </w:rPr>
        <w:t xml:space="preserve"> </w:t>
      </w:r>
      <w:r>
        <w:rPr>
          <w:rStyle w:val="47"/>
          <w:rFonts w:ascii="宋体" w:hAnsi="宋体"/>
        </w:rPr>
        <w:t xml:space="preserve">   月</w:t>
      </w:r>
      <w:r>
        <w:rPr>
          <w:rStyle w:val="47"/>
          <w:rFonts w:hint="eastAsia" w:ascii="宋体" w:hAnsi="宋体"/>
        </w:rPr>
        <w:t xml:space="preserve"> </w:t>
      </w:r>
      <w:r>
        <w:rPr>
          <w:rStyle w:val="47"/>
          <w:rFonts w:ascii="宋体" w:hAnsi="宋体"/>
        </w:rPr>
        <w:t xml:space="preserve">   日</w:t>
      </w:r>
    </w:p>
    <w:p w14:paraId="17F44662">
      <w:pPr>
        <w:spacing w:line="200" w:lineRule="exact"/>
        <w:ind w:firstLine="420" w:firstLineChars="200"/>
        <w:rPr>
          <w:rStyle w:val="47"/>
          <w:rFonts w:ascii="宋体" w:hAnsi="宋体"/>
        </w:rPr>
      </w:pPr>
    </w:p>
    <w:p w14:paraId="292EBC3D">
      <w:pPr>
        <w:rPr>
          <w:rStyle w:val="47"/>
          <w:rFonts w:ascii="宋体" w:hAnsi="宋体"/>
        </w:rPr>
      </w:pPr>
    </w:p>
    <w:p w14:paraId="0B59DC49">
      <w:pPr>
        <w:rPr>
          <w:rStyle w:val="47"/>
          <w:rFonts w:ascii="宋体" w:hAnsi="宋体"/>
        </w:rPr>
      </w:pPr>
    </w:p>
    <w:p w14:paraId="49237571">
      <w:pPr>
        <w:spacing w:before="240" w:after="120" w:line="510" w:lineRule="exact"/>
        <w:jc w:val="center"/>
        <w:rPr>
          <w:rStyle w:val="47"/>
          <w:rFonts w:ascii="宋体" w:hAnsi="宋体"/>
          <w:b/>
        </w:rPr>
      </w:pPr>
      <w:r>
        <w:rPr>
          <w:rStyle w:val="47"/>
          <w:rFonts w:ascii="宋体" w:hAnsi="宋体"/>
          <w:b/>
        </w:rPr>
        <w:br w:type="page"/>
      </w:r>
    </w:p>
    <w:p w14:paraId="36BEFC75">
      <w:pPr>
        <w:snapToGrid w:val="0"/>
        <w:spacing w:line="440" w:lineRule="exact"/>
        <w:jc w:val="center"/>
        <w:rPr>
          <w:rStyle w:val="47"/>
          <w:rFonts w:ascii="宋体" w:hAnsi="宋体"/>
          <w:b/>
          <w:szCs w:val="21"/>
        </w:rPr>
      </w:pPr>
      <w:bookmarkStart w:id="183" w:name="_Toc16063996"/>
      <w:r>
        <w:rPr>
          <w:rStyle w:val="47"/>
          <w:rFonts w:ascii="宋体" w:hAnsi="宋体"/>
          <w:b/>
          <w:szCs w:val="21"/>
        </w:rPr>
        <w:t>（二）投标函附录-1</w:t>
      </w:r>
      <w:bookmarkEnd w:id="183"/>
    </w:p>
    <w:p w14:paraId="0B537C60">
      <w:pPr>
        <w:spacing w:line="360" w:lineRule="auto"/>
        <w:ind w:firstLine="278" w:firstLineChars="99"/>
        <w:jc w:val="center"/>
        <w:rPr>
          <w:rStyle w:val="47"/>
          <w:rFonts w:ascii="宋体" w:hAnsi="宋体"/>
          <w:b/>
          <w:bCs/>
          <w:sz w:val="28"/>
          <w:szCs w:val="28"/>
        </w:rPr>
      </w:pPr>
      <w:r>
        <w:rPr>
          <w:rStyle w:val="47"/>
          <w:rFonts w:ascii="宋体" w:hAnsi="宋体"/>
          <w:b/>
          <w:bCs/>
          <w:sz w:val="28"/>
          <w:szCs w:val="28"/>
        </w:rPr>
        <w:t>工程唱标单（格式）</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14"/>
        <w:gridCol w:w="2066"/>
        <w:gridCol w:w="1171"/>
        <w:gridCol w:w="2003"/>
        <w:gridCol w:w="1712"/>
        <w:gridCol w:w="1141"/>
      </w:tblGrid>
      <w:tr w14:paraId="33589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567"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7C764167">
            <w:pPr>
              <w:spacing w:line="240" w:lineRule="auto"/>
              <w:rPr>
                <w:rStyle w:val="47"/>
                <w:rFonts w:ascii="宋体" w:hAnsi="宋体"/>
                <w:bCs/>
                <w:color w:val="auto"/>
                <w:szCs w:val="21"/>
              </w:rPr>
            </w:pPr>
            <w:r>
              <w:rPr>
                <w:rStyle w:val="47"/>
                <w:rFonts w:ascii="宋体" w:hAnsi="宋体"/>
                <w:bCs/>
                <w:color w:val="auto"/>
                <w:szCs w:val="21"/>
              </w:rPr>
              <w:t xml:space="preserve">投标人：                                             </w:t>
            </w:r>
          </w:p>
        </w:tc>
      </w:tr>
      <w:tr w14:paraId="6839B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68CF1630">
            <w:pPr>
              <w:spacing w:line="240" w:lineRule="auto"/>
              <w:rPr>
                <w:rStyle w:val="47"/>
                <w:rFonts w:ascii="宋体" w:hAnsi="宋体"/>
                <w:bCs/>
                <w:color w:val="auto"/>
                <w:szCs w:val="21"/>
              </w:rPr>
            </w:pPr>
            <w:r>
              <w:rPr>
                <w:rStyle w:val="47"/>
                <w:rFonts w:ascii="宋体" w:hAnsi="宋体"/>
                <w:bCs/>
                <w:color w:val="auto"/>
                <w:szCs w:val="21"/>
              </w:rPr>
              <w:t xml:space="preserve">工程名称：                                           </w:t>
            </w:r>
          </w:p>
        </w:tc>
      </w:tr>
      <w:tr w14:paraId="36186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459"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1D4EB169">
            <w:pPr>
              <w:spacing w:line="240" w:lineRule="auto"/>
              <w:rPr>
                <w:rFonts w:ascii="宋体" w:hAnsi="宋体" w:cs="宋体"/>
                <w:b/>
                <w:bCs/>
                <w:color w:val="auto"/>
              </w:rPr>
            </w:pPr>
            <w:r>
              <w:rPr>
                <w:rFonts w:hint="eastAsia" w:ascii="宋体" w:hAnsi="宋体" w:cs="宋体"/>
                <w:b/>
                <w:bCs/>
                <w:color w:val="auto"/>
              </w:rPr>
              <w:t>投标总价：</w:t>
            </w:r>
          </w:p>
          <w:p w14:paraId="5D7DF9C7">
            <w:pPr>
              <w:spacing w:line="240" w:lineRule="auto"/>
              <w:rPr>
                <w:color w:val="auto"/>
              </w:rPr>
            </w:pPr>
            <w:r>
              <w:rPr>
                <w:rFonts w:hint="eastAsia" w:ascii="宋体" w:hAnsi="宋体" w:eastAsia="宋体" w:cs="宋体"/>
                <w:color w:val="auto"/>
              </w:rPr>
              <w:t>含税</w:t>
            </w:r>
            <w:r>
              <w:rPr>
                <w:rFonts w:hint="eastAsia" w:ascii="宋体" w:hAnsi="宋体" w:eastAsia="宋体" w:cs="宋体"/>
                <w:color w:val="auto"/>
                <w:lang w:val="en-US" w:eastAsia="zh-CN"/>
              </w:rPr>
              <w:t>总</w:t>
            </w:r>
            <w:r>
              <w:rPr>
                <w:rFonts w:hint="eastAsia" w:ascii="宋体" w:hAnsi="宋体" w:eastAsia="宋体" w:cs="宋体"/>
                <w:color w:val="auto"/>
              </w:rPr>
              <w:t>报价：大写：人民币</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rPr>
              <w:t>元（小写：¥</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rPr>
              <w:t>元），含9%增值税；</w:t>
            </w:r>
            <w:r>
              <w:rPr>
                <w:rFonts w:hint="eastAsia" w:ascii="宋体" w:hAnsi="宋体" w:eastAsia="宋体" w:cs="宋体"/>
                <w:color w:val="auto"/>
                <w:sz w:val="21"/>
                <w:szCs w:val="24"/>
              </w:rPr>
              <w:t>清单外让利：</w:t>
            </w:r>
            <w:r>
              <w:rPr>
                <w:rFonts w:hint="eastAsia" w:ascii="宋体" w:hAnsi="宋体" w:eastAsia="宋体" w:cs="宋体"/>
                <w:color w:val="auto"/>
                <w:sz w:val="21"/>
                <w:szCs w:val="24"/>
                <w:u w:val="single"/>
              </w:rPr>
              <w:t xml:space="preserve">  </w:t>
            </w:r>
            <w:r>
              <w:rPr>
                <w:rFonts w:hint="eastAsia" w:ascii="宋体" w:hAnsi="宋体" w:eastAsia="宋体" w:cs="宋体"/>
                <w:color w:val="auto"/>
                <w:sz w:val="21"/>
                <w:szCs w:val="24"/>
                <w:u w:val="single"/>
                <w:lang w:val="en-US" w:eastAsia="zh-CN"/>
              </w:rPr>
              <w:t xml:space="preserve"> 5 </w:t>
            </w:r>
            <w:r>
              <w:rPr>
                <w:rFonts w:hint="eastAsia" w:ascii="宋体" w:hAnsi="宋体" w:eastAsia="宋体" w:cs="宋体"/>
                <w:color w:val="auto"/>
                <w:sz w:val="21"/>
                <w:szCs w:val="24"/>
                <w:u w:val="single"/>
              </w:rPr>
              <w:t xml:space="preserve">  </w:t>
            </w:r>
            <w:r>
              <w:rPr>
                <w:rFonts w:hint="eastAsia" w:ascii="宋体" w:hAnsi="宋体" w:eastAsia="宋体" w:cs="宋体"/>
                <w:color w:val="auto"/>
                <w:sz w:val="21"/>
                <w:szCs w:val="24"/>
              </w:rPr>
              <w:t>%；计日工单价（全费用）：</w:t>
            </w:r>
            <w:r>
              <w:rPr>
                <w:rFonts w:hint="eastAsia" w:ascii="宋体" w:hAnsi="宋体" w:eastAsia="宋体" w:cs="宋体"/>
                <w:color w:val="auto"/>
                <w:sz w:val="21"/>
                <w:szCs w:val="24"/>
                <w:u w:val="single"/>
              </w:rPr>
              <w:t xml:space="preserve">  </w:t>
            </w:r>
            <w:r>
              <w:rPr>
                <w:rFonts w:hint="eastAsia" w:ascii="宋体" w:hAnsi="宋体" w:eastAsia="宋体" w:cs="宋体"/>
                <w:color w:val="auto"/>
                <w:sz w:val="21"/>
                <w:szCs w:val="24"/>
                <w:u w:val="single"/>
                <w:lang w:val="en-US" w:eastAsia="zh-CN"/>
              </w:rPr>
              <w:t xml:space="preserve"> 220</w:t>
            </w:r>
            <w:r>
              <w:rPr>
                <w:rFonts w:hint="eastAsia" w:ascii="宋体" w:hAnsi="宋体" w:eastAsia="宋体" w:cs="宋体"/>
                <w:color w:val="auto"/>
                <w:sz w:val="21"/>
                <w:szCs w:val="24"/>
                <w:u w:val="single"/>
              </w:rPr>
              <w:t xml:space="preserve">  </w:t>
            </w:r>
            <w:r>
              <w:rPr>
                <w:rFonts w:hint="eastAsia" w:ascii="宋体" w:hAnsi="宋体" w:eastAsia="宋体" w:cs="宋体"/>
                <w:color w:val="auto"/>
                <w:sz w:val="21"/>
                <w:szCs w:val="24"/>
              </w:rPr>
              <w:t>元/工日。</w:t>
            </w:r>
            <w:r>
              <w:rPr>
                <w:rFonts w:hint="eastAsia" w:ascii="宋体" w:hAnsi="宋体" w:eastAsia="宋体" w:cs="宋体"/>
                <w:color w:val="auto"/>
              </w:rPr>
              <w:t xml:space="preserve"> </w:t>
            </w:r>
          </w:p>
        </w:tc>
      </w:tr>
      <w:tr w14:paraId="11AA4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434" w:hRule="atLeast"/>
          <w:jc w:val="center"/>
        </w:trPr>
        <w:tc>
          <w:tcPr>
            <w:tcW w:w="652" w:type="pct"/>
            <w:tcBorders>
              <w:top w:val="single" w:color="000000" w:sz="4" w:space="0"/>
              <w:left w:val="single" w:color="000000" w:sz="4" w:space="0"/>
              <w:bottom w:val="single" w:color="000000" w:sz="4" w:space="0"/>
              <w:right w:val="single" w:color="000000" w:sz="4" w:space="0"/>
            </w:tcBorders>
            <w:vAlign w:val="center"/>
          </w:tcPr>
          <w:p w14:paraId="7AD8A930">
            <w:pPr>
              <w:spacing w:line="240" w:lineRule="auto"/>
              <w:jc w:val="both"/>
              <w:rPr>
                <w:rStyle w:val="47"/>
                <w:rFonts w:ascii="宋体" w:hAnsi="宋体"/>
                <w:bCs/>
                <w:color w:val="auto"/>
                <w:szCs w:val="21"/>
              </w:rPr>
            </w:pPr>
            <w:r>
              <w:rPr>
                <w:rStyle w:val="47"/>
                <w:rFonts w:ascii="宋体" w:hAnsi="宋体"/>
                <w:bCs/>
                <w:color w:val="auto"/>
                <w:szCs w:val="21"/>
              </w:rPr>
              <w:t>投标工期</w:t>
            </w:r>
          </w:p>
        </w:tc>
        <w:tc>
          <w:tcPr>
            <w:tcW w:w="4348" w:type="pct"/>
            <w:gridSpan w:val="5"/>
            <w:tcBorders>
              <w:top w:val="single" w:color="000000" w:sz="4" w:space="0"/>
              <w:left w:val="single" w:color="000000" w:sz="4" w:space="0"/>
              <w:bottom w:val="single" w:color="000000" w:sz="4" w:space="0"/>
              <w:right w:val="single" w:color="000000" w:sz="4" w:space="0"/>
            </w:tcBorders>
            <w:vAlign w:val="center"/>
          </w:tcPr>
          <w:p w14:paraId="09579E22">
            <w:pPr>
              <w:numPr>
                <w:ilvl w:val="0"/>
                <w:numId w:val="0"/>
              </w:numPr>
              <w:spacing w:line="240" w:lineRule="auto"/>
              <w:ind w:firstLine="210" w:firstLineChars="100"/>
              <w:jc w:val="both"/>
              <w:rPr>
                <w:rStyle w:val="47"/>
                <w:rFonts w:ascii="宋体" w:hAnsi="宋体"/>
                <w:color w:val="auto"/>
                <w:szCs w:val="21"/>
              </w:rPr>
            </w:pPr>
            <w:r>
              <w:rPr>
                <w:rStyle w:val="47"/>
                <w:rFonts w:ascii="宋体" w:hAnsi="宋体"/>
                <w:color w:val="auto"/>
                <w:szCs w:val="21"/>
              </w:rPr>
              <w:t>计划总工期</w:t>
            </w:r>
            <w:r>
              <w:rPr>
                <w:rStyle w:val="47"/>
                <w:rFonts w:ascii="宋体" w:hAnsi="宋体"/>
                <w:color w:val="auto"/>
                <w:szCs w:val="21"/>
                <w:u w:val="none"/>
              </w:rPr>
              <w:t>：</w:t>
            </w:r>
            <w:r>
              <w:rPr>
                <w:rStyle w:val="47"/>
                <w:rFonts w:ascii="宋体" w:hAnsi="宋体"/>
                <w:color w:val="auto"/>
                <w:szCs w:val="21"/>
                <w:u w:val="single"/>
              </w:rPr>
              <w:t xml:space="preserve">  </w:t>
            </w:r>
            <w:r>
              <w:rPr>
                <w:rStyle w:val="47"/>
                <w:rFonts w:hint="eastAsia" w:ascii="宋体" w:hAnsi="宋体"/>
                <w:color w:val="auto"/>
                <w:szCs w:val="21"/>
                <w:u w:val="single"/>
                <w:lang w:val="en-US" w:eastAsia="zh-CN"/>
              </w:rPr>
              <w:t xml:space="preserve">   </w:t>
            </w:r>
            <w:r>
              <w:rPr>
                <w:rStyle w:val="47"/>
                <w:rFonts w:ascii="宋体" w:hAnsi="宋体"/>
                <w:color w:val="auto"/>
                <w:szCs w:val="21"/>
                <w:u w:val="single"/>
              </w:rPr>
              <w:t xml:space="preserve"> </w:t>
            </w:r>
            <w:r>
              <w:rPr>
                <w:rStyle w:val="47"/>
                <w:rFonts w:ascii="宋体" w:hAnsi="宋体"/>
                <w:color w:val="auto"/>
                <w:szCs w:val="21"/>
              </w:rPr>
              <w:t>日历天</w:t>
            </w:r>
            <w:r>
              <w:rPr>
                <w:rStyle w:val="47"/>
                <w:rFonts w:hint="eastAsia" w:ascii="宋体" w:hAnsi="宋体"/>
                <w:color w:val="auto"/>
                <w:szCs w:val="21"/>
              </w:rPr>
              <w:t>（以收到招标人中标通知之日起计算）</w:t>
            </w:r>
            <w:r>
              <w:rPr>
                <w:rStyle w:val="47"/>
                <w:rFonts w:ascii="宋体" w:hAnsi="宋体"/>
                <w:color w:val="auto"/>
                <w:szCs w:val="21"/>
              </w:rPr>
              <w:t>；</w:t>
            </w:r>
          </w:p>
          <w:p w14:paraId="4021C8E3">
            <w:pPr>
              <w:spacing w:line="240" w:lineRule="auto"/>
              <w:ind w:leftChars="100"/>
              <w:jc w:val="both"/>
              <w:rPr>
                <w:rStyle w:val="47"/>
                <w:rFonts w:ascii="宋体" w:hAnsi="宋体"/>
                <w:color w:val="auto"/>
                <w:szCs w:val="21"/>
              </w:rPr>
            </w:pPr>
            <w:r>
              <w:rPr>
                <w:rStyle w:val="47"/>
                <w:rFonts w:ascii="宋体" w:hAnsi="宋体"/>
                <w:color w:val="auto"/>
                <w:szCs w:val="21"/>
              </w:rPr>
              <w:t>计划开工日期：20</w:t>
            </w:r>
            <w:r>
              <w:rPr>
                <w:rStyle w:val="47"/>
                <w:rFonts w:hint="eastAsia" w:ascii="宋体" w:hAnsi="宋体"/>
                <w:color w:val="auto"/>
                <w:szCs w:val="21"/>
              </w:rPr>
              <w:t>2</w:t>
            </w:r>
            <w:r>
              <w:rPr>
                <w:rStyle w:val="47"/>
                <w:rFonts w:ascii="宋体" w:hAnsi="宋体"/>
                <w:color w:val="auto"/>
                <w:szCs w:val="21"/>
              </w:rPr>
              <w:t>5年</w:t>
            </w:r>
            <w:r>
              <w:rPr>
                <w:rStyle w:val="47"/>
                <w:rFonts w:hint="eastAsia" w:ascii="宋体" w:hAnsi="宋体"/>
                <w:color w:val="auto"/>
                <w:szCs w:val="21"/>
              </w:rPr>
              <w:t xml:space="preserve"> </w:t>
            </w:r>
            <w:r>
              <w:rPr>
                <w:rStyle w:val="47"/>
                <w:rFonts w:hint="eastAsia" w:ascii="宋体" w:hAnsi="宋体"/>
                <w:color w:val="auto"/>
                <w:szCs w:val="21"/>
                <w:lang w:val="en-US" w:eastAsia="zh-CN"/>
              </w:rPr>
              <w:t xml:space="preserve">   </w:t>
            </w:r>
            <w:r>
              <w:rPr>
                <w:rStyle w:val="47"/>
                <w:rFonts w:ascii="宋体" w:hAnsi="宋体"/>
                <w:color w:val="auto"/>
                <w:szCs w:val="21"/>
              </w:rPr>
              <w:t>月</w:t>
            </w:r>
            <w:r>
              <w:rPr>
                <w:rStyle w:val="47"/>
                <w:rFonts w:hint="eastAsia" w:ascii="宋体" w:hAnsi="宋体"/>
                <w:color w:val="auto"/>
                <w:szCs w:val="21"/>
                <w:lang w:val="en-US" w:eastAsia="zh-CN"/>
              </w:rPr>
              <w:t xml:space="preserve">   </w:t>
            </w:r>
            <w:r>
              <w:rPr>
                <w:rStyle w:val="47"/>
                <w:rFonts w:hint="eastAsia" w:ascii="宋体" w:hAnsi="宋体"/>
                <w:color w:val="auto"/>
                <w:szCs w:val="21"/>
              </w:rPr>
              <w:t xml:space="preserve"> </w:t>
            </w:r>
            <w:r>
              <w:rPr>
                <w:rStyle w:val="47"/>
                <w:rFonts w:ascii="宋体" w:hAnsi="宋体"/>
                <w:color w:val="auto"/>
                <w:szCs w:val="21"/>
              </w:rPr>
              <w:t>日；</w:t>
            </w:r>
          </w:p>
          <w:p w14:paraId="50821790">
            <w:pPr>
              <w:spacing w:line="240" w:lineRule="auto"/>
              <w:ind w:leftChars="100"/>
              <w:jc w:val="both"/>
              <w:rPr>
                <w:rStyle w:val="47"/>
                <w:rFonts w:ascii="宋体" w:hAnsi="宋体"/>
                <w:color w:val="auto"/>
                <w:szCs w:val="21"/>
              </w:rPr>
            </w:pPr>
            <w:r>
              <w:rPr>
                <w:rStyle w:val="47"/>
                <w:rFonts w:ascii="宋体" w:hAnsi="宋体"/>
                <w:color w:val="auto"/>
                <w:szCs w:val="21"/>
              </w:rPr>
              <w:t>计划竣工日期：20</w:t>
            </w:r>
            <w:r>
              <w:rPr>
                <w:rStyle w:val="47"/>
                <w:rFonts w:hint="eastAsia" w:ascii="宋体" w:hAnsi="宋体"/>
                <w:color w:val="auto"/>
                <w:szCs w:val="21"/>
              </w:rPr>
              <w:t>2</w:t>
            </w:r>
            <w:r>
              <w:rPr>
                <w:rStyle w:val="47"/>
                <w:rFonts w:ascii="宋体" w:hAnsi="宋体"/>
                <w:color w:val="auto"/>
                <w:szCs w:val="21"/>
              </w:rPr>
              <w:t>5年</w:t>
            </w:r>
            <w:r>
              <w:rPr>
                <w:rStyle w:val="47"/>
                <w:rFonts w:hint="eastAsia" w:ascii="宋体" w:hAnsi="宋体"/>
                <w:color w:val="auto"/>
                <w:szCs w:val="21"/>
              </w:rPr>
              <w:t xml:space="preserve"> </w:t>
            </w:r>
            <w:r>
              <w:rPr>
                <w:rStyle w:val="47"/>
                <w:rFonts w:hint="eastAsia" w:ascii="宋体" w:hAnsi="宋体"/>
                <w:color w:val="auto"/>
                <w:szCs w:val="21"/>
                <w:lang w:val="en-US" w:eastAsia="zh-CN"/>
              </w:rPr>
              <w:t xml:space="preserve">   </w:t>
            </w:r>
            <w:r>
              <w:rPr>
                <w:rStyle w:val="47"/>
                <w:rFonts w:ascii="宋体" w:hAnsi="宋体"/>
                <w:color w:val="auto"/>
                <w:szCs w:val="21"/>
              </w:rPr>
              <w:t>月</w:t>
            </w:r>
            <w:r>
              <w:rPr>
                <w:rStyle w:val="47"/>
                <w:rFonts w:hint="eastAsia" w:ascii="宋体" w:hAnsi="宋体"/>
                <w:color w:val="auto"/>
                <w:szCs w:val="21"/>
              </w:rPr>
              <w:t xml:space="preserve"> </w:t>
            </w:r>
            <w:r>
              <w:rPr>
                <w:rStyle w:val="47"/>
                <w:rFonts w:hint="eastAsia" w:ascii="宋体" w:hAnsi="宋体"/>
                <w:color w:val="auto"/>
                <w:szCs w:val="21"/>
                <w:lang w:val="en-US" w:eastAsia="zh-CN"/>
              </w:rPr>
              <w:t xml:space="preserve">   </w:t>
            </w:r>
            <w:r>
              <w:rPr>
                <w:rStyle w:val="47"/>
                <w:rFonts w:ascii="宋体" w:hAnsi="宋体"/>
                <w:color w:val="auto"/>
                <w:szCs w:val="21"/>
              </w:rPr>
              <w:t>日。</w:t>
            </w:r>
          </w:p>
        </w:tc>
      </w:tr>
      <w:tr w14:paraId="2D454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49" w:hRule="atLeast"/>
          <w:jc w:val="center"/>
        </w:trPr>
        <w:tc>
          <w:tcPr>
            <w:tcW w:w="652" w:type="pct"/>
            <w:tcBorders>
              <w:top w:val="single" w:color="000000" w:sz="4" w:space="0"/>
              <w:left w:val="single" w:color="000000" w:sz="4" w:space="0"/>
              <w:bottom w:val="single" w:color="000000" w:sz="4" w:space="0"/>
              <w:right w:val="single" w:color="000000" w:sz="4" w:space="0"/>
            </w:tcBorders>
            <w:vAlign w:val="center"/>
          </w:tcPr>
          <w:p w14:paraId="07C7C312">
            <w:pPr>
              <w:spacing w:line="240" w:lineRule="auto"/>
              <w:jc w:val="center"/>
              <w:rPr>
                <w:rStyle w:val="47"/>
                <w:rFonts w:ascii="宋体" w:hAnsi="宋体"/>
                <w:bCs/>
                <w:color w:val="auto"/>
                <w:szCs w:val="21"/>
              </w:rPr>
            </w:pPr>
            <w:r>
              <w:rPr>
                <w:rStyle w:val="47"/>
                <w:rFonts w:ascii="宋体" w:hAnsi="宋体"/>
                <w:bCs/>
                <w:color w:val="auto"/>
                <w:szCs w:val="21"/>
              </w:rPr>
              <w:t>项目经理</w:t>
            </w:r>
          </w:p>
        </w:tc>
        <w:tc>
          <w:tcPr>
            <w:tcW w:w="1110" w:type="pct"/>
            <w:tcBorders>
              <w:top w:val="single" w:color="000000" w:sz="4" w:space="0"/>
              <w:left w:val="single" w:color="000000" w:sz="4" w:space="0"/>
              <w:bottom w:val="single" w:color="000000" w:sz="4" w:space="0"/>
              <w:right w:val="single" w:color="000000" w:sz="4" w:space="0"/>
            </w:tcBorders>
            <w:vAlign w:val="center"/>
          </w:tcPr>
          <w:p w14:paraId="665E6E2E">
            <w:pPr>
              <w:spacing w:line="240" w:lineRule="auto"/>
              <w:jc w:val="center"/>
              <w:rPr>
                <w:rStyle w:val="47"/>
                <w:rFonts w:ascii="宋体" w:hAnsi="宋体"/>
                <w:bCs/>
                <w:color w:val="auto"/>
                <w:szCs w:val="21"/>
              </w:rPr>
            </w:pPr>
          </w:p>
        </w:tc>
        <w:tc>
          <w:tcPr>
            <w:tcW w:w="629" w:type="pct"/>
            <w:tcBorders>
              <w:top w:val="single" w:color="000000" w:sz="4" w:space="0"/>
              <w:left w:val="single" w:color="000000" w:sz="4" w:space="0"/>
              <w:bottom w:val="single" w:color="000000" w:sz="4" w:space="0"/>
              <w:right w:val="single" w:color="000000" w:sz="4" w:space="0"/>
            </w:tcBorders>
            <w:vAlign w:val="center"/>
          </w:tcPr>
          <w:p w14:paraId="62B2D6E0">
            <w:pPr>
              <w:spacing w:line="240" w:lineRule="auto"/>
              <w:jc w:val="center"/>
              <w:rPr>
                <w:rStyle w:val="47"/>
                <w:rFonts w:ascii="宋体" w:hAnsi="宋体"/>
                <w:bCs/>
                <w:color w:val="auto"/>
                <w:szCs w:val="21"/>
              </w:rPr>
            </w:pPr>
            <w:r>
              <w:rPr>
                <w:rStyle w:val="47"/>
                <w:rFonts w:ascii="宋体" w:hAnsi="宋体"/>
                <w:bCs/>
                <w:color w:val="auto"/>
                <w:szCs w:val="21"/>
              </w:rPr>
              <w:t>级别</w:t>
            </w:r>
          </w:p>
        </w:tc>
        <w:tc>
          <w:tcPr>
            <w:tcW w:w="1076" w:type="pct"/>
            <w:tcBorders>
              <w:top w:val="single" w:color="000000" w:sz="4" w:space="0"/>
              <w:left w:val="single" w:color="000000" w:sz="4" w:space="0"/>
              <w:bottom w:val="single" w:color="000000" w:sz="4" w:space="0"/>
              <w:right w:val="single" w:color="000000" w:sz="4" w:space="0"/>
            </w:tcBorders>
            <w:vAlign w:val="center"/>
          </w:tcPr>
          <w:p w14:paraId="1D5C3557">
            <w:pPr>
              <w:spacing w:line="240" w:lineRule="auto"/>
              <w:jc w:val="center"/>
              <w:rPr>
                <w:rStyle w:val="47"/>
                <w:rFonts w:ascii="宋体" w:hAnsi="宋体"/>
                <w:bCs/>
                <w:color w:val="auto"/>
                <w:szCs w:val="21"/>
              </w:rPr>
            </w:pPr>
          </w:p>
        </w:tc>
        <w:tc>
          <w:tcPr>
            <w:tcW w:w="920" w:type="pct"/>
            <w:tcBorders>
              <w:top w:val="single" w:color="000000" w:sz="4" w:space="0"/>
              <w:left w:val="single" w:color="000000" w:sz="4" w:space="0"/>
              <w:bottom w:val="single" w:color="000000" w:sz="4" w:space="0"/>
              <w:right w:val="single" w:color="000000" w:sz="4" w:space="0"/>
            </w:tcBorders>
            <w:vAlign w:val="center"/>
          </w:tcPr>
          <w:p w14:paraId="13D3CA3E">
            <w:pPr>
              <w:spacing w:line="240" w:lineRule="auto"/>
              <w:jc w:val="center"/>
              <w:rPr>
                <w:rStyle w:val="47"/>
                <w:rFonts w:ascii="宋体" w:hAnsi="宋体"/>
                <w:bCs/>
                <w:color w:val="auto"/>
                <w:szCs w:val="21"/>
              </w:rPr>
            </w:pPr>
            <w:r>
              <w:rPr>
                <w:rStyle w:val="47"/>
                <w:rFonts w:ascii="宋体" w:hAnsi="宋体"/>
                <w:bCs/>
                <w:color w:val="auto"/>
                <w:szCs w:val="21"/>
              </w:rPr>
              <w:t>编号</w:t>
            </w:r>
          </w:p>
        </w:tc>
        <w:tc>
          <w:tcPr>
            <w:tcW w:w="612" w:type="pct"/>
            <w:tcBorders>
              <w:top w:val="single" w:color="000000" w:sz="4" w:space="0"/>
              <w:left w:val="single" w:color="000000" w:sz="4" w:space="0"/>
              <w:bottom w:val="single" w:color="000000" w:sz="4" w:space="0"/>
              <w:right w:val="single" w:color="000000" w:sz="4" w:space="0"/>
            </w:tcBorders>
            <w:vAlign w:val="center"/>
          </w:tcPr>
          <w:p w14:paraId="341A76A8">
            <w:pPr>
              <w:spacing w:line="240" w:lineRule="auto"/>
              <w:jc w:val="center"/>
              <w:rPr>
                <w:rStyle w:val="47"/>
                <w:rFonts w:ascii="宋体" w:hAnsi="宋体"/>
                <w:bCs/>
                <w:color w:val="auto"/>
                <w:szCs w:val="21"/>
              </w:rPr>
            </w:pPr>
          </w:p>
        </w:tc>
      </w:tr>
      <w:tr w14:paraId="2D421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458"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543E4FBF">
            <w:pPr>
              <w:spacing w:line="240" w:lineRule="auto"/>
              <w:rPr>
                <w:color w:val="auto"/>
              </w:rPr>
            </w:pPr>
            <w:r>
              <w:rPr>
                <w:color w:val="auto"/>
              </w:rPr>
              <w:t>承诺拟派项目班子成员始终在工地现场管理，不擅自更换、不兼职其他工程项目，如确有原因须更换，应事先征得业主同意。</w:t>
            </w:r>
          </w:p>
          <w:p w14:paraId="5BAAC54F">
            <w:pPr>
              <w:pStyle w:val="25"/>
              <w:spacing w:after="0" w:line="240" w:lineRule="auto"/>
              <w:ind w:left="0" w:leftChars="0" w:firstLine="0" w:firstLineChars="0"/>
              <w:rPr>
                <w:rFonts w:hint="default" w:eastAsia="宋体"/>
                <w:color w:val="auto"/>
                <w:lang w:val="en-US" w:eastAsia="zh-CN"/>
              </w:rPr>
            </w:pPr>
            <w:r>
              <w:rPr>
                <w:rStyle w:val="47"/>
                <w:rFonts w:hint="eastAsia" w:ascii="宋体" w:hAnsi="宋体"/>
                <w:b/>
                <w:color w:val="auto"/>
                <w:szCs w:val="21"/>
              </w:rPr>
              <w:t>我方报价及清单外让利已充分考虑了招标清单外增加施工内容的风险，我方认可并严格执行招标文件约定的清单外结算原则。</w:t>
            </w:r>
          </w:p>
        </w:tc>
      </w:tr>
      <w:tr w14:paraId="2CF8F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19A11CBE">
            <w:pPr>
              <w:spacing w:line="240" w:lineRule="auto"/>
              <w:rPr>
                <w:rStyle w:val="47"/>
                <w:rFonts w:ascii="宋体" w:hAnsi="宋体"/>
                <w:bCs/>
                <w:color w:val="auto"/>
                <w:szCs w:val="21"/>
              </w:rPr>
            </w:pPr>
            <w:r>
              <w:rPr>
                <w:rStyle w:val="47"/>
                <w:rFonts w:ascii="宋体" w:hAnsi="宋体"/>
                <w:bCs/>
                <w:color w:val="auto"/>
                <w:szCs w:val="21"/>
              </w:rPr>
              <w:t>质量</w:t>
            </w:r>
            <w:r>
              <w:rPr>
                <w:rStyle w:val="47"/>
                <w:rFonts w:hint="eastAsia" w:ascii="宋体" w:hAnsi="宋体"/>
                <w:bCs/>
                <w:color w:val="auto"/>
                <w:szCs w:val="21"/>
              </w:rPr>
              <w:t>标准</w:t>
            </w:r>
            <w:r>
              <w:rPr>
                <w:rStyle w:val="47"/>
                <w:rFonts w:ascii="宋体" w:hAnsi="宋体"/>
                <w:bCs/>
                <w:color w:val="auto"/>
                <w:szCs w:val="21"/>
              </w:rPr>
              <w:t>：</w:t>
            </w:r>
          </w:p>
        </w:tc>
      </w:tr>
      <w:tr w14:paraId="08354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74162F70">
            <w:pPr>
              <w:spacing w:line="240" w:lineRule="auto"/>
              <w:rPr>
                <w:rStyle w:val="47"/>
                <w:rFonts w:ascii="宋体" w:hAnsi="宋体"/>
                <w:bCs/>
                <w:color w:val="auto"/>
                <w:szCs w:val="21"/>
              </w:rPr>
            </w:pPr>
            <w:r>
              <w:rPr>
                <w:rStyle w:val="47"/>
                <w:rFonts w:ascii="宋体" w:hAnsi="宋体"/>
                <w:bCs/>
                <w:color w:val="auto"/>
                <w:szCs w:val="21"/>
              </w:rPr>
              <w:t>本投标人完全认同招标文件的各项条款要求。</w:t>
            </w:r>
          </w:p>
        </w:tc>
      </w:tr>
      <w:tr w14:paraId="46141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5B9133DA">
            <w:pPr>
              <w:spacing w:line="240" w:lineRule="auto"/>
              <w:rPr>
                <w:rStyle w:val="47"/>
                <w:rFonts w:ascii="宋体" w:hAnsi="宋体"/>
                <w:bCs/>
                <w:color w:val="auto"/>
                <w:szCs w:val="21"/>
              </w:rPr>
            </w:pPr>
            <w:r>
              <w:rPr>
                <w:rStyle w:val="47"/>
                <w:rFonts w:ascii="宋体" w:hAnsi="宋体"/>
                <w:bCs/>
                <w:color w:val="auto"/>
                <w:szCs w:val="21"/>
              </w:rPr>
              <w:t>投标人现场确认（签字）：</w:t>
            </w:r>
          </w:p>
        </w:tc>
      </w:tr>
    </w:tbl>
    <w:p w14:paraId="71ACD15A">
      <w:pPr>
        <w:spacing w:line="400" w:lineRule="exact"/>
        <w:ind w:firstLine="209" w:firstLineChars="99"/>
        <w:rPr>
          <w:rStyle w:val="47"/>
          <w:rFonts w:ascii="宋体" w:hAnsi="宋体"/>
          <w:b/>
          <w:bCs/>
          <w:szCs w:val="21"/>
        </w:rPr>
      </w:pPr>
      <w:r>
        <w:rPr>
          <w:rStyle w:val="47"/>
          <w:rFonts w:ascii="宋体" w:hAnsi="宋体"/>
          <w:b/>
          <w:bCs/>
          <w:szCs w:val="21"/>
        </w:rPr>
        <w:t>投标人（盖单位公章）</w:t>
      </w:r>
    </w:p>
    <w:p w14:paraId="7A217339">
      <w:pPr>
        <w:spacing w:line="400" w:lineRule="exact"/>
        <w:ind w:firstLine="209" w:firstLineChars="99"/>
        <w:rPr>
          <w:rStyle w:val="47"/>
          <w:rFonts w:ascii="宋体" w:hAnsi="宋体"/>
          <w:b/>
          <w:bCs/>
          <w:szCs w:val="21"/>
        </w:rPr>
      </w:pPr>
      <w:r>
        <w:rPr>
          <w:rStyle w:val="47"/>
          <w:rFonts w:ascii="宋体" w:hAnsi="宋体"/>
          <w:b/>
          <w:bCs/>
          <w:szCs w:val="21"/>
        </w:rPr>
        <w:t>法定代表人：（盖章）</w:t>
      </w:r>
      <w:r>
        <w:rPr>
          <w:rStyle w:val="47"/>
          <w:rFonts w:hint="eastAsia" w:ascii="宋体" w:hAnsi="宋体"/>
          <w:b/>
          <w:bCs/>
          <w:szCs w:val="21"/>
        </w:rPr>
        <w:t xml:space="preserve"> </w:t>
      </w:r>
      <w:r>
        <w:rPr>
          <w:rStyle w:val="47"/>
          <w:rFonts w:ascii="宋体" w:hAnsi="宋体"/>
          <w:b/>
          <w:bCs/>
          <w:szCs w:val="21"/>
        </w:rPr>
        <w:t xml:space="preserve">                 </w:t>
      </w:r>
      <w:r>
        <w:rPr>
          <w:rStyle w:val="47"/>
          <w:rFonts w:hint="eastAsia" w:ascii="宋体" w:hAnsi="宋体"/>
          <w:b/>
          <w:bCs/>
          <w:szCs w:val="21"/>
        </w:rPr>
        <w:t>日期：</w:t>
      </w:r>
      <w:r>
        <w:rPr>
          <w:rStyle w:val="47"/>
          <w:rFonts w:ascii="宋体" w:hAnsi="宋体"/>
          <w:b/>
          <w:bCs/>
          <w:szCs w:val="21"/>
        </w:rPr>
        <w:t xml:space="preserve">      年      月    日</w:t>
      </w:r>
    </w:p>
    <w:p w14:paraId="10807F9C">
      <w:pPr>
        <w:spacing w:line="240" w:lineRule="auto"/>
        <w:ind w:firstLine="199" w:firstLineChars="99"/>
        <w:rPr>
          <w:rStyle w:val="47"/>
          <w:rFonts w:ascii="宋体" w:hAnsi="宋体"/>
          <w:b/>
          <w:bCs/>
          <w:sz w:val="20"/>
          <w:szCs w:val="20"/>
        </w:rPr>
      </w:pPr>
      <w:r>
        <w:rPr>
          <w:rStyle w:val="47"/>
          <w:rFonts w:ascii="宋体" w:hAnsi="宋体"/>
          <w:b/>
          <w:bCs/>
          <w:sz w:val="20"/>
          <w:szCs w:val="20"/>
        </w:rPr>
        <w:t>注：1、本唱标单除装订在投标文件中外还应一式两份单独密封递交，各项内容务必填写详细，可以填满，但不允许添加附页。</w:t>
      </w:r>
    </w:p>
    <w:p w14:paraId="6F1C6279">
      <w:pPr>
        <w:spacing w:line="240" w:lineRule="auto"/>
        <w:ind w:firstLine="199" w:firstLineChars="99"/>
        <w:rPr>
          <w:rStyle w:val="47"/>
          <w:rFonts w:ascii="宋体" w:hAnsi="宋体"/>
          <w:b/>
          <w:bCs/>
          <w:sz w:val="20"/>
          <w:szCs w:val="20"/>
        </w:rPr>
      </w:pPr>
      <w:r>
        <w:rPr>
          <w:rStyle w:val="47"/>
          <w:rFonts w:ascii="宋体" w:hAnsi="宋体"/>
          <w:b/>
          <w:bCs/>
          <w:sz w:val="20"/>
          <w:szCs w:val="20"/>
        </w:rPr>
        <w:t>2、招标文件要求竞报费率的，不填按0计。</w:t>
      </w:r>
    </w:p>
    <w:p w14:paraId="4A07896D">
      <w:pPr>
        <w:spacing w:line="240" w:lineRule="auto"/>
        <w:ind w:firstLine="199" w:firstLineChars="99"/>
        <w:rPr>
          <w:rStyle w:val="47"/>
          <w:rFonts w:ascii="宋体" w:hAnsi="宋体"/>
          <w:b/>
          <w:bCs/>
          <w:sz w:val="20"/>
          <w:szCs w:val="20"/>
        </w:rPr>
      </w:pPr>
      <w:r>
        <w:rPr>
          <w:rStyle w:val="47"/>
          <w:rFonts w:ascii="宋体" w:hAnsi="宋体"/>
          <w:b/>
          <w:bCs/>
          <w:sz w:val="20"/>
          <w:szCs w:val="20"/>
        </w:rPr>
        <w:t>3、在评标过程中，评定内容的具体数据以单独密封并递交的本表内容为准。</w:t>
      </w:r>
    </w:p>
    <w:p w14:paraId="15703AAA">
      <w:pPr>
        <w:spacing w:line="400" w:lineRule="exact"/>
        <w:ind w:firstLine="199" w:firstLineChars="99"/>
        <w:rPr>
          <w:rStyle w:val="47"/>
          <w:rFonts w:ascii="宋体" w:hAnsi="宋体"/>
          <w:b/>
          <w:bCs/>
          <w:sz w:val="20"/>
          <w:szCs w:val="20"/>
        </w:rPr>
      </w:pPr>
    </w:p>
    <w:p w14:paraId="6B817DB4">
      <w:pPr>
        <w:spacing w:line="400" w:lineRule="exact"/>
        <w:ind w:firstLine="207" w:firstLineChars="99"/>
        <w:rPr>
          <w:rStyle w:val="47"/>
          <w:rFonts w:ascii="宋体" w:hAnsi="宋体"/>
          <w:szCs w:val="21"/>
        </w:rPr>
      </w:pPr>
      <w:r>
        <w:rPr>
          <w:rStyle w:val="47"/>
          <w:rFonts w:ascii="宋体" w:hAnsi="宋体"/>
          <w:szCs w:val="21"/>
        </w:rPr>
        <w:br w:type="page"/>
      </w:r>
    </w:p>
    <w:p w14:paraId="7FB5FD90">
      <w:pPr>
        <w:snapToGrid w:val="0"/>
        <w:spacing w:line="440" w:lineRule="exact"/>
        <w:ind w:firstLine="527" w:firstLineChars="250"/>
        <w:jc w:val="center"/>
        <w:rPr>
          <w:rStyle w:val="47"/>
          <w:rFonts w:ascii="宋体" w:hAnsi="宋体"/>
          <w:b/>
          <w:szCs w:val="21"/>
        </w:rPr>
      </w:pPr>
      <w:bookmarkStart w:id="184" w:name="_Toc16063998"/>
      <w:r>
        <w:rPr>
          <w:rStyle w:val="47"/>
          <w:rFonts w:ascii="宋体" w:hAnsi="宋体"/>
          <w:b/>
          <w:szCs w:val="21"/>
        </w:rPr>
        <w:t>（</w:t>
      </w:r>
      <w:r>
        <w:rPr>
          <w:rStyle w:val="47"/>
          <w:rFonts w:hint="eastAsia" w:ascii="宋体" w:hAnsi="宋体"/>
          <w:b/>
          <w:szCs w:val="21"/>
        </w:rPr>
        <w:t>二</w:t>
      </w:r>
      <w:r>
        <w:rPr>
          <w:rStyle w:val="47"/>
          <w:rFonts w:ascii="宋体" w:hAnsi="宋体"/>
          <w:b/>
          <w:szCs w:val="21"/>
        </w:rPr>
        <w:t>）投标函附录-</w:t>
      </w:r>
      <w:bookmarkEnd w:id="184"/>
      <w:r>
        <w:rPr>
          <w:rStyle w:val="47"/>
          <w:rFonts w:ascii="宋体" w:hAnsi="宋体"/>
          <w:b/>
          <w:szCs w:val="21"/>
        </w:rPr>
        <w:t>2</w:t>
      </w:r>
    </w:p>
    <w:p w14:paraId="07728DBA">
      <w:pPr>
        <w:snapToGrid w:val="0"/>
        <w:spacing w:line="440" w:lineRule="exact"/>
        <w:ind w:firstLine="527" w:firstLineChars="250"/>
        <w:jc w:val="center"/>
        <w:rPr>
          <w:rStyle w:val="47"/>
          <w:rFonts w:ascii="宋体" w:hAnsi="宋体"/>
          <w:b/>
          <w:szCs w:val="21"/>
        </w:rPr>
      </w:pPr>
    </w:p>
    <w:p w14:paraId="493A80A5">
      <w:pPr>
        <w:jc w:val="center"/>
        <w:rPr>
          <w:rStyle w:val="47"/>
          <w:rFonts w:ascii="宋体" w:hAnsi="宋体"/>
          <w:b/>
          <w:bCs/>
          <w:sz w:val="28"/>
          <w:szCs w:val="28"/>
        </w:rPr>
      </w:pPr>
      <w:r>
        <w:rPr>
          <w:rStyle w:val="47"/>
          <w:rFonts w:ascii="宋体" w:hAnsi="宋体"/>
          <w:b/>
          <w:bCs/>
          <w:sz w:val="28"/>
          <w:szCs w:val="28"/>
        </w:rPr>
        <w:t>投标人拟派现场管理人员配备表</w:t>
      </w:r>
    </w:p>
    <w:p w14:paraId="1B1F74A5">
      <w:pPr>
        <w:rPr>
          <w:rStyle w:val="47"/>
          <w:rFonts w:ascii="宋体" w:hAnsi="宋体"/>
          <w:bCs/>
          <w:sz w:val="28"/>
          <w:szCs w:val="28"/>
        </w:rPr>
      </w:pPr>
      <w:r>
        <w:rPr>
          <w:rStyle w:val="47"/>
          <w:rFonts w:ascii="宋体" w:hAnsi="宋体"/>
          <w:bCs/>
          <w:sz w:val="28"/>
          <w:szCs w:val="28"/>
        </w:rPr>
        <w:t xml:space="preserve"> 投标单位（单位公章）：</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03"/>
        <w:gridCol w:w="1336"/>
        <w:gridCol w:w="1180"/>
        <w:gridCol w:w="324"/>
        <w:gridCol w:w="1575"/>
        <w:gridCol w:w="257"/>
        <w:gridCol w:w="2532"/>
      </w:tblGrid>
      <w:tr w14:paraId="701E6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14:paraId="7F92C61B">
            <w:pPr>
              <w:jc w:val="center"/>
              <w:rPr>
                <w:rStyle w:val="47"/>
                <w:rFonts w:ascii="宋体" w:hAnsi="宋体"/>
                <w:bCs/>
                <w:sz w:val="28"/>
                <w:szCs w:val="28"/>
              </w:rPr>
            </w:pPr>
            <w:r>
              <w:rPr>
                <w:rStyle w:val="47"/>
                <w:rFonts w:ascii="宋体" w:hAnsi="宋体"/>
                <w:bCs/>
                <w:sz w:val="28"/>
                <w:szCs w:val="28"/>
              </w:rPr>
              <w:t>项目编号</w:t>
            </w:r>
          </w:p>
        </w:tc>
        <w:tc>
          <w:tcPr>
            <w:tcW w:w="3870" w:type="pct"/>
            <w:gridSpan w:val="6"/>
            <w:tcBorders>
              <w:top w:val="single" w:color="000000" w:sz="4" w:space="0"/>
              <w:left w:val="single" w:color="000000" w:sz="4" w:space="0"/>
              <w:bottom w:val="single" w:color="000000" w:sz="4" w:space="0"/>
              <w:right w:val="single" w:color="000000" w:sz="4" w:space="0"/>
            </w:tcBorders>
          </w:tcPr>
          <w:p w14:paraId="7A7FD4C2">
            <w:pPr>
              <w:rPr>
                <w:rStyle w:val="47"/>
                <w:rFonts w:ascii="宋体" w:hAnsi="宋体"/>
                <w:bCs/>
                <w:sz w:val="28"/>
                <w:szCs w:val="28"/>
              </w:rPr>
            </w:pPr>
          </w:p>
        </w:tc>
      </w:tr>
      <w:tr w14:paraId="686F8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14:paraId="09D2321F">
            <w:pPr>
              <w:jc w:val="center"/>
              <w:rPr>
                <w:rStyle w:val="47"/>
                <w:rFonts w:ascii="宋体" w:hAnsi="宋体"/>
                <w:bCs/>
                <w:sz w:val="28"/>
                <w:szCs w:val="28"/>
              </w:rPr>
            </w:pPr>
            <w:r>
              <w:rPr>
                <w:rStyle w:val="47"/>
                <w:rFonts w:ascii="宋体" w:hAnsi="宋体"/>
                <w:bCs/>
                <w:sz w:val="28"/>
                <w:szCs w:val="28"/>
              </w:rPr>
              <w:t>招 标 人</w:t>
            </w:r>
          </w:p>
        </w:tc>
        <w:tc>
          <w:tcPr>
            <w:tcW w:w="3870" w:type="pct"/>
            <w:gridSpan w:val="6"/>
            <w:tcBorders>
              <w:top w:val="single" w:color="000000" w:sz="4" w:space="0"/>
              <w:left w:val="single" w:color="000000" w:sz="4" w:space="0"/>
              <w:bottom w:val="single" w:color="000000" w:sz="4" w:space="0"/>
              <w:right w:val="single" w:color="000000" w:sz="4" w:space="0"/>
            </w:tcBorders>
          </w:tcPr>
          <w:p w14:paraId="07363835">
            <w:pPr>
              <w:rPr>
                <w:rStyle w:val="47"/>
                <w:rFonts w:ascii="宋体" w:hAnsi="宋体"/>
                <w:bCs/>
                <w:sz w:val="28"/>
                <w:szCs w:val="28"/>
              </w:rPr>
            </w:pPr>
          </w:p>
        </w:tc>
      </w:tr>
      <w:tr w14:paraId="5EE11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14:paraId="2568A075">
            <w:pPr>
              <w:jc w:val="center"/>
              <w:rPr>
                <w:rStyle w:val="47"/>
                <w:rFonts w:ascii="宋体" w:hAnsi="宋体"/>
                <w:bCs/>
                <w:sz w:val="28"/>
                <w:szCs w:val="28"/>
              </w:rPr>
            </w:pPr>
            <w:r>
              <w:rPr>
                <w:rStyle w:val="47"/>
                <w:rFonts w:ascii="宋体" w:hAnsi="宋体"/>
                <w:bCs/>
                <w:sz w:val="28"/>
                <w:szCs w:val="28"/>
              </w:rPr>
              <w:t>项目名称</w:t>
            </w:r>
          </w:p>
        </w:tc>
        <w:tc>
          <w:tcPr>
            <w:tcW w:w="3870" w:type="pct"/>
            <w:gridSpan w:val="6"/>
            <w:tcBorders>
              <w:top w:val="single" w:color="000000" w:sz="4" w:space="0"/>
              <w:left w:val="single" w:color="000000" w:sz="4" w:space="0"/>
              <w:bottom w:val="single" w:color="000000" w:sz="4" w:space="0"/>
              <w:right w:val="single" w:color="000000" w:sz="4" w:space="0"/>
            </w:tcBorders>
            <w:vAlign w:val="center"/>
          </w:tcPr>
          <w:p w14:paraId="4A6264A6">
            <w:pPr>
              <w:rPr>
                <w:rStyle w:val="47"/>
                <w:rFonts w:ascii="宋体" w:hAnsi="宋体"/>
                <w:bCs/>
                <w:sz w:val="28"/>
                <w:szCs w:val="28"/>
              </w:rPr>
            </w:pPr>
          </w:p>
        </w:tc>
      </w:tr>
      <w:tr w14:paraId="4683B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14:paraId="47F0701F">
            <w:pPr>
              <w:jc w:val="center"/>
              <w:rPr>
                <w:rStyle w:val="47"/>
                <w:rFonts w:ascii="宋体" w:hAnsi="宋体"/>
                <w:bCs/>
                <w:sz w:val="28"/>
                <w:szCs w:val="28"/>
              </w:rPr>
            </w:pPr>
            <w:r>
              <w:rPr>
                <w:rStyle w:val="47"/>
                <w:rFonts w:ascii="宋体" w:hAnsi="宋体"/>
                <w:bCs/>
                <w:sz w:val="28"/>
                <w:szCs w:val="28"/>
              </w:rPr>
              <w:t>面积/规模</w:t>
            </w:r>
          </w:p>
        </w:tc>
        <w:tc>
          <w:tcPr>
            <w:tcW w:w="1352" w:type="pct"/>
            <w:gridSpan w:val="2"/>
            <w:tcBorders>
              <w:top w:val="single" w:color="000000" w:sz="4" w:space="0"/>
              <w:left w:val="single" w:color="000000" w:sz="4" w:space="0"/>
              <w:bottom w:val="single" w:color="000000" w:sz="4" w:space="0"/>
              <w:right w:val="single" w:color="000000" w:sz="4" w:space="0"/>
            </w:tcBorders>
            <w:vAlign w:val="center"/>
          </w:tcPr>
          <w:p w14:paraId="054AEE03">
            <w:pPr>
              <w:jc w:val="center"/>
              <w:rPr>
                <w:rStyle w:val="47"/>
                <w:rFonts w:ascii="宋体" w:hAnsi="宋体"/>
                <w:bCs/>
                <w:sz w:val="28"/>
                <w:szCs w:val="28"/>
              </w:rPr>
            </w:pPr>
          </w:p>
        </w:tc>
        <w:tc>
          <w:tcPr>
            <w:tcW w:w="1158" w:type="pct"/>
            <w:gridSpan w:val="3"/>
            <w:tcBorders>
              <w:top w:val="single" w:color="000000" w:sz="4" w:space="0"/>
              <w:left w:val="single" w:color="000000" w:sz="4" w:space="0"/>
              <w:bottom w:val="single" w:color="000000" w:sz="4" w:space="0"/>
              <w:right w:val="single" w:color="000000" w:sz="4" w:space="0"/>
            </w:tcBorders>
            <w:vAlign w:val="center"/>
          </w:tcPr>
          <w:p w14:paraId="59B0C621">
            <w:pPr>
              <w:jc w:val="center"/>
              <w:rPr>
                <w:rStyle w:val="47"/>
                <w:rFonts w:ascii="宋体" w:hAnsi="宋体"/>
                <w:bCs/>
                <w:sz w:val="28"/>
                <w:szCs w:val="28"/>
              </w:rPr>
            </w:pPr>
            <w:r>
              <w:rPr>
                <w:rStyle w:val="47"/>
                <w:rFonts w:ascii="宋体" w:hAnsi="宋体"/>
                <w:bCs/>
                <w:sz w:val="28"/>
                <w:szCs w:val="28"/>
              </w:rPr>
              <w:t>投标工期</w:t>
            </w:r>
          </w:p>
        </w:tc>
        <w:tc>
          <w:tcPr>
            <w:tcW w:w="1361" w:type="pct"/>
            <w:tcBorders>
              <w:top w:val="single" w:color="000000" w:sz="4" w:space="0"/>
              <w:left w:val="single" w:color="000000" w:sz="4" w:space="0"/>
              <w:bottom w:val="single" w:color="000000" w:sz="4" w:space="0"/>
              <w:right w:val="single" w:color="000000" w:sz="4" w:space="0"/>
            </w:tcBorders>
            <w:vAlign w:val="center"/>
          </w:tcPr>
          <w:p w14:paraId="59478B9D">
            <w:pPr>
              <w:jc w:val="center"/>
              <w:rPr>
                <w:rStyle w:val="47"/>
                <w:rFonts w:ascii="宋体" w:hAnsi="宋体"/>
                <w:bCs/>
                <w:sz w:val="28"/>
                <w:szCs w:val="28"/>
              </w:rPr>
            </w:pPr>
          </w:p>
        </w:tc>
      </w:tr>
      <w:tr w14:paraId="64858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14:paraId="2D7EAEE5">
            <w:pPr>
              <w:jc w:val="center"/>
              <w:rPr>
                <w:rStyle w:val="47"/>
                <w:rFonts w:ascii="宋体" w:hAnsi="宋体"/>
                <w:bCs/>
                <w:sz w:val="28"/>
                <w:szCs w:val="28"/>
              </w:rPr>
            </w:pPr>
            <w:r>
              <w:rPr>
                <w:rStyle w:val="47"/>
                <w:rFonts w:hint="eastAsia" w:ascii="宋体" w:hAnsi="宋体"/>
                <w:bCs/>
                <w:sz w:val="28"/>
                <w:szCs w:val="28"/>
              </w:rPr>
              <w:t>投</w:t>
            </w:r>
            <w:r>
              <w:rPr>
                <w:rStyle w:val="47"/>
                <w:rFonts w:ascii="宋体" w:hAnsi="宋体"/>
                <w:bCs/>
                <w:sz w:val="28"/>
                <w:szCs w:val="28"/>
              </w:rPr>
              <w:t>标价格</w:t>
            </w:r>
          </w:p>
        </w:tc>
        <w:tc>
          <w:tcPr>
            <w:tcW w:w="3870" w:type="pct"/>
            <w:gridSpan w:val="6"/>
            <w:tcBorders>
              <w:top w:val="single" w:color="000000" w:sz="4" w:space="0"/>
              <w:left w:val="single" w:color="000000" w:sz="4" w:space="0"/>
              <w:bottom w:val="single" w:color="000000" w:sz="4" w:space="0"/>
              <w:right w:val="single" w:color="000000" w:sz="4" w:space="0"/>
            </w:tcBorders>
            <w:vAlign w:val="center"/>
          </w:tcPr>
          <w:p w14:paraId="49E77B17">
            <w:pPr>
              <w:jc w:val="center"/>
              <w:rPr>
                <w:rStyle w:val="47"/>
                <w:rFonts w:ascii="宋体" w:hAnsi="宋体"/>
                <w:bCs/>
                <w:sz w:val="28"/>
                <w:szCs w:val="28"/>
              </w:rPr>
            </w:pPr>
          </w:p>
        </w:tc>
      </w:tr>
      <w:tr w14:paraId="00C51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14:paraId="7EC76939">
            <w:pPr>
              <w:jc w:val="center"/>
              <w:rPr>
                <w:rStyle w:val="47"/>
                <w:rFonts w:ascii="宋体" w:hAnsi="宋体"/>
                <w:bCs/>
                <w:sz w:val="28"/>
                <w:szCs w:val="28"/>
              </w:rPr>
            </w:pPr>
            <w:r>
              <w:rPr>
                <w:rStyle w:val="47"/>
                <w:rFonts w:ascii="宋体" w:hAnsi="宋体"/>
                <w:bCs/>
                <w:sz w:val="28"/>
                <w:szCs w:val="28"/>
              </w:rPr>
              <w:t>序号</w:t>
            </w:r>
          </w:p>
        </w:tc>
        <w:tc>
          <w:tcPr>
            <w:tcW w:w="718" w:type="pct"/>
            <w:tcBorders>
              <w:top w:val="single" w:color="000000" w:sz="4" w:space="0"/>
              <w:left w:val="single" w:color="000000" w:sz="4" w:space="0"/>
              <w:bottom w:val="single" w:color="000000" w:sz="4" w:space="0"/>
              <w:right w:val="single" w:color="auto" w:sz="4" w:space="0"/>
            </w:tcBorders>
            <w:vAlign w:val="center"/>
          </w:tcPr>
          <w:p w14:paraId="0C112B8F">
            <w:pPr>
              <w:jc w:val="center"/>
              <w:rPr>
                <w:rStyle w:val="47"/>
                <w:rFonts w:ascii="宋体" w:hAnsi="宋体"/>
                <w:bCs/>
                <w:sz w:val="28"/>
                <w:szCs w:val="28"/>
              </w:rPr>
            </w:pPr>
            <w:r>
              <w:rPr>
                <w:rStyle w:val="47"/>
                <w:rFonts w:ascii="宋体" w:hAnsi="宋体"/>
                <w:bCs/>
                <w:sz w:val="28"/>
                <w:szCs w:val="28"/>
              </w:rPr>
              <w:t>岗位名称</w:t>
            </w:r>
          </w:p>
        </w:tc>
        <w:tc>
          <w:tcPr>
            <w:tcW w:w="808" w:type="pct"/>
            <w:gridSpan w:val="2"/>
            <w:tcBorders>
              <w:top w:val="single" w:color="000000" w:sz="4" w:space="0"/>
              <w:left w:val="single" w:color="auto" w:sz="4" w:space="0"/>
              <w:bottom w:val="single" w:color="000000" w:sz="4" w:space="0"/>
              <w:right w:val="single" w:color="auto" w:sz="4" w:space="0"/>
            </w:tcBorders>
            <w:vAlign w:val="center"/>
          </w:tcPr>
          <w:p w14:paraId="4C48C85F">
            <w:pPr>
              <w:jc w:val="center"/>
              <w:rPr>
                <w:rStyle w:val="47"/>
                <w:rFonts w:ascii="宋体" w:hAnsi="宋体"/>
                <w:bCs/>
                <w:sz w:val="28"/>
                <w:szCs w:val="28"/>
              </w:rPr>
            </w:pPr>
            <w:r>
              <w:rPr>
                <w:rStyle w:val="47"/>
                <w:rFonts w:ascii="宋体" w:hAnsi="宋体"/>
                <w:bCs/>
                <w:sz w:val="28"/>
                <w:szCs w:val="28"/>
              </w:rPr>
              <w:t>姓名</w:t>
            </w:r>
          </w:p>
        </w:tc>
        <w:tc>
          <w:tcPr>
            <w:tcW w:w="846" w:type="pct"/>
            <w:tcBorders>
              <w:top w:val="single" w:color="000000" w:sz="4" w:space="0"/>
              <w:left w:val="single" w:color="auto" w:sz="4" w:space="0"/>
              <w:bottom w:val="single" w:color="000000" w:sz="4" w:space="0"/>
              <w:right w:val="single" w:color="auto" w:sz="4" w:space="0"/>
            </w:tcBorders>
            <w:vAlign w:val="center"/>
          </w:tcPr>
          <w:p w14:paraId="2D27D32B">
            <w:pPr>
              <w:jc w:val="center"/>
              <w:rPr>
                <w:rStyle w:val="47"/>
                <w:rFonts w:ascii="宋体" w:hAnsi="宋体"/>
                <w:bCs/>
                <w:sz w:val="28"/>
                <w:szCs w:val="28"/>
              </w:rPr>
            </w:pPr>
            <w:r>
              <w:rPr>
                <w:rStyle w:val="47"/>
                <w:rFonts w:ascii="宋体" w:hAnsi="宋体"/>
                <w:bCs/>
                <w:sz w:val="28"/>
                <w:szCs w:val="28"/>
              </w:rPr>
              <w:t>性  别</w:t>
            </w:r>
          </w:p>
        </w:tc>
        <w:tc>
          <w:tcPr>
            <w:tcW w:w="1498" w:type="pct"/>
            <w:gridSpan w:val="2"/>
            <w:tcBorders>
              <w:top w:val="single" w:color="000000" w:sz="4" w:space="0"/>
              <w:left w:val="single" w:color="auto" w:sz="4" w:space="0"/>
              <w:bottom w:val="single" w:color="000000" w:sz="4" w:space="0"/>
              <w:right w:val="single" w:color="000000" w:sz="4" w:space="0"/>
            </w:tcBorders>
            <w:vAlign w:val="center"/>
          </w:tcPr>
          <w:p w14:paraId="23FC06E4">
            <w:pPr>
              <w:jc w:val="center"/>
              <w:rPr>
                <w:rStyle w:val="47"/>
                <w:rFonts w:ascii="宋体" w:hAnsi="宋体"/>
                <w:bCs/>
                <w:sz w:val="28"/>
                <w:szCs w:val="28"/>
              </w:rPr>
            </w:pPr>
            <w:r>
              <w:rPr>
                <w:rStyle w:val="47"/>
                <w:rFonts w:ascii="宋体" w:hAnsi="宋体"/>
                <w:bCs/>
                <w:sz w:val="28"/>
                <w:szCs w:val="28"/>
              </w:rPr>
              <w:t>资格证书编号</w:t>
            </w:r>
          </w:p>
        </w:tc>
      </w:tr>
      <w:tr w14:paraId="10502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14:paraId="6A6222A7">
            <w:pPr>
              <w:jc w:val="center"/>
              <w:rPr>
                <w:rStyle w:val="47"/>
                <w:rFonts w:ascii="宋体" w:hAnsi="宋体"/>
                <w:bCs/>
                <w:sz w:val="28"/>
                <w:szCs w:val="28"/>
              </w:rPr>
            </w:pPr>
          </w:p>
        </w:tc>
        <w:tc>
          <w:tcPr>
            <w:tcW w:w="718" w:type="pct"/>
            <w:tcBorders>
              <w:top w:val="single" w:color="000000" w:sz="4" w:space="0"/>
              <w:left w:val="single" w:color="000000" w:sz="4" w:space="0"/>
              <w:bottom w:val="single" w:color="000000" w:sz="4" w:space="0"/>
              <w:right w:val="single" w:color="auto" w:sz="4" w:space="0"/>
            </w:tcBorders>
            <w:vAlign w:val="center"/>
          </w:tcPr>
          <w:p w14:paraId="5DC92137">
            <w:pPr>
              <w:jc w:val="center"/>
              <w:rPr>
                <w:rStyle w:val="47"/>
                <w:rFonts w:ascii="宋体" w:hAnsi="宋体"/>
                <w:bCs/>
                <w:sz w:val="28"/>
                <w:szCs w:val="28"/>
              </w:rPr>
            </w:pPr>
          </w:p>
        </w:tc>
        <w:tc>
          <w:tcPr>
            <w:tcW w:w="808" w:type="pct"/>
            <w:gridSpan w:val="2"/>
            <w:tcBorders>
              <w:top w:val="single" w:color="000000" w:sz="4" w:space="0"/>
              <w:left w:val="single" w:color="auto" w:sz="4" w:space="0"/>
              <w:bottom w:val="single" w:color="000000" w:sz="4" w:space="0"/>
              <w:right w:val="single" w:color="auto" w:sz="4" w:space="0"/>
            </w:tcBorders>
            <w:vAlign w:val="center"/>
          </w:tcPr>
          <w:p w14:paraId="18716A41">
            <w:pPr>
              <w:jc w:val="center"/>
              <w:rPr>
                <w:rStyle w:val="47"/>
                <w:rFonts w:ascii="宋体" w:hAnsi="宋体"/>
                <w:bCs/>
                <w:sz w:val="28"/>
                <w:szCs w:val="28"/>
              </w:rPr>
            </w:pPr>
          </w:p>
        </w:tc>
        <w:tc>
          <w:tcPr>
            <w:tcW w:w="846" w:type="pct"/>
            <w:tcBorders>
              <w:top w:val="single" w:color="000000" w:sz="4" w:space="0"/>
              <w:left w:val="single" w:color="auto" w:sz="4" w:space="0"/>
              <w:bottom w:val="single" w:color="000000" w:sz="4" w:space="0"/>
              <w:right w:val="single" w:color="auto" w:sz="4" w:space="0"/>
            </w:tcBorders>
            <w:vAlign w:val="center"/>
          </w:tcPr>
          <w:p w14:paraId="7441F470">
            <w:pPr>
              <w:jc w:val="center"/>
              <w:rPr>
                <w:rStyle w:val="47"/>
                <w:rFonts w:ascii="宋体" w:hAnsi="宋体"/>
                <w:bCs/>
                <w:sz w:val="28"/>
                <w:szCs w:val="28"/>
              </w:rPr>
            </w:pPr>
          </w:p>
        </w:tc>
        <w:tc>
          <w:tcPr>
            <w:tcW w:w="1498" w:type="pct"/>
            <w:gridSpan w:val="2"/>
            <w:tcBorders>
              <w:top w:val="single" w:color="000000" w:sz="4" w:space="0"/>
              <w:left w:val="single" w:color="auto" w:sz="4" w:space="0"/>
              <w:bottom w:val="single" w:color="000000" w:sz="4" w:space="0"/>
              <w:right w:val="single" w:color="000000" w:sz="4" w:space="0"/>
            </w:tcBorders>
            <w:vAlign w:val="center"/>
          </w:tcPr>
          <w:p w14:paraId="525384BB">
            <w:pPr>
              <w:jc w:val="center"/>
              <w:rPr>
                <w:rStyle w:val="47"/>
                <w:rFonts w:ascii="宋体" w:hAnsi="宋体"/>
                <w:bCs/>
                <w:sz w:val="28"/>
                <w:szCs w:val="28"/>
              </w:rPr>
            </w:pPr>
          </w:p>
        </w:tc>
      </w:tr>
      <w:tr w14:paraId="70051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14:paraId="595A2A42">
            <w:pPr>
              <w:jc w:val="center"/>
              <w:rPr>
                <w:rStyle w:val="47"/>
                <w:rFonts w:ascii="宋体" w:hAnsi="宋体"/>
                <w:bCs/>
                <w:sz w:val="28"/>
                <w:szCs w:val="28"/>
              </w:rPr>
            </w:pPr>
          </w:p>
        </w:tc>
        <w:tc>
          <w:tcPr>
            <w:tcW w:w="718" w:type="pct"/>
            <w:tcBorders>
              <w:top w:val="single" w:color="000000" w:sz="4" w:space="0"/>
              <w:left w:val="single" w:color="000000" w:sz="4" w:space="0"/>
              <w:bottom w:val="single" w:color="000000" w:sz="4" w:space="0"/>
              <w:right w:val="single" w:color="auto" w:sz="4" w:space="0"/>
            </w:tcBorders>
            <w:vAlign w:val="center"/>
          </w:tcPr>
          <w:p w14:paraId="29F26416">
            <w:pPr>
              <w:jc w:val="center"/>
              <w:rPr>
                <w:rStyle w:val="47"/>
                <w:rFonts w:ascii="宋体" w:hAnsi="宋体"/>
                <w:bCs/>
                <w:sz w:val="28"/>
                <w:szCs w:val="28"/>
              </w:rPr>
            </w:pPr>
          </w:p>
        </w:tc>
        <w:tc>
          <w:tcPr>
            <w:tcW w:w="808" w:type="pct"/>
            <w:gridSpan w:val="2"/>
            <w:tcBorders>
              <w:top w:val="single" w:color="000000" w:sz="4" w:space="0"/>
              <w:left w:val="single" w:color="auto" w:sz="4" w:space="0"/>
              <w:bottom w:val="single" w:color="000000" w:sz="4" w:space="0"/>
              <w:right w:val="single" w:color="auto" w:sz="4" w:space="0"/>
            </w:tcBorders>
            <w:vAlign w:val="center"/>
          </w:tcPr>
          <w:p w14:paraId="0A1FA9F8">
            <w:pPr>
              <w:jc w:val="center"/>
              <w:rPr>
                <w:rStyle w:val="47"/>
                <w:rFonts w:ascii="宋体" w:hAnsi="宋体"/>
                <w:bCs/>
                <w:sz w:val="28"/>
                <w:szCs w:val="28"/>
              </w:rPr>
            </w:pPr>
          </w:p>
        </w:tc>
        <w:tc>
          <w:tcPr>
            <w:tcW w:w="846" w:type="pct"/>
            <w:tcBorders>
              <w:top w:val="single" w:color="000000" w:sz="4" w:space="0"/>
              <w:left w:val="single" w:color="auto" w:sz="4" w:space="0"/>
              <w:bottom w:val="single" w:color="000000" w:sz="4" w:space="0"/>
              <w:right w:val="single" w:color="auto" w:sz="4" w:space="0"/>
            </w:tcBorders>
            <w:vAlign w:val="center"/>
          </w:tcPr>
          <w:p w14:paraId="69B83077">
            <w:pPr>
              <w:jc w:val="center"/>
              <w:rPr>
                <w:rStyle w:val="47"/>
                <w:rFonts w:ascii="宋体" w:hAnsi="宋体"/>
                <w:bCs/>
                <w:sz w:val="28"/>
                <w:szCs w:val="28"/>
              </w:rPr>
            </w:pPr>
          </w:p>
        </w:tc>
        <w:tc>
          <w:tcPr>
            <w:tcW w:w="1498" w:type="pct"/>
            <w:gridSpan w:val="2"/>
            <w:tcBorders>
              <w:top w:val="single" w:color="000000" w:sz="4" w:space="0"/>
              <w:left w:val="single" w:color="auto" w:sz="4" w:space="0"/>
              <w:bottom w:val="single" w:color="000000" w:sz="4" w:space="0"/>
              <w:right w:val="single" w:color="000000" w:sz="4" w:space="0"/>
            </w:tcBorders>
            <w:vAlign w:val="center"/>
          </w:tcPr>
          <w:p w14:paraId="46E2813E">
            <w:pPr>
              <w:jc w:val="center"/>
              <w:rPr>
                <w:rStyle w:val="47"/>
                <w:rFonts w:ascii="宋体" w:hAnsi="宋体"/>
                <w:bCs/>
                <w:sz w:val="28"/>
                <w:szCs w:val="28"/>
              </w:rPr>
            </w:pPr>
          </w:p>
        </w:tc>
      </w:tr>
      <w:tr w14:paraId="33D07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14:paraId="1C4C19C2">
            <w:pPr>
              <w:jc w:val="center"/>
              <w:rPr>
                <w:rStyle w:val="47"/>
                <w:rFonts w:ascii="宋体" w:hAnsi="宋体"/>
                <w:bCs/>
                <w:sz w:val="28"/>
                <w:szCs w:val="28"/>
              </w:rPr>
            </w:pPr>
          </w:p>
        </w:tc>
        <w:tc>
          <w:tcPr>
            <w:tcW w:w="718" w:type="pct"/>
            <w:tcBorders>
              <w:top w:val="single" w:color="000000" w:sz="4" w:space="0"/>
              <w:left w:val="single" w:color="000000" w:sz="4" w:space="0"/>
              <w:bottom w:val="single" w:color="000000" w:sz="4" w:space="0"/>
              <w:right w:val="single" w:color="auto" w:sz="4" w:space="0"/>
            </w:tcBorders>
            <w:vAlign w:val="center"/>
          </w:tcPr>
          <w:p w14:paraId="1AC9E1B6">
            <w:pPr>
              <w:jc w:val="center"/>
              <w:rPr>
                <w:rStyle w:val="47"/>
                <w:rFonts w:ascii="宋体" w:hAnsi="宋体"/>
                <w:bCs/>
                <w:sz w:val="28"/>
                <w:szCs w:val="28"/>
              </w:rPr>
            </w:pPr>
          </w:p>
        </w:tc>
        <w:tc>
          <w:tcPr>
            <w:tcW w:w="808" w:type="pct"/>
            <w:gridSpan w:val="2"/>
            <w:tcBorders>
              <w:top w:val="single" w:color="000000" w:sz="4" w:space="0"/>
              <w:left w:val="single" w:color="auto" w:sz="4" w:space="0"/>
              <w:bottom w:val="single" w:color="000000" w:sz="4" w:space="0"/>
              <w:right w:val="single" w:color="auto" w:sz="4" w:space="0"/>
            </w:tcBorders>
            <w:vAlign w:val="center"/>
          </w:tcPr>
          <w:p w14:paraId="53BBEF97">
            <w:pPr>
              <w:jc w:val="center"/>
              <w:rPr>
                <w:rStyle w:val="47"/>
                <w:rFonts w:ascii="宋体" w:hAnsi="宋体"/>
                <w:bCs/>
                <w:sz w:val="28"/>
                <w:szCs w:val="28"/>
              </w:rPr>
            </w:pPr>
          </w:p>
        </w:tc>
        <w:tc>
          <w:tcPr>
            <w:tcW w:w="846" w:type="pct"/>
            <w:tcBorders>
              <w:top w:val="single" w:color="000000" w:sz="4" w:space="0"/>
              <w:left w:val="single" w:color="auto" w:sz="4" w:space="0"/>
              <w:bottom w:val="single" w:color="000000" w:sz="4" w:space="0"/>
              <w:right w:val="single" w:color="auto" w:sz="4" w:space="0"/>
            </w:tcBorders>
            <w:vAlign w:val="center"/>
          </w:tcPr>
          <w:p w14:paraId="5633E1FE">
            <w:pPr>
              <w:jc w:val="center"/>
              <w:rPr>
                <w:rStyle w:val="47"/>
                <w:rFonts w:ascii="宋体" w:hAnsi="宋体"/>
                <w:bCs/>
                <w:sz w:val="28"/>
                <w:szCs w:val="28"/>
              </w:rPr>
            </w:pPr>
          </w:p>
        </w:tc>
        <w:tc>
          <w:tcPr>
            <w:tcW w:w="1498" w:type="pct"/>
            <w:gridSpan w:val="2"/>
            <w:tcBorders>
              <w:top w:val="single" w:color="000000" w:sz="4" w:space="0"/>
              <w:left w:val="single" w:color="auto" w:sz="4" w:space="0"/>
              <w:bottom w:val="single" w:color="000000" w:sz="4" w:space="0"/>
              <w:right w:val="single" w:color="000000" w:sz="4" w:space="0"/>
            </w:tcBorders>
            <w:vAlign w:val="center"/>
          </w:tcPr>
          <w:p w14:paraId="31628767">
            <w:pPr>
              <w:jc w:val="center"/>
              <w:rPr>
                <w:rStyle w:val="47"/>
                <w:rFonts w:ascii="宋体" w:hAnsi="宋体"/>
                <w:bCs/>
                <w:sz w:val="28"/>
                <w:szCs w:val="28"/>
              </w:rPr>
            </w:pPr>
          </w:p>
        </w:tc>
      </w:tr>
      <w:tr w14:paraId="2E0D1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14:paraId="25983942">
            <w:pPr>
              <w:jc w:val="center"/>
              <w:rPr>
                <w:rStyle w:val="47"/>
                <w:rFonts w:ascii="宋体" w:hAnsi="宋体"/>
                <w:bCs/>
                <w:sz w:val="28"/>
                <w:szCs w:val="28"/>
              </w:rPr>
            </w:pPr>
          </w:p>
        </w:tc>
        <w:tc>
          <w:tcPr>
            <w:tcW w:w="718" w:type="pct"/>
            <w:tcBorders>
              <w:top w:val="single" w:color="000000" w:sz="4" w:space="0"/>
              <w:left w:val="single" w:color="000000" w:sz="4" w:space="0"/>
              <w:bottom w:val="single" w:color="000000" w:sz="4" w:space="0"/>
              <w:right w:val="single" w:color="auto" w:sz="4" w:space="0"/>
            </w:tcBorders>
            <w:vAlign w:val="center"/>
          </w:tcPr>
          <w:p w14:paraId="5F5C34CC">
            <w:pPr>
              <w:jc w:val="center"/>
              <w:rPr>
                <w:rStyle w:val="47"/>
                <w:rFonts w:ascii="宋体" w:hAnsi="宋体"/>
                <w:bCs/>
                <w:sz w:val="28"/>
                <w:szCs w:val="28"/>
              </w:rPr>
            </w:pPr>
          </w:p>
        </w:tc>
        <w:tc>
          <w:tcPr>
            <w:tcW w:w="808" w:type="pct"/>
            <w:gridSpan w:val="2"/>
            <w:tcBorders>
              <w:top w:val="single" w:color="000000" w:sz="4" w:space="0"/>
              <w:left w:val="single" w:color="auto" w:sz="4" w:space="0"/>
              <w:bottom w:val="single" w:color="000000" w:sz="4" w:space="0"/>
              <w:right w:val="single" w:color="auto" w:sz="4" w:space="0"/>
            </w:tcBorders>
            <w:vAlign w:val="center"/>
          </w:tcPr>
          <w:p w14:paraId="79E44DCB">
            <w:pPr>
              <w:jc w:val="center"/>
              <w:rPr>
                <w:rStyle w:val="47"/>
                <w:rFonts w:ascii="宋体" w:hAnsi="宋体"/>
                <w:bCs/>
                <w:sz w:val="28"/>
                <w:szCs w:val="28"/>
              </w:rPr>
            </w:pPr>
          </w:p>
        </w:tc>
        <w:tc>
          <w:tcPr>
            <w:tcW w:w="846" w:type="pct"/>
            <w:tcBorders>
              <w:top w:val="single" w:color="000000" w:sz="4" w:space="0"/>
              <w:left w:val="single" w:color="auto" w:sz="4" w:space="0"/>
              <w:bottom w:val="single" w:color="000000" w:sz="4" w:space="0"/>
              <w:right w:val="single" w:color="auto" w:sz="4" w:space="0"/>
            </w:tcBorders>
            <w:vAlign w:val="center"/>
          </w:tcPr>
          <w:p w14:paraId="34357A0D">
            <w:pPr>
              <w:jc w:val="center"/>
              <w:rPr>
                <w:rStyle w:val="47"/>
                <w:rFonts w:ascii="宋体" w:hAnsi="宋体"/>
                <w:bCs/>
                <w:sz w:val="28"/>
                <w:szCs w:val="28"/>
              </w:rPr>
            </w:pPr>
          </w:p>
        </w:tc>
        <w:tc>
          <w:tcPr>
            <w:tcW w:w="1498" w:type="pct"/>
            <w:gridSpan w:val="2"/>
            <w:tcBorders>
              <w:top w:val="single" w:color="000000" w:sz="4" w:space="0"/>
              <w:left w:val="single" w:color="auto" w:sz="4" w:space="0"/>
              <w:bottom w:val="single" w:color="000000" w:sz="4" w:space="0"/>
              <w:right w:val="single" w:color="000000" w:sz="4" w:space="0"/>
            </w:tcBorders>
            <w:vAlign w:val="center"/>
          </w:tcPr>
          <w:p w14:paraId="4FD5C81B">
            <w:pPr>
              <w:jc w:val="center"/>
              <w:rPr>
                <w:rStyle w:val="47"/>
                <w:rFonts w:ascii="宋体" w:hAnsi="宋体"/>
                <w:bCs/>
                <w:sz w:val="28"/>
                <w:szCs w:val="28"/>
              </w:rPr>
            </w:pPr>
          </w:p>
        </w:tc>
      </w:tr>
    </w:tbl>
    <w:p w14:paraId="34A51976">
      <w:pPr>
        <w:ind w:firstLine="651" w:firstLineChars="310"/>
        <w:rPr>
          <w:rStyle w:val="47"/>
          <w:rFonts w:ascii="宋体" w:hAnsi="宋体"/>
          <w:szCs w:val="21"/>
        </w:rPr>
      </w:pPr>
      <w:r>
        <w:rPr>
          <w:rStyle w:val="47"/>
          <w:rFonts w:ascii="宋体" w:hAnsi="宋体"/>
          <w:szCs w:val="21"/>
        </w:rPr>
        <w:br w:type="page"/>
      </w:r>
    </w:p>
    <w:p w14:paraId="6E4E79AD">
      <w:pPr>
        <w:snapToGrid w:val="0"/>
        <w:spacing w:line="440" w:lineRule="exact"/>
        <w:jc w:val="center"/>
        <w:rPr>
          <w:rStyle w:val="47"/>
          <w:rFonts w:ascii="宋体" w:hAnsi="宋体"/>
          <w:b/>
          <w:szCs w:val="21"/>
        </w:rPr>
      </w:pPr>
      <w:bookmarkStart w:id="185" w:name="_Toc27993"/>
      <w:bookmarkStart w:id="186" w:name="_Toc17817349"/>
      <w:bookmarkStart w:id="187" w:name="_Toc16063999"/>
      <w:bookmarkStart w:id="188" w:name="_Toc24038"/>
      <w:r>
        <w:rPr>
          <w:rStyle w:val="47"/>
          <w:rFonts w:hint="eastAsia" w:ascii="宋体" w:hAnsi="宋体"/>
          <w:b/>
          <w:szCs w:val="21"/>
        </w:rPr>
        <w:t>（二）</w:t>
      </w:r>
      <w:r>
        <w:rPr>
          <w:rStyle w:val="47"/>
          <w:rFonts w:ascii="宋体" w:hAnsi="宋体"/>
          <w:b/>
          <w:szCs w:val="21"/>
        </w:rPr>
        <w:t>投标函附录-3</w:t>
      </w:r>
    </w:p>
    <w:p w14:paraId="01BF2B5E">
      <w:pPr>
        <w:pStyle w:val="11"/>
      </w:pPr>
    </w:p>
    <w:p w14:paraId="6FADE01F">
      <w:pPr>
        <w:jc w:val="center"/>
        <w:rPr>
          <w:rStyle w:val="47"/>
          <w:rFonts w:ascii="宋体" w:hAnsi="宋体"/>
          <w:b/>
          <w:bCs/>
          <w:sz w:val="28"/>
          <w:szCs w:val="28"/>
        </w:rPr>
      </w:pPr>
      <w:r>
        <w:rPr>
          <w:rStyle w:val="47"/>
          <w:rFonts w:hint="eastAsia" w:ascii="宋体" w:hAnsi="宋体"/>
          <w:b/>
          <w:bCs/>
          <w:sz w:val="28"/>
          <w:szCs w:val="28"/>
        </w:rPr>
        <w:t>承诺书</w:t>
      </w:r>
    </w:p>
    <w:p w14:paraId="00C714E2">
      <w:pPr>
        <w:spacing w:after="240" w:line="440" w:lineRule="exact"/>
        <w:rPr>
          <w:rStyle w:val="47"/>
          <w:rFonts w:ascii="宋体"/>
        </w:rPr>
      </w:pPr>
      <w:r>
        <w:rPr>
          <w:rStyle w:val="47"/>
          <w:rFonts w:ascii="宋体"/>
          <w:position w:val="-7"/>
        </w:rPr>
        <w:t>————————</w:t>
      </w:r>
      <w:r>
        <w:rPr>
          <w:rStyle w:val="47"/>
          <w:rFonts w:ascii="宋体"/>
        </w:rPr>
        <w:t>（招标人名称）：</w:t>
      </w:r>
    </w:p>
    <w:p w14:paraId="14823F47">
      <w:pPr>
        <w:spacing w:line="440" w:lineRule="exact"/>
        <w:ind w:firstLine="420" w:firstLineChars="200"/>
        <w:rPr>
          <w:rStyle w:val="47"/>
          <w:rFonts w:ascii="宋体"/>
        </w:rPr>
      </w:pPr>
      <w:r>
        <w:rPr>
          <w:rStyle w:val="47"/>
          <w:rFonts w:hint="eastAsia" w:ascii="宋体"/>
        </w:rPr>
        <w:t>针对</w:t>
      </w:r>
      <w:r>
        <w:rPr>
          <w:rStyle w:val="47"/>
          <w:rFonts w:hint="eastAsia" w:ascii="宋体"/>
          <w:u w:val="single"/>
        </w:rPr>
        <w:t xml:space="preserve">           </w:t>
      </w:r>
      <w:r>
        <w:rPr>
          <w:rStyle w:val="47"/>
          <w:rFonts w:hint="eastAsia" w:ascii="宋体"/>
        </w:rPr>
        <w:t>项目，我方承诺：</w:t>
      </w:r>
    </w:p>
    <w:p w14:paraId="781818C3">
      <w:pPr>
        <w:spacing w:line="440" w:lineRule="exact"/>
        <w:ind w:firstLine="420" w:firstLineChars="200"/>
        <w:rPr>
          <w:rStyle w:val="47"/>
          <w:rFonts w:ascii="宋体"/>
        </w:rPr>
      </w:pPr>
      <w:r>
        <w:rPr>
          <w:rStyle w:val="47"/>
          <w:rFonts w:hint="eastAsia" w:ascii="宋体"/>
        </w:rPr>
        <w:t>一、</w:t>
      </w:r>
      <w:r>
        <w:rPr>
          <w:rStyle w:val="47"/>
          <w:rFonts w:ascii="宋体"/>
        </w:rPr>
        <w:t>我方拟派往（项目名称）（以下简称“本工程”）的项目经理（项目经理姓名）现阶段没有担任任何在施建设工程项目的项目经理。</w:t>
      </w:r>
    </w:p>
    <w:p w14:paraId="34672793">
      <w:pPr>
        <w:spacing w:line="440" w:lineRule="exact"/>
        <w:ind w:firstLine="420" w:firstLineChars="200"/>
        <w:rPr>
          <w:rStyle w:val="47"/>
          <w:rFonts w:ascii="宋体"/>
        </w:rPr>
      </w:pPr>
      <w:r>
        <w:rPr>
          <w:rStyle w:val="47"/>
          <w:rFonts w:hint="eastAsia" w:ascii="宋体"/>
        </w:rPr>
        <w:t>二、中标后现场管理班子均为我单位正式职工，已连续缴纳社保半年以上，确保到岗不少于</w:t>
      </w:r>
      <w:r>
        <w:rPr>
          <w:rStyle w:val="47"/>
          <w:rFonts w:hint="eastAsia" w:ascii="宋体"/>
          <w:u w:val="single"/>
        </w:rPr>
        <w:t xml:space="preserve">    </w:t>
      </w:r>
      <w:r>
        <w:rPr>
          <w:rStyle w:val="47"/>
          <w:rFonts w:hint="eastAsia" w:ascii="宋体"/>
        </w:rPr>
        <w:t>人，每少一人承担</w:t>
      </w:r>
      <w:r>
        <w:rPr>
          <w:rStyle w:val="47"/>
          <w:rFonts w:hint="eastAsia" w:ascii="宋体"/>
          <w:u w:val="single"/>
        </w:rPr>
        <w:t xml:space="preserve"> 1 </w:t>
      </w:r>
      <w:r>
        <w:rPr>
          <w:rStyle w:val="47"/>
          <w:rFonts w:hint="eastAsia" w:ascii="宋体"/>
        </w:rPr>
        <w:t>万元的赔偿且在施工期间未经发包人允许绝不擅自更换；</w:t>
      </w:r>
    </w:p>
    <w:p w14:paraId="7AA5F3CE">
      <w:pPr>
        <w:spacing w:line="440" w:lineRule="exact"/>
        <w:ind w:firstLine="420" w:firstLineChars="200"/>
        <w:rPr>
          <w:rStyle w:val="47"/>
          <w:rFonts w:ascii="宋体"/>
        </w:rPr>
      </w:pPr>
      <w:r>
        <w:rPr>
          <w:rStyle w:val="47"/>
          <w:rFonts w:hint="eastAsia" w:ascii="宋体"/>
        </w:rPr>
        <w:t>三、项目经理现场履职每月不少于25天，每少一天自愿接受考核</w:t>
      </w:r>
      <w:r>
        <w:rPr>
          <w:rStyle w:val="47"/>
          <w:rFonts w:hint="eastAsia" w:ascii="宋体"/>
          <w:u w:val="single"/>
        </w:rPr>
        <w:t>1000</w:t>
      </w:r>
      <w:r>
        <w:rPr>
          <w:rStyle w:val="47"/>
          <w:rFonts w:hint="eastAsia" w:ascii="宋体"/>
        </w:rPr>
        <w:t>元/天。</w:t>
      </w:r>
    </w:p>
    <w:p w14:paraId="1AC0A16C">
      <w:pPr>
        <w:spacing w:line="440" w:lineRule="exact"/>
        <w:ind w:firstLine="420" w:firstLineChars="200"/>
        <w:rPr>
          <w:rStyle w:val="47"/>
          <w:rFonts w:ascii="宋体"/>
        </w:rPr>
      </w:pPr>
      <w:r>
        <w:rPr>
          <w:rStyle w:val="47"/>
          <w:rFonts w:hint="eastAsia" w:ascii="宋体"/>
        </w:rPr>
        <w:t>四、若我方违背上述承诺，视为工程转包、挂靠行为，除承担合同约定的违约责任外，</w:t>
      </w:r>
      <w:r>
        <w:rPr>
          <w:rStyle w:val="47"/>
          <w:rFonts w:ascii="宋体"/>
        </w:rPr>
        <w:t>并愿意承担因我方就此弄虚作假所引起的一切法律后果。</w:t>
      </w:r>
    </w:p>
    <w:p w14:paraId="2F134926">
      <w:pPr>
        <w:spacing w:line="440" w:lineRule="exact"/>
        <w:ind w:firstLine="420" w:firstLineChars="200"/>
        <w:rPr>
          <w:rStyle w:val="47"/>
          <w:rFonts w:ascii="宋体"/>
        </w:rPr>
      </w:pPr>
    </w:p>
    <w:p w14:paraId="4EE84B7F">
      <w:pPr>
        <w:rPr>
          <w:rStyle w:val="47"/>
          <w:rFonts w:ascii="宋体"/>
        </w:rPr>
      </w:pPr>
    </w:p>
    <w:p w14:paraId="4532BB91">
      <w:pPr>
        <w:rPr>
          <w:rStyle w:val="47"/>
          <w:rFonts w:ascii="宋体"/>
        </w:rPr>
      </w:pPr>
    </w:p>
    <w:p w14:paraId="5FE0F5D8">
      <w:pPr>
        <w:ind w:firstLine="1800"/>
        <w:rPr>
          <w:rStyle w:val="47"/>
          <w:rFonts w:ascii="宋体"/>
        </w:rPr>
      </w:pPr>
    </w:p>
    <w:p w14:paraId="68B8198C">
      <w:pPr>
        <w:ind w:firstLine="1800"/>
        <w:rPr>
          <w:rStyle w:val="47"/>
          <w:rFonts w:ascii="宋体"/>
        </w:rPr>
      </w:pPr>
    </w:p>
    <w:p w14:paraId="42031263">
      <w:pPr>
        <w:ind w:firstLine="1800"/>
        <w:rPr>
          <w:rStyle w:val="47"/>
          <w:rFonts w:ascii="宋体"/>
        </w:rPr>
      </w:pPr>
    </w:p>
    <w:p w14:paraId="1A431378">
      <w:pPr>
        <w:ind w:firstLine="1800"/>
        <w:rPr>
          <w:rStyle w:val="47"/>
          <w:rFonts w:ascii="宋体"/>
        </w:rPr>
      </w:pPr>
    </w:p>
    <w:p w14:paraId="5AA9D764">
      <w:pPr>
        <w:ind w:firstLine="1800"/>
        <w:rPr>
          <w:rStyle w:val="47"/>
          <w:rFonts w:ascii="宋体"/>
        </w:rPr>
      </w:pPr>
    </w:p>
    <w:p w14:paraId="6EC556B0">
      <w:pPr>
        <w:ind w:firstLine="1800"/>
        <w:rPr>
          <w:rStyle w:val="47"/>
          <w:rFonts w:ascii="宋体"/>
        </w:rPr>
      </w:pPr>
    </w:p>
    <w:p w14:paraId="3262488C">
      <w:pPr>
        <w:ind w:firstLine="1800"/>
        <w:rPr>
          <w:rStyle w:val="47"/>
          <w:rFonts w:ascii="宋体"/>
        </w:rPr>
      </w:pPr>
    </w:p>
    <w:p w14:paraId="6B5388E6">
      <w:pPr>
        <w:ind w:firstLine="1800"/>
        <w:rPr>
          <w:rStyle w:val="47"/>
          <w:rFonts w:ascii="宋体"/>
        </w:rPr>
      </w:pPr>
    </w:p>
    <w:p w14:paraId="7E26BE12">
      <w:pPr>
        <w:ind w:firstLine="3780" w:firstLineChars="1800"/>
        <w:rPr>
          <w:rStyle w:val="47"/>
          <w:rFonts w:ascii="宋体"/>
        </w:rPr>
      </w:pPr>
      <w:r>
        <w:rPr>
          <w:rStyle w:val="47"/>
          <w:rFonts w:hint="eastAsia" w:ascii="宋体"/>
        </w:rPr>
        <w:t>公司法律人员或法务部门签字盖章</w:t>
      </w:r>
    </w:p>
    <w:p w14:paraId="58B8B354">
      <w:pPr>
        <w:rPr>
          <w:rStyle w:val="47"/>
          <w:rFonts w:ascii="宋体"/>
        </w:rPr>
      </w:pPr>
    </w:p>
    <w:p w14:paraId="692794B9">
      <w:pPr>
        <w:ind w:firstLine="3780" w:firstLineChars="1800"/>
        <w:rPr>
          <w:rStyle w:val="47"/>
          <w:rFonts w:ascii="宋体"/>
        </w:rPr>
      </w:pPr>
      <w:r>
        <w:rPr>
          <w:rStyle w:val="47"/>
          <w:rFonts w:hint="eastAsia" w:ascii="宋体"/>
        </w:rPr>
        <w:t xml:space="preserve">投标单位：     （公章）             </w:t>
      </w:r>
    </w:p>
    <w:p w14:paraId="6AA933ED">
      <w:pPr>
        <w:rPr>
          <w:rStyle w:val="47"/>
          <w:rFonts w:ascii="宋体"/>
        </w:rPr>
      </w:pPr>
      <w:r>
        <w:rPr>
          <w:rStyle w:val="47"/>
          <w:rFonts w:hint="eastAsia" w:ascii="宋体"/>
        </w:rPr>
        <w:t xml:space="preserve">                                  </w:t>
      </w:r>
    </w:p>
    <w:p w14:paraId="4EE3B7B2">
      <w:pPr>
        <w:ind w:firstLine="3780" w:firstLineChars="1800"/>
        <w:rPr>
          <w:rStyle w:val="47"/>
          <w:rFonts w:ascii="宋体"/>
        </w:rPr>
      </w:pPr>
      <w:r>
        <w:rPr>
          <w:rStyle w:val="47"/>
          <w:rFonts w:hint="eastAsia" w:ascii="宋体"/>
        </w:rPr>
        <w:t>法人签字：</w:t>
      </w:r>
    </w:p>
    <w:p w14:paraId="59D695EE">
      <w:pPr>
        <w:pStyle w:val="25"/>
        <w:ind w:left="420" w:firstLine="420"/>
      </w:pPr>
    </w:p>
    <w:p w14:paraId="5865DA9B">
      <w:pPr>
        <w:ind w:firstLine="1680" w:firstLineChars="800"/>
        <w:rPr>
          <w:rStyle w:val="47"/>
          <w:rFonts w:ascii="宋体"/>
        </w:rPr>
      </w:pPr>
      <w:r>
        <w:rPr>
          <w:rStyle w:val="47"/>
          <w:rFonts w:hint="eastAsia" w:ascii="宋体"/>
        </w:rPr>
        <w:t xml:space="preserve">                    日期：</w:t>
      </w:r>
    </w:p>
    <w:p w14:paraId="70628573">
      <w:pPr>
        <w:pStyle w:val="11"/>
        <w:jc w:val="center"/>
      </w:pPr>
      <w:r>
        <w:br w:type="page"/>
      </w:r>
    </w:p>
    <w:p w14:paraId="6B2A89B1">
      <w:pPr>
        <w:pStyle w:val="5"/>
        <w:spacing w:before="0" w:after="0" w:line="480" w:lineRule="auto"/>
        <w:jc w:val="center"/>
        <w:rPr>
          <w:sz w:val="30"/>
          <w:szCs w:val="30"/>
        </w:rPr>
      </w:pPr>
      <w:bookmarkStart w:id="189" w:name="_Toc19119"/>
      <w:bookmarkStart w:id="190" w:name="_Toc24194"/>
      <w:bookmarkStart w:id="191" w:name="_二、法定代表人身份证明"/>
      <w:r>
        <w:rPr>
          <w:sz w:val="30"/>
          <w:szCs w:val="30"/>
        </w:rPr>
        <w:t>二、法定代表人身份证明</w:t>
      </w:r>
      <w:bookmarkEnd w:id="185"/>
      <w:bookmarkEnd w:id="186"/>
      <w:bookmarkEnd w:id="187"/>
      <w:bookmarkEnd w:id="188"/>
      <w:bookmarkEnd w:id="189"/>
      <w:bookmarkEnd w:id="190"/>
    </w:p>
    <w:bookmarkEnd w:id="191"/>
    <w:p w14:paraId="788C8600">
      <w:pPr>
        <w:spacing w:line="500" w:lineRule="exact"/>
        <w:ind w:firstLine="735" w:firstLineChars="350"/>
        <w:rPr>
          <w:rStyle w:val="47"/>
          <w:rFonts w:ascii="宋体" w:hAnsi="宋体"/>
          <w:szCs w:val="21"/>
        </w:rPr>
      </w:pPr>
      <w:r>
        <w:rPr>
          <w:rStyle w:val="47"/>
          <w:rFonts w:ascii="宋体" w:hAnsi="宋体"/>
          <w:szCs w:val="21"/>
        </w:rPr>
        <w:t>投 标 人：</w:t>
      </w:r>
    </w:p>
    <w:p w14:paraId="0A128937">
      <w:pPr>
        <w:spacing w:line="500" w:lineRule="exact"/>
        <w:ind w:firstLine="735" w:firstLineChars="350"/>
        <w:rPr>
          <w:rStyle w:val="47"/>
          <w:rFonts w:ascii="宋体" w:hAnsi="宋体"/>
          <w:szCs w:val="21"/>
        </w:rPr>
      </w:pPr>
      <w:r>
        <w:rPr>
          <w:rStyle w:val="47"/>
          <w:rFonts w:ascii="宋体" w:hAnsi="宋体"/>
          <w:szCs w:val="21"/>
        </w:rPr>
        <w:t>单位性质：</w:t>
      </w:r>
    </w:p>
    <w:p w14:paraId="696D6470">
      <w:pPr>
        <w:spacing w:line="500" w:lineRule="exact"/>
        <w:ind w:firstLine="735" w:firstLineChars="350"/>
        <w:rPr>
          <w:rStyle w:val="47"/>
          <w:rFonts w:ascii="宋体" w:hAnsi="宋体"/>
          <w:szCs w:val="21"/>
        </w:rPr>
      </w:pPr>
      <w:r>
        <w:rPr>
          <w:rStyle w:val="47"/>
          <w:rFonts w:ascii="宋体" w:hAnsi="宋体"/>
          <w:szCs w:val="21"/>
        </w:rPr>
        <w:t>地    址：</w:t>
      </w:r>
    </w:p>
    <w:p w14:paraId="2BF18441">
      <w:pPr>
        <w:spacing w:line="500" w:lineRule="exact"/>
        <w:ind w:firstLine="735" w:firstLineChars="350"/>
        <w:rPr>
          <w:rStyle w:val="47"/>
          <w:rFonts w:ascii="宋体" w:hAnsi="宋体"/>
          <w:szCs w:val="21"/>
        </w:rPr>
      </w:pPr>
      <w:r>
        <w:rPr>
          <w:rStyle w:val="47"/>
          <w:rFonts w:ascii="宋体" w:hAnsi="宋体"/>
          <w:szCs w:val="21"/>
        </w:rPr>
        <w:t>成立时间：</w:t>
      </w:r>
      <w:r>
        <w:rPr>
          <w:rStyle w:val="47"/>
          <w:rFonts w:hint="eastAsia" w:ascii="宋体" w:hAnsi="宋体"/>
          <w:szCs w:val="21"/>
        </w:rPr>
        <w:t xml:space="preserve"> </w:t>
      </w:r>
      <w:r>
        <w:rPr>
          <w:rStyle w:val="47"/>
          <w:rFonts w:ascii="宋体" w:hAnsi="宋体"/>
          <w:szCs w:val="21"/>
        </w:rPr>
        <w:t>年</w:t>
      </w:r>
      <w:r>
        <w:rPr>
          <w:rStyle w:val="47"/>
          <w:rFonts w:hint="eastAsia" w:ascii="宋体" w:hAnsi="宋体"/>
          <w:szCs w:val="21"/>
        </w:rPr>
        <w:t xml:space="preserve"> </w:t>
      </w:r>
      <w:r>
        <w:rPr>
          <w:rStyle w:val="47"/>
          <w:rFonts w:ascii="宋体" w:hAnsi="宋体"/>
          <w:szCs w:val="21"/>
        </w:rPr>
        <w:t>月</w:t>
      </w:r>
      <w:r>
        <w:rPr>
          <w:rStyle w:val="47"/>
          <w:rFonts w:hint="eastAsia" w:ascii="宋体" w:hAnsi="宋体"/>
          <w:szCs w:val="21"/>
        </w:rPr>
        <w:t xml:space="preserve"> </w:t>
      </w:r>
      <w:r>
        <w:rPr>
          <w:rStyle w:val="47"/>
          <w:rFonts w:ascii="宋体" w:hAnsi="宋体"/>
          <w:szCs w:val="21"/>
        </w:rPr>
        <w:t>日</w:t>
      </w:r>
    </w:p>
    <w:p w14:paraId="078636BC">
      <w:pPr>
        <w:spacing w:line="500" w:lineRule="exact"/>
        <w:ind w:firstLine="735" w:firstLineChars="350"/>
        <w:rPr>
          <w:rStyle w:val="47"/>
          <w:rFonts w:ascii="宋体" w:hAnsi="宋体"/>
          <w:szCs w:val="21"/>
        </w:rPr>
      </w:pPr>
      <w:r>
        <w:rPr>
          <w:rStyle w:val="47"/>
          <w:rFonts w:ascii="宋体" w:hAnsi="宋体"/>
          <w:szCs w:val="21"/>
        </w:rPr>
        <w:t>经营期限：</w:t>
      </w:r>
    </w:p>
    <w:p w14:paraId="32F3ED92">
      <w:pPr>
        <w:spacing w:line="500" w:lineRule="exact"/>
        <w:ind w:firstLine="735" w:firstLineChars="350"/>
        <w:rPr>
          <w:rStyle w:val="47"/>
          <w:rFonts w:ascii="宋体" w:hAnsi="宋体"/>
          <w:szCs w:val="21"/>
        </w:rPr>
      </w:pPr>
      <w:r>
        <w:rPr>
          <w:rStyle w:val="47"/>
          <w:rFonts w:ascii="宋体" w:hAnsi="宋体"/>
          <w:szCs w:val="21"/>
        </w:rPr>
        <w:t>姓    名：</w:t>
      </w:r>
      <w:r>
        <w:rPr>
          <w:rStyle w:val="47"/>
          <w:rFonts w:hint="eastAsia" w:ascii="宋体" w:hAnsi="宋体"/>
          <w:szCs w:val="21"/>
        </w:rPr>
        <w:t xml:space="preserve"> </w:t>
      </w:r>
      <w:r>
        <w:rPr>
          <w:rStyle w:val="47"/>
          <w:rFonts w:ascii="宋体" w:hAnsi="宋体"/>
          <w:szCs w:val="21"/>
        </w:rPr>
        <w:t xml:space="preserve">     性    别：</w:t>
      </w:r>
    </w:p>
    <w:p w14:paraId="64CE0F4A">
      <w:pPr>
        <w:spacing w:line="500" w:lineRule="exact"/>
        <w:ind w:firstLine="735" w:firstLineChars="350"/>
        <w:rPr>
          <w:rStyle w:val="47"/>
          <w:rFonts w:ascii="宋体" w:hAnsi="宋体"/>
          <w:szCs w:val="21"/>
          <w:u w:val="single"/>
        </w:rPr>
      </w:pPr>
      <w:r>
        <w:rPr>
          <w:rStyle w:val="47"/>
          <w:rFonts w:ascii="宋体" w:hAnsi="宋体"/>
          <w:szCs w:val="21"/>
        </w:rPr>
        <w:t>年    龄：</w:t>
      </w:r>
      <w:r>
        <w:rPr>
          <w:rStyle w:val="47"/>
          <w:rFonts w:hint="eastAsia" w:ascii="宋体" w:hAnsi="宋体"/>
          <w:szCs w:val="21"/>
        </w:rPr>
        <w:t xml:space="preserve"> </w:t>
      </w:r>
      <w:r>
        <w:rPr>
          <w:rStyle w:val="47"/>
          <w:rFonts w:ascii="宋体" w:hAnsi="宋体"/>
          <w:szCs w:val="21"/>
        </w:rPr>
        <w:t xml:space="preserve">     职    务：</w:t>
      </w:r>
    </w:p>
    <w:p w14:paraId="32E6BC74">
      <w:pPr>
        <w:spacing w:line="500" w:lineRule="exact"/>
        <w:ind w:firstLine="735" w:firstLineChars="350"/>
        <w:rPr>
          <w:rStyle w:val="47"/>
          <w:rFonts w:ascii="宋体" w:hAnsi="宋体"/>
          <w:szCs w:val="21"/>
          <w:u w:val="single"/>
        </w:rPr>
      </w:pPr>
      <w:r>
        <w:rPr>
          <w:rStyle w:val="47"/>
          <w:rFonts w:ascii="宋体" w:hAnsi="宋体"/>
          <w:szCs w:val="21"/>
        </w:rPr>
        <w:t>身份证号:</w:t>
      </w:r>
    </w:p>
    <w:p w14:paraId="285A9BF5">
      <w:pPr>
        <w:spacing w:line="500" w:lineRule="exact"/>
        <w:ind w:firstLine="735" w:firstLineChars="350"/>
        <w:rPr>
          <w:rStyle w:val="47"/>
          <w:rFonts w:ascii="宋体" w:hAnsi="宋体"/>
          <w:szCs w:val="21"/>
        </w:rPr>
      </w:pPr>
      <w:r>
        <w:rPr>
          <w:rStyle w:val="47"/>
          <w:rFonts w:ascii="宋体" w:hAnsi="宋体"/>
          <w:szCs w:val="21"/>
        </w:rPr>
        <w:t>系（投标人名称）的法定代表人。</w:t>
      </w:r>
    </w:p>
    <w:p w14:paraId="6A113D62">
      <w:pPr>
        <w:spacing w:line="500" w:lineRule="exact"/>
        <w:ind w:firstLine="735" w:firstLineChars="350"/>
        <w:rPr>
          <w:rStyle w:val="47"/>
          <w:rFonts w:ascii="宋体" w:hAnsi="宋体"/>
          <w:szCs w:val="21"/>
        </w:rPr>
      </w:pPr>
      <w:r>
        <w:rPr>
          <w:rStyle w:val="47"/>
          <w:rFonts w:ascii="宋体" w:hAnsi="宋体"/>
          <w:szCs w:val="21"/>
        </w:rPr>
        <w:t>特此证明。</w:t>
      </w:r>
    </w:p>
    <w:p w14:paraId="2760CB9D">
      <w:pPr>
        <w:spacing w:line="500" w:lineRule="exact"/>
        <w:rPr>
          <w:rStyle w:val="47"/>
          <w:rFonts w:ascii="宋体" w:hAnsi="宋体"/>
          <w:szCs w:val="21"/>
        </w:rPr>
      </w:pPr>
    </w:p>
    <w:p w14:paraId="566F2207">
      <w:pPr>
        <w:spacing w:line="500" w:lineRule="exact"/>
        <w:rPr>
          <w:rStyle w:val="47"/>
          <w:rFonts w:ascii="宋体" w:hAnsi="宋体"/>
          <w:szCs w:val="21"/>
        </w:rPr>
      </w:pPr>
    </w:p>
    <w:p w14:paraId="4613DEBA">
      <w:pPr>
        <w:spacing w:line="500" w:lineRule="exact"/>
        <w:jc w:val="right"/>
        <w:rPr>
          <w:rStyle w:val="47"/>
          <w:rFonts w:ascii="宋体" w:hAnsi="宋体"/>
          <w:szCs w:val="21"/>
        </w:rPr>
      </w:pPr>
      <w:r>
        <w:rPr>
          <w:rStyle w:val="47"/>
          <w:rFonts w:ascii="宋体" w:hAnsi="宋体"/>
          <w:szCs w:val="21"/>
        </w:rPr>
        <w:t>投标人：（盖单位公章）</w:t>
      </w:r>
    </w:p>
    <w:p w14:paraId="6F41D920">
      <w:pPr>
        <w:spacing w:line="500" w:lineRule="exact"/>
        <w:jc w:val="right"/>
        <w:rPr>
          <w:rStyle w:val="47"/>
          <w:rFonts w:ascii="宋体" w:hAnsi="宋体"/>
          <w:szCs w:val="21"/>
        </w:rPr>
      </w:pPr>
      <w:r>
        <w:rPr>
          <w:rStyle w:val="47"/>
          <w:rFonts w:ascii="宋体" w:hAnsi="宋体"/>
          <w:szCs w:val="21"/>
        </w:rPr>
        <w:t>年</w:t>
      </w:r>
      <w:r>
        <w:rPr>
          <w:rStyle w:val="47"/>
          <w:rFonts w:hint="eastAsia" w:ascii="宋体" w:hAnsi="宋体"/>
          <w:szCs w:val="21"/>
        </w:rPr>
        <w:t xml:space="preserve"> </w:t>
      </w:r>
      <w:r>
        <w:rPr>
          <w:rStyle w:val="47"/>
          <w:rFonts w:ascii="宋体" w:hAnsi="宋体"/>
          <w:szCs w:val="21"/>
        </w:rPr>
        <w:t xml:space="preserve"> 月</w:t>
      </w:r>
      <w:r>
        <w:rPr>
          <w:rStyle w:val="47"/>
          <w:rFonts w:hint="eastAsia" w:ascii="宋体" w:hAnsi="宋体"/>
          <w:szCs w:val="21"/>
        </w:rPr>
        <w:t xml:space="preserve"> </w:t>
      </w:r>
      <w:r>
        <w:rPr>
          <w:rStyle w:val="47"/>
          <w:rFonts w:ascii="宋体" w:hAnsi="宋体"/>
          <w:szCs w:val="21"/>
        </w:rPr>
        <w:t xml:space="preserve"> 日</w:t>
      </w:r>
    </w:p>
    <w:p w14:paraId="6319FCB0">
      <w:pPr>
        <w:spacing w:line="500" w:lineRule="exact"/>
        <w:ind w:right="945"/>
        <w:rPr>
          <w:rStyle w:val="47"/>
          <w:rFonts w:ascii="宋体" w:hAnsi="宋体"/>
          <w:szCs w:val="21"/>
        </w:rPr>
      </w:pPr>
      <w:r>
        <w:rPr>
          <w:rStyle w:val="47"/>
          <w:rFonts w:ascii="宋体" w:hAnsi="宋体"/>
          <w:szCs w:val="21"/>
        </w:rPr>
        <w:br w:type="page"/>
      </w:r>
    </w:p>
    <w:p w14:paraId="2DA46863">
      <w:pPr>
        <w:pStyle w:val="5"/>
        <w:spacing w:before="0" w:after="0" w:line="480" w:lineRule="auto"/>
        <w:jc w:val="center"/>
        <w:rPr>
          <w:sz w:val="30"/>
          <w:szCs w:val="30"/>
        </w:rPr>
      </w:pPr>
      <w:bookmarkStart w:id="192" w:name="_Toc22084"/>
      <w:bookmarkStart w:id="193" w:name="_Toc17817350"/>
      <w:bookmarkStart w:id="194" w:name="_Toc16064000"/>
      <w:bookmarkStart w:id="195" w:name="_Toc23544"/>
      <w:bookmarkStart w:id="196" w:name="_Toc29134"/>
      <w:bookmarkStart w:id="197" w:name="_Toc17888"/>
      <w:bookmarkStart w:id="198" w:name="_三、授权委托书"/>
      <w:r>
        <w:rPr>
          <w:sz w:val="30"/>
          <w:szCs w:val="30"/>
        </w:rPr>
        <w:t>三、授权委托书</w:t>
      </w:r>
      <w:bookmarkEnd w:id="192"/>
      <w:bookmarkEnd w:id="193"/>
      <w:bookmarkEnd w:id="194"/>
      <w:bookmarkEnd w:id="195"/>
      <w:bookmarkEnd w:id="196"/>
      <w:bookmarkEnd w:id="197"/>
    </w:p>
    <w:bookmarkEnd w:id="198"/>
    <w:p w14:paraId="673FECFB">
      <w:pPr>
        <w:spacing w:line="360" w:lineRule="auto"/>
        <w:jc w:val="center"/>
        <w:rPr>
          <w:rFonts w:ascii="宋体" w:hAnsi="宋体"/>
          <w:b/>
          <w:sz w:val="32"/>
          <w:szCs w:val="32"/>
        </w:rPr>
      </w:pPr>
      <w:bookmarkStart w:id="199" w:name="_Hlk161835218"/>
      <w:r>
        <w:rPr>
          <w:rFonts w:hint="eastAsia" w:ascii="宋体" w:hAnsi="宋体"/>
          <w:b/>
          <w:sz w:val="32"/>
          <w:szCs w:val="32"/>
        </w:rPr>
        <w:t>法人授权委托书</w:t>
      </w:r>
    </w:p>
    <w:p w14:paraId="2202D60A">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44B2A541">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3B2674B5">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3F165EE0">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26"/>
        <w:tblW w:w="9661" w:type="dxa"/>
        <w:tblInd w:w="-14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661"/>
      </w:tblGrid>
      <w:tr w14:paraId="2D51804D">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661" w:type="dxa"/>
          </w:tcPr>
          <w:p w14:paraId="6834640E">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法定代表人及委托代理人</w:t>
            </w:r>
            <w:r>
              <w:rPr>
                <w:rFonts w:hint="eastAsia" w:ascii="宋体" w:cs="宋体"/>
                <w:sz w:val="24"/>
              </w:rPr>
              <w:t>身份证正、反面复印件）</w:t>
            </w:r>
          </w:p>
          <w:p w14:paraId="55325E16">
            <w:pPr>
              <w:snapToGrid w:val="0"/>
              <w:spacing w:line="360" w:lineRule="auto"/>
              <w:ind w:firstLine="480"/>
              <w:rPr>
                <w:rFonts w:ascii="宋体" w:cs="宋体"/>
                <w:sz w:val="24"/>
              </w:rPr>
            </w:pPr>
          </w:p>
          <w:p w14:paraId="20E7E88E">
            <w:pPr>
              <w:pStyle w:val="18"/>
            </w:pPr>
          </w:p>
          <w:p w14:paraId="047B760C"/>
          <w:p w14:paraId="33A87255">
            <w:pPr>
              <w:pStyle w:val="18"/>
            </w:pPr>
          </w:p>
        </w:tc>
      </w:tr>
    </w:tbl>
    <w:p w14:paraId="4E24496F">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0A47F07C">
      <w:pPr>
        <w:tabs>
          <w:tab w:val="left" w:pos="4395"/>
        </w:tabs>
        <w:snapToGrid w:val="0"/>
        <w:spacing w:line="360" w:lineRule="auto"/>
        <w:ind w:right="240"/>
        <w:jc w:val="left"/>
        <w:rPr>
          <w:rStyle w:val="47"/>
          <w:rFonts w:ascii="宋体" w:hAnsi="宋体"/>
          <w:szCs w:val="21"/>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5B911E86">
      <w:pPr>
        <w:spacing w:line="400" w:lineRule="exact"/>
        <w:ind w:firstLine="3570" w:firstLineChars="1700"/>
        <w:jc w:val="left"/>
        <w:rPr>
          <w:rStyle w:val="47"/>
          <w:rFonts w:ascii="宋体" w:hAnsi="宋体"/>
          <w:szCs w:val="21"/>
        </w:rPr>
      </w:pPr>
      <w:r>
        <w:rPr>
          <w:rStyle w:val="47"/>
          <w:rFonts w:ascii="宋体" w:hAnsi="宋体"/>
          <w:szCs w:val="21"/>
        </w:rPr>
        <w:t>投  标  人：（盖单位公章）</w:t>
      </w:r>
    </w:p>
    <w:p w14:paraId="55300781">
      <w:pPr>
        <w:spacing w:line="400" w:lineRule="exact"/>
        <w:ind w:firstLine="3570" w:firstLineChars="1700"/>
        <w:jc w:val="left"/>
        <w:rPr>
          <w:rStyle w:val="47"/>
          <w:rFonts w:ascii="宋体" w:hAnsi="宋体"/>
          <w:szCs w:val="21"/>
        </w:rPr>
      </w:pPr>
      <w:r>
        <w:rPr>
          <w:rStyle w:val="47"/>
          <w:rFonts w:ascii="宋体" w:hAnsi="宋体"/>
          <w:szCs w:val="21"/>
        </w:rPr>
        <w:t>法定代表人：（签字或盖章）</w:t>
      </w:r>
    </w:p>
    <w:p w14:paraId="2F9B5AFE">
      <w:pPr>
        <w:spacing w:line="400" w:lineRule="exact"/>
        <w:ind w:firstLine="3570" w:firstLineChars="1700"/>
        <w:jc w:val="left"/>
        <w:rPr>
          <w:rStyle w:val="47"/>
          <w:rFonts w:ascii="宋体" w:hAnsi="宋体"/>
          <w:szCs w:val="21"/>
          <w:u w:val="single"/>
        </w:rPr>
      </w:pPr>
      <w:r>
        <w:rPr>
          <w:rStyle w:val="47"/>
          <w:rFonts w:ascii="宋体" w:hAnsi="宋体"/>
          <w:szCs w:val="21"/>
        </w:rPr>
        <w:t>身份证号码：</w:t>
      </w:r>
    </w:p>
    <w:p w14:paraId="7750BFCB">
      <w:pPr>
        <w:spacing w:line="400" w:lineRule="exact"/>
        <w:ind w:firstLine="3570" w:firstLineChars="1700"/>
        <w:jc w:val="left"/>
        <w:rPr>
          <w:rStyle w:val="47"/>
          <w:rFonts w:ascii="宋体" w:hAnsi="宋体"/>
          <w:szCs w:val="21"/>
        </w:rPr>
      </w:pPr>
      <w:r>
        <w:rPr>
          <w:rStyle w:val="47"/>
          <w:rFonts w:ascii="宋体" w:hAnsi="宋体"/>
          <w:szCs w:val="21"/>
        </w:rPr>
        <w:t>委托代理人：（签字）</w:t>
      </w:r>
    </w:p>
    <w:p w14:paraId="1BF33075">
      <w:pPr>
        <w:spacing w:line="400" w:lineRule="exact"/>
        <w:ind w:firstLine="3570" w:firstLineChars="1700"/>
        <w:jc w:val="left"/>
        <w:rPr>
          <w:rStyle w:val="47"/>
          <w:rFonts w:ascii="宋体" w:hAnsi="宋体"/>
          <w:szCs w:val="21"/>
          <w:u w:val="single"/>
        </w:rPr>
      </w:pPr>
      <w:r>
        <w:rPr>
          <w:rStyle w:val="47"/>
          <w:rFonts w:ascii="宋体" w:hAnsi="宋体"/>
          <w:szCs w:val="21"/>
        </w:rPr>
        <w:t>身份证号码：</w:t>
      </w:r>
    </w:p>
    <w:p w14:paraId="15B2E534">
      <w:pPr>
        <w:spacing w:line="400" w:lineRule="exact"/>
        <w:ind w:firstLine="3542" w:firstLineChars="1687"/>
        <w:jc w:val="left"/>
        <w:rPr>
          <w:rStyle w:val="47"/>
          <w:rFonts w:ascii="宋体" w:hAnsi="宋体"/>
          <w:szCs w:val="21"/>
        </w:rPr>
      </w:pPr>
      <w:r>
        <w:rPr>
          <w:rStyle w:val="47"/>
          <w:rFonts w:hint="eastAsia" w:ascii="宋体" w:hAnsi="宋体"/>
          <w:szCs w:val="21"/>
        </w:rPr>
        <w:t xml:space="preserve">日 </w:t>
      </w:r>
      <w:r>
        <w:rPr>
          <w:rStyle w:val="47"/>
          <w:rFonts w:ascii="宋体" w:hAnsi="宋体"/>
          <w:szCs w:val="21"/>
        </w:rPr>
        <w:t xml:space="preserve">     </w:t>
      </w:r>
      <w:r>
        <w:rPr>
          <w:rStyle w:val="47"/>
          <w:rFonts w:hint="eastAsia" w:ascii="宋体" w:hAnsi="宋体"/>
          <w:szCs w:val="21"/>
        </w:rPr>
        <w:t xml:space="preserve">期： </w:t>
      </w:r>
      <w:r>
        <w:rPr>
          <w:rStyle w:val="47"/>
          <w:rFonts w:ascii="宋体" w:hAnsi="宋体"/>
          <w:szCs w:val="21"/>
        </w:rPr>
        <w:t xml:space="preserve"> 年</w:t>
      </w:r>
      <w:r>
        <w:rPr>
          <w:rStyle w:val="47"/>
          <w:rFonts w:hint="eastAsia" w:ascii="宋体" w:hAnsi="宋体"/>
          <w:szCs w:val="21"/>
        </w:rPr>
        <w:t xml:space="preserve"> </w:t>
      </w:r>
      <w:r>
        <w:rPr>
          <w:rStyle w:val="47"/>
          <w:rFonts w:ascii="宋体" w:hAnsi="宋体"/>
          <w:szCs w:val="21"/>
        </w:rPr>
        <w:t xml:space="preserve"> 月</w:t>
      </w:r>
      <w:r>
        <w:rPr>
          <w:rStyle w:val="47"/>
          <w:rFonts w:hint="eastAsia" w:ascii="宋体" w:hAnsi="宋体"/>
          <w:szCs w:val="21"/>
        </w:rPr>
        <w:t xml:space="preserve"> </w:t>
      </w:r>
      <w:r>
        <w:rPr>
          <w:rStyle w:val="47"/>
          <w:rFonts w:ascii="宋体" w:hAnsi="宋体"/>
          <w:szCs w:val="21"/>
        </w:rPr>
        <w:t xml:space="preserve"> 日</w:t>
      </w:r>
    </w:p>
    <w:bookmarkEnd w:id="199"/>
    <w:p w14:paraId="38A9542E">
      <w:pPr>
        <w:pStyle w:val="55"/>
        <w:spacing w:before="0" w:after="0"/>
        <w:jc w:val="center"/>
        <w:rPr>
          <w:rStyle w:val="47"/>
          <w:rFonts w:ascii="宋体" w:hAnsi="宋体"/>
          <w:sz w:val="28"/>
          <w:szCs w:val="28"/>
        </w:rPr>
      </w:pPr>
      <w:r>
        <w:rPr>
          <w:rStyle w:val="47"/>
          <w:rFonts w:ascii="宋体" w:hAnsi="宋体"/>
          <w:sz w:val="28"/>
          <w:szCs w:val="28"/>
        </w:rPr>
        <w:br w:type="page"/>
      </w:r>
    </w:p>
    <w:p w14:paraId="1B1EB37E">
      <w:pPr>
        <w:pStyle w:val="5"/>
        <w:spacing w:before="0" w:after="0" w:line="480" w:lineRule="auto"/>
        <w:jc w:val="center"/>
        <w:rPr>
          <w:sz w:val="30"/>
          <w:szCs w:val="30"/>
        </w:rPr>
      </w:pPr>
      <w:bookmarkStart w:id="200" w:name="_Toc17817351"/>
      <w:bookmarkStart w:id="201" w:name="_Toc6247"/>
      <w:bookmarkStart w:id="202" w:name="_Toc20930"/>
      <w:bookmarkStart w:id="203" w:name="_Toc16064001"/>
      <w:bookmarkStart w:id="204" w:name="_Toc5908"/>
      <w:bookmarkStart w:id="205" w:name="_Toc21945"/>
      <w:bookmarkStart w:id="206" w:name="_四、投标保证金"/>
      <w:r>
        <w:rPr>
          <w:sz w:val="30"/>
          <w:szCs w:val="30"/>
        </w:rPr>
        <w:t>四、投标保证金</w:t>
      </w:r>
      <w:bookmarkEnd w:id="200"/>
      <w:bookmarkEnd w:id="201"/>
      <w:bookmarkEnd w:id="202"/>
      <w:bookmarkEnd w:id="203"/>
      <w:bookmarkEnd w:id="204"/>
      <w:bookmarkEnd w:id="205"/>
    </w:p>
    <w:bookmarkEnd w:id="206"/>
    <w:p w14:paraId="0043A99F">
      <w:pPr>
        <w:spacing w:line="460" w:lineRule="exact"/>
        <w:rPr>
          <w:rStyle w:val="47"/>
          <w:rFonts w:ascii="宋体" w:hAnsi="宋体"/>
          <w:sz w:val="24"/>
          <w:szCs w:val="20"/>
        </w:rPr>
      </w:pPr>
      <w:r>
        <w:rPr>
          <w:rStyle w:val="47"/>
          <w:rFonts w:ascii="宋体" w:hAnsi="宋体"/>
          <w:sz w:val="24"/>
          <w:szCs w:val="20"/>
        </w:rPr>
        <w:t>附：1、投标保证金汇款凭证（加盖单位公章）；</w:t>
      </w:r>
    </w:p>
    <w:p w14:paraId="50630615">
      <w:pPr>
        <w:rPr>
          <w:rStyle w:val="47"/>
          <w:rFonts w:ascii="宋体" w:hAnsi="宋体"/>
          <w:b/>
          <w:sz w:val="20"/>
          <w:szCs w:val="22"/>
        </w:rPr>
      </w:pPr>
      <w:r>
        <w:rPr>
          <w:rStyle w:val="47"/>
          <w:rFonts w:ascii="宋体" w:hAnsi="宋体"/>
          <w:sz w:val="24"/>
          <w:szCs w:val="20"/>
        </w:rPr>
        <w:t xml:space="preserve">    2、投标保证金退还信息（格式）；</w:t>
      </w:r>
    </w:p>
    <w:p w14:paraId="310D806B">
      <w:pPr>
        <w:spacing w:line="460" w:lineRule="exact"/>
        <w:rPr>
          <w:rStyle w:val="47"/>
          <w:rFonts w:ascii="宋体" w:hAnsi="宋体"/>
          <w:sz w:val="28"/>
          <w:szCs w:val="21"/>
        </w:rPr>
      </w:pPr>
    </w:p>
    <w:p w14:paraId="5456F2E4">
      <w:pPr>
        <w:jc w:val="center"/>
        <w:rPr>
          <w:rStyle w:val="47"/>
          <w:rFonts w:ascii="宋体" w:hAnsi="宋体"/>
          <w:b/>
        </w:rPr>
      </w:pPr>
    </w:p>
    <w:p w14:paraId="4EDDF60B">
      <w:pPr>
        <w:jc w:val="center"/>
        <w:rPr>
          <w:rStyle w:val="47"/>
          <w:rFonts w:ascii="宋体" w:hAnsi="宋体"/>
          <w:b/>
        </w:rPr>
      </w:pPr>
      <w:r>
        <w:rPr>
          <w:rStyle w:val="47"/>
          <w:rFonts w:ascii="宋体" w:hAnsi="宋体"/>
          <w:b/>
        </w:rPr>
        <w:t>投标保证金退还信息</w:t>
      </w:r>
    </w:p>
    <w:p w14:paraId="26B5E230">
      <w:pPr>
        <w:spacing w:line="600" w:lineRule="exact"/>
        <w:rPr>
          <w:rStyle w:val="47"/>
          <w:rFonts w:ascii="宋体" w:hAnsi="宋体"/>
          <w:sz w:val="22"/>
        </w:rPr>
      </w:pPr>
      <w:r>
        <w:rPr>
          <w:rStyle w:val="47"/>
          <w:rFonts w:hint="eastAsia" w:ascii="宋体" w:hAnsi="宋体"/>
          <w:sz w:val="22"/>
          <w:u w:val="single"/>
        </w:rPr>
        <w:t xml:space="preserve">                    </w:t>
      </w:r>
      <w:r>
        <w:rPr>
          <w:rStyle w:val="47"/>
          <w:rFonts w:ascii="宋体" w:hAnsi="宋体"/>
          <w:sz w:val="22"/>
        </w:rPr>
        <w:t>：</w:t>
      </w:r>
    </w:p>
    <w:p w14:paraId="6EC0C33B">
      <w:pPr>
        <w:spacing w:line="600" w:lineRule="exact"/>
        <w:rPr>
          <w:rStyle w:val="47"/>
          <w:rFonts w:ascii="宋体" w:hAnsi="宋体"/>
          <w:sz w:val="22"/>
        </w:rPr>
      </w:pPr>
      <w:r>
        <w:rPr>
          <w:rStyle w:val="47"/>
          <w:rFonts w:ascii="宋体" w:hAnsi="宋体"/>
          <w:sz w:val="22"/>
        </w:rPr>
        <w:t xml:space="preserve">   请贵公司将</w:t>
      </w:r>
      <w:r>
        <w:rPr>
          <w:rStyle w:val="47"/>
          <w:rFonts w:ascii="宋体" w:hAnsi="宋体"/>
          <w:sz w:val="22"/>
          <w:u w:val="single"/>
        </w:rPr>
        <w:t xml:space="preserve">                  （</w:t>
      </w:r>
      <w:r>
        <w:rPr>
          <w:rStyle w:val="47"/>
          <w:rFonts w:ascii="宋体" w:hAnsi="宋体"/>
          <w:sz w:val="22"/>
        </w:rPr>
        <w:t>项目名称）的投标保证金，退还至我公司以下账户：</w:t>
      </w:r>
    </w:p>
    <w:p w14:paraId="683FEA27">
      <w:pPr>
        <w:spacing w:line="600" w:lineRule="exact"/>
        <w:rPr>
          <w:rStyle w:val="47"/>
          <w:rFonts w:ascii="宋体" w:hAnsi="宋体"/>
          <w:sz w:val="22"/>
          <w:u w:val="single"/>
        </w:rPr>
      </w:pPr>
      <w:r>
        <w:rPr>
          <w:rStyle w:val="47"/>
          <w:rFonts w:ascii="宋体" w:hAnsi="宋体"/>
          <w:sz w:val="22"/>
        </w:rPr>
        <w:t xml:space="preserve">   开户名称： </w:t>
      </w:r>
    </w:p>
    <w:p w14:paraId="60348817">
      <w:pPr>
        <w:tabs>
          <w:tab w:val="decimal" w:pos="0"/>
          <w:tab w:val="decimal" w:pos="840"/>
          <w:tab w:val="decimal" w:pos="955"/>
        </w:tabs>
        <w:snapToGrid w:val="0"/>
        <w:spacing w:before="72" w:line="600" w:lineRule="exact"/>
        <w:ind w:firstLine="330" w:firstLineChars="150"/>
        <w:rPr>
          <w:rStyle w:val="47"/>
          <w:rFonts w:ascii="宋体" w:hAnsi="宋体"/>
          <w:sz w:val="22"/>
        </w:rPr>
      </w:pPr>
      <w:r>
        <w:rPr>
          <w:rStyle w:val="47"/>
          <w:rFonts w:ascii="宋体" w:hAnsi="宋体"/>
          <w:sz w:val="22"/>
        </w:rPr>
        <w:t xml:space="preserve">开户银行： </w:t>
      </w:r>
    </w:p>
    <w:p w14:paraId="0F85C25D">
      <w:pPr>
        <w:tabs>
          <w:tab w:val="decimal" w:pos="0"/>
          <w:tab w:val="decimal" w:pos="840"/>
          <w:tab w:val="decimal" w:pos="955"/>
        </w:tabs>
        <w:snapToGrid w:val="0"/>
        <w:spacing w:before="72" w:line="600" w:lineRule="exact"/>
        <w:ind w:firstLine="330" w:firstLineChars="150"/>
        <w:rPr>
          <w:rStyle w:val="47"/>
          <w:rFonts w:ascii="宋体" w:hAnsi="宋体"/>
          <w:sz w:val="22"/>
        </w:rPr>
      </w:pPr>
      <w:r>
        <w:rPr>
          <w:rStyle w:val="47"/>
          <w:rFonts w:ascii="宋体" w:hAnsi="宋体"/>
          <w:sz w:val="22"/>
        </w:rPr>
        <w:t>帐    号：</w:t>
      </w:r>
    </w:p>
    <w:p w14:paraId="546A0EA5">
      <w:pPr>
        <w:tabs>
          <w:tab w:val="decimal" w:pos="0"/>
          <w:tab w:val="decimal" w:pos="840"/>
          <w:tab w:val="decimal" w:pos="955"/>
        </w:tabs>
        <w:snapToGrid w:val="0"/>
        <w:spacing w:before="72" w:line="600" w:lineRule="exact"/>
        <w:ind w:firstLine="330" w:firstLineChars="150"/>
        <w:rPr>
          <w:rStyle w:val="47"/>
          <w:rFonts w:ascii="宋体" w:hAnsi="宋体"/>
          <w:sz w:val="22"/>
          <w:szCs w:val="22"/>
        </w:rPr>
      </w:pPr>
      <w:r>
        <w:rPr>
          <w:rStyle w:val="47"/>
          <w:rFonts w:hint="eastAsia" w:ascii="宋体" w:hAnsi="宋体"/>
          <w:sz w:val="22"/>
          <w:szCs w:val="22"/>
        </w:rPr>
        <w:t>联 行 号：</w:t>
      </w:r>
    </w:p>
    <w:p w14:paraId="46D621C8">
      <w:pPr>
        <w:spacing w:line="360" w:lineRule="auto"/>
        <w:rPr>
          <w:rStyle w:val="47"/>
          <w:rFonts w:ascii="宋体" w:hAnsi="宋体"/>
          <w:sz w:val="22"/>
        </w:rPr>
      </w:pPr>
    </w:p>
    <w:p w14:paraId="68B68C88">
      <w:pPr>
        <w:spacing w:line="600" w:lineRule="exact"/>
        <w:rPr>
          <w:rStyle w:val="47"/>
          <w:rFonts w:ascii="宋体" w:hAnsi="宋体"/>
          <w:sz w:val="22"/>
        </w:rPr>
      </w:pPr>
      <w:r>
        <w:rPr>
          <w:rStyle w:val="47"/>
          <w:rFonts w:ascii="宋体" w:hAnsi="宋体"/>
          <w:sz w:val="22"/>
        </w:rPr>
        <w:t xml:space="preserve">                     投标单位（盖单位公章）：                  </w:t>
      </w:r>
    </w:p>
    <w:p w14:paraId="1AB1E879">
      <w:pPr>
        <w:spacing w:line="600" w:lineRule="exact"/>
        <w:rPr>
          <w:rStyle w:val="47"/>
          <w:rFonts w:ascii="宋体" w:hAnsi="宋体"/>
          <w:sz w:val="22"/>
        </w:rPr>
      </w:pPr>
      <w:r>
        <w:rPr>
          <w:rStyle w:val="47"/>
          <w:rFonts w:ascii="宋体" w:hAnsi="宋体"/>
          <w:sz w:val="22"/>
        </w:rPr>
        <w:t xml:space="preserve">                     日  期：       年   月  日</w:t>
      </w:r>
    </w:p>
    <w:p w14:paraId="44ED92F6">
      <w:pPr>
        <w:spacing w:line="460" w:lineRule="exact"/>
        <w:rPr>
          <w:rStyle w:val="47"/>
          <w:rFonts w:ascii="宋体" w:hAnsi="宋体"/>
          <w:b/>
          <w:bCs/>
          <w:szCs w:val="42"/>
        </w:rPr>
      </w:pPr>
      <w:r>
        <w:rPr>
          <w:rStyle w:val="47"/>
          <w:rFonts w:ascii="宋体" w:hAnsi="宋体"/>
          <w:b/>
          <w:bCs/>
          <w:szCs w:val="42"/>
        </w:rPr>
        <w:t>备注：</w:t>
      </w:r>
    </w:p>
    <w:p w14:paraId="776D2FA3">
      <w:pPr>
        <w:numPr>
          <w:ilvl w:val="0"/>
          <w:numId w:val="16"/>
        </w:numPr>
        <w:spacing w:line="460" w:lineRule="exact"/>
        <w:rPr>
          <w:rStyle w:val="47"/>
          <w:rFonts w:ascii="宋体" w:hAnsi="宋体"/>
          <w:b/>
          <w:bCs/>
          <w:szCs w:val="42"/>
        </w:rPr>
      </w:pPr>
      <w:r>
        <w:rPr>
          <w:rStyle w:val="47"/>
          <w:rFonts w:ascii="宋体" w:hAnsi="宋体"/>
          <w:b/>
          <w:bCs/>
          <w:szCs w:val="42"/>
        </w:rPr>
        <w:t>以上信息用于退还投标保证金</w:t>
      </w:r>
      <w:r>
        <w:rPr>
          <w:rStyle w:val="47"/>
          <w:rFonts w:hint="eastAsia" w:ascii="宋体" w:hAnsi="宋体"/>
          <w:b/>
          <w:bCs/>
          <w:szCs w:val="42"/>
        </w:rPr>
        <w:t>，缺少以上任意一条信息均无法退还投标保证金</w:t>
      </w:r>
      <w:r>
        <w:rPr>
          <w:rStyle w:val="47"/>
          <w:rFonts w:ascii="宋体" w:hAnsi="宋体"/>
          <w:b/>
          <w:bCs/>
          <w:szCs w:val="42"/>
        </w:rPr>
        <w:t>。</w:t>
      </w:r>
    </w:p>
    <w:p w14:paraId="332ED995">
      <w:pPr>
        <w:numPr>
          <w:ilvl w:val="0"/>
          <w:numId w:val="16"/>
        </w:numPr>
        <w:spacing w:line="460" w:lineRule="exact"/>
        <w:rPr>
          <w:rStyle w:val="47"/>
          <w:rFonts w:ascii="宋体" w:hAnsi="宋体"/>
          <w:b/>
          <w:bCs/>
          <w:szCs w:val="42"/>
        </w:rPr>
      </w:pPr>
      <w:r>
        <w:rPr>
          <w:rStyle w:val="47"/>
          <w:rFonts w:hint="eastAsia" w:ascii="宋体" w:hAnsi="宋体"/>
          <w:b/>
          <w:bCs/>
          <w:szCs w:val="42"/>
        </w:rPr>
        <w:t>按照招投标法保证金返还相关条款约定，结合我公司财务管理流程等综合因素，保证金退款流程申请成功退款到账时间为：未中标单位自定标之日起最长约60天；</w:t>
      </w:r>
      <w:bookmarkStart w:id="207" w:name="_Hlk161835260"/>
      <w:r>
        <w:rPr>
          <w:rStyle w:val="47"/>
          <w:rFonts w:hint="eastAsia" w:ascii="宋体" w:hAnsi="宋体"/>
          <w:b/>
          <w:bCs/>
          <w:szCs w:val="42"/>
        </w:rPr>
        <w:t>中标人的投标保证金，自动转为履约保证金，待本工程按期竣工验收后予以退还，</w:t>
      </w:r>
      <w:bookmarkEnd w:id="207"/>
      <w:r>
        <w:rPr>
          <w:rStyle w:val="47"/>
          <w:rFonts w:hint="eastAsia" w:ascii="宋体" w:hAnsi="宋体"/>
          <w:b/>
          <w:bCs/>
          <w:szCs w:val="42"/>
        </w:rPr>
        <w:t>因中标人原因导致工期延误产生的工期违约金直接从投标保证金中扣除。退款方式为无息退款。请各投标单位知悉且视为认同此条款。</w:t>
      </w:r>
    </w:p>
    <w:p w14:paraId="07F76FC4">
      <w:pPr>
        <w:spacing w:line="460" w:lineRule="exact"/>
        <w:jc w:val="center"/>
        <w:rPr>
          <w:rStyle w:val="47"/>
          <w:rFonts w:ascii="宋体" w:hAnsi="宋体"/>
          <w:szCs w:val="21"/>
        </w:rPr>
      </w:pPr>
    </w:p>
    <w:p w14:paraId="10B48870">
      <w:pPr>
        <w:spacing w:line="460" w:lineRule="exact"/>
        <w:jc w:val="right"/>
        <w:rPr>
          <w:rStyle w:val="47"/>
          <w:rFonts w:ascii="宋体" w:hAnsi="宋体"/>
          <w:szCs w:val="21"/>
        </w:rPr>
      </w:pPr>
    </w:p>
    <w:p w14:paraId="1149B760">
      <w:pPr>
        <w:spacing w:line="460" w:lineRule="exact"/>
        <w:rPr>
          <w:rStyle w:val="47"/>
          <w:rFonts w:ascii="宋体" w:hAnsi="宋体"/>
          <w:szCs w:val="21"/>
        </w:rPr>
      </w:pPr>
    </w:p>
    <w:p w14:paraId="344EE15F">
      <w:pPr>
        <w:pStyle w:val="55"/>
        <w:spacing w:before="0" w:after="0"/>
        <w:jc w:val="center"/>
        <w:rPr>
          <w:rStyle w:val="47"/>
          <w:rFonts w:ascii="宋体" w:hAnsi="宋体"/>
          <w:szCs w:val="21"/>
        </w:rPr>
      </w:pPr>
      <w:r>
        <w:rPr>
          <w:rStyle w:val="47"/>
          <w:rFonts w:ascii="宋体" w:hAnsi="宋体"/>
          <w:szCs w:val="21"/>
        </w:rPr>
        <w:br w:type="page"/>
      </w:r>
    </w:p>
    <w:p w14:paraId="1A32F9DB">
      <w:pPr>
        <w:pStyle w:val="5"/>
        <w:spacing w:before="0" w:after="0" w:line="480" w:lineRule="auto"/>
        <w:jc w:val="center"/>
        <w:rPr>
          <w:sz w:val="30"/>
          <w:szCs w:val="30"/>
        </w:rPr>
      </w:pPr>
      <w:bookmarkStart w:id="208" w:name="_Toc16799"/>
      <w:bookmarkStart w:id="209" w:name="_Toc10544"/>
      <w:bookmarkStart w:id="210" w:name="_Toc16064002"/>
      <w:bookmarkStart w:id="211" w:name="_Toc17817352"/>
      <w:bookmarkStart w:id="212" w:name="_Toc16450"/>
      <w:bookmarkStart w:id="213" w:name="_Toc27670"/>
      <w:bookmarkStart w:id="214" w:name="_五、已标价工程量清单"/>
      <w:r>
        <w:rPr>
          <w:sz w:val="30"/>
          <w:szCs w:val="30"/>
        </w:rPr>
        <w:t>五、已标价工程量清单</w:t>
      </w:r>
      <w:bookmarkEnd w:id="208"/>
      <w:bookmarkEnd w:id="209"/>
      <w:bookmarkEnd w:id="210"/>
      <w:bookmarkEnd w:id="211"/>
      <w:bookmarkEnd w:id="212"/>
      <w:bookmarkEnd w:id="213"/>
    </w:p>
    <w:bookmarkEnd w:id="214"/>
    <w:p w14:paraId="62DD656F">
      <w:pPr>
        <w:spacing w:line="460" w:lineRule="exact"/>
        <w:rPr>
          <w:rStyle w:val="47"/>
          <w:rFonts w:ascii="宋体" w:hAnsi="宋体"/>
          <w:szCs w:val="21"/>
        </w:rPr>
      </w:pPr>
      <w:r>
        <w:rPr>
          <w:rStyle w:val="47"/>
          <w:rFonts w:ascii="宋体" w:hAnsi="宋体"/>
          <w:szCs w:val="21"/>
        </w:rPr>
        <w:t>说明：已标价工程量清单按第五章“工程量清单”中的相关清单表格式填写。构成合同文件的已标价工程量清单包括第五章“工程量清单”有关工程量清单、投标报价以及其他说明的内容。</w:t>
      </w:r>
    </w:p>
    <w:p w14:paraId="12F4A3E2">
      <w:pPr>
        <w:pStyle w:val="55"/>
        <w:jc w:val="center"/>
        <w:rPr>
          <w:sz w:val="30"/>
          <w:szCs w:val="30"/>
        </w:rPr>
      </w:pPr>
      <w:r>
        <w:rPr>
          <w:rStyle w:val="47"/>
          <w:rFonts w:ascii="宋体" w:hAnsi="宋体"/>
          <w:szCs w:val="21"/>
        </w:rPr>
        <w:br w:type="page"/>
      </w:r>
      <w:bookmarkStart w:id="215" w:name="_Toc16064003"/>
      <w:bookmarkStart w:id="216" w:name="_Toc17817353"/>
    </w:p>
    <w:p w14:paraId="55FE87CA">
      <w:pPr>
        <w:pStyle w:val="5"/>
        <w:numPr>
          <w:ilvl w:val="0"/>
          <w:numId w:val="17"/>
        </w:numPr>
        <w:spacing w:before="0" w:after="0" w:line="480" w:lineRule="auto"/>
        <w:jc w:val="center"/>
        <w:rPr>
          <w:sz w:val="30"/>
          <w:szCs w:val="30"/>
        </w:rPr>
      </w:pPr>
      <w:bookmarkStart w:id="217" w:name="_Toc5708"/>
      <w:bookmarkStart w:id="218" w:name="_Toc20472"/>
      <w:bookmarkStart w:id="219" w:name="_Toc1777"/>
      <w:bookmarkStart w:id="220" w:name="_Toc29645"/>
      <w:bookmarkStart w:id="221" w:name="_施工组织设计"/>
      <w:r>
        <w:rPr>
          <w:sz w:val="30"/>
          <w:szCs w:val="30"/>
        </w:rPr>
        <w:t>施工组织设计</w:t>
      </w:r>
      <w:bookmarkEnd w:id="215"/>
      <w:bookmarkEnd w:id="216"/>
      <w:bookmarkEnd w:id="217"/>
      <w:bookmarkEnd w:id="218"/>
      <w:bookmarkEnd w:id="219"/>
      <w:bookmarkEnd w:id="220"/>
    </w:p>
    <w:bookmarkEnd w:id="221"/>
    <w:p w14:paraId="3DCDA0B9">
      <w:pPr>
        <w:spacing w:line="420" w:lineRule="exact"/>
        <w:ind w:firstLine="409" w:firstLineChars="195"/>
        <w:rPr>
          <w:rFonts w:ascii="宋体"/>
        </w:rPr>
      </w:pPr>
      <w:r>
        <w:rPr>
          <w:rFonts w:hint="eastAsia" w:ascii="宋体"/>
        </w:rPr>
        <w:t>投标人应根据招标文件和对现场的勘察情况，采用文字并结合图表形式，参考以下要点及顺序编制本工程的施工组织设计：</w:t>
      </w:r>
    </w:p>
    <w:p w14:paraId="18FA83F5">
      <w:pPr>
        <w:spacing w:line="420" w:lineRule="exact"/>
        <w:ind w:firstLine="200"/>
        <w:rPr>
          <w:rStyle w:val="47"/>
          <w:rFonts w:ascii="宋体"/>
        </w:rPr>
      </w:pPr>
      <w:r>
        <w:rPr>
          <w:rStyle w:val="47"/>
          <w:rFonts w:ascii="宋体"/>
        </w:rPr>
        <w:t>（1）</w:t>
      </w:r>
      <w:r>
        <w:rPr>
          <w:rStyle w:val="47"/>
          <w:rFonts w:hint="eastAsia" w:ascii="宋体"/>
        </w:rPr>
        <w:t>施工组织总体方案等进行阐述，力求简洁</w:t>
      </w:r>
      <w:r>
        <w:rPr>
          <w:rStyle w:val="47"/>
          <w:rFonts w:ascii="宋体"/>
        </w:rPr>
        <w:t>；</w:t>
      </w:r>
    </w:p>
    <w:p w14:paraId="7AD7B3F4">
      <w:pPr>
        <w:spacing w:line="420" w:lineRule="exact"/>
        <w:ind w:firstLine="200"/>
        <w:rPr>
          <w:rStyle w:val="47"/>
          <w:rFonts w:ascii="宋体"/>
        </w:rPr>
      </w:pPr>
      <w:r>
        <w:rPr>
          <w:rStyle w:val="47"/>
          <w:rFonts w:ascii="宋体"/>
        </w:rPr>
        <w:t>（2）</w:t>
      </w:r>
      <w:r>
        <w:rPr>
          <w:rFonts w:hint="eastAsia" w:ascii="宋体" w:cs="宋体"/>
          <w:kern w:val="0"/>
          <w:szCs w:val="21"/>
        </w:rPr>
        <w:t>施工进度计划及保证措施</w:t>
      </w:r>
      <w:r>
        <w:rPr>
          <w:rFonts w:hint="eastAsia" w:ascii="宋体" w:cs="宋体"/>
        </w:rPr>
        <w:t>（</w:t>
      </w:r>
      <w:r>
        <w:rPr>
          <w:rFonts w:hint="eastAsia" w:ascii="宋体" w:cs="宋体"/>
          <w:kern w:val="0"/>
          <w:szCs w:val="21"/>
        </w:rPr>
        <w:t>1、要求根据建设单位提供的关键节点，提供施工总进度横道图或网络图计划，施工内容要切合实际、全面；2、列举分析本工程的工期风险点及应对保证措施</w:t>
      </w:r>
      <w:r>
        <w:rPr>
          <w:rFonts w:hint="eastAsia" w:ascii="宋体" w:cs="宋体"/>
        </w:rPr>
        <w:t>）</w:t>
      </w:r>
      <w:r>
        <w:rPr>
          <w:rStyle w:val="47"/>
          <w:rFonts w:ascii="宋体"/>
        </w:rPr>
        <w:t>；</w:t>
      </w:r>
    </w:p>
    <w:p w14:paraId="62DFDA65">
      <w:pPr>
        <w:spacing w:line="420" w:lineRule="exact"/>
        <w:ind w:firstLine="210" w:firstLineChars="100"/>
        <w:rPr>
          <w:rStyle w:val="47"/>
          <w:rFonts w:ascii="宋体"/>
        </w:rPr>
      </w:pPr>
      <w:r>
        <w:rPr>
          <w:rStyle w:val="47"/>
          <w:rFonts w:ascii="宋体"/>
        </w:rPr>
        <w:t>（3）</w:t>
      </w:r>
      <w:r>
        <w:rPr>
          <w:rFonts w:hint="eastAsia" w:ascii="宋体" w:cs="宋体"/>
        </w:rPr>
        <w:t>关键施工技术、工艺及工程实施的重点、难点分析（要求提炼出招标项目的关键施工工艺、施工重难点、危险性较大的专项工程等）</w:t>
      </w:r>
      <w:r>
        <w:rPr>
          <w:rStyle w:val="47"/>
          <w:rFonts w:ascii="宋体"/>
        </w:rPr>
        <w:t>；</w:t>
      </w:r>
    </w:p>
    <w:p w14:paraId="2A960908">
      <w:pPr>
        <w:spacing w:line="420" w:lineRule="exact"/>
        <w:ind w:firstLine="200"/>
        <w:rPr>
          <w:rStyle w:val="47"/>
          <w:rFonts w:ascii="宋体"/>
        </w:rPr>
      </w:pPr>
      <w:r>
        <w:rPr>
          <w:rStyle w:val="47"/>
          <w:rFonts w:ascii="宋体"/>
        </w:rPr>
        <w:t>（4）</w:t>
      </w:r>
      <w:r>
        <w:rPr>
          <w:rStyle w:val="47"/>
          <w:rFonts w:hint="eastAsia" w:ascii="宋体"/>
        </w:rPr>
        <w:t>质量</w:t>
      </w:r>
      <w:r>
        <w:rPr>
          <w:rStyle w:val="47"/>
          <w:rFonts w:ascii="宋体"/>
        </w:rPr>
        <w:t>保证措施</w:t>
      </w:r>
      <w:r>
        <w:rPr>
          <w:rFonts w:hint="eastAsia" w:ascii="宋体" w:cs="宋体"/>
          <w:kern w:val="0"/>
          <w:szCs w:val="21"/>
        </w:rPr>
        <w:t>（要求针对性分析本工程容易出现的质量通病、质量控制重点和保证措施）</w:t>
      </w:r>
      <w:r>
        <w:rPr>
          <w:rStyle w:val="47"/>
          <w:rFonts w:ascii="宋体"/>
        </w:rPr>
        <w:t>；</w:t>
      </w:r>
    </w:p>
    <w:p w14:paraId="389E4544">
      <w:pPr>
        <w:spacing w:line="420" w:lineRule="exact"/>
        <w:ind w:firstLine="200"/>
        <w:rPr>
          <w:rStyle w:val="47"/>
          <w:rFonts w:ascii="宋体"/>
        </w:rPr>
      </w:pPr>
      <w:r>
        <w:rPr>
          <w:rStyle w:val="47"/>
          <w:rFonts w:ascii="宋体"/>
        </w:rPr>
        <w:t>（5）</w:t>
      </w:r>
      <w:r>
        <w:rPr>
          <w:rFonts w:hint="eastAsia" w:ascii="宋体" w:cs="宋体"/>
          <w:kern w:val="0"/>
          <w:szCs w:val="21"/>
        </w:rPr>
        <w:t>安全文明施工措施（要求对安全生产、文明施工、环境保护及防尘、施工措施，制定保证措施和承诺）</w:t>
      </w:r>
      <w:r>
        <w:rPr>
          <w:rStyle w:val="47"/>
          <w:rFonts w:ascii="宋体"/>
        </w:rPr>
        <w:t>；</w:t>
      </w:r>
    </w:p>
    <w:p w14:paraId="2382AC01">
      <w:pPr>
        <w:spacing w:line="420" w:lineRule="exact"/>
        <w:ind w:firstLine="200"/>
        <w:rPr>
          <w:rStyle w:val="47"/>
          <w:rFonts w:hint="eastAsia" w:ascii="宋体"/>
          <w:lang w:val="en-US" w:eastAsia="zh-CN"/>
        </w:rPr>
      </w:pPr>
      <w:r>
        <w:rPr>
          <w:rStyle w:val="47"/>
          <w:rFonts w:ascii="宋体"/>
        </w:rPr>
        <w:t>（</w:t>
      </w:r>
      <w:r>
        <w:rPr>
          <w:rStyle w:val="47"/>
          <w:rFonts w:hint="eastAsia" w:ascii="宋体"/>
        </w:rPr>
        <w:t>6</w:t>
      </w:r>
      <w:r>
        <w:rPr>
          <w:rStyle w:val="47"/>
          <w:rFonts w:ascii="宋体"/>
        </w:rPr>
        <w:t>）</w:t>
      </w:r>
      <w:r>
        <w:rPr>
          <w:rStyle w:val="47"/>
          <w:rFonts w:hint="eastAsia" w:ascii="宋体"/>
          <w:lang w:val="en-US" w:eastAsia="zh-CN"/>
        </w:rPr>
        <w:t>本次拟选用的定制房屋加工厂家以及厂家相关能力介绍；</w:t>
      </w:r>
    </w:p>
    <w:p w14:paraId="3984A03D">
      <w:pPr>
        <w:spacing w:line="420" w:lineRule="exact"/>
        <w:ind w:firstLine="200"/>
        <w:rPr>
          <w:rStyle w:val="47"/>
          <w:rFonts w:ascii="宋体"/>
        </w:rPr>
      </w:pPr>
      <w:r>
        <w:rPr>
          <w:rStyle w:val="47"/>
          <w:rFonts w:hint="eastAsia" w:ascii="宋体"/>
          <w:lang w:val="en-US" w:eastAsia="zh-CN"/>
        </w:rPr>
        <w:t>（7）</w:t>
      </w:r>
      <w:r>
        <w:rPr>
          <w:rStyle w:val="47"/>
          <w:rFonts w:ascii="宋体"/>
        </w:rPr>
        <w:t>招标文件规定的其他内容。</w:t>
      </w:r>
    </w:p>
    <w:p w14:paraId="0ED00727">
      <w:pPr>
        <w:spacing w:line="420" w:lineRule="exact"/>
        <w:ind w:firstLine="200"/>
        <w:rPr>
          <w:rStyle w:val="47"/>
          <w:rFonts w:ascii="宋体"/>
        </w:rPr>
      </w:pPr>
    </w:p>
    <w:p w14:paraId="3FA9CD11">
      <w:pPr>
        <w:pStyle w:val="25"/>
      </w:pPr>
    </w:p>
    <w:p w14:paraId="3B9B6106">
      <w:pPr>
        <w:spacing w:before="120" w:after="240" w:line="420" w:lineRule="exact"/>
        <w:jc w:val="center"/>
        <w:rPr>
          <w:rStyle w:val="47"/>
          <w:rFonts w:ascii="宋体" w:hAnsi="宋体"/>
          <w:szCs w:val="21"/>
        </w:rPr>
      </w:pPr>
      <w:r>
        <w:rPr>
          <w:rStyle w:val="47"/>
          <w:rFonts w:ascii="宋体" w:hAnsi="宋体"/>
          <w:szCs w:val="21"/>
        </w:rPr>
        <w:br w:type="page"/>
      </w:r>
    </w:p>
    <w:p w14:paraId="51412CBE">
      <w:pPr>
        <w:pStyle w:val="5"/>
        <w:numPr>
          <w:ilvl w:val="0"/>
          <w:numId w:val="17"/>
        </w:numPr>
        <w:spacing w:before="0" w:after="0" w:line="480" w:lineRule="auto"/>
        <w:jc w:val="center"/>
        <w:rPr>
          <w:rFonts w:hint="eastAsia" w:eastAsia="宋体" w:cs="Times New Roman"/>
          <w:sz w:val="30"/>
          <w:szCs w:val="30"/>
          <w:lang w:val="en-US" w:eastAsia="zh-CN"/>
        </w:rPr>
      </w:pPr>
      <w:bookmarkStart w:id="222" w:name="_Toc6584"/>
      <w:bookmarkStart w:id="223" w:name="_Toc13419"/>
      <w:bookmarkStart w:id="224" w:name="_Toc14289"/>
      <w:bookmarkStart w:id="225" w:name="_Toc29703"/>
      <w:bookmarkStart w:id="226" w:name="_其他材料"/>
      <w:r>
        <w:rPr>
          <w:rFonts w:hint="eastAsia" w:eastAsia="宋体" w:cs="Times New Roman"/>
          <w:sz w:val="30"/>
          <w:szCs w:val="30"/>
          <w:lang w:val="en-US" w:eastAsia="zh-CN"/>
        </w:rPr>
        <w:t>其他材料</w:t>
      </w:r>
      <w:bookmarkEnd w:id="222"/>
      <w:bookmarkEnd w:id="223"/>
      <w:bookmarkEnd w:id="224"/>
      <w:bookmarkEnd w:id="225"/>
    </w:p>
    <w:bookmarkEnd w:id="226"/>
    <w:p w14:paraId="3AEE9229">
      <w:pPr>
        <w:spacing w:line="500" w:lineRule="exact"/>
        <w:rPr>
          <w:rStyle w:val="47"/>
          <w:rFonts w:ascii="宋体" w:hAnsi="宋体"/>
          <w:b/>
          <w:szCs w:val="21"/>
        </w:rPr>
      </w:pPr>
    </w:p>
    <w:p w14:paraId="2435FAE1">
      <w:pPr>
        <w:spacing w:line="500" w:lineRule="exact"/>
        <w:jc w:val="center"/>
        <w:rPr>
          <w:rStyle w:val="47"/>
          <w:rFonts w:ascii="宋体" w:hAnsi="宋体"/>
          <w:b/>
          <w:szCs w:val="21"/>
        </w:rPr>
      </w:pPr>
      <w:r>
        <w:rPr>
          <w:rStyle w:val="47"/>
          <w:rFonts w:ascii="宋体" w:hAnsi="宋体"/>
          <w:b/>
          <w:szCs w:val="21"/>
        </w:rPr>
        <w:t>（格式自行设定）</w:t>
      </w:r>
    </w:p>
    <w:p w14:paraId="38E523EC">
      <w:pPr>
        <w:rPr>
          <w:rStyle w:val="47"/>
          <w:rFonts w:ascii="宋体" w:hAnsi="宋体"/>
        </w:rPr>
      </w:pPr>
    </w:p>
    <w:p w14:paraId="5E5A563F">
      <w:pPr>
        <w:rPr>
          <w:rStyle w:val="47"/>
          <w:rFonts w:ascii="宋体" w:hAnsi="宋体"/>
        </w:rPr>
      </w:pPr>
      <w:r>
        <w:rPr>
          <w:rStyle w:val="47"/>
          <w:rFonts w:ascii="宋体" w:hAnsi="宋体"/>
        </w:rPr>
        <w:t>备注：对于招标文件要求的内容，招标文件有固定格式的执行固定格式，没有格式的自行设计格式。</w:t>
      </w:r>
    </w:p>
    <w:p w14:paraId="42527C8F">
      <w:pPr>
        <w:rPr>
          <w:i w:val="0"/>
          <w:iCs w:val="0"/>
          <w:sz w:val="32"/>
          <w:szCs w:val="32"/>
        </w:rPr>
      </w:pPr>
      <w:bookmarkStart w:id="227" w:name="_Toc22263"/>
      <w:bookmarkStart w:id="228" w:name="_Toc17817356"/>
      <w:bookmarkStart w:id="229" w:name="_Toc3649"/>
      <w:bookmarkStart w:id="230" w:name="_Toc6830"/>
      <w:r>
        <w:rPr>
          <w:i w:val="0"/>
          <w:iCs w:val="0"/>
          <w:sz w:val="32"/>
          <w:szCs w:val="32"/>
        </w:rPr>
        <w:br w:type="page"/>
      </w:r>
    </w:p>
    <w:p w14:paraId="1396BA5B">
      <w:pPr>
        <w:pStyle w:val="4"/>
        <w:jc w:val="center"/>
        <w:rPr>
          <w:i w:val="0"/>
          <w:iCs w:val="0"/>
          <w:sz w:val="32"/>
          <w:szCs w:val="32"/>
        </w:rPr>
      </w:pPr>
      <w:bookmarkStart w:id="231" w:name="_Toc2777"/>
      <w:r>
        <w:rPr>
          <w:i w:val="0"/>
          <w:iCs w:val="0"/>
          <w:sz w:val="32"/>
          <w:szCs w:val="32"/>
        </w:rPr>
        <w:t>第九章  资格审查文件</w:t>
      </w:r>
      <w:bookmarkEnd w:id="227"/>
      <w:bookmarkEnd w:id="228"/>
      <w:bookmarkEnd w:id="229"/>
      <w:bookmarkEnd w:id="230"/>
      <w:bookmarkEnd w:id="231"/>
    </w:p>
    <w:p w14:paraId="0B0E538D"/>
    <w:p w14:paraId="23509FDE"/>
    <w:p w14:paraId="4FDADAE7">
      <w:pPr>
        <w:jc w:val="center"/>
        <w:rPr>
          <w:rStyle w:val="47"/>
          <w:rFonts w:ascii="宋体" w:hAnsi="宋体"/>
          <w:sz w:val="28"/>
          <w:szCs w:val="28"/>
        </w:rPr>
      </w:pPr>
      <w:r>
        <w:rPr>
          <w:rStyle w:val="47"/>
          <w:rFonts w:ascii="宋体" w:hAnsi="宋体"/>
          <w:sz w:val="28"/>
          <w:szCs w:val="28"/>
        </w:rPr>
        <w:t>（项目名称）</w:t>
      </w:r>
    </w:p>
    <w:p w14:paraId="670B2F0D">
      <w:pPr>
        <w:spacing w:before="240"/>
        <w:jc w:val="center"/>
        <w:rPr>
          <w:rStyle w:val="47"/>
          <w:rFonts w:ascii="宋体" w:hAnsi="宋体"/>
          <w:sz w:val="44"/>
          <w:szCs w:val="44"/>
        </w:rPr>
      </w:pPr>
    </w:p>
    <w:p w14:paraId="110337B7">
      <w:pPr>
        <w:spacing w:before="240"/>
        <w:jc w:val="center"/>
        <w:rPr>
          <w:rStyle w:val="47"/>
          <w:rFonts w:ascii="宋体" w:hAnsi="宋体"/>
          <w:sz w:val="44"/>
          <w:szCs w:val="44"/>
        </w:rPr>
      </w:pPr>
    </w:p>
    <w:p w14:paraId="1C144BDF">
      <w:pPr>
        <w:spacing w:before="240"/>
        <w:jc w:val="center"/>
        <w:rPr>
          <w:rStyle w:val="47"/>
          <w:rFonts w:ascii="宋体" w:hAnsi="宋体"/>
          <w:sz w:val="44"/>
          <w:szCs w:val="44"/>
        </w:rPr>
      </w:pPr>
      <w:r>
        <w:rPr>
          <w:rStyle w:val="47"/>
          <w:rFonts w:ascii="宋体" w:hAnsi="宋体"/>
          <w:sz w:val="44"/>
          <w:szCs w:val="44"/>
        </w:rPr>
        <w:t>资格审查文件</w:t>
      </w:r>
    </w:p>
    <w:p w14:paraId="03DE4934">
      <w:pPr>
        <w:jc w:val="center"/>
        <w:rPr>
          <w:rStyle w:val="47"/>
          <w:rFonts w:ascii="宋体" w:hAnsi="宋体"/>
          <w:sz w:val="32"/>
          <w:szCs w:val="32"/>
        </w:rPr>
      </w:pPr>
    </w:p>
    <w:p w14:paraId="11653CCC">
      <w:pPr>
        <w:jc w:val="center"/>
        <w:rPr>
          <w:rStyle w:val="47"/>
          <w:rFonts w:ascii="宋体" w:hAnsi="宋体"/>
          <w:sz w:val="32"/>
          <w:szCs w:val="32"/>
        </w:rPr>
      </w:pPr>
    </w:p>
    <w:p w14:paraId="74B7097F">
      <w:pPr>
        <w:jc w:val="center"/>
        <w:rPr>
          <w:rStyle w:val="47"/>
          <w:rFonts w:ascii="宋体" w:hAnsi="宋体"/>
          <w:sz w:val="32"/>
          <w:szCs w:val="32"/>
        </w:rPr>
      </w:pPr>
    </w:p>
    <w:p w14:paraId="682491AC">
      <w:pPr>
        <w:jc w:val="center"/>
        <w:rPr>
          <w:rStyle w:val="47"/>
          <w:rFonts w:ascii="宋体" w:hAnsi="宋体"/>
          <w:sz w:val="32"/>
          <w:szCs w:val="32"/>
        </w:rPr>
      </w:pPr>
    </w:p>
    <w:p w14:paraId="2D4D3EAF">
      <w:pPr>
        <w:jc w:val="center"/>
        <w:rPr>
          <w:rStyle w:val="47"/>
          <w:rFonts w:ascii="宋体" w:hAnsi="宋体"/>
          <w:sz w:val="32"/>
          <w:szCs w:val="32"/>
        </w:rPr>
      </w:pPr>
    </w:p>
    <w:p w14:paraId="455B8E0A">
      <w:pPr>
        <w:jc w:val="center"/>
        <w:rPr>
          <w:rStyle w:val="47"/>
          <w:rFonts w:ascii="宋体" w:hAnsi="宋体"/>
          <w:sz w:val="32"/>
          <w:szCs w:val="32"/>
        </w:rPr>
      </w:pPr>
    </w:p>
    <w:p w14:paraId="1EEC0220">
      <w:pPr>
        <w:jc w:val="center"/>
        <w:rPr>
          <w:rStyle w:val="47"/>
          <w:rFonts w:ascii="宋体" w:hAnsi="宋体"/>
          <w:sz w:val="32"/>
          <w:szCs w:val="32"/>
        </w:rPr>
      </w:pPr>
    </w:p>
    <w:p w14:paraId="6C543F35">
      <w:pPr>
        <w:jc w:val="center"/>
        <w:rPr>
          <w:rStyle w:val="47"/>
          <w:rFonts w:ascii="宋体" w:hAnsi="宋体"/>
          <w:sz w:val="32"/>
          <w:szCs w:val="32"/>
        </w:rPr>
      </w:pPr>
    </w:p>
    <w:p w14:paraId="08F679A1">
      <w:pPr>
        <w:jc w:val="center"/>
        <w:rPr>
          <w:rStyle w:val="47"/>
          <w:rFonts w:ascii="宋体" w:hAnsi="宋体"/>
          <w:sz w:val="32"/>
          <w:szCs w:val="32"/>
        </w:rPr>
      </w:pPr>
    </w:p>
    <w:p w14:paraId="3212E02D">
      <w:pPr>
        <w:jc w:val="center"/>
        <w:rPr>
          <w:rStyle w:val="47"/>
          <w:rFonts w:ascii="宋体" w:hAnsi="宋体"/>
          <w:sz w:val="32"/>
          <w:szCs w:val="32"/>
        </w:rPr>
      </w:pPr>
    </w:p>
    <w:p w14:paraId="430524C7">
      <w:pPr>
        <w:spacing w:line="360" w:lineRule="auto"/>
        <w:ind w:firstLine="2520" w:firstLineChars="900"/>
        <w:rPr>
          <w:rStyle w:val="47"/>
          <w:rFonts w:ascii="宋体" w:hAnsi="宋体"/>
          <w:sz w:val="28"/>
          <w:szCs w:val="28"/>
        </w:rPr>
      </w:pPr>
      <w:r>
        <w:rPr>
          <w:rStyle w:val="47"/>
          <w:rFonts w:ascii="宋体" w:hAnsi="宋体"/>
          <w:sz w:val="28"/>
          <w:szCs w:val="28"/>
        </w:rPr>
        <w:t>投标人：（盖单位公章）</w:t>
      </w:r>
    </w:p>
    <w:p w14:paraId="60F87256">
      <w:pPr>
        <w:spacing w:line="360" w:lineRule="auto"/>
        <w:ind w:firstLine="2520" w:firstLineChars="900"/>
        <w:rPr>
          <w:rStyle w:val="47"/>
          <w:rFonts w:ascii="宋体" w:hAnsi="宋体"/>
          <w:sz w:val="28"/>
          <w:szCs w:val="28"/>
        </w:rPr>
      </w:pPr>
      <w:r>
        <w:rPr>
          <w:rStyle w:val="47"/>
          <w:rFonts w:ascii="宋体" w:hAnsi="宋体"/>
          <w:sz w:val="28"/>
          <w:szCs w:val="28"/>
        </w:rPr>
        <w:t>法定代表人：（签字或盖章）</w:t>
      </w:r>
    </w:p>
    <w:p w14:paraId="0755A6C8">
      <w:pPr>
        <w:jc w:val="center"/>
        <w:rPr>
          <w:rStyle w:val="47"/>
          <w:rFonts w:ascii="宋体" w:hAnsi="宋体"/>
          <w:sz w:val="28"/>
          <w:szCs w:val="28"/>
        </w:rPr>
      </w:pPr>
    </w:p>
    <w:p w14:paraId="564EC132">
      <w:pPr>
        <w:spacing w:before="120" w:after="240" w:line="440" w:lineRule="exact"/>
        <w:jc w:val="center"/>
        <w:rPr>
          <w:rStyle w:val="47"/>
          <w:rFonts w:ascii="宋体" w:hAnsi="宋体"/>
          <w:sz w:val="28"/>
          <w:szCs w:val="28"/>
        </w:rPr>
      </w:pPr>
      <w:r>
        <w:rPr>
          <w:rStyle w:val="47"/>
          <w:rFonts w:ascii="宋体" w:hAnsi="宋体"/>
          <w:sz w:val="28"/>
          <w:szCs w:val="28"/>
        </w:rPr>
        <w:t>年</w:t>
      </w:r>
      <w:r>
        <w:rPr>
          <w:rStyle w:val="47"/>
          <w:rFonts w:hint="eastAsia" w:ascii="宋体" w:hAnsi="宋体"/>
          <w:sz w:val="28"/>
          <w:szCs w:val="28"/>
        </w:rPr>
        <w:t xml:space="preserve"> </w:t>
      </w:r>
      <w:r>
        <w:rPr>
          <w:rStyle w:val="47"/>
          <w:rFonts w:ascii="宋体" w:hAnsi="宋体"/>
          <w:sz w:val="28"/>
          <w:szCs w:val="28"/>
        </w:rPr>
        <w:t>月</w:t>
      </w:r>
      <w:r>
        <w:rPr>
          <w:rStyle w:val="47"/>
          <w:rFonts w:hint="eastAsia" w:ascii="宋体" w:hAnsi="宋体"/>
          <w:sz w:val="28"/>
          <w:szCs w:val="28"/>
        </w:rPr>
        <w:t xml:space="preserve"> </w:t>
      </w:r>
      <w:r>
        <w:rPr>
          <w:rStyle w:val="47"/>
          <w:rFonts w:ascii="宋体" w:hAnsi="宋体"/>
          <w:sz w:val="28"/>
          <w:szCs w:val="28"/>
        </w:rPr>
        <w:t>日</w:t>
      </w:r>
      <w:r>
        <w:rPr>
          <w:rStyle w:val="47"/>
          <w:rFonts w:ascii="宋体" w:hAnsi="宋体"/>
          <w:sz w:val="28"/>
          <w:szCs w:val="28"/>
        </w:rPr>
        <w:br w:type="page"/>
      </w:r>
    </w:p>
    <w:p w14:paraId="508107AC">
      <w:pPr>
        <w:pStyle w:val="56"/>
        <w:numPr>
          <w:ilvl w:val="0"/>
          <w:numId w:val="18"/>
        </w:numPr>
        <w:snapToGrid w:val="0"/>
        <w:spacing w:line="440" w:lineRule="exact"/>
        <w:ind w:firstLineChars="0"/>
        <w:jc w:val="center"/>
        <w:rPr>
          <w:rStyle w:val="47"/>
          <w:rFonts w:ascii="宋体" w:hAnsi="宋体"/>
          <w:b/>
          <w:szCs w:val="21"/>
        </w:rPr>
      </w:pPr>
      <w:bookmarkStart w:id="232" w:name="_Toc16064005"/>
      <w:r>
        <w:rPr>
          <w:rStyle w:val="47"/>
          <w:rFonts w:ascii="宋体" w:hAnsi="宋体"/>
          <w:b/>
          <w:szCs w:val="21"/>
        </w:rPr>
        <w:t>投标人基本情况表</w:t>
      </w:r>
      <w:bookmarkEnd w:id="232"/>
    </w:p>
    <w:p w14:paraId="49749894">
      <w:pPr>
        <w:pStyle w:val="56"/>
        <w:snapToGrid w:val="0"/>
        <w:spacing w:line="440" w:lineRule="exact"/>
        <w:ind w:left="1367" w:firstLine="0" w:firstLineChars="0"/>
        <w:rPr>
          <w:rStyle w:val="47"/>
          <w:rFonts w:ascii="宋体" w:hAnsi="宋体"/>
          <w:b/>
          <w:szCs w:val="21"/>
        </w:rPr>
      </w:pPr>
    </w:p>
    <w:tbl>
      <w:tblPr>
        <w:tblStyle w:val="26"/>
        <w:tblW w:w="94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1"/>
        <w:gridCol w:w="1132"/>
        <w:gridCol w:w="1576"/>
        <w:gridCol w:w="993"/>
        <w:gridCol w:w="283"/>
        <w:gridCol w:w="195"/>
        <w:gridCol w:w="1246"/>
        <w:gridCol w:w="207"/>
        <w:gridCol w:w="762"/>
        <w:gridCol w:w="1416"/>
      </w:tblGrid>
      <w:tr w14:paraId="7CED4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4BE8B7B3">
            <w:pPr>
              <w:jc w:val="center"/>
              <w:rPr>
                <w:rStyle w:val="47"/>
                <w:rFonts w:ascii="宋体" w:hAnsi="宋体"/>
                <w:szCs w:val="21"/>
              </w:rPr>
            </w:pPr>
            <w:r>
              <w:rPr>
                <w:rStyle w:val="47"/>
                <w:rFonts w:ascii="宋体" w:hAnsi="宋体"/>
                <w:szCs w:val="21"/>
              </w:rPr>
              <w:t>投标人名称</w:t>
            </w:r>
          </w:p>
        </w:tc>
        <w:tc>
          <w:tcPr>
            <w:tcW w:w="7810" w:type="dxa"/>
            <w:gridSpan w:val="9"/>
            <w:tcBorders>
              <w:top w:val="single" w:color="000000" w:sz="4" w:space="0"/>
              <w:left w:val="single" w:color="000000" w:sz="4" w:space="0"/>
              <w:bottom w:val="single" w:color="000000" w:sz="4" w:space="0"/>
              <w:right w:val="single" w:color="000000" w:sz="4" w:space="0"/>
            </w:tcBorders>
            <w:vAlign w:val="center"/>
          </w:tcPr>
          <w:p w14:paraId="3CDA31B2">
            <w:pPr>
              <w:jc w:val="center"/>
              <w:rPr>
                <w:rStyle w:val="47"/>
                <w:rFonts w:ascii="宋体" w:hAnsi="宋体"/>
                <w:szCs w:val="21"/>
              </w:rPr>
            </w:pPr>
          </w:p>
        </w:tc>
      </w:tr>
      <w:tr w14:paraId="5B943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4EABC78D">
            <w:pPr>
              <w:jc w:val="center"/>
              <w:rPr>
                <w:rStyle w:val="47"/>
                <w:rFonts w:ascii="宋体" w:hAnsi="宋体"/>
                <w:szCs w:val="21"/>
              </w:rPr>
            </w:pPr>
            <w:r>
              <w:rPr>
                <w:rStyle w:val="47"/>
                <w:rFonts w:ascii="宋体" w:hAnsi="宋体"/>
                <w:szCs w:val="21"/>
              </w:rPr>
              <w:t>注册地址</w:t>
            </w:r>
          </w:p>
        </w:tc>
        <w:tc>
          <w:tcPr>
            <w:tcW w:w="4179" w:type="dxa"/>
            <w:gridSpan w:val="5"/>
            <w:tcBorders>
              <w:top w:val="single" w:color="000000" w:sz="4" w:space="0"/>
              <w:left w:val="single" w:color="000000" w:sz="4" w:space="0"/>
              <w:bottom w:val="single" w:color="000000" w:sz="4" w:space="0"/>
              <w:right w:val="single" w:color="000000" w:sz="4" w:space="0"/>
            </w:tcBorders>
            <w:vAlign w:val="center"/>
          </w:tcPr>
          <w:p w14:paraId="2EC6B856">
            <w:pPr>
              <w:jc w:val="center"/>
              <w:rPr>
                <w:rStyle w:val="47"/>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00226927">
            <w:pPr>
              <w:jc w:val="center"/>
              <w:rPr>
                <w:rStyle w:val="47"/>
                <w:rFonts w:ascii="宋体" w:hAnsi="宋体"/>
                <w:szCs w:val="21"/>
              </w:rPr>
            </w:pPr>
            <w:r>
              <w:rPr>
                <w:rStyle w:val="47"/>
                <w:rFonts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0352302D">
            <w:pPr>
              <w:jc w:val="center"/>
              <w:rPr>
                <w:rStyle w:val="47"/>
                <w:rFonts w:ascii="宋体" w:hAnsi="宋体"/>
                <w:szCs w:val="21"/>
              </w:rPr>
            </w:pPr>
          </w:p>
        </w:tc>
      </w:tr>
      <w:tr w14:paraId="2A829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vMerge w:val="restart"/>
            <w:tcBorders>
              <w:top w:val="single" w:color="000000" w:sz="4" w:space="0"/>
              <w:left w:val="single" w:color="000000" w:sz="4" w:space="0"/>
              <w:bottom w:val="single" w:color="000000" w:sz="4" w:space="0"/>
              <w:right w:val="single" w:color="000000" w:sz="4" w:space="0"/>
            </w:tcBorders>
            <w:vAlign w:val="center"/>
          </w:tcPr>
          <w:p w14:paraId="01887F3C">
            <w:pPr>
              <w:jc w:val="center"/>
              <w:rPr>
                <w:rStyle w:val="47"/>
                <w:rFonts w:ascii="宋体" w:hAnsi="宋体"/>
                <w:szCs w:val="21"/>
              </w:rPr>
            </w:pPr>
            <w:r>
              <w:rPr>
                <w:rStyle w:val="47"/>
                <w:rFonts w:ascii="宋体" w:hAnsi="宋体"/>
                <w:szCs w:val="21"/>
              </w:rPr>
              <w:t>联系方式</w:t>
            </w:r>
          </w:p>
        </w:tc>
        <w:tc>
          <w:tcPr>
            <w:tcW w:w="1132" w:type="dxa"/>
            <w:tcBorders>
              <w:top w:val="single" w:color="000000" w:sz="4" w:space="0"/>
              <w:left w:val="single" w:color="000000" w:sz="4" w:space="0"/>
              <w:bottom w:val="single" w:color="000000" w:sz="4" w:space="0"/>
              <w:right w:val="single" w:color="000000" w:sz="4" w:space="0"/>
            </w:tcBorders>
            <w:vAlign w:val="center"/>
          </w:tcPr>
          <w:p w14:paraId="07841517">
            <w:pPr>
              <w:jc w:val="center"/>
              <w:rPr>
                <w:rStyle w:val="47"/>
                <w:rFonts w:ascii="宋体" w:hAnsi="宋体"/>
                <w:szCs w:val="21"/>
              </w:rPr>
            </w:pPr>
            <w:r>
              <w:rPr>
                <w:rStyle w:val="47"/>
                <w:rFonts w:ascii="宋体" w:hAnsi="宋体"/>
                <w:szCs w:val="21"/>
              </w:rPr>
              <w:t>联系人</w:t>
            </w:r>
          </w:p>
        </w:tc>
        <w:tc>
          <w:tcPr>
            <w:tcW w:w="3047" w:type="dxa"/>
            <w:gridSpan w:val="4"/>
            <w:tcBorders>
              <w:top w:val="single" w:color="000000" w:sz="4" w:space="0"/>
              <w:left w:val="single" w:color="000000" w:sz="4" w:space="0"/>
              <w:bottom w:val="single" w:color="000000" w:sz="4" w:space="0"/>
              <w:right w:val="single" w:color="000000" w:sz="4" w:space="0"/>
            </w:tcBorders>
            <w:vAlign w:val="center"/>
          </w:tcPr>
          <w:p w14:paraId="38178312">
            <w:pPr>
              <w:jc w:val="center"/>
              <w:rPr>
                <w:rStyle w:val="47"/>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0952A60D">
            <w:pPr>
              <w:jc w:val="center"/>
              <w:rPr>
                <w:rStyle w:val="47"/>
                <w:rFonts w:ascii="宋体" w:hAnsi="宋体"/>
                <w:szCs w:val="21"/>
              </w:rPr>
            </w:pPr>
            <w:r>
              <w:rPr>
                <w:rStyle w:val="47"/>
                <w:rFonts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56DF4337">
            <w:pPr>
              <w:jc w:val="center"/>
              <w:rPr>
                <w:rStyle w:val="47"/>
                <w:rFonts w:ascii="宋体" w:hAnsi="宋体"/>
                <w:szCs w:val="21"/>
              </w:rPr>
            </w:pPr>
          </w:p>
        </w:tc>
      </w:tr>
      <w:tr w14:paraId="41459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vMerge w:val="continue"/>
            <w:tcBorders>
              <w:top w:val="single" w:color="000000" w:sz="4" w:space="0"/>
              <w:left w:val="single" w:color="000000" w:sz="4" w:space="0"/>
              <w:bottom w:val="single" w:color="000000" w:sz="4" w:space="0"/>
              <w:right w:val="single" w:color="000000" w:sz="4" w:space="0"/>
            </w:tcBorders>
            <w:vAlign w:val="center"/>
          </w:tcPr>
          <w:p w14:paraId="56ADC1C4">
            <w:pPr>
              <w:jc w:val="center"/>
              <w:rPr>
                <w:rStyle w:val="47"/>
                <w:rFonts w:ascii="宋体" w:hAnsi="宋体"/>
                <w:szCs w:val="21"/>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6ADCFC2">
            <w:pPr>
              <w:jc w:val="center"/>
              <w:rPr>
                <w:rStyle w:val="47"/>
                <w:rFonts w:ascii="宋体" w:hAnsi="宋体"/>
                <w:szCs w:val="21"/>
              </w:rPr>
            </w:pPr>
            <w:r>
              <w:rPr>
                <w:rStyle w:val="47"/>
                <w:rFonts w:ascii="宋体" w:hAnsi="宋体"/>
                <w:szCs w:val="21"/>
              </w:rPr>
              <w:t>传  真</w:t>
            </w:r>
          </w:p>
        </w:tc>
        <w:tc>
          <w:tcPr>
            <w:tcW w:w="3047" w:type="dxa"/>
            <w:gridSpan w:val="4"/>
            <w:tcBorders>
              <w:top w:val="single" w:color="000000" w:sz="4" w:space="0"/>
              <w:left w:val="single" w:color="000000" w:sz="4" w:space="0"/>
              <w:bottom w:val="single" w:color="000000" w:sz="4" w:space="0"/>
              <w:right w:val="single" w:color="000000" w:sz="4" w:space="0"/>
            </w:tcBorders>
            <w:vAlign w:val="center"/>
          </w:tcPr>
          <w:p w14:paraId="24E9ED17">
            <w:pPr>
              <w:jc w:val="center"/>
              <w:rPr>
                <w:rStyle w:val="47"/>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71338D6B">
            <w:pPr>
              <w:jc w:val="center"/>
              <w:rPr>
                <w:rStyle w:val="47"/>
                <w:rFonts w:ascii="宋体" w:hAnsi="宋体"/>
                <w:szCs w:val="21"/>
              </w:rPr>
            </w:pPr>
            <w:r>
              <w:rPr>
                <w:rStyle w:val="47"/>
                <w:rFonts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04351243">
            <w:pPr>
              <w:jc w:val="center"/>
              <w:rPr>
                <w:rStyle w:val="47"/>
                <w:rFonts w:ascii="宋体" w:hAnsi="宋体"/>
                <w:szCs w:val="21"/>
              </w:rPr>
            </w:pPr>
          </w:p>
        </w:tc>
      </w:tr>
      <w:tr w14:paraId="636C7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56C324FA">
            <w:pPr>
              <w:jc w:val="center"/>
              <w:rPr>
                <w:rStyle w:val="47"/>
                <w:rFonts w:ascii="宋体" w:hAnsi="宋体"/>
                <w:szCs w:val="21"/>
              </w:rPr>
            </w:pPr>
            <w:r>
              <w:rPr>
                <w:rStyle w:val="47"/>
                <w:rFonts w:ascii="宋体" w:hAnsi="宋体"/>
                <w:szCs w:val="21"/>
              </w:rPr>
              <w:t>组织结构</w:t>
            </w:r>
          </w:p>
        </w:tc>
        <w:tc>
          <w:tcPr>
            <w:tcW w:w="7810" w:type="dxa"/>
            <w:gridSpan w:val="9"/>
            <w:tcBorders>
              <w:top w:val="single" w:color="000000" w:sz="4" w:space="0"/>
              <w:left w:val="single" w:color="000000" w:sz="4" w:space="0"/>
              <w:bottom w:val="single" w:color="000000" w:sz="4" w:space="0"/>
              <w:right w:val="single" w:color="000000" w:sz="4" w:space="0"/>
            </w:tcBorders>
            <w:vAlign w:val="center"/>
          </w:tcPr>
          <w:p w14:paraId="250969F6">
            <w:pPr>
              <w:jc w:val="center"/>
              <w:rPr>
                <w:rStyle w:val="47"/>
                <w:rFonts w:ascii="宋体" w:hAnsi="宋体"/>
                <w:szCs w:val="21"/>
              </w:rPr>
            </w:pPr>
          </w:p>
        </w:tc>
      </w:tr>
      <w:tr w14:paraId="30F83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68A74183">
            <w:pPr>
              <w:jc w:val="center"/>
              <w:rPr>
                <w:rStyle w:val="47"/>
                <w:rFonts w:ascii="宋体" w:hAnsi="宋体"/>
                <w:szCs w:val="21"/>
              </w:rPr>
            </w:pPr>
            <w:r>
              <w:rPr>
                <w:rStyle w:val="47"/>
                <w:rFonts w:ascii="宋体" w:hAnsi="宋体"/>
                <w:szCs w:val="21"/>
              </w:rPr>
              <w:t>法定代表人</w:t>
            </w:r>
          </w:p>
        </w:tc>
        <w:tc>
          <w:tcPr>
            <w:tcW w:w="1132" w:type="dxa"/>
            <w:tcBorders>
              <w:top w:val="single" w:color="000000" w:sz="4" w:space="0"/>
              <w:left w:val="single" w:color="000000" w:sz="4" w:space="0"/>
              <w:bottom w:val="single" w:color="000000" w:sz="4" w:space="0"/>
              <w:right w:val="single" w:color="000000" w:sz="4" w:space="0"/>
            </w:tcBorders>
            <w:vAlign w:val="center"/>
          </w:tcPr>
          <w:p w14:paraId="624CDE50">
            <w:pPr>
              <w:jc w:val="center"/>
              <w:rPr>
                <w:rStyle w:val="47"/>
                <w:rFonts w:ascii="宋体" w:hAnsi="宋体"/>
                <w:szCs w:val="21"/>
              </w:rPr>
            </w:pPr>
            <w:r>
              <w:rPr>
                <w:rStyle w:val="47"/>
                <w:rFonts w:ascii="宋体" w:hAnsi="宋体"/>
                <w:szCs w:val="21"/>
              </w:rPr>
              <w:t>姓名</w:t>
            </w:r>
          </w:p>
        </w:tc>
        <w:tc>
          <w:tcPr>
            <w:tcW w:w="1576" w:type="dxa"/>
            <w:tcBorders>
              <w:top w:val="single" w:color="000000" w:sz="4" w:space="0"/>
              <w:left w:val="single" w:color="000000" w:sz="4" w:space="0"/>
              <w:bottom w:val="single" w:color="000000" w:sz="4" w:space="0"/>
              <w:right w:val="single" w:color="000000" w:sz="4" w:space="0"/>
            </w:tcBorders>
            <w:vAlign w:val="center"/>
          </w:tcPr>
          <w:p w14:paraId="7A8697E0">
            <w:pPr>
              <w:jc w:val="center"/>
              <w:rPr>
                <w:rStyle w:val="47"/>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6FDC7671">
            <w:pPr>
              <w:jc w:val="center"/>
              <w:rPr>
                <w:rStyle w:val="47"/>
                <w:rFonts w:ascii="宋体" w:hAnsi="宋体"/>
                <w:szCs w:val="21"/>
              </w:rPr>
            </w:pPr>
            <w:r>
              <w:rPr>
                <w:rStyle w:val="47"/>
                <w:rFonts w:ascii="宋体" w:hAnsi="宋体"/>
                <w:szCs w:val="21"/>
              </w:rPr>
              <w:t>技术职称</w:t>
            </w:r>
          </w:p>
        </w:tc>
        <w:tc>
          <w:tcPr>
            <w:tcW w:w="1648" w:type="dxa"/>
            <w:gridSpan w:val="3"/>
            <w:tcBorders>
              <w:top w:val="single" w:color="000000" w:sz="4" w:space="0"/>
              <w:left w:val="single" w:color="000000" w:sz="4" w:space="0"/>
              <w:bottom w:val="single" w:color="000000" w:sz="4" w:space="0"/>
              <w:right w:val="single" w:color="000000" w:sz="4" w:space="0"/>
            </w:tcBorders>
            <w:vAlign w:val="center"/>
          </w:tcPr>
          <w:p w14:paraId="2292CC06">
            <w:pPr>
              <w:jc w:val="center"/>
              <w:rPr>
                <w:rStyle w:val="47"/>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center"/>
          </w:tcPr>
          <w:p w14:paraId="121B52AB">
            <w:pPr>
              <w:jc w:val="center"/>
              <w:rPr>
                <w:rStyle w:val="47"/>
                <w:rFonts w:ascii="宋体" w:hAnsi="宋体"/>
                <w:szCs w:val="21"/>
              </w:rPr>
            </w:pPr>
            <w:r>
              <w:rPr>
                <w:rStyle w:val="47"/>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4BEB7E5C">
            <w:pPr>
              <w:jc w:val="center"/>
              <w:rPr>
                <w:rStyle w:val="47"/>
                <w:rFonts w:ascii="宋体" w:hAnsi="宋体"/>
                <w:szCs w:val="21"/>
              </w:rPr>
            </w:pPr>
          </w:p>
        </w:tc>
      </w:tr>
      <w:tr w14:paraId="3FEF5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1E36E694">
            <w:pPr>
              <w:jc w:val="center"/>
              <w:rPr>
                <w:rStyle w:val="47"/>
                <w:rFonts w:ascii="宋体" w:hAnsi="宋体"/>
                <w:szCs w:val="21"/>
              </w:rPr>
            </w:pPr>
            <w:r>
              <w:rPr>
                <w:rStyle w:val="47"/>
                <w:rFonts w:ascii="宋体" w:hAnsi="宋体"/>
                <w:szCs w:val="21"/>
              </w:rPr>
              <w:t>技术负责人</w:t>
            </w:r>
          </w:p>
        </w:tc>
        <w:tc>
          <w:tcPr>
            <w:tcW w:w="1132" w:type="dxa"/>
            <w:tcBorders>
              <w:top w:val="single" w:color="000000" w:sz="4" w:space="0"/>
              <w:left w:val="single" w:color="000000" w:sz="4" w:space="0"/>
              <w:bottom w:val="single" w:color="000000" w:sz="4" w:space="0"/>
              <w:right w:val="single" w:color="000000" w:sz="4" w:space="0"/>
            </w:tcBorders>
            <w:vAlign w:val="center"/>
          </w:tcPr>
          <w:p w14:paraId="5CB17BE2">
            <w:pPr>
              <w:jc w:val="center"/>
              <w:rPr>
                <w:rStyle w:val="47"/>
                <w:rFonts w:ascii="宋体" w:hAnsi="宋体"/>
                <w:szCs w:val="21"/>
              </w:rPr>
            </w:pPr>
            <w:r>
              <w:rPr>
                <w:rStyle w:val="47"/>
                <w:rFonts w:ascii="宋体" w:hAnsi="宋体"/>
                <w:szCs w:val="21"/>
              </w:rPr>
              <w:t>姓名</w:t>
            </w:r>
          </w:p>
        </w:tc>
        <w:tc>
          <w:tcPr>
            <w:tcW w:w="1576" w:type="dxa"/>
            <w:tcBorders>
              <w:top w:val="single" w:color="000000" w:sz="4" w:space="0"/>
              <w:left w:val="single" w:color="000000" w:sz="4" w:space="0"/>
              <w:bottom w:val="single" w:color="000000" w:sz="4" w:space="0"/>
              <w:right w:val="single" w:color="000000" w:sz="4" w:space="0"/>
            </w:tcBorders>
            <w:vAlign w:val="center"/>
          </w:tcPr>
          <w:p w14:paraId="6144AF75">
            <w:pPr>
              <w:jc w:val="center"/>
              <w:rPr>
                <w:rStyle w:val="47"/>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2E36F242">
            <w:pPr>
              <w:jc w:val="center"/>
              <w:rPr>
                <w:rStyle w:val="47"/>
                <w:rFonts w:ascii="宋体" w:hAnsi="宋体"/>
                <w:szCs w:val="21"/>
              </w:rPr>
            </w:pPr>
            <w:r>
              <w:rPr>
                <w:rStyle w:val="47"/>
                <w:rFonts w:ascii="宋体" w:hAnsi="宋体"/>
                <w:szCs w:val="21"/>
              </w:rPr>
              <w:t>技术职称</w:t>
            </w:r>
          </w:p>
        </w:tc>
        <w:tc>
          <w:tcPr>
            <w:tcW w:w="1648" w:type="dxa"/>
            <w:gridSpan w:val="3"/>
            <w:tcBorders>
              <w:top w:val="single" w:color="000000" w:sz="4" w:space="0"/>
              <w:left w:val="single" w:color="000000" w:sz="4" w:space="0"/>
              <w:bottom w:val="single" w:color="000000" w:sz="4" w:space="0"/>
              <w:right w:val="single" w:color="000000" w:sz="4" w:space="0"/>
            </w:tcBorders>
            <w:vAlign w:val="center"/>
          </w:tcPr>
          <w:p w14:paraId="42B1DD44">
            <w:pPr>
              <w:jc w:val="center"/>
              <w:rPr>
                <w:rStyle w:val="47"/>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center"/>
          </w:tcPr>
          <w:p w14:paraId="34806083">
            <w:pPr>
              <w:jc w:val="center"/>
              <w:rPr>
                <w:rStyle w:val="47"/>
                <w:rFonts w:ascii="宋体" w:hAnsi="宋体"/>
                <w:szCs w:val="21"/>
              </w:rPr>
            </w:pPr>
            <w:r>
              <w:rPr>
                <w:rStyle w:val="47"/>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08AE2AA4">
            <w:pPr>
              <w:jc w:val="center"/>
              <w:rPr>
                <w:rStyle w:val="47"/>
                <w:rFonts w:ascii="宋体" w:hAnsi="宋体"/>
                <w:szCs w:val="21"/>
              </w:rPr>
            </w:pPr>
          </w:p>
        </w:tc>
      </w:tr>
      <w:tr w14:paraId="11004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555835DB">
            <w:pPr>
              <w:jc w:val="center"/>
              <w:rPr>
                <w:rStyle w:val="47"/>
                <w:rFonts w:ascii="宋体" w:hAnsi="宋体"/>
                <w:szCs w:val="21"/>
              </w:rPr>
            </w:pPr>
            <w:r>
              <w:rPr>
                <w:rStyle w:val="47"/>
                <w:rFonts w:ascii="宋体" w:hAnsi="宋体"/>
                <w:szCs w:val="21"/>
              </w:rPr>
              <w:t>成立时间</w:t>
            </w:r>
          </w:p>
        </w:tc>
        <w:tc>
          <w:tcPr>
            <w:tcW w:w="2708" w:type="dxa"/>
            <w:gridSpan w:val="2"/>
            <w:tcBorders>
              <w:top w:val="single" w:color="000000" w:sz="4" w:space="0"/>
              <w:left w:val="single" w:color="000000" w:sz="4" w:space="0"/>
              <w:bottom w:val="single" w:color="000000" w:sz="4" w:space="0"/>
              <w:right w:val="single" w:color="000000" w:sz="4" w:space="0"/>
            </w:tcBorders>
            <w:vAlign w:val="center"/>
          </w:tcPr>
          <w:p w14:paraId="4AE0FF4E">
            <w:pPr>
              <w:jc w:val="center"/>
              <w:rPr>
                <w:rStyle w:val="47"/>
                <w:rFonts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14:paraId="1D62658D">
            <w:pPr>
              <w:jc w:val="center"/>
              <w:rPr>
                <w:rStyle w:val="47"/>
                <w:rFonts w:ascii="宋体" w:hAnsi="宋体"/>
                <w:szCs w:val="21"/>
              </w:rPr>
            </w:pPr>
            <w:r>
              <w:rPr>
                <w:rStyle w:val="47"/>
                <w:rFonts w:ascii="宋体" w:hAnsi="宋体"/>
                <w:szCs w:val="21"/>
              </w:rPr>
              <w:t>员工总人数：</w:t>
            </w:r>
          </w:p>
        </w:tc>
      </w:tr>
      <w:tr w14:paraId="6F214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5C22D1A1">
            <w:pPr>
              <w:jc w:val="center"/>
              <w:rPr>
                <w:rStyle w:val="47"/>
                <w:rFonts w:ascii="宋体" w:hAnsi="宋体"/>
                <w:szCs w:val="21"/>
              </w:rPr>
            </w:pPr>
            <w:r>
              <w:rPr>
                <w:rStyle w:val="47"/>
                <w:rFonts w:ascii="宋体" w:hAnsi="宋体"/>
                <w:szCs w:val="21"/>
              </w:rPr>
              <w:t>企业资质等级</w:t>
            </w:r>
          </w:p>
        </w:tc>
        <w:tc>
          <w:tcPr>
            <w:tcW w:w="1132" w:type="dxa"/>
            <w:tcBorders>
              <w:top w:val="single" w:color="000000" w:sz="4" w:space="0"/>
              <w:left w:val="single" w:color="000000" w:sz="4" w:space="0"/>
              <w:bottom w:val="single" w:color="000000" w:sz="4" w:space="0"/>
              <w:right w:val="single" w:color="000000" w:sz="4" w:space="0"/>
            </w:tcBorders>
            <w:vAlign w:val="center"/>
          </w:tcPr>
          <w:p w14:paraId="0ADDA110">
            <w:pPr>
              <w:jc w:val="center"/>
              <w:rPr>
                <w:rStyle w:val="47"/>
                <w:rFonts w:ascii="宋体" w:hAnsi="宋体"/>
                <w:szCs w:val="21"/>
              </w:rPr>
            </w:pPr>
          </w:p>
        </w:tc>
        <w:tc>
          <w:tcPr>
            <w:tcW w:w="1576" w:type="dxa"/>
            <w:tcBorders>
              <w:top w:val="single" w:color="000000" w:sz="4" w:space="0"/>
              <w:left w:val="single" w:color="000000" w:sz="4" w:space="0"/>
              <w:bottom w:val="single" w:color="000000" w:sz="4" w:space="0"/>
              <w:right w:val="single" w:color="000000" w:sz="4" w:space="0"/>
            </w:tcBorders>
            <w:vAlign w:val="center"/>
          </w:tcPr>
          <w:p w14:paraId="3C809E79">
            <w:pPr>
              <w:jc w:val="center"/>
              <w:rPr>
                <w:rStyle w:val="47"/>
                <w:rFonts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14:paraId="474621BF">
            <w:pPr>
              <w:jc w:val="center"/>
              <w:rPr>
                <w:rStyle w:val="47"/>
                <w:rFonts w:ascii="宋体" w:hAnsi="宋体"/>
                <w:szCs w:val="21"/>
              </w:rPr>
            </w:pPr>
            <w:r>
              <w:rPr>
                <w:rStyle w:val="47"/>
                <w:rFonts w:ascii="宋体" w:hAnsi="宋体"/>
                <w:szCs w:val="21"/>
              </w:rPr>
              <w:t>其中</w:t>
            </w:r>
          </w:p>
        </w:tc>
        <w:tc>
          <w:tcPr>
            <w:tcW w:w="1931" w:type="dxa"/>
            <w:gridSpan w:val="4"/>
            <w:tcBorders>
              <w:top w:val="single" w:color="000000" w:sz="4" w:space="0"/>
              <w:left w:val="single" w:color="000000" w:sz="4" w:space="0"/>
              <w:bottom w:val="single" w:color="000000" w:sz="4" w:space="0"/>
              <w:right w:val="single" w:color="000000" w:sz="4" w:space="0"/>
            </w:tcBorders>
            <w:vAlign w:val="center"/>
          </w:tcPr>
          <w:p w14:paraId="0B1A152E">
            <w:pPr>
              <w:jc w:val="center"/>
              <w:rPr>
                <w:rStyle w:val="47"/>
                <w:rFonts w:ascii="宋体" w:hAnsi="宋体"/>
                <w:szCs w:val="21"/>
              </w:rPr>
            </w:pPr>
            <w:r>
              <w:rPr>
                <w:rStyle w:val="47"/>
                <w:rFonts w:ascii="宋体" w:hAnsi="宋体"/>
                <w:szCs w:val="21"/>
              </w:rPr>
              <w:t>项目经理</w:t>
            </w:r>
          </w:p>
        </w:tc>
        <w:tc>
          <w:tcPr>
            <w:tcW w:w="2178" w:type="dxa"/>
            <w:gridSpan w:val="2"/>
            <w:tcBorders>
              <w:top w:val="single" w:color="000000" w:sz="4" w:space="0"/>
              <w:left w:val="single" w:color="000000" w:sz="4" w:space="0"/>
              <w:bottom w:val="single" w:color="000000" w:sz="4" w:space="0"/>
              <w:right w:val="single" w:color="000000" w:sz="4" w:space="0"/>
            </w:tcBorders>
            <w:vAlign w:val="center"/>
          </w:tcPr>
          <w:p w14:paraId="5FAF3BDF">
            <w:pPr>
              <w:jc w:val="center"/>
              <w:rPr>
                <w:rStyle w:val="47"/>
                <w:rFonts w:ascii="宋体" w:hAnsi="宋体"/>
                <w:szCs w:val="21"/>
              </w:rPr>
            </w:pPr>
          </w:p>
        </w:tc>
      </w:tr>
      <w:tr w14:paraId="6DF27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46B49BAD">
            <w:pPr>
              <w:jc w:val="center"/>
              <w:rPr>
                <w:rStyle w:val="47"/>
                <w:rFonts w:ascii="宋体" w:hAnsi="宋体"/>
                <w:szCs w:val="21"/>
              </w:rPr>
            </w:pPr>
            <w:r>
              <w:rPr>
                <w:rStyle w:val="47"/>
                <w:rFonts w:ascii="宋体" w:hAnsi="宋体"/>
                <w:szCs w:val="21"/>
              </w:rPr>
              <w:t>营业执照号</w:t>
            </w:r>
          </w:p>
        </w:tc>
        <w:tc>
          <w:tcPr>
            <w:tcW w:w="1132" w:type="dxa"/>
            <w:tcBorders>
              <w:top w:val="single" w:color="000000" w:sz="4" w:space="0"/>
              <w:left w:val="single" w:color="000000" w:sz="4" w:space="0"/>
              <w:bottom w:val="single" w:color="000000" w:sz="4" w:space="0"/>
              <w:right w:val="single" w:color="000000" w:sz="4" w:space="0"/>
            </w:tcBorders>
            <w:vAlign w:val="center"/>
          </w:tcPr>
          <w:p w14:paraId="0998AB55">
            <w:pPr>
              <w:jc w:val="center"/>
              <w:rPr>
                <w:rStyle w:val="47"/>
                <w:rFonts w:ascii="宋体" w:hAnsi="宋体"/>
                <w:szCs w:val="21"/>
              </w:rPr>
            </w:pPr>
          </w:p>
        </w:tc>
        <w:tc>
          <w:tcPr>
            <w:tcW w:w="1576" w:type="dxa"/>
            <w:tcBorders>
              <w:top w:val="single" w:color="000000" w:sz="4" w:space="0"/>
              <w:left w:val="single" w:color="000000" w:sz="4" w:space="0"/>
              <w:bottom w:val="single" w:color="000000" w:sz="4" w:space="0"/>
              <w:right w:val="single" w:color="000000" w:sz="4" w:space="0"/>
            </w:tcBorders>
            <w:vAlign w:val="center"/>
          </w:tcPr>
          <w:p w14:paraId="3B33695D">
            <w:pPr>
              <w:jc w:val="center"/>
              <w:rPr>
                <w:rStyle w:val="4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6D1DC1A">
            <w:pPr>
              <w:jc w:val="center"/>
              <w:rPr>
                <w:rStyle w:val="47"/>
                <w:rFonts w:ascii="宋体" w:hAnsi="宋体"/>
                <w:szCs w:val="21"/>
              </w:rPr>
            </w:pPr>
          </w:p>
        </w:tc>
        <w:tc>
          <w:tcPr>
            <w:tcW w:w="1931" w:type="dxa"/>
            <w:gridSpan w:val="4"/>
            <w:tcBorders>
              <w:top w:val="single" w:color="000000" w:sz="4" w:space="0"/>
              <w:left w:val="single" w:color="000000" w:sz="4" w:space="0"/>
              <w:bottom w:val="single" w:color="000000" w:sz="4" w:space="0"/>
              <w:right w:val="single" w:color="000000" w:sz="4" w:space="0"/>
            </w:tcBorders>
            <w:vAlign w:val="center"/>
          </w:tcPr>
          <w:p w14:paraId="6221DD85">
            <w:pPr>
              <w:jc w:val="center"/>
              <w:rPr>
                <w:rStyle w:val="47"/>
                <w:rFonts w:ascii="宋体" w:hAnsi="宋体"/>
                <w:szCs w:val="21"/>
              </w:rPr>
            </w:pPr>
            <w:r>
              <w:rPr>
                <w:rStyle w:val="47"/>
                <w:rFonts w:ascii="宋体" w:hAnsi="宋体"/>
                <w:szCs w:val="21"/>
              </w:rPr>
              <w:t>高级职称人员</w:t>
            </w:r>
          </w:p>
        </w:tc>
        <w:tc>
          <w:tcPr>
            <w:tcW w:w="2178" w:type="dxa"/>
            <w:gridSpan w:val="2"/>
            <w:tcBorders>
              <w:top w:val="single" w:color="000000" w:sz="4" w:space="0"/>
              <w:left w:val="single" w:color="000000" w:sz="4" w:space="0"/>
              <w:bottom w:val="single" w:color="000000" w:sz="4" w:space="0"/>
              <w:right w:val="single" w:color="000000" w:sz="4" w:space="0"/>
            </w:tcBorders>
            <w:vAlign w:val="center"/>
          </w:tcPr>
          <w:p w14:paraId="6F3D719F">
            <w:pPr>
              <w:jc w:val="center"/>
              <w:rPr>
                <w:rStyle w:val="47"/>
                <w:rFonts w:ascii="宋体" w:hAnsi="宋体"/>
                <w:szCs w:val="21"/>
              </w:rPr>
            </w:pPr>
          </w:p>
        </w:tc>
      </w:tr>
      <w:tr w14:paraId="7A566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1A5BD427">
            <w:pPr>
              <w:jc w:val="center"/>
              <w:rPr>
                <w:rStyle w:val="47"/>
                <w:rFonts w:ascii="宋体" w:hAnsi="宋体"/>
                <w:szCs w:val="21"/>
              </w:rPr>
            </w:pPr>
            <w:r>
              <w:rPr>
                <w:rStyle w:val="47"/>
                <w:rFonts w:ascii="宋体" w:hAnsi="宋体"/>
                <w:szCs w:val="21"/>
              </w:rPr>
              <w:t>注册资金</w:t>
            </w:r>
          </w:p>
        </w:tc>
        <w:tc>
          <w:tcPr>
            <w:tcW w:w="1132" w:type="dxa"/>
            <w:tcBorders>
              <w:top w:val="single" w:color="000000" w:sz="4" w:space="0"/>
              <w:left w:val="single" w:color="000000" w:sz="4" w:space="0"/>
              <w:bottom w:val="single" w:color="000000" w:sz="4" w:space="0"/>
              <w:right w:val="single" w:color="000000" w:sz="4" w:space="0"/>
            </w:tcBorders>
            <w:vAlign w:val="center"/>
          </w:tcPr>
          <w:p w14:paraId="4069C437">
            <w:pPr>
              <w:jc w:val="center"/>
              <w:rPr>
                <w:rStyle w:val="47"/>
                <w:rFonts w:ascii="宋体" w:hAnsi="宋体"/>
                <w:szCs w:val="21"/>
              </w:rPr>
            </w:pPr>
          </w:p>
        </w:tc>
        <w:tc>
          <w:tcPr>
            <w:tcW w:w="1576" w:type="dxa"/>
            <w:tcBorders>
              <w:top w:val="single" w:color="000000" w:sz="4" w:space="0"/>
              <w:left w:val="single" w:color="000000" w:sz="4" w:space="0"/>
              <w:bottom w:val="single" w:color="000000" w:sz="4" w:space="0"/>
              <w:right w:val="single" w:color="000000" w:sz="4" w:space="0"/>
            </w:tcBorders>
            <w:vAlign w:val="center"/>
          </w:tcPr>
          <w:p w14:paraId="6CDDD723">
            <w:pPr>
              <w:jc w:val="center"/>
              <w:rPr>
                <w:rStyle w:val="4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25C961A6">
            <w:pPr>
              <w:jc w:val="center"/>
              <w:rPr>
                <w:rStyle w:val="47"/>
                <w:rFonts w:ascii="宋体" w:hAnsi="宋体"/>
                <w:szCs w:val="21"/>
              </w:rPr>
            </w:pPr>
          </w:p>
        </w:tc>
        <w:tc>
          <w:tcPr>
            <w:tcW w:w="1931" w:type="dxa"/>
            <w:gridSpan w:val="4"/>
            <w:tcBorders>
              <w:top w:val="single" w:color="000000" w:sz="4" w:space="0"/>
              <w:left w:val="single" w:color="000000" w:sz="4" w:space="0"/>
              <w:bottom w:val="single" w:color="000000" w:sz="4" w:space="0"/>
              <w:right w:val="single" w:color="000000" w:sz="4" w:space="0"/>
            </w:tcBorders>
            <w:vAlign w:val="center"/>
          </w:tcPr>
          <w:p w14:paraId="7E5074EB">
            <w:pPr>
              <w:jc w:val="center"/>
              <w:rPr>
                <w:rStyle w:val="47"/>
                <w:rFonts w:ascii="宋体" w:hAnsi="宋体"/>
                <w:szCs w:val="21"/>
              </w:rPr>
            </w:pPr>
            <w:r>
              <w:rPr>
                <w:rStyle w:val="47"/>
                <w:rFonts w:ascii="宋体" w:hAnsi="宋体"/>
                <w:szCs w:val="21"/>
              </w:rPr>
              <w:t>中级职称人员</w:t>
            </w:r>
          </w:p>
        </w:tc>
        <w:tc>
          <w:tcPr>
            <w:tcW w:w="2178" w:type="dxa"/>
            <w:gridSpan w:val="2"/>
            <w:tcBorders>
              <w:top w:val="single" w:color="000000" w:sz="4" w:space="0"/>
              <w:left w:val="single" w:color="000000" w:sz="4" w:space="0"/>
              <w:bottom w:val="single" w:color="000000" w:sz="4" w:space="0"/>
              <w:right w:val="single" w:color="000000" w:sz="4" w:space="0"/>
            </w:tcBorders>
            <w:vAlign w:val="center"/>
          </w:tcPr>
          <w:p w14:paraId="14622333">
            <w:pPr>
              <w:jc w:val="center"/>
              <w:rPr>
                <w:rStyle w:val="47"/>
                <w:rFonts w:ascii="宋体" w:hAnsi="宋体"/>
                <w:szCs w:val="21"/>
              </w:rPr>
            </w:pPr>
          </w:p>
        </w:tc>
      </w:tr>
      <w:tr w14:paraId="4412A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16393075">
            <w:pPr>
              <w:jc w:val="center"/>
              <w:rPr>
                <w:rStyle w:val="47"/>
                <w:rFonts w:ascii="宋体" w:hAnsi="宋体"/>
                <w:szCs w:val="21"/>
              </w:rPr>
            </w:pPr>
            <w:r>
              <w:rPr>
                <w:rStyle w:val="47"/>
                <w:rFonts w:ascii="宋体" w:hAnsi="宋体"/>
                <w:szCs w:val="21"/>
              </w:rPr>
              <w:t>开户银行</w:t>
            </w:r>
          </w:p>
        </w:tc>
        <w:tc>
          <w:tcPr>
            <w:tcW w:w="1132" w:type="dxa"/>
            <w:tcBorders>
              <w:top w:val="single" w:color="000000" w:sz="4" w:space="0"/>
              <w:left w:val="single" w:color="000000" w:sz="4" w:space="0"/>
              <w:bottom w:val="single" w:color="000000" w:sz="4" w:space="0"/>
              <w:right w:val="single" w:color="000000" w:sz="4" w:space="0"/>
            </w:tcBorders>
            <w:vAlign w:val="center"/>
          </w:tcPr>
          <w:p w14:paraId="2688C16E">
            <w:pPr>
              <w:jc w:val="center"/>
              <w:rPr>
                <w:rStyle w:val="47"/>
                <w:rFonts w:ascii="宋体" w:hAnsi="宋体"/>
                <w:szCs w:val="21"/>
              </w:rPr>
            </w:pPr>
          </w:p>
        </w:tc>
        <w:tc>
          <w:tcPr>
            <w:tcW w:w="1576" w:type="dxa"/>
            <w:tcBorders>
              <w:top w:val="single" w:color="000000" w:sz="4" w:space="0"/>
              <w:left w:val="single" w:color="000000" w:sz="4" w:space="0"/>
              <w:bottom w:val="single" w:color="000000" w:sz="4" w:space="0"/>
              <w:right w:val="single" w:color="000000" w:sz="4" w:space="0"/>
            </w:tcBorders>
            <w:vAlign w:val="center"/>
          </w:tcPr>
          <w:p w14:paraId="71BA0E16">
            <w:pPr>
              <w:jc w:val="center"/>
              <w:rPr>
                <w:rStyle w:val="4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6B92B8F7">
            <w:pPr>
              <w:jc w:val="center"/>
              <w:rPr>
                <w:rStyle w:val="47"/>
                <w:rFonts w:ascii="宋体" w:hAnsi="宋体"/>
                <w:szCs w:val="21"/>
              </w:rPr>
            </w:pPr>
          </w:p>
        </w:tc>
        <w:tc>
          <w:tcPr>
            <w:tcW w:w="1931" w:type="dxa"/>
            <w:gridSpan w:val="4"/>
            <w:tcBorders>
              <w:top w:val="single" w:color="000000" w:sz="4" w:space="0"/>
              <w:left w:val="single" w:color="000000" w:sz="4" w:space="0"/>
              <w:bottom w:val="single" w:color="000000" w:sz="4" w:space="0"/>
              <w:right w:val="single" w:color="000000" w:sz="4" w:space="0"/>
            </w:tcBorders>
            <w:vAlign w:val="center"/>
          </w:tcPr>
          <w:p w14:paraId="04C3D346">
            <w:pPr>
              <w:jc w:val="center"/>
              <w:rPr>
                <w:rStyle w:val="47"/>
                <w:rFonts w:ascii="宋体" w:hAnsi="宋体"/>
                <w:szCs w:val="21"/>
              </w:rPr>
            </w:pPr>
            <w:r>
              <w:rPr>
                <w:rStyle w:val="47"/>
                <w:rFonts w:ascii="宋体" w:hAnsi="宋体"/>
                <w:szCs w:val="21"/>
              </w:rPr>
              <w:t>初级职称人员</w:t>
            </w:r>
          </w:p>
        </w:tc>
        <w:tc>
          <w:tcPr>
            <w:tcW w:w="2178" w:type="dxa"/>
            <w:gridSpan w:val="2"/>
            <w:tcBorders>
              <w:top w:val="single" w:color="000000" w:sz="4" w:space="0"/>
              <w:left w:val="single" w:color="000000" w:sz="4" w:space="0"/>
              <w:bottom w:val="single" w:color="000000" w:sz="4" w:space="0"/>
              <w:right w:val="single" w:color="000000" w:sz="4" w:space="0"/>
            </w:tcBorders>
            <w:vAlign w:val="center"/>
          </w:tcPr>
          <w:p w14:paraId="7C7235D6">
            <w:pPr>
              <w:jc w:val="center"/>
              <w:rPr>
                <w:rStyle w:val="47"/>
                <w:rFonts w:ascii="宋体" w:hAnsi="宋体"/>
                <w:szCs w:val="21"/>
              </w:rPr>
            </w:pPr>
          </w:p>
        </w:tc>
      </w:tr>
      <w:tr w14:paraId="0CFD4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20D5B67E">
            <w:pPr>
              <w:jc w:val="center"/>
              <w:rPr>
                <w:rStyle w:val="47"/>
                <w:rFonts w:ascii="宋体" w:hAnsi="宋体"/>
                <w:szCs w:val="21"/>
              </w:rPr>
            </w:pPr>
            <w:r>
              <w:rPr>
                <w:rStyle w:val="47"/>
                <w:rFonts w:ascii="宋体" w:hAnsi="宋体"/>
                <w:szCs w:val="21"/>
              </w:rPr>
              <w:t>账号</w:t>
            </w:r>
          </w:p>
        </w:tc>
        <w:tc>
          <w:tcPr>
            <w:tcW w:w="1132" w:type="dxa"/>
            <w:tcBorders>
              <w:top w:val="single" w:color="000000" w:sz="4" w:space="0"/>
              <w:left w:val="single" w:color="000000" w:sz="4" w:space="0"/>
              <w:bottom w:val="single" w:color="000000" w:sz="4" w:space="0"/>
              <w:right w:val="single" w:color="000000" w:sz="4" w:space="0"/>
            </w:tcBorders>
            <w:vAlign w:val="center"/>
          </w:tcPr>
          <w:p w14:paraId="484B0708">
            <w:pPr>
              <w:jc w:val="center"/>
              <w:rPr>
                <w:rStyle w:val="47"/>
                <w:rFonts w:ascii="宋体" w:hAnsi="宋体"/>
                <w:szCs w:val="21"/>
              </w:rPr>
            </w:pPr>
          </w:p>
        </w:tc>
        <w:tc>
          <w:tcPr>
            <w:tcW w:w="1576" w:type="dxa"/>
            <w:tcBorders>
              <w:top w:val="single" w:color="000000" w:sz="4" w:space="0"/>
              <w:left w:val="single" w:color="000000" w:sz="4" w:space="0"/>
              <w:bottom w:val="single" w:color="000000" w:sz="4" w:space="0"/>
              <w:right w:val="single" w:color="000000" w:sz="4" w:space="0"/>
            </w:tcBorders>
            <w:vAlign w:val="center"/>
          </w:tcPr>
          <w:p w14:paraId="3E572DBA">
            <w:pPr>
              <w:jc w:val="center"/>
              <w:rPr>
                <w:rStyle w:val="47"/>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4D314022">
            <w:pPr>
              <w:jc w:val="center"/>
              <w:rPr>
                <w:rStyle w:val="47"/>
                <w:rFonts w:ascii="宋体" w:hAnsi="宋体"/>
                <w:szCs w:val="21"/>
              </w:rPr>
            </w:pPr>
          </w:p>
        </w:tc>
        <w:tc>
          <w:tcPr>
            <w:tcW w:w="1931" w:type="dxa"/>
            <w:gridSpan w:val="4"/>
            <w:tcBorders>
              <w:top w:val="single" w:color="000000" w:sz="4" w:space="0"/>
              <w:left w:val="single" w:color="000000" w:sz="4" w:space="0"/>
              <w:bottom w:val="single" w:color="000000" w:sz="4" w:space="0"/>
              <w:right w:val="single" w:color="000000" w:sz="4" w:space="0"/>
            </w:tcBorders>
            <w:vAlign w:val="center"/>
          </w:tcPr>
          <w:p w14:paraId="596A1E61">
            <w:pPr>
              <w:jc w:val="center"/>
              <w:rPr>
                <w:rStyle w:val="47"/>
                <w:rFonts w:ascii="宋体" w:hAnsi="宋体"/>
                <w:szCs w:val="21"/>
              </w:rPr>
            </w:pPr>
            <w:r>
              <w:rPr>
                <w:rStyle w:val="47"/>
                <w:rFonts w:ascii="宋体" w:hAnsi="宋体"/>
                <w:szCs w:val="21"/>
              </w:rPr>
              <w:t>技  工</w:t>
            </w:r>
          </w:p>
        </w:tc>
        <w:tc>
          <w:tcPr>
            <w:tcW w:w="2178" w:type="dxa"/>
            <w:gridSpan w:val="2"/>
            <w:tcBorders>
              <w:top w:val="single" w:color="000000" w:sz="4" w:space="0"/>
              <w:left w:val="single" w:color="000000" w:sz="4" w:space="0"/>
              <w:bottom w:val="single" w:color="000000" w:sz="4" w:space="0"/>
              <w:right w:val="single" w:color="000000" w:sz="4" w:space="0"/>
            </w:tcBorders>
            <w:vAlign w:val="center"/>
          </w:tcPr>
          <w:p w14:paraId="1ECD3AD9">
            <w:pPr>
              <w:jc w:val="center"/>
              <w:rPr>
                <w:rStyle w:val="47"/>
                <w:rFonts w:ascii="宋体" w:hAnsi="宋体"/>
                <w:szCs w:val="21"/>
              </w:rPr>
            </w:pPr>
          </w:p>
        </w:tc>
      </w:tr>
      <w:tr w14:paraId="06A3F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62A19303">
            <w:pPr>
              <w:jc w:val="center"/>
              <w:rPr>
                <w:rStyle w:val="47"/>
                <w:rFonts w:ascii="宋体" w:hAnsi="宋体"/>
                <w:szCs w:val="21"/>
              </w:rPr>
            </w:pPr>
            <w:r>
              <w:rPr>
                <w:rStyle w:val="47"/>
                <w:rFonts w:ascii="宋体" w:hAnsi="宋体"/>
                <w:szCs w:val="21"/>
              </w:rPr>
              <w:t>经营范围</w:t>
            </w:r>
          </w:p>
        </w:tc>
        <w:tc>
          <w:tcPr>
            <w:tcW w:w="7810" w:type="dxa"/>
            <w:gridSpan w:val="9"/>
            <w:tcBorders>
              <w:top w:val="single" w:color="000000" w:sz="4" w:space="0"/>
              <w:left w:val="single" w:color="000000" w:sz="4" w:space="0"/>
              <w:bottom w:val="single" w:color="000000" w:sz="4" w:space="0"/>
              <w:right w:val="single" w:color="000000" w:sz="4" w:space="0"/>
            </w:tcBorders>
            <w:vAlign w:val="center"/>
          </w:tcPr>
          <w:p w14:paraId="080B50B7">
            <w:pPr>
              <w:jc w:val="center"/>
              <w:rPr>
                <w:rStyle w:val="47"/>
                <w:rFonts w:ascii="宋体" w:hAnsi="宋体"/>
                <w:szCs w:val="21"/>
              </w:rPr>
            </w:pPr>
          </w:p>
        </w:tc>
      </w:tr>
      <w:tr w14:paraId="156A3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61" w:type="dxa"/>
            <w:tcBorders>
              <w:top w:val="single" w:color="000000" w:sz="4" w:space="0"/>
              <w:left w:val="single" w:color="000000" w:sz="4" w:space="0"/>
              <w:bottom w:val="single" w:color="000000" w:sz="4" w:space="0"/>
              <w:right w:val="single" w:color="000000" w:sz="4" w:space="0"/>
            </w:tcBorders>
            <w:vAlign w:val="center"/>
          </w:tcPr>
          <w:p w14:paraId="556C915B">
            <w:pPr>
              <w:jc w:val="center"/>
              <w:rPr>
                <w:rStyle w:val="47"/>
                <w:rFonts w:ascii="宋体" w:hAnsi="宋体"/>
                <w:szCs w:val="21"/>
              </w:rPr>
            </w:pPr>
            <w:r>
              <w:rPr>
                <w:rStyle w:val="47"/>
                <w:rFonts w:ascii="宋体" w:hAnsi="宋体"/>
                <w:szCs w:val="21"/>
              </w:rPr>
              <w:t>备注</w:t>
            </w:r>
          </w:p>
        </w:tc>
        <w:tc>
          <w:tcPr>
            <w:tcW w:w="7810" w:type="dxa"/>
            <w:gridSpan w:val="9"/>
            <w:tcBorders>
              <w:top w:val="single" w:color="000000" w:sz="4" w:space="0"/>
              <w:left w:val="single" w:color="000000" w:sz="4" w:space="0"/>
              <w:bottom w:val="single" w:color="000000" w:sz="4" w:space="0"/>
              <w:right w:val="single" w:color="000000" w:sz="4" w:space="0"/>
            </w:tcBorders>
            <w:vAlign w:val="center"/>
          </w:tcPr>
          <w:p w14:paraId="625A8D2F">
            <w:pPr>
              <w:jc w:val="center"/>
              <w:rPr>
                <w:rStyle w:val="47"/>
                <w:rFonts w:ascii="宋体" w:hAnsi="宋体"/>
                <w:szCs w:val="21"/>
              </w:rPr>
            </w:pPr>
          </w:p>
        </w:tc>
      </w:tr>
    </w:tbl>
    <w:p w14:paraId="3003A97E">
      <w:pPr>
        <w:spacing w:line="440" w:lineRule="exact"/>
        <w:rPr>
          <w:rStyle w:val="47"/>
          <w:rFonts w:ascii="宋体" w:hAnsi="宋体"/>
          <w:szCs w:val="21"/>
        </w:rPr>
      </w:pPr>
      <w:r>
        <w:rPr>
          <w:rStyle w:val="47"/>
          <w:rFonts w:ascii="宋体" w:hAnsi="宋体"/>
          <w:szCs w:val="21"/>
        </w:rPr>
        <w:t>备注：本表后应附企业法人营业执照、企业资质证书副本、安全生产许可证等材料的复印件。</w:t>
      </w:r>
    </w:p>
    <w:p w14:paraId="1ED9B179">
      <w:pPr>
        <w:spacing w:before="120" w:after="240" w:line="440" w:lineRule="exact"/>
        <w:jc w:val="center"/>
        <w:rPr>
          <w:rStyle w:val="47"/>
          <w:rFonts w:ascii="宋体" w:hAnsi="宋体"/>
          <w:szCs w:val="21"/>
          <w:shd w:val="pct10" w:color="auto" w:fill="FFFFFF"/>
        </w:rPr>
      </w:pPr>
      <w:r>
        <w:rPr>
          <w:rStyle w:val="47"/>
          <w:rFonts w:ascii="宋体" w:hAnsi="宋体"/>
          <w:szCs w:val="21"/>
          <w:shd w:val="pct10" w:color="auto" w:fill="FFFFFF"/>
        </w:rPr>
        <w:br w:type="page"/>
      </w:r>
    </w:p>
    <w:p w14:paraId="6BF44BB8">
      <w:pPr>
        <w:pStyle w:val="56"/>
        <w:numPr>
          <w:ilvl w:val="0"/>
          <w:numId w:val="18"/>
        </w:numPr>
        <w:snapToGrid w:val="0"/>
        <w:spacing w:line="440" w:lineRule="exact"/>
        <w:ind w:firstLineChars="0"/>
        <w:jc w:val="center"/>
        <w:rPr>
          <w:rStyle w:val="47"/>
          <w:rFonts w:ascii="宋体" w:hAnsi="宋体"/>
          <w:b/>
          <w:szCs w:val="21"/>
        </w:rPr>
      </w:pPr>
      <w:bookmarkStart w:id="233" w:name="_Toc16064006"/>
      <w:r>
        <w:rPr>
          <w:rStyle w:val="47"/>
          <w:rFonts w:ascii="宋体" w:hAnsi="宋体"/>
          <w:b/>
          <w:szCs w:val="21"/>
        </w:rPr>
        <w:t>20</w:t>
      </w:r>
      <w:r>
        <w:rPr>
          <w:rStyle w:val="47"/>
          <w:rFonts w:hint="eastAsia" w:ascii="宋体" w:hAnsi="宋体"/>
          <w:b/>
          <w:szCs w:val="21"/>
        </w:rPr>
        <w:t>2</w:t>
      </w:r>
      <w:r>
        <w:rPr>
          <w:rStyle w:val="47"/>
          <w:rFonts w:hint="eastAsia" w:ascii="宋体" w:hAnsi="宋体"/>
          <w:b/>
          <w:szCs w:val="21"/>
          <w:lang w:val="en-US" w:eastAsia="zh-CN"/>
        </w:rPr>
        <w:t>2</w:t>
      </w:r>
      <w:r>
        <w:rPr>
          <w:rStyle w:val="47"/>
          <w:rFonts w:ascii="宋体" w:hAnsi="宋体"/>
          <w:b/>
          <w:szCs w:val="21"/>
        </w:rPr>
        <w:t>、20</w:t>
      </w:r>
      <w:r>
        <w:rPr>
          <w:rStyle w:val="47"/>
          <w:rFonts w:hint="eastAsia" w:ascii="宋体" w:hAnsi="宋体"/>
          <w:b/>
          <w:szCs w:val="21"/>
        </w:rPr>
        <w:t>2</w:t>
      </w:r>
      <w:r>
        <w:rPr>
          <w:rStyle w:val="47"/>
          <w:rFonts w:hint="eastAsia" w:ascii="宋体" w:hAnsi="宋体"/>
          <w:b/>
          <w:szCs w:val="21"/>
          <w:lang w:val="en-US" w:eastAsia="zh-CN"/>
        </w:rPr>
        <w:t>3</w:t>
      </w:r>
      <w:r>
        <w:rPr>
          <w:rStyle w:val="47"/>
          <w:rFonts w:ascii="宋体" w:hAnsi="宋体"/>
          <w:b/>
          <w:szCs w:val="21"/>
        </w:rPr>
        <w:t>、20</w:t>
      </w:r>
      <w:r>
        <w:rPr>
          <w:rStyle w:val="47"/>
          <w:rFonts w:hint="eastAsia" w:ascii="宋体" w:hAnsi="宋体"/>
          <w:b/>
          <w:szCs w:val="21"/>
        </w:rPr>
        <w:t>2</w:t>
      </w:r>
      <w:r>
        <w:rPr>
          <w:rStyle w:val="47"/>
          <w:rFonts w:hint="eastAsia" w:ascii="宋体" w:hAnsi="宋体"/>
          <w:b/>
          <w:szCs w:val="21"/>
          <w:lang w:val="en-US" w:eastAsia="zh-CN"/>
        </w:rPr>
        <w:t>4</w:t>
      </w:r>
      <w:r>
        <w:rPr>
          <w:rStyle w:val="47"/>
          <w:rFonts w:ascii="宋体" w:hAnsi="宋体"/>
          <w:b/>
          <w:szCs w:val="21"/>
        </w:rPr>
        <w:t>年财务状况：</w:t>
      </w:r>
      <w:bookmarkEnd w:id="233"/>
    </w:p>
    <w:p w14:paraId="76F68E9E">
      <w:pPr>
        <w:spacing w:line="440" w:lineRule="exact"/>
        <w:ind w:firstLine="420" w:firstLineChars="200"/>
        <w:rPr>
          <w:rStyle w:val="47"/>
          <w:rFonts w:hint="eastAsia" w:ascii="宋体" w:hAnsi="宋体"/>
        </w:rPr>
      </w:pPr>
      <w:r>
        <w:rPr>
          <w:rStyle w:val="47"/>
          <w:rFonts w:ascii="宋体" w:hAnsi="宋体"/>
        </w:rPr>
        <w:t>附：</w:t>
      </w:r>
      <w:r>
        <w:rPr>
          <w:rStyle w:val="47"/>
          <w:rFonts w:hint="eastAsia" w:ascii="宋体" w:hAnsi="宋体"/>
        </w:rPr>
        <w:t>经会计师事务所或审计机构审计的财务会计报表（包括资产负债表、现金流量表、利润表和财务情况说明书等材料的复印件）及企业最近半年完税证明、信用证明材料（中国人民银行征信报告）；年度纳税信用评价信息；企业对外担保说明。</w:t>
      </w:r>
    </w:p>
    <w:p w14:paraId="75F50ED3">
      <w:pPr>
        <w:spacing w:line="440" w:lineRule="exact"/>
        <w:rPr>
          <w:rStyle w:val="47"/>
          <w:rFonts w:ascii="宋体" w:hAnsi="宋体"/>
          <w:szCs w:val="21"/>
        </w:rPr>
      </w:pPr>
    </w:p>
    <w:tbl>
      <w:tblPr>
        <w:tblStyle w:val="2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2070"/>
        <w:gridCol w:w="2010"/>
        <w:gridCol w:w="2113"/>
      </w:tblGrid>
      <w:tr w14:paraId="7361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190BA882">
            <w:pPr>
              <w:spacing w:line="440" w:lineRule="exact"/>
              <w:jc w:val="center"/>
              <w:rPr>
                <w:rStyle w:val="47"/>
                <w:rFonts w:ascii="宋体" w:hAnsi="宋体"/>
              </w:rPr>
            </w:pPr>
            <w:r>
              <w:rPr>
                <w:rStyle w:val="47"/>
                <w:rFonts w:hint="eastAsia" w:ascii="宋体" w:hAnsi="宋体"/>
              </w:rPr>
              <w:t>投标单位资产情况汇总表</w:t>
            </w:r>
          </w:p>
        </w:tc>
      </w:tr>
      <w:tr w14:paraId="0CB9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3CB97E94">
            <w:pPr>
              <w:spacing w:line="440" w:lineRule="exact"/>
              <w:jc w:val="center"/>
              <w:rPr>
                <w:rStyle w:val="47"/>
                <w:rFonts w:ascii="宋体" w:hAnsi="宋体"/>
              </w:rPr>
            </w:pPr>
            <w:r>
              <w:rPr>
                <w:rStyle w:val="47"/>
                <w:rFonts w:hint="eastAsia" w:ascii="宋体" w:hAnsi="宋体"/>
              </w:rPr>
              <w:t>注册资金（万元）</w:t>
            </w:r>
          </w:p>
        </w:tc>
        <w:tc>
          <w:tcPr>
            <w:tcW w:w="6193" w:type="dxa"/>
            <w:gridSpan w:val="3"/>
          </w:tcPr>
          <w:p w14:paraId="6CA6FE2D">
            <w:pPr>
              <w:spacing w:line="440" w:lineRule="exact"/>
              <w:jc w:val="center"/>
              <w:rPr>
                <w:rStyle w:val="47"/>
                <w:rFonts w:ascii="宋体" w:hAnsi="宋体"/>
              </w:rPr>
            </w:pPr>
          </w:p>
        </w:tc>
      </w:tr>
      <w:tr w14:paraId="455D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720338CA">
            <w:pPr>
              <w:spacing w:line="440" w:lineRule="exact"/>
              <w:jc w:val="center"/>
              <w:rPr>
                <w:rStyle w:val="47"/>
                <w:rFonts w:ascii="宋体" w:hAnsi="宋体"/>
              </w:rPr>
            </w:pPr>
            <w:r>
              <w:rPr>
                <w:rStyle w:val="47"/>
                <w:rFonts w:ascii="宋体" w:hAnsi="宋体"/>
              </w:rPr>
              <w:t>实收资金（万元）</w:t>
            </w:r>
          </w:p>
        </w:tc>
        <w:tc>
          <w:tcPr>
            <w:tcW w:w="6193" w:type="dxa"/>
            <w:gridSpan w:val="3"/>
          </w:tcPr>
          <w:p w14:paraId="3F665969">
            <w:pPr>
              <w:spacing w:line="440" w:lineRule="exact"/>
              <w:jc w:val="center"/>
              <w:rPr>
                <w:rStyle w:val="47"/>
                <w:rFonts w:ascii="宋体" w:hAnsi="宋体"/>
              </w:rPr>
            </w:pPr>
          </w:p>
        </w:tc>
      </w:tr>
      <w:tr w14:paraId="6C0B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277FE576">
            <w:pPr>
              <w:spacing w:line="440" w:lineRule="exact"/>
              <w:jc w:val="center"/>
              <w:rPr>
                <w:rStyle w:val="47"/>
                <w:rFonts w:ascii="宋体" w:hAnsi="宋体"/>
              </w:rPr>
            </w:pPr>
            <w:r>
              <w:rPr>
                <w:rStyle w:val="47"/>
                <w:rFonts w:hint="eastAsia" w:ascii="宋体" w:hAnsi="宋体"/>
              </w:rPr>
              <w:t>年度资产情况</w:t>
            </w:r>
          </w:p>
        </w:tc>
        <w:tc>
          <w:tcPr>
            <w:tcW w:w="2070" w:type="dxa"/>
          </w:tcPr>
          <w:p w14:paraId="707B3238">
            <w:pPr>
              <w:spacing w:line="440" w:lineRule="exact"/>
              <w:jc w:val="center"/>
              <w:rPr>
                <w:rStyle w:val="47"/>
                <w:rFonts w:ascii="宋体" w:hAnsi="宋体"/>
              </w:rPr>
            </w:pPr>
            <w:r>
              <w:rPr>
                <w:rStyle w:val="47"/>
                <w:rFonts w:hint="eastAsia" w:ascii="宋体" w:hAnsi="宋体"/>
              </w:rPr>
              <w:t>202</w:t>
            </w:r>
            <w:r>
              <w:rPr>
                <w:rStyle w:val="47"/>
                <w:rFonts w:hint="eastAsia" w:ascii="宋体" w:hAnsi="宋体"/>
                <w:lang w:val="en-US" w:eastAsia="zh-CN"/>
              </w:rPr>
              <w:t>2</w:t>
            </w:r>
            <w:r>
              <w:rPr>
                <w:rStyle w:val="47"/>
                <w:rFonts w:hint="eastAsia" w:ascii="宋体" w:hAnsi="宋体"/>
              </w:rPr>
              <w:t>年</w:t>
            </w:r>
          </w:p>
        </w:tc>
        <w:tc>
          <w:tcPr>
            <w:tcW w:w="2010" w:type="dxa"/>
          </w:tcPr>
          <w:p w14:paraId="786E5C90">
            <w:pPr>
              <w:spacing w:line="440" w:lineRule="exact"/>
              <w:jc w:val="center"/>
              <w:rPr>
                <w:rStyle w:val="47"/>
                <w:rFonts w:ascii="宋体" w:hAnsi="宋体"/>
              </w:rPr>
            </w:pPr>
            <w:r>
              <w:rPr>
                <w:rStyle w:val="47"/>
                <w:rFonts w:hint="eastAsia" w:ascii="宋体" w:hAnsi="宋体"/>
              </w:rPr>
              <w:t>202</w:t>
            </w:r>
            <w:r>
              <w:rPr>
                <w:rStyle w:val="47"/>
                <w:rFonts w:hint="eastAsia" w:ascii="宋体" w:hAnsi="宋体"/>
                <w:lang w:val="en-US" w:eastAsia="zh-CN"/>
              </w:rPr>
              <w:t>3</w:t>
            </w:r>
            <w:r>
              <w:rPr>
                <w:rStyle w:val="47"/>
                <w:rFonts w:hint="eastAsia" w:ascii="宋体" w:hAnsi="宋体"/>
              </w:rPr>
              <w:t>年</w:t>
            </w:r>
          </w:p>
        </w:tc>
        <w:tc>
          <w:tcPr>
            <w:tcW w:w="2113" w:type="dxa"/>
          </w:tcPr>
          <w:p w14:paraId="10F0B625">
            <w:pPr>
              <w:spacing w:line="440" w:lineRule="exact"/>
              <w:jc w:val="center"/>
              <w:rPr>
                <w:rStyle w:val="47"/>
                <w:rFonts w:ascii="宋体" w:hAnsi="宋体"/>
              </w:rPr>
            </w:pPr>
            <w:r>
              <w:rPr>
                <w:rStyle w:val="47"/>
                <w:rFonts w:hint="eastAsia" w:ascii="宋体" w:hAnsi="宋体"/>
              </w:rPr>
              <w:t>202</w:t>
            </w:r>
            <w:r>
              <w:rPr>
                <w:rStyle w:val="47"/>
                <w:rFonts w:hint="eastAsia" w:ascii="宋体" w:hAnsi="宋体"/>
                <w:lang w:val="en-US" w:eastAsia="zh-CN"/>
              </w:rPr>
              <w:t>4</w:t>
            </w:r>
            <w:r>
              <w:rPr>
                <w:rStyle w:val="47"/>
                <w:rFonts w:hint="eastAsia" w:ascii="宋体" w:hAnsi="宋体"/>
              </w:rPr>
              <w:t>年</w:t>
            </w:r>
          </w:p>
        </w:tc>
      </w:tr>
      <w:tr w14:paraId="5CF8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75CFC297">
            <w:pPr>
              <w:spacing w:line="440" w:lineRule="exact"/>
              <w:jc w:val="center"/>
              <w:rPr>
                <w:rStyle w:val="47"/>
                <w:rFonts w:ascii="宋体" w:hAnsi="宋体"/>
              </w:rPr>
            </w:pPr>
            <w:r>
              <w:rPr>
                <w:rStyle w:val="47"/>
                <w:rFonts w:hint="eastAsia" w:ascii="宋体" w:hAnsi="宋体"/>
              </w:rPr>
              <w:t>流动资产（万元）</w:t>
            </w:r>
          </w:p>
        </w:tc>
        <w:tc>
          <w:tcPr>
            <w:tcW w:w="2070" w:type="dxa"/>
          </w:tcPr>
          <w:p w14:paraId="4C482460">
            <w:pPr>
              <w:spacing w:line="440" w:lineRule="exact"/>
              <w:jc w:val="center"/>
              <w:rPr>
                <w:rStyle w:val="47"/>
                <w:rFonts w:ascii="宋体" w:hAnsi="宋体"/>
              </w:rPr>
            </w:pPr>
          </w:p>
        </w:tc>
        <w:tc>
          <w:tcPr>
            <w:tcW w:w="2010" w:type="dxa"/>
          </w:tcPr>
          <w:p w14:paraId="68EAA249">
            <w:pPr>
              <w:spacing w:line="440" w:lineRule="exact"/>
              <w:jc w:val="center"/>
              <w:rPr>
                <w:rStyle w:val="47"/>
                <w:rFonts w:ascii="宋体" w:hAnsi="宋体"/>
              </w:rPr>
            </w:pPr>
          </w:p>
        </w:tc>
        <w:tc>
          <w:tcPr>
            <w:tcW w:w="2113" w:type="dxa"/>
          </w:tcPr>
          <w:p w14:paraId="1F07D7B1">
            <w:pPr>
              <w:spacing w:line="440" w:lineRule="exact"/>
              <w:jc w:val="center"/>
              <w:rPr>
                <w:rStyle w:val="47"/>
                <w:rFonts w:ascii="宋体" w:hAnsi="宋体"/>
              </w:rPr>
            </w:pPr>
          </w:p>
        </w:tc>
      </w:tr>
      <w:tr w14:paraId="23E5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735A14B3">
            <w:pPr>
              <w:spacing w:line="440" w:lineRule="exact"/>
              <w:jc w:val="center"/>
              <w:rPr>
                <w:rStyle w:val="47"/>
                <w:rFonts w:ascii="宋体" w:hAnsi="宋体"/>
              </w:rPr>
            </w:pPr>
            <w:r>
              <w:rPr>
                <w:rStyle w:val="47"/>
                <w:rFonts w:hint="eastAsia" w:ascii="宋体" w:hAnsi="宋体"/>
              </w:rPr>
              <w:t>非流动资产（万元）</w:t>
            </w:r>
          </w:p>
        </w:tc>
        <w:tc>
          <w:tcPr>
            <w:tcW w:w="2070" w:type="dxa"/>
          </w:tcPr>
          <w:p w14:paraId="21BA5200">
            <w:pPr>
              <w:spacing w:line="440" w:lineRule="exact"/>
              <w:jc w:val="center"/>
              <w:rPr>
                <w:rStyle w:val="47"/>
                <w:rFonts w:ascii="宋体" w:hAnsi="宋体"/>
              </w:rPr>
            </w:pPr>
          </w:p>
        </w:tc>
        <w:tc>
          <w:tcPr>
            <w:tcW w:w="2010" w:type="dxa"/>
          </w:tcPr>
          <w:p w14:paraId="48CAD77F">
            <w:pPr>
              <w:spacing w:line="440" w:lineRule="exact"/>
              <w:jc w:val="center"/>
              <w:rPr>
                <w:rStyle w:val="47"/>
                <w:rFonts w:ascii="宋体" w:hAnsi="宋体"/>
              </w:rPr>
            </w:pPr>
          </w:p>
        </w:tc>
        <w:tc>
          <w:tcPr>
            <w:tcW w:w="2113" w:type="dxa"/>
          </w:tcPr>
          <w:p w14:paraId="2472DBEA">
            <w:pPr>
              <w:spacing w:line="440" w:lineRule="exact"/>
              <w:jc w:val="center"/>
              <w:rPr>
                <w:rStyle w:val="47"/>
                <w:rFonts w:ascii="宋体" w:hAnsi="宋体"/>
              </w:rPr>
            </w:pPr>
          </w:p>
        </w:tc>
      </w:tr>
      <w:tr w14:paraId="4C5C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2CD675D5">
            <w:pPr>
              <w:spacing w:line="440" w:lineRule="exact"/>
              <w:jc w:val="center"/>
              <w:rPr>
                <w:rStyle w:val="47"/>
                <w:rFonts w:ascii="宋体" w:hAnsi="宋体"/>
              </w:rPr>
            </w:pPr>
            <w:r>
              <w:rPr>
                <w:rStyle w:val="47"/>
                <w:rFonts w:hint="eastAsia" w:ascii="宋体" w:hAnsi="宋体"/>
              </w:rPr>
              <w:t>营业收入（万元）</w:t>
            </w:r>
          </w:p>
        </w:tc>
        <w:tc>
          <w:tcPr>
            <w:tcW w:w="2070" w:type="dxa"/>
          </w:tcPr>
          <w:p w14:paraId="0B723CB6">
            <w:pPr>
              <w:spacing w:line="440" w:lineRule="exact"/>
              <w:jc w:val="center"/>
              <w:rPr>
                <w:rStyle w:val="47"/>
                <w:rFonts w:ascii="宋体" w:hAnsi="宋体"/>
              </w:rPr>
            </w:pPr>
          </w:p>
        </w:tc>
        <w:tc>
          <w:tcPr>
            <w:tcW w:w="2010" w:type="dxa"/>
          </w:tcPr>
          <w:p w14:paraId="590958E8">
            <w:pPr>
              <w:spacing w:line="440" w:lineRule="exact"/>
              <w:jc w:val="center"/>
              <w:rPr>
                <w:rStyle w:val="47"/>
                <w:rFonts w:ascii="宋体" w:hAnsi="宋体"/>
              </w:rPr>
            </w:pPr>
          </w:p>
        </w:tc>
        <w:tc>
          <w:tcPr>
            <w:tcW w:w="2113" w:type="dxa"/>
          </w:tcPr>
          <w:p w14:paraId="2D979FC5">
            <w:pPr>
              <w:spacing w:line="440" w:lineRule="exact"/>
              <w:jc w:val="center"/>
              <w:rPr>
                <w:rStyle w:val="47"/>
                <w:rFonts w:ascii="宋体" w:hAnsi="宋体"/>
              </w:rPr>
            </w:pPr>
          </w:p>
        </w:tc>
      </w:tr>
      <w:tr w14:paraId="5872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35AB471C">
            <w:pPr>
              <w:spacing w:line="440" w:lineRule="exact"/>
              <w:jc w:val="center"/>
              <w:rPr>
                <w:rStyle w:val="47"/>
                <w:rFonts w:ascii="宋体" w:hAnsi="宋体"/>
              </w:rPr>
            </w:pPr>
            <w:r>
              <w:rPr>
                <w:rStyle w:val="47"/>
                <w:rFonts w:hint="eastAsia" w:ascii="宋体" w:hAnsi="宋体"/>
              </w:rPr>
              <w:t>年底资产总值（万元）</w:t>
            </w:r>
          </w:p>
        </w:tc>
        <w:tc>
          <w:tcPr>
            <w:tcW w:w="2070" w:type="dxa"/>
          </w:tcPr>
          <w:p w14:paraId="39EE51C5">
            <w:pPr>
              <w:spacing w:line="440" w:lineRule="exact"/>
              <w:jc w:val="center"/>
              <w:rPr>
                <w:rStyle w:val="47"/>
                <w:rFonts w:ascii="宋体" w:hAnsi="宋体"/>
              </w:rPr>
            </w:pPr>
          </w:p>
        </w:tc>
        <w:tc>
          <w:tcPr>
            <w:tcW w:w="2010" w:type="dxa"/>
          </w:tcPr>
          <w:p w14:paraId="6AE1BE65">
            <w:pPr>
              <w:spacing w:line="440" w:lineRule="exact"/>
              <w:jc w:val="center"/>
              <w:rPr>
                <w:rStyle w:val="47"/>
                <w:rFonts w:ascii="宋体" w:hAnsi="宋体"/>
              </w:rPr>
            </w:pPr>
          </w:p>
        </w:tc>
        <w:tc>
          <w:tcPr>
            <w:tcW w:w="2113" w:type="dxa"/>
          </w:tcPr>
          <w:p w14:paraId="13201D0B">
            <w:pPr>
              <w:spacing w:line="440" w:lineRule="exact"/>
              <w:jc w:val="center"/>
              <w:rPr>
                <w:rStyle w:val="47"/>
                <w:rFonts w:ascii="宋体" w:hAnsi="宋体"/>
              </w:rPr>
            </w:pPr>
          </w:p>
        </w:tc>
      </w:tr>
      <w:tr w14:paraId="2285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30FDE009">
            <w:pPr>
              <w:spacing w:line="440" w:lineRule="exact"/>
              <w:jc w:val="center"/>
              <w:rPr>
                <w:rStyle w:val="47"/>
                <w:rFonts w:ascii="宋体" w:hAnsi="宋体"/>
              </w:rPr>
            </w:pPr>
            <w:r>
              <w:rPr>
                <w:rStyle w:val="47"/>
                <w:rFonts w:hint="eastAsia" w:ascii="宋体" w:hAnsi="宋体"/>
              </w:rPr>
              <w:t>年底负债总值（万元）</w:t>
            </w:r>
          </w:p>
        </w:tc>
        <w:tc>
          <w:tcPr>
            <w:tcW w:w="2070" w:type="dxa"/>
          </w:tcPr>
          <w:p w14:paraId="5552284A">
            <w:pPr>
              <w:spacing w:line="440" w:lineRule="exact"/>
              <w:jc w:val="center"/>
              <w:rPr>
                <w:rStyle w:val="47"/>
                <w:rFonts w:ascii="宋体" w:hAnsi="宋体"/>
              </w:rPr>
            </w:pPr>
          </w:p>
        </w:tc>
        <w:tc>
          <w:tcPr>
            <w:tcW w:w="2010" w:type="dxa"/>
          </w:tcPr>
          <w:p w14:paraId="05FF52A3">
            <w:pPr>
              <w:spacing w:line="440" w:lineRule="exact"/>
              <w:jc w:val="center"/>
              <w:rPr>
                <w:rStyle w:val="47"/>
                <w:rFonts w:ascii="宋体" w:hAnsi="宋体"/>
              </w:rPr>
            </w:pPr>
          </w:p>
        </w:tc>
        <w:tc>
          <w:tcPr>
            <w:tcW w:w="2113" w:type="dxa"/>
          </w:tcPr>
          <w:p w14:paraId="0EA54F7F">
            <w:pPr>
              <w:spacing w:line="440" w:lineRule="exact"/>
              <w:jc w:val="center"/>
              <w:rPr>
                <w:rStyle w:val="47"/>
                <w:rFonts w:ascii="宋体" w:hAnsi="宋体"/>
              </w:rPr>
            </w:pPr>
          </w:p>
        </w:tc>
      </w:tr>
      <w:tr w14:paraId="508C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00A60EE7">
            <w:pPr>
              <w:spacing w:line="440" w:lineRule="exact"/>
              <w:jc w:val="center"/>
              <w:rPr>
                <w:rStyle w:val="47"/>
                <w:rFonts w:ascii="宋体" w:hAnsi="宋体"/>
              </w:rPr>
            </w:pPr>
            <w:r>
              <w:rPr>
                <w:rStyle w:val="47"/>
                <w:rFonts w:ascii="宋体" w:hAnsi="宋体"/>
              </w:rPr>
              <w:t>资产负债率</w:t>
            </w:r>
            <w:r>
              <w:rPr>
                <w:rStyle w:val="47"/>
                <w:rFonts w:hint="eastAsia" w:ascii="宋体" w:hAnsi="宋体"/>
              </w:rPr>
              <w:t>（**.**%）</w:t>
            </w:r>
          </w:p>
        </w:tc>
        <w:tc>
          <w:tcPr>
            <w:tcW w:w="2070" w:type="dxa"/>
          </w:tcPr>
          <w:p w14:paraId="21DA112E">
            <w:pPr>
              <w:spacing w:line="440" w:lineRule="exact"/>
              <w:jc w:val="center"/>
              <w:rPr>
                <w:rStyle w:val="47"/>
                <w:rFonts w:ascii="宋体" w:hAnsi="宋体"/>
              </w:rPr>
            </w:pPr>
          </w:p>
        </w:tc>
        <w:tc>
          <w:tcPr>
            <w:tcW w:w="2010" w:type="dxa"/>
          </w:tcPr>
          <w:p w14:paraId="37C0537F">
            <w:pPr>
              <w:spacing w:line="440" w:lineRule="exact"/>
              <w:jc w:val="center"/>
              <w:rPr>
                <w:rStyle w:val="47"/>
                <w:rFonts w:ascii="宋体" w:hAnsi="宋体"/>
              </w:rPr>
            </w:pPr>
          </w:p>
        </w:tc>
        <w:tc>
          <w:tcPr>
            <w:tcW w:w="2113" w:type="dxa"/>
          </w:tcPr>
          <w:p w14:paraId="4E509855">
            <w:pPr>
              <w:spacing w:line="440" w:lineRule="exact"/>
              <w:jc w:val="center"/>
              <w:rPr>
                <w:rStyle w:val="47"/>
                <w:rFonts w:ascii="宋体" w:hAnsi="宋体"/>
              </w:rPr>
            </w:pPr>
          </w:p>
        </w:tc>
      </w:tr>
      <w:tr w14:paraId="7837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32D3E39C">
            <w:pPr>
              <w:spacing w:line="440" w:lineRule="exact"/>
              <w:jc w:val="center"/>
              <w:rPr>
                <w:rStyle w:val="47"/>
                <w:rFonts w:ascii="宋体" w:hAnsi="宋体"/>
              </w:rPr>
            </w:pPr>
            <w:r>
              <w:rPr>
                <w:rStyle w:val="47"/>
                <w:rFonts w:hint="eastAsia" w:ascii="宋体" w:hAnsi="宋体"/>
              </w:rPr>
              <w:t>净利润（万元）</w:t>
            </w:r>
          </w:p>
        </w:tc>
        <w:tc>
          <w:tcPr>
            <w:tcW w:w="2070" w:type="dxa"/>
          </w:tcPr>
          <w:p w14:paraId="6FDC069D">
            <w:pPr>
              <w:spacing w:line="440" w:lineRule="exact"/>
              <w:jc w:val="center"/>
              <w:rPr>
                <w:rStyle w:val="47"/>
                <w:rFonts w:ascii="宋体" w:hAnsi="宋体"/>
              </w:rPr>
            </w:pPr>
          </w:p>
        </w:tc>
        <w:tc>
          <w:tcPr>
            <w:tcW w:w="2010" w:type="dxa"/>
          </w:tcPr>
          <w:p w14:paraId="64CBE87A">
            <w:pPr>
              <w:spacing w:line="440" w:lineRule="exact"/>
              <w:jc w:val="center"/>
              <w:rPr>
                <w:rStyle w:val="47"/>
                <w:rFonts w:ascii="宋体" w:hAnsi="宋体"/>
              </w:rPr>
            </w:pPr>
          </w:p>
        </w:tc>
        <w:tc>
          <w:tcPr>
            <w:tcW w:w="2113" w:type="dxa"/>
          </w:tcPr>
          <w:p w14:paraId="55F97EAB">
            <w:pPr>
              <w:spacing w:line="440" w:lineRule="exact"/>
              <w:jc w:val="center"/>
              <w:rPr>
                <w:rStyle w:val="47"/>
                <w:rFonts w:ascii="宋体" w:hAnsi="宋体"/>
              </w:rPr>
            </w:pPr>
          </w:p>
        </w:tc>
      </w:tr>
      <w:tr w14:paraId="488C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2FA51EEB">
            <w:pPr>
              <w:spacing w:line="440" w:lineRule="exact"/>
              <w:jc w:val="center"/>
              <w:rPr>
                <w:rStyle w:val="47"/>
                <w:rFonts w:ascii="宋体" w:hAnsi="宋体"/>
              </w:rPr>
            </w:pPr>
            <w:r>
              <w:rPr>
                <w:rStyle w:val="47"/>
                <w:rFonts w:hint="eastAsia" w:ascii="宋体" w:hAnsi="宋体"/>
              </w:rPr>
              <w:t>未分配利润（万元）</w:t>
            </w:r>
          </w:p>
        </w:tc>
        <w:tc>
          <w:tcPr>
            <w:tcW w:w="2070" w:type="dxa"/>
          </w:tcPr>
          <w:p w14:paraId="13D51013">
            <w:pPr>
              <w:spacing w:line="440" w:lineRule="exact"/>
              <w:jc w:val="center"/>
              <w:rPr>
                <w:rStyle w:val="47"/>
                <w:rFonts w:ascii="宋体" w:hAnsi="宋体"/>
              </w:rPr>
            </w:pPr>
          </w:p>
        </w:tc>
        <w:tc>
          <w:tcPr>
            <w:tcW w:w="2010" w:type="dxa"/>
          </w:tcPr>
          <w:p w14:paraId="6C71F024">
            <w:pPr>
              <w:spacing w:line="440" w:lineRule="exact"/>
              <w:jc w:val="center"/>
              <w:rPr>
                <w:rStyle w:val="47"/>
                <w:rFonts w:ascii="宋体" w:hAnsi="宋体"/>
              </w:rPr>
            </w:pPr>
          </w:p>
        </w:tc>
        <w:tc>
          <w:tcPr>
            <w:tcW w:w="2113" w:type="dxa"/>
          </w:tcPr>
          <w:p w14:paraId="59618762">
            <w:pPr>
              <w:spacing w:line="440" w:lineRule="exact"/>
              <w:jc w:val="center"/>
              <w:rPr>
                <w:rStyle w:val="47"/>
                <w:rFonts w:ascii="宋体" w:hAnsi="宋体"/>
              </w:rPr>
            </w:pPr>
          </w:p>
        </w:tc>
      </w:tr>
      <w:tr w14:paraId="2F96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30EDECC6">
            <w:pPr>
              <w:spacing w:line="440" w:lineRule="exact"/>
              <w:jc w:val="center"/>
              <w:rPr>
                <w:rFonts w:ascii="宋体" w:hAnsi="宋体"/>
              </w:rPr>
            </w:pPr>
            <w:r>
              <w:rPr>
                <w:rStyle w:val="47"/>
                <w:rFonts w:hint="eastAsia" w:ascii="宋体" w:hAnsi="宋体"/>
              </w:rPr>
              <w:t>营运</w:t>
            </w:r>
            <w:r>
              <w:rPr>
                <w:rStyle w:val="47"/>
                <w:rFonts w:ascii="宋体" w:hAnsi="宋体"/>
              </w:rPr>
              <w:t>资</w:t>
            </w:r>
            <w:r>
              <w:rPr>
                <w:rStyle w:val="47"/>
                <w:rFonts w:hint="eastAsia" w:ascii="宋体" w:hAnsi="宋体"/>
              </w:rPr>
              <w:t>金</w:t>
            </w:r>
          </w:p>
        </w:tc>
        <w:tc>
          <w:tcPr>
            <w:tcW w:w="2070" w:type="dxa"/>
          </w:tcPr>
          <w:p w14:paraId="6FF047CD">
            <w:pPr>
              <w:spacing w:line="440" w:lineRule="exact"/>
              <w:jc w:val="center"/>
              <w:rPr>
                <w:rStyle w:val="47"/>
                <w:rFonts w:ascii="宋体" w:hAnsi="宋体"/>
              </w:rPr>
            </w:pPr>
          </w:p>
        </w:tc>
        <w:tc>
          <w:tcPr>
            <w:tcW w:w="2010" w:type="dxa"/>
          </w:tcPr>
          <w:p w14:paraId="62EA9EBC">
            <w:pPr>
              <w:spacing w:line="440" w:lineRule="exact"/>
              <w:jc w:val="center"/>
              <w:rPr>
                <w:rStyle w:val="47"/>
                <w:rFonts w:ascii="宋体" w:hAnsi="宋体"/>
              </w:rPr>
            </w:pPr>
          </w:p>
        </w:tc>
        <w:tc>
          <w:tcPr>
            <w:tcW w:w="2113" w:type="dxa"/>
          </w:tcPr>
          <w:p w14:paraId="199AAEAD">
            <w:pPr>
              <w:spacing w:line="440" w:lineRule="exact"/>
              <w:jc w:val="center"/>
              <w:rPr>
                <w:rStyle w:val="47"/>
                <w:rFonts w:ascii="宋体" w:hAnsi="宋体"/>
              </w:rPr>
            </w:pPr>
          </w:p>
        </w:tc>
      </w:tr>
      <w:tr w14:paraId="6A15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tcPr>
          <w:p w14:paraId="2BE30560">
            <w:pPr>
              <w:spacing w:line="440" w:lineRule="exact"/>
              <w:jc w:val="center"/>
              <w:rPr>
                <w:rFonts w:ascii="宋体" w:hAnsi="宋体"/>
              </w:rPr>
            </w:pPr>
            <w:r>
              <w:rPr>
                <w:rStyle w:val="47"/>
                <w:rFonts w:hint="eastAsia" w:ascii="宋体" w:hAnsi="宋体"/>
              </w:rPr>
              <w:t>（本年营业收入-上年营业收入）÷上年营业收入</w:t>
            </w:r>
          </w:p>
        </w:tc>
        <w:tc>
          <w:tcPr>
            <w:tcW w:w="2070" w:type="dxa"/>
          </w:tcPr>
          <w:p w14:paraId="5295D9BC">
            <w:pPr>
              <w:spacing w:line="440" w:lineRule="exact"/>
              <w:jc w:val="center"/>
              <w:rPr>
                <w:rStyle w:val="47"/>
                <w:rFonts w:ascii="宋体" w:hAnsi="宋体"/>
              </w:rPr>
            </w:pPr>
          </w:p>
        </w:tc>
        <w:tc>
          <w:tcPr>
            <w:tcW w:w="2010" w:type="dxa"/>
          </w:tcPr>
          <w:p w14:paraId="28E461AC">
            <w:pPr>
              <w:spacing w:line="440" w:lineRule="exact"/>
              <w:jc w:val="center"/>
              <w:rPr>
                <w:rStyle w:val="47"/>
                <w:rFonts w:ascii="宋体" w:hAnsi="宋体"/>
              </w:rPr>
            </w:pPr>
          </w:p>
        </w:tc>
        <w:tc>
          <w:tcPr>
            <w:tcW w:w="2113" w:type="dxa"/>
          </w:tcPr>
          <w:p w14:paraId="3A40859D">
            <w:pPr>
              <w:spacing w:line="440" w:lineRule="exact"/>
              <w:jc w:val="center"/>
              <w:rPr>
                <w:rStyle w:val="47"/>
                <w:rFonts w:ascii="宋体" w:hAnsi="宋体"/>
              </w:rPr>
            </w:pPr>
          </w:p>
        </w:tc>
      </w:tr>
    </w:tbl>
    <w:p w14:paraId="6E219265">
      <w:pPr>
        <w:spacing w:line="440" w:lineRule="exact"/>
        <w:rPr>
          <w:rStyle w:val="47"/>
          <w:rFonts w:ascii="宋体" w:hAnsi="宋体"/>
        </w:rPr>
      </w:pPr>
    </w:p>
    <w:p w14:paraId="78B8507C">
      <w:pPr>
        <w:rPr>
          <w:rStyle w:val="47"/>
          <w:rFonts w:ascii="宋体" w:hAnsi="宋体"/>
          <w:b/>
          <w:szCs w:val="21"/>
        </w:rPr>
      </w:pPr>
      <w:bookmarkStart w:id="234" w:name="_Toc16064007"/>
      <w:r>
        <w:rPr>
          <w:rStyle w:val="47"/>
          <w:rFonts w:ascii="宋体" w:hAnsi="宋体"/>
          <w:b/>
          <w:szCs w:val="21"/>
        </w:rPr>
        <w:br w:type="page"/>
      </w:r>
    </w:p>
    <w:p w14:paraId="7D4EEA23">
      <w:pPr>
        <w:pStyle w:val="56"/>
        <w:numPr>
          <w:ilvl w:val="0"/>
          <w:numId w:val="18"/>
        </w:numPr>
        <w:snapToGrid w:val="0"/>
        <w:spacing w:line="440" w:lineRule="exact"/>
        <w:ind w:firstLineChars="0"/>
        <w:jc w:val="center"/>
        <w:rPr>
          <w:rStyle w:val="47"/>
          <w:rFonts w:ascii="宋体" w:hAnsi="宋体"/>
          <w:b/>
          <w:szCs w:val="21"/>
        </w:rPr>
      </w:pPr>
      <w:r>
        <w:rPr>
          <w:rStyle w:val="47"/>
          <w:rFonts w:ascii="宋体" w:hAnsi="宋体"/>
          <w:b/>
          <w:szCs w:val="21"/>
        </w:rPr>
        <w:t>拟派项目部主要管理人员：</w:t>
      </w:r>
      <w:bookmarkEnd w:id="234"/>
    </w:p>
    <w:p w14:paraId="27C34E5C">
      <w:pPr>
        <w:pStyle w:val="56"/>
        <w:snapToGrid w:val="0"/>
        <w:spacing w:line="440" w:lineRule="exact"/>
        <w:ind w:left="1367" w:firstLine="0" w:firstLineChars="0"/>
        <w:rPr>
          <w:rStyle w:val="47"/>
          <w:rFonts w:ascii="宋体" w:hAnsi="宋体"/>
          <w:b/>
          <w:szCs w:val="21"/>
        </w:rPr>
      </w:pPr>
    </w:p>
    <w:p w14:paraId="558F02A8">
      <w:pPr>
        <w:spacing w:line="440" w:lineRule="exact"/>
        <w:rPr>
          <w:rStyle w:val="47"/>
          <w:rFonts w:ascii="宋体" w:hAnsi="宋体"/>
        </w:rPr>
      </w:pPr>
      <w:r>
        <w:rPr>
          <w:rStyle w:val="47"/>
          <w:rFonts w:ascii="宋体" w:hAnsi="宋体"/>
        </w:rPr>
        <w:t xml:space="preserve">  </w:t>
      </w:r>
      <w:bookmarkStart w:id="235" w:name="_Toc16064008"/>
      <w:r>
        <w:rPr>
          <w:rStyle w:val="47"/>
          <w:rFonts w:ascii="宋体" w:hAnsi="宋体"/>
        </w:rPr>
        <w:t xml:space="preserve"> 附：拟派项目经理的注册建造师执业资格证及安全生产考核合格B证复印件； </w:t>
      </w:r>
    </w:p>
    <w:p w14:paraId="035A687F">
      <w:pPr>
        <w:spacing w:line="440" w:lineRule="exact"/>
        <w:rPr>
          <w:rStyle w:val="47"/>
          <w:rFonts w:ascii="宋体" w:hAnsi="宋体"/>
        </w:rPr>
      </w:pPr>
      <w:r>
        <w:rPr>
          <w:rStyle w:val="47"/>
          <w:rFonts w:ascii="宋体" w:hAnsi="宋体"/>
        </w:rPr>
        <w:t xml:space="preserve">       </w:t>
      </w:r>
    </w:p>
    <w:p w14:paraId="13011C31">
      <w:pPr>
        <w:spacing w:line="360" w:lineRule="exact"/>
        <w:ind w:firstLine="413" w:firstLineChars="196"/>
        <w:rPr>
          <w:rStyle w:val="47"/>
          <w:rFonts w:ascii="宋体" w:hAnsi="宋体"/>
          <w:b/>
          <w:bCs/>
          <w:u w:val="single"/>
        </w:rPr>
      </w:pPr>
      <w:r>
        <w:rPr>
          <w:rStyle w:val="47"/>
          <w:rFonts w:ascii="宋体" w:hAnsi="宋体"/>
          <w:b/>
          <w:bCs/>
          <w:u w:val="single"/>
        </w:rPr>
        <w:t>注：</w:t>
      </w:r>
      <w:r>
        <w:rPr>
          <w:rStyle w:val="47"/>
          <w:rFonts w:ascii="宋体" w:hAnsi="宋体"/>
          <w:b/>
          <w:bCs/>
          <w:highlight w:val="none"/>
          <w:u w:val="single"/>
        </w:rPr>
        <w:t>以上人员资格证书</w:t>
      </w:r>
      <w:r>
        <w:rPr>
          <w:rStyle w:val="47"/>
          <w:rFonts w:hint="eastAsia" w:ascii="宋体" w:hAnsi="宋体"/>
          <w:b/>
          <w:bCs/>
          <w:highlight w:val="none"/>
          <w:u w:val="single"/>
          <w:lang w:val="en-US" w:eastAsia="zh-CN"/>
        </w:rPr>
        <w:t>要求</w:t>
      </w:r>
      <w:r>
        <w:rPr>
          <w:rStyle w:val="47"/>
          <w:rFonts w:ascii="宋体" w:hAnsi="宋体"/>
          <w:b/>
          <w:bCs/>
          <w:highlight w:val="none"/>
          <w:u w:val="single"/>
        </w:rPr>
        <w:t>单位名称与投标人单位名称一致，</w:t>
      </w:r>
      <w:r>
        <w:rPr>
          <w:rStyle w:val="47"/>
          <w:rFonts w:hint="eastAsia" w:ascii="宋体" w:hAnsi="宋体"/>
          <w:b/>
          <w:bCs/>
          <w:highlight w:val="none"/>
          <w:u w:val="single"/>
          <w:lang w:val="en-US" w:eastAsia="zh-CN"/>
        </w:rPr>
        <w:t>并</w:t>
      </w:r>
      <w:r>
        <w:rPr>
          <w:rStyle w:val="47"/>
          <w:rFonts w:ascii="宋体" w:hAnsi="宋体"/>
          <w:b/>
          <w:bCs/>
          <w:highlight w:val="none"/>
          <w:u w:val="single"/>
        </w:rPr>
        <w:t>须提交投标截至时间前</w:t>
      </w:r>
      <w:r>
        <w:rPr>
          <w:rStyle w:val="47"/>
          <w:rFonts w:hint="eastAsia" w:ascii="宋体" w:hAnsi="宋体"/>
          <w:b/>
          <w:bCs/>
          <w:highlight w:val="none"/>
          <w:u w:val="single"/>
        </w:rPr>
        <w:t>一年</w:t>
      </w:r>
      <w:r>
        <w:rPr>
          <w:rStyle w:val="47"/>
          <w:rFonts w:ascii="宋体" w:hAnsi="宋体"/>
          <w:b/>
          <w:bCs/>
          <w:highlight w:val="none"/>
          <w:u w:val="single"/>
        </w:rPr>
        <w:t>内在本单位缴纳的连续</w:t>
      </w:r>
      <w:r>
        <w:rPr>
          <w:rStyle w:val="47"/>
          <w:rFonts w:hint="eastAsia" w:ascii="宋体" w:hAnsi="宋体"/>
          <w:b/>
          <w:bCs/>
          <w:highlight w:val="none"/>
          <w:u w:val="single"/>
        </w:rPr>
        <w:t>十二</w:t>
      </w:r>
      <w:r>
        <w:rPr>
          <w:rStyle w:val="47"/>
          <w:rFonts w:ascii="宋体" w:hAnsi="宋体"/>
          <w:b/>
          <w:bCs/>
          <w:highlight w:val="none"/>
          <w:u w:val="single"/>
        </w:rPr>
        <w:t>个月的社保证明，</w:t>
      </w:r>
      <w:r>
        <w:rPr>
          <w:rStyle w:val="47"/>
          <w:rFonts w:ascii="宋体" w:hAnsi="宋体"/>
          <w:b/>
          <w:bCs/>
          <w:u w:val="single"/>
        </w:rPr>
        <w:t>否则视为无效证件且不计入济建建字【2011】12号文规定的最低人员配备。</w:t>
      </w:r>
    </w:p>
    <w:p w14:paraId="061EA4A4">
      <w:pPr>
        <w:spacing w:line="440" w:lineRule="exact"/>
        <w:rPr>
          <w:rStyle w:val="47"/>
          <w:rFonts w:ascii="宋体" w:hAnsi="宋体"/>
        </w:rPr>
      </w:pPr>
    </w:p>
    <w:p w14:paraId="02321EF7">
      <w:pPr>
        <w:pStyle w:val="11"/>
        <w:rPr>
          <w:rStyle w:val="47"/>
          <w:rFonts w:ascii="宋体" w:hAnsi="宋体"/>
        </w:rPr>
      </w:pPr>
    </w:p>
    <w:p w14:paraId="37C08FD2">
      <w:r>
        <w:br w:type="page"/>
      </w:r>
    </w:p>
    <w:p w14:paraId="01F6C01B">
      <w:pPr>
        <w:sectPr>
          <w:headerReference r:id="rId14" w:type="first"/>
          <w:headerReference r:id="rId13" w:type="default"/>
          <w:pgSz w:w="11905" w:h="16838"/>
          <w:pgMar w:top="1304" w:right="1304" w:bottom="1247" w:left="1304" w:header="850" w:footer="992" w:gutter="0"/>
          <w:pgNumType w:fmt="decimal"/>
          <w:cols w:space="0" w:num="1"/>
          <w:titlePg/>
          <w:rtlGutter w:val="0"/>
          <w:docGrid w:type="lines" w:linePitch="320" w:charSpace="0"/>
        </w:sectPr>
      </w:pPr>
    </w:p>
    <w:p w14:paraId="270F391B"/>
    <w:p w14:paraId="389CB87F">
      <w:pPr>
        <w:pStyle w:val="56"/>
        <w:numPr>
          <w:ilvl w:val="0"/>
          <w:numId w:val="18"/>
        </w:numPr>
        <w:snapToGrid w:val="0"/>
        <w:spacing w:line="440" w:lineRule="exact"/>
        <w:ind w:firstLineChars="0"/>
        <w:jc w:val="center"/>
        <w:rPr>
          <w:rStyle w:val="47"/>
          <w:rFonts w:ascii="宋体" w:hAnsi="宋体"/>
          <w:b/>
          <w:szCs w:val="21"/>
        </w:rPr>
      </w:pPr>
      <w:r>
        <w:rPr>
          <w:rStyle w:val="47"/>
          <w:rFonts w:ascii="宋体" w:hAnsi="宋体"/>
          <w:b/>
          <w:szCs w:val="21"/>
        </w:rPr>
        <w:t>近三年承担的类似工程情况表</w:t>
      </w:r>
      <w:bookmarkEnd w:id="235"/>
    </w:p>
    <w:p w14:paraId="05F55278">
      <w:pPr>
        <w:pStyle w:val="56"/>
        <w:snapToGrid w:val="0"/>
        <w:spacing w:line="440" w:lineRule="exact"/>
        <w:ind w:left="1367" w:firstLine="0" w:firstLineChars="0"/>
        <w:rPr>
          <w:rStyle w:val="47"/>
          <w:rFonts w:ascii="宋体" w:hAnsi="宋体"/>
          <w:b/>
          <w:szCs w:val="21"/>
        </w:rPr>
      </w:pPr>
    </w:p>
    <w:tbl>
      <w:tblPr>
        <w:tblStyle w:val="26"/>
        <w:tblW w:w="143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6"/>
        <w:gridCol w:w="1545"/>
        <w:gridCol w:w="1305"/>
        <w:gridCol w:w="1383"/>
        <w:gridCol w:w="1900"/>
        <w:gridCol w:w="1127"/>
        <w:gridCol w:w="1320"/>
        <w:gridCol w:w="900"/>
        <w:gridCol w:w="1005"/>
        <w:gridCol w:w="1410"/>
        <w:gridCol w:w="1822"/>
      </w:tblGrid>
      <w:tr w14:paraId="1BF0D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26" w:type="dxa"/>
            <w:tcBorders>
              <w:top w:val="single" w:color="000000" w:sz="4" w:space="0"/>
              <w:left w:val="single" w:color="000000" w:sz="4" w:space="0"/>
              <w:bottom w:val="single" w:color="000000" w:sz="4" w:space="0"/>
              <w:right w:val="single" w:color="000000" w:sz="4" w:space="0"/>
            </w:tcBorders>
            <w:vAlign w:val="center"/>
          </w:tcPr>
          <w:p w14:paraId="6E54ACE4">
            <w:pPr>
              <w:jc w:val="center"/>
              <w:rPr>
                <w:rStyle w:val="47"/>
                <w:rFonts w:ascii="宋体" w:hAnsi="宋体"/>
                <w:szCs w:val="21"/>
              </w:rPr>
            </w:pPr>
            <w:bookmarkStart w:id="236" w:name="_Hlk161835794"/>
            <w:r>
              <w:rPr>
                <w:rStyle w:val="47"/>
                <w:rFonts w:ascii="宋体" w:hAnsi="宋体"/>
                <w:szCs w:val="21"/>
              </w:rPr>
              <w:t>序号</w:t>
            </w:r>
          </w:p>
        </w:tc>
        <w:tc>
          <w:tcPr>
            <w:tcW w:w="1545" w:type="dxa"/>
            <w:tcBorders>
              <w:top w:val="single" w:color="000000" w:sz="4" w:space="0"/>
              <w:left w:val="single" w:color="000000" w:sz="4" w:space="0"/>
              <w:bottom w:val="single" w:color="000000" w:sz="4" w:space="0"/>
              <w:right w:val="single" w:color="000000" w:sz="4" w:space="0"/>
            </w:tcBorders>
            <w:vAlign w:val="center"/>
          </w:tcPr>
          <w:p w14:paraId="06003E60">
            <w:pPr>
              <w:jc w:val="center"/>
              <w:rPr>
                <w:rStyle w:val="47"/>
                <w:rFonts w:ascii="宋体" w:hAnsi="宋体"/>
                <w:szCs w:val="21"/>
              </w:rPr>
            </w:pPr>
            <w:r>
              <w:rPr>
                <w:rStyle w:val="47"/>
                <w:rFonts w:ascii="宋体" w:hAnsi="宋体"/>
                <w:szCs w:val="21"/>
              </w:rPr>
              <w:t>项目名称</w:t>
            </w:r>
          </w:p>
        </w:tc>
        <w:tc>
          <w:tcPr>
            <w:tcW w:w="1305" w:type="dxa"/>
            <w:tcBorders>
              <w:top w:val="single" w:color="000000" w:sz="4" w:space="0"/>
              <w:left w:val="single" w:color="000000" w:sz="4" w:space="0"/>
              <w:bottom w:val="single" w:color="000000" w:sz="4" w:space="0"/>
              <w:right w:val="single" w:color="000000" w:sz="4" w:space="0"/>
            </w:tcBorders>
            <w:vAlign w:val="center"/>
          </w:tcPr>
          <w:p w14:paraId="1E8A6670">
            <w:pPr>
              <w:jc w:val="center"/>
              <w:rPr>
                <w:rStyle w:val="47"/>
                <w:rFonts w:ascii="宋体" w:hAnsi="宋体"/>
                <w:szCs w:val="21"/>
              </w:rPr>
            </w:pPr>
            <w:r>
              <w:rPr>
                <w:rStyle w:val="47"/>
                <w:rFonts w:ascii="宋体" w:hAnsi="宋体"/>
                <w:szCs w:val="21"/>
              </w:rPr>
              <w:t>项目规模</w:t>
            </w:r>
          </w:p>
        </w:tc>
        <w:tc>
          <w:tcPr>
            <w:tcW w:w="1383" w:type="dxa"/>
            <w:tcBorders>
              <w:top w:val="single" w:color="000000" w:sz="4" w:space="0"/>
              <w:left w:val="single" w:color="000000" w:sz="4" w:space="0"/>
              <w:bottom w:val="single" w:color="000000" w:sz="4" w:space="0"/>
              <w:right w:val="single" w:color="000000" w:sz="4" w:space="0"/>
            </w:tcBorders>
            <w:vAlign w:val="center"/>
          </w:tcPr>
          <w:p w14:paraId="06CC7689">
            <w:pPr>
              <w:jc w:val="center"/>
              <w:rPr>
                <w:rStyle w:val="47"/>
                <w:rFonts w:ascii="宋体" w:hAnsi="宋体"/>
                <w:szCs w:val="21"/>
              </w:rPr>
            </w:pPr>
            <w:r>
              <w:rPr>
                <w:rStyle w:val="47"/>
                <w:rFonts w:ascii="宋体" w:hAnsi="宋体"/>
                <w:szCs w:val="21"/>
              </w:rPr>
              <w:t>发包人名称</w:t>
            </w:r>
          </w:p>
        </w:tc>
        <w:tc>
          <w:tcPr>
            <w:tcW w:w="1900" w:type="dxa"/>
            <w:tcBorders>
              <w:top w:val="single" w:color="000000" w:sz="4" w:space="0"/>
              <w:left w:val="single" w:color="000000" w:sz="4" w:space="0"/>
              <w:bottom w:val="single" w:color="000000" w:sz="4" w:space="0"/>
              <w:right w:val="single" w:color="000000" w:sz="4" w:space="0"/>
            </w:tcBorders>
            <w:vAlign w:val="center"/>
          </w:tcPr>
          <w:p w14:paraId="76AD137C">
            <w:pPr>
              <w:jc w:val="center"/>
              <w:rPr>
                <w:rStyle w:val="47"/>
                <w:rFonts w:ascii="宋体" w:hAnsi="宋体"/>
                <w:szCs w:val="21"/>
              </w:rPr>
            </w:pPr>
            <w:r>
              <w:rPr>
                <w:rStyle w:val="47"/>
                <w:rFonts w:ascii="宋体" w:hAnsi="宋体"/>
                <w:szCs w:val="21"/>
              </w:rPr>
              <w:t>发包人联系人及电话</w:t>
            </w:r>
          </w:p>
        </w:tc>
        <w:tc>
          <w:tcPr>
            <w:tcW w:w="1127" w:type="dxa"/>
            <w:tcBorders>
              <w:top w:val="single" w:color="000000" w:sz="4" w:space="0"/>
              <w:left w:val="single" w:color="000000" w:sz="4" w:space="0"/>
              <w:bottom w:val="single" w:color="000000" w:sz="4" w:space="0"/>
              <w:right w:val="single" w:color="000000" w:sz="4" w:space="0"/>
            </w:tcBorders>
            <w:vAlign w:val="center"/>
          </w:tcPr>
          <w:p w14:paraId="3280AFCE">
            <w:pPr>
              <w:jc w:val="center"/>
              <w:rPr>
                <w:rStyle w:val="47"/>
                <w:rFonts w:ascii="宋体" w:hAnsi="宋体"/>
                <w:szCs w:val="21"/>
              </w:rPr>
            </w:pPr>
            <w:r>
              <w:rPr>
                <w:rStyle w:val="47"/>
                <w:rFonts w:ascii="宋体" w:hAnsi="宋体"/>
                <w:szCs w:val="21"/>
              </w:rPr>
              <w:t>合同价格</w:t>
            </w:r>
          </w:p>
        </w:tc>
        <w:tc>
          <w:tcPr>
            <w:tcW w:w="1320" w:type="dxa"/>
            <w:tcBorders>
              <w:top w:val="single" w:color="000000" w:sz="4" w:space="0"/>
              <w:left w:val="single" w:color="000000" w:sz="4" w:space="0"/>
              <w:bottom w:val="single" w:color="000000" w:sz="4" w:space="0"/>
              <w:right w:val="single" w:color="000000" w:sz="4" w:space="0"/>
            </w:tcBorders>
            <w:vAlign w:val="center"/>
          </w:tcPr>
          <w:p w14:paraId="108CB935">
            <w:pPr>
              <w:jc w:val="center"/>
              <w:rPr>
                <w:rStyle w:val="47"/>
                <w:rFonts w:ascii="宋体" w:hAnsi="宋体"/>
                <w:szCs w:val="21"/>
              </w:rPr>
            </w:pPr>
            <w:r>
              <w:rPr>
                <w:rStyle w:val="47"/>
                <w:rFonts w:ascii="宋体" w:hAnsi="宋体"/>
                <w:szCs w:val="21"/>
              </w:rPr>
              <w:t>开、竣工日期</w:t>
            </w:r>
          </w:p>
        </w:tc>
        <w:tc>
          <w:tcPr>
            <w:tcW w:w="900" w:type="dxa"/>
            <w:tcBorders>
              <w:top w:val="single" w:color="000000" w:sz="4" w:space="0"/>
              <w:left w:val="single" w:color="000000" w:sz="4" w:space="0"/>
              <w:bottom w:val="single" w:color="000000" w:sz="4" w:space="0"/>
              <w:right w:val="single" w:color="000000" w:sz="4" w:space="0"/>
            </w:tcBorders>
            <w:vAlign w:val="center"/>
          </w:tcPr>
          <w:p w14:paraId="1B6D2FDE">
            <w:pPr>
              <w:jc w:val="center"/>
              <w:rPr>
                <w:rStyle w:val="47"/>
                <w:rFonts w:ascii="宋体" w:hAnsi="宋体"/>
                <w:szCs w:val="21"/>
              </w:rPr>
            </w:pPr>
            <w:r>
              <w:rPr>
                <w:rStyle w:val="47"/>
                <w:rFonts w:ascii="宋体" w:hAnsi="宋体"/>
                <w:szCs w:val="21"/>
              </w:rPr>
              <w:t>工程质量</w:t>
            </w:r>
          </w:p>
        </w:tc>
        <w:tc>
          <w:tcPr>
            <w:tcW w:w="1005" w:type="dxa"/>
            <w:tcBorders>
              <w:top w:val="single" w:color="000000" w:sz="4" w:space="0"/>
              <w:left w:val="single" w:color="000000" w:sz="4" w:space="0"/>
              <w:bottom w:val="single" w:color="000000" w:sz="4" w:space="0"/>
              <w:right w:val="single" w:color="000000" w:sz="4" w:space="0"/>
            </w:tcBorders>
            <w:vAlign w:val="center"/>
          </w:tcPr>
          <w:p w14:paraId="54820123">
            <w:pPr>
              <w:jc w:val="center"/>
              <w:rPr>
                <w:rStyle w:val="47"/>
                <w:rFonts w:ascii="宋体" w:hAnsi="宋体"/>
                <w:szCs w:val="21"/>
              </w:rPr>
            </w:pPr>
            <w:r>
              <w:rPr>
                <w:rStyle w:val="47"/>
                <w:rFonts w:ascii="宋体" w:hAnsi="宋体"/>
                <w:szCs w:val="21"/>
              </w:rPr>
              <w:t>项目经理</w:t>
            </w:r>
          </w:p>
        </w:tc>
        <w:tc>
          <w:tcPr>
            <w:tcW w:w="1410" w:type="dxa"/>
            <w:tcBorders>
              <w:top w:val="single" w:color="000000" w:sz="4" w:space="0"/>
              <w:left w:val="single" w:color="000000" w:sz="4" w:space="0"/>
              <w:bottom w:val="single" w:color="000000" w:sz="4" w:space="0"/>
              <w:right w:val="single" w:color="000000" w:sz="4" w:space="0"/>
            </w:tcBorders>
            <w:vAlign w:val="center"/>
          </w:tcPr>
          <w:p w14:paraId="7E177FF2">
            <w:pPr>
              <w:jc w:val="center"/>
              <w:rPr>
                <w:rStyle w:val="47"/>
                <w:rFonts w:ascii="宋体" w:hAnsi="宋体"/>
                <w:szCs w:val="21"/>
              </w:rPr>
            </w:pPr>
            <w:r>
              <w:rPr>
                <w:rStyle w:val="47"/>
                <w:rFonts w:ascii="宋体" w:hAnsi="宋体"/>
                <w:szCs w:val="21"/>
              </w:rPr>
              <w:t>技术负责人</w:t>
            </w:r>
          </w:p>
        </w:tc>
        <w:tc>
          <w:tcPr>
            <w:tcW w:w="1822" w:type="dxa"/>
            <w:tcBorders>
              <w:top w:val="single" w:color="000000" w:sz="4" w:space="0"/>
              <w:left w:val="single" w:color="000000" w:sz="4" w:space="0"/>
              <w:bottom w:val="single" w:color="000000" w:sz="4" w:space="0"/>
              <w:right w:val="single" w:color="000000" w:sz="4" w:space="0"/>
            </w:tcBorders>
            <w:vAlign w:val="center"/>
          </w:tcPr>
          <w:p w14:paraId="2F71E2F2">
            <w:pPr>
              <w:jc w:val="center"/>
              <w:rPr>
                <w:rStyle w:val="47"/>
                <w:rFonts w:ascii="宋体" w:hAnsi="宋体"/>
                <w:szCs w:val="21"/>
              </w:rPr>
            </w:pPr>
            <w:r>
              <w:rPr>
                <w:rStyle w:val="47"/>
                <w:rFonts w:ascii="宋体" w:hAnsi="宋体"/>
                <w:szCs w:val="21"/>
              </w:rPr>
              <w:t>总监理工程师及电话</w:t>
            </w:r>
          </w:p>
        </w:tc>
      </w:tr>
      <w:tr w14:paraId="0C625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26" w:type="dxa"/>
            <w:tcBorders>
              <w:top w:val="single" w:color="000000" w:sz="4" w:space="0"/>
              <w:left w:val="single" w:color="000000" w:sz="4" w:space="0"/>
              <w:bottom w:val="single" w:color="000000" w:sz="4" w:space="0"/>
              <w:right w:val="single" w:color="000000" w:sz="4" w:space="0"/>
            </w:tcBorders>
            <w:vAlign w:val="center"/>
          </w:tcPr>
          <w:p w14:paraId="273475B8">
            <w:pPr>
              <w:numPr>
                <w:ilvl w:val="0"/>
                <w:numId w:val="0"/>
              </w:numPr>
              <w:ind w:leftChars="0"/>
              <w:jc w:val="center"/>
              <w:rPr>
                <w:rStyle w:val="47"/>
                <w:rFonts w:hint="eastAsia" w:ascii="宋体" w:hAnsi="宋体" w:eastAsia="宋体"/>
                <w:szCs w:val="21"/>
                <w:lang w:val="en-US" w:eastAsia="zh-CN"/>
              </w:rPr>
            </w:pPr>
            <w:r>
              <w:rPr>
                <w:rStyle w:val="47"/>
                <w:rFonts w:hint="eastAsia" w:ascii="宋体" w:hAnsi="宋体"/>
                <w:szCs w:val="21"/>
                <w:lang w:val="en-US" w:eastAsia="zh-CN"/>
              </w:rPr>
              <w:t>1</w:t>
            </w:r>
          </w:p>
        </w:tc>
        <w:tc>
          <w:tcPr>
            <w:tcW w:w="1545" w:type="dxa"/>
            <w:tcBorders>
              <w:top w:val="single" w:color="000000" w:sz="4" w:space="0"/>
              <w:left w:val="single" w:color="000000" w:sz="4" w:space="0"/>
              <w:bottom w:val="single" w:color="000000" w:sz="4" w:space="0"/>
              <w:right w:val="single" w:color="000000" w:sz="4" w:space="0"/>
            </w:tcBorders>
            <w:vAlign w:val="center"/>
          </w:tcPr>
          <w:p w14:paraId="216C0557">
            <w:pPr>
              <w:jc w:val="center"/>
              <w:rPr>
                <w:rStyle w:val="47"/>
                <w:rFonts w:ascii="宋体" w:hAnsi="宋体"/>
                <w:szCs w:val="21"/>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10525783">
            <w:pPr>
              <w:jc w:val="center"/>
              <w:rPr>
                <w:rStyle w:val="47"/>
                <w:rFonts w:ascii="宋体" w:hAnsi="宋体"/>
                <w:szCs w:val="21"/>
              </w:rPr>
            </w:pPr>
          </w:p>
        </w:tc>
        <w:tc>
          <w:tcPr>
            <w:tcW w:w="1383" w:type="dxa"/>
            <w:tcBorders>
              <w:top w:val="single" w:color="000000" w:sz="4" w:space="0"/>
              <w:left w:val="single" w:color="000000" w:sz="4" w:space="0"/>
              <w:bottom w:val="single" w:color="000000" w:sz="4" w:space="0"/>
              <w:right w:val="single" w:color="000000" w:sz="4" w:space="0"/>
            </w:tcBorders>
            <w:vAlign w:val="center"/>
          </w:tcPr>
          <w:p w14:paraId="4CA1FCAC">
            <w:pPr>
              <w:jc w:val="center"/>
              <w:rPr>
                <w:rStyle w:val="47"/>
                <w:rFonts w:ascii="宋体" w:hAnsi="宋体"/>
                <w:szCs w:val="21"/>
              </w:rPr>
            </w:pPr>
          </w:p>
        </w:tc>
        <w:tc>
          <w:tcPr>
            <w:tcW w:w="1900" w:type="dxa"/>
            <w:tcBorders>
              <w:top w:val="single" w:color="000000" w:sz="4" w:space="0"/>
              <w:left w:val="single" w:color="000000" w:sz="4" w:space="0"/>
              <w:bottom w:val="single" w:color="000000" w:sz="4" w:space="0"/>
              <w:right w:val="single" w:color="000000" w:sz="4" w:space="0"/>
            </w:tcBorders>
            <w:vAlign w:val="center"/>
          </w:tcPr>
          <w:p w14:paraId="0FBCABCE">
            <w:pPr>
              <w:jc w:val="center"/>
              <w:rPr>
                <w:rStyle w:val="47"/>
                <w:rFonts w:ascii="宋体" w:hAnsi="宋体"/>
                <w:szCs w:val="21"/>
              </w:rPr>
            </w:pPr>
          </w:p>
        </w:tc>
        <w:tc>
          <w:tcPr>
            <w:tcW w:w="1127" w:type="dxa"/>
            <w:tcBorders>
              <w:top w:val="single" w:color="000000" w:sz="4" w:space="0"/>
              <w:left w:val="single" w:color="000000" w:sz="4" w:space="0"/>
              <w:bottom w:val="single" w:color="000000" w:sz="4" w:space="0"/>
              <w:right w:val="single" w:color="000000" w:sz="4" w:space="0"/>
            </w:tcBorders>
            <w:vAlign w:val="center"/>
          </w:tcPr>
          <w:p w14:paraId="726F3546">
            <w:pPr>
              <w:jc w:val="center"/>
              <w:rPr>
                <w:rStyle w:val="47"/>
                <w:rFonts w:ascii="宋体" w:hAnsi="宋体"/>
                <w:szCs w:val="21"/>
              </w:rPr>
            </w:pPr>
          </w:p>
        </w:tc>
        <w:tc>
          <w:tcPr>
            <w:tcW w:w="1320" w:type="dxa"/>
            <w:tcBorders>
              <w:top w:val="single" w:color="000000" w:sz="4" w:space="0"/>
              <w:left w:val="single" w:color="000000" w:sz="4" w:space="0"/>
              <w:bottom w:val="single" w:color="000000" w:sz="4" w:space="0"/>
              <w:right w:val="single" w:color="000000" w:sz="4" w:space="0"/>
            </w:tcBorders>
            <w:vAlign w:val="center"/>
          </w:tcPr>
          <w:p w14:paraId="7193EA3C">
            <w:pPr>
              <w:jc w:val="center"/>
              <w:rPr>
                <w:rStyle w:val="47"/>
                <w:rFonts w:ascii="宋体" w:hAnsi="宋体"/>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034A3B99">
            <w:pPr>
              <w:jc w:val="center"/>
              <w:rPr>
                <w:rStyle w:val="47"/>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6A17B29">
            <w:pPr>
              <w:jc w:val="center"/>
              <w:rPr>
                <w:rStyle w:val="47"/>
                <w:rFonts w:ascii="宋体" w:hAnsi="宋体"/>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14:paraId="4DA0AE90">
            <w:pPr>
              <w:jc w:val="center"/>
              <w:rPr>
                <w:rStyle w:val="47"/>
                <w:rFonts w:ascii="宋体" w:hAnsi="宋体"/>
                <w:szCs w:val="21"/>
              </w:rPr>
            </w:pPr>
          </w:p>
        </w:tc>
        <w:tc>
          <w:tcPr>
            <w:tcW w:w="1822" w:type="dxa"/>
            <w:tcBorders>
              <w:top w:val="single" w:color="000000" w:sz="4" w:space="0"/>
              <w:left w:val="single" w:color="000000" w:sz="4" w:space="0"/>
              <w:bottom w:val="single" w:color="000000" w:sz="4" w:space="0"/>
              <w:right w:val="single" w:color="000000" w:sz="4" w:space="0"/>
            </w:tcBorders>
          </w:tcPr>
          <w:p w14:paraId="62E5C118">
            <w:pPr>
              <w:jc w:val="center"/>
              <w:rPr>
                <w:rStyle w:val="47"/>
                <w:rFonts w:ascii="宋体" w:hAnsi="宋体"/>
                <w:szCs w:val="21"/>
              </w:rPr>
            </w:pPr>
          </w:p>
        </w:tc>
      </w:tr>
      <w:tr w14:paraId="4CD4B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26" w:type="dxa"/>
            <w:tcBorders>
              <w:top w:val="single" w:color="000000" w:sz="4" w:space="0"/>
              <w:left w:val="single" w:color="000000" w:sz="4" w:space="0"/>
              <w:bottom w:val="single" w:color="000000" w:sz="4" w:space="0"/>
              <w:right w:val="single" w:color="000000" w:sz="4" w:space="0"/>
            </w:tcBorders>
            <w:vAlign w:val="center"/>
          </w:tcPr>
          <w:p w14:paraId="7132576F">
            <w:pPr>
              <w:numPr>
                <w:ilvl w:val="0"/>
                <w:numId w:val="0"/>
              </w:numPr>
              <w:ind w:leftChars="0"/>
              <w:jc w:val="center"/>
              <w:rPr>
                <w:rStyle w:val="47"/>
                <w:rFonts w:hint="eastAsia" w:ascii="宋体" w:hAnsi="宋体" w:eastAsia="宋体"/>
                <w:szCs w:val="21"/>
                <w:lang w:val="en-US" w:eastAsia="zh-CN"/>
              </w:rPr>
            </w:pPr>
            <w:r>
              <w:rPr>
                <w:rStyle w:val="47"/>
                <w:rFonts w:hint="eastAsia" w:ascii="宋体" w:hAnsi="宋体"/>
                <w:szCs w:val="21"/>
                <w:lang w:val="en-US" w:eastAsia="zh-CN"/>
              </w:rPr>
              <w:t>2</w:t>
            </w:r>
          </w:p>
        </w:tc>
        <w:tc>
          <w:tcPr>
            <w:tcW w:w="1545" w:type="dxa"/>
            <w:tcBorders>
              <w:top w:val="single" w:color="000000" w:sz="4" w:space="0"/>
              <w:left w:val="single" w:color="000000" w:sz="4" w:space="0"/>
              <w:bottom w:val="single" w:color="000000" w:sz="4" w:space="0"/>
              <w:right w:val="single" w:color="000000" w:sz="4" w:space="0"/>
            </w:tcBorders>
            <w:vAlign w:val="center"/>
          </w:tcPr>
          <w:p w14:paraId="6A9A2C8F">
            <w:pPr>
              <w:jc w:val="center"/>
              <w:rPr>
                <w:rStyle w:val="47"/>
                <w:rFonts w:ascii="宋体" w:hAnsi="宋体"/>
                <w:szCs w:val="21"/>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18015D0C">
            <w:pPr>
              <w:jc w:val="center"/>
              <w:rPr>
                <w:rStyle w:val="47"/>
                <w:rFonts w:ascii="宋体" w:hAnsi="宋体"/>
                <w:szCs w:val="21"/>
              </w:rPr>
            </w:pPr>
          </w:p>
        </w:tc>
        <w:tc>
          <w:tcPr>
            <w:tcW w:w="1383" w:type="dxa"/>
            <w:tcBorders>
              <w:top w:val="single" w:color="000000" w:sz="4" w:space="0"/>
              <w:left w:val="single" w:color="000000" w:sz="4" w:space="0"/>
              <w:bottom w:val="single" w:color="000000" w:sz="4" w:space="0"/>
              <w:right w:val="single" w:color="000000" w:sz="4" w:space="0"/>
            </w:tcBorders>
            <w:vAlign w:val="center"/>
          </w:tcPr>
          <w:p w14:paraId="198E812A">
            <w:pPr>
              <w:jc w:val="center"/>
              <w:rPr>
                <w:rStyle w:val="47"/>
                <w:rFonts w:ascii="宋体" w:hAnsi="宋体"/>
                <w:szCs w:val="21"/>
              </w:rPr>
            </w:pPr>
          </w:p>
        </w:tc>
        <w:tc>
          <w:tcPr>
            <w:tcW w:w="1900" w:type="dxa"/>
            <w:tcBorders>
              <w:top w:val="single" w:color="000000" w:sz="4" w:space="0"/>
              <w:left w:val="single" w:color="000000" w:sz="4" w:space="0"/>
              <w:bottom w:val="single" w:color="000000" w:sz="4" w:space="0"/>
              <w:right w:val="single" w:color="000000" w:sz="4" w:space="0"/>
            </w:tcBorders>
            <w:vAlign w:val="center"/>
          </w:tcPr>
          <w:p w14:paraId="1D139D6F">
            <w:pPr>
              <w:jc w:val="center"/>
              <w:rPr>
                <w:rStyle w:val="47"/>
                <w:rFonts w:ascii="宋体" w:hAnsi="宋体"/>
                <w:szCs w:val="21"/>
              </w:rPr>
            </w:pPr>
          </w:p>
        </w:tc>
        <w:tc>
          <w:tcPr>
            <w:tcW w:w="1127" w:type="dxa"/>
            <w:tcBorders>
              <w:top w:val="single" w:color="000000" w:sz="4" w:space="0"/>
              <w:left w:val="single" w:color="000000" w:sz="4" w:space="0"/>
              <w:bottom w:val="single" w:color="000000" w:sz="4" w:space="0"/>
              <w:right w:val="single" w:color="000000" w:sz="4" w:space="0"/>
            </w:tcBorders>
            <w:vAlign w:val="center"/>
          </w:tcPr>
          <w:p w14:paraId="6B107C57">
            <w:pPr>
              <w:jc w:val="center"/>
              <w:rPr>
                <w:rStyle w:val="47"/>
                <w:rFonts w:ascii="宋体" w:hAnsi="宋体"/>
                <w:szCs w:val="21"/>
              </w:rPr>
            </w:pPr>
          </w:p>
        </w:tc>
        <w:tc>
          <w:tcPr>
            <w:tcW w:w="1320" w:type="dxa"/>
            <w:tcBorders>
              <w:top w:val="single" w:color="000000" w:sz="4" w:space="0"/>
              <w:left w:val="single" w:color="000000" w:sz="4" w:space="0"/>
              <w:bottom w:val="single" w:color="000000" w:sz="4" w:space="0"/>
              <w:right w:val="single" w:color="000000" w:sz="4" w:space="0"/>
            </w:tcBorders>
            <w:vAlign w:val="center"/>
          </w:tcPr>
          <w:p w14:paraId="6D572B2D">
            <w:pPr>
              <w:jc w:val="center"/>
              <w:rPr>
                <w:rStyle w:val="47"/>
                <w:rFonts w:ascii="宋体" w:hAnsi="宋体"/>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7EF95B25">
            <w:pPr>
              <w:jc w:val="center"/>
              <w:rPr>
                <w:rStyle w:val="47"/>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0BCEB95">
            <w:pPr>
              <w:jc w:val="center"/>
              <w:rPr>
                <w:rStyle w:val="47"/>
                <w:rFonts w:ascii="宋体" w:hAnsi="宋体"/>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14:paraId="495CE548">
            <w:pPr>
              <w:jc w:val="center"/>
              <w:rPr>
                <w:rStyle w:val="47"/>
                <w:rFonts w:ascii="宋体" w:hAnsi="宋体"/>
                <w:szCs w:val="21"/>
              </w:rPr>
            </w:pPr>
          </w:p>
        </w:tc>
        <w:tc>
          <w:tcPr>
            <w:tcW w:w="1822" w:type="dxa"/>
            <w:tcBorders>
              <w:top w:val="single" w:color="000000" w:sz="4" w:space="0"/>
              <w:left w:val="single" w:color="000000" w:sz="4" w:space="0"/>
              <w:bottom w:val="single" w:color="000000" w:sz="4" w:space="0"/>
              <w:right w:val="single" w:color="000000" w:sz="4" w:space="0"/>
            </w:tcBorders>
          </w:tcPr>
          <w:p w14:paraId="0909AF84">
            <w:pPr>
              <w:jc w:val="center"/>
              <w:rPr>
                <w:rStyle w:val="47"/>
                <w:rFonts w:ascii="宋体" w:hAnsi="宋体"/>
                <w:szCs w:val="21"/>
              </w:rPr>
            </w:pPr>
          </w:p>
        </w:tc>
      </w:tr>
      <w:tr w14:paraId="76C72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26" w:type="dxa"/>
            <w:tcBorders>
              <w:top w:val="single" w:color="000000" w:sz="4" w:space="0"/>
              <w:left w:val="single" w:color="000000" w:sz="4" w:space="0"/>
              <w:bottom w:val="single" w:color="000000" w:sz="4" w:space="0"/>
              <w:right w:val="single" w:color="000000" w:sz="4" w:space="0"/>
            </w:tcBorders>
            <w:vAlign w:val="center"/>
          </w:tcPr>
          <w:p w14:paraId="230ED532">
            <w:pPr>
              <w:numPr>
                <w:ilvl w:val="0"/>
                <w:numId w:val="0"/>
              </w:numPr>
              <w:ind w:leftChars="0"/>
              <w:jc w:val="center"/>
              <w:rPr>
                <w:rStyle w:val="47"/>
                <w:rFonts w:hint="eastAsia" w:ascii="宋体" w:hAnsi="宋体" w:eastAsia="宋体"/>
                <w:szCs w:val="21"/>
                <w:lang w:val="en-US" w:eastAsia="zh-CN"/>
              </w:rPr>
            </w:pPr>
            <w:r>
              <w:rPr>
                <w:rStyle w:val="47"/>
                <w:rFonts w:hint="eastAsia" w:ascii="宋体" w:hAnsi="宋体"/>
                <w:szCs w:val="21"/>
                <w:lang w:val="en-US" w:eastAsia="zh-CN"/>
              </w:rPr>
              <w:t>3</w:t>
            </w:r>
          </w:p>
        </w:tc>
        <w:tc>
          <w:tcPr>
            <w:tcW w:w="1545" w:type="dxa"/>
            <w:tcBorders>
              <w:top w:val="single" w:color="000000" w:sz="4" w:space="0"/>
              <w:left w:val="single" w:color="000000" w:sz="4" w:space="0"/>
              <w:bottom w:val="single" w:color="000000" w:sz="4" w:space="0"/>
              <w:right w:val="single" w:color="000000" w:sz="4" w:space="0"/>
            </w:tcBorders>
            <w:vAlign w:val="center"/>
          </w:tcPr>
          <w:p w14:paraId="42599B3C">
            <w:pPr>
              <w:jc w:val="center"/>
              <w:rPr>
                <w:rStyle w:val="47"/>
                <w:rFonts w:ascii="宋体" w:hAnsi="宋体"/>
                <w:szCs w:val="21"/>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3BC99E97">
            <w:pPr>
              <w:jc w:val="center"/>
              <w:rPr>
                <w:rStyle w:val="47"/>
                <w:rFonts w:ascii="宋体" w:hAnsi="宋体"/>
                <w:szCs w:val="21"/>
              </w:rPr>
            </w:pPr>
          </w:p>
        </w:tc>
        <w:tc>
          <w:tcPr>
            <w:tcW w:w="1383" w:type="dxa"/>
            <w:tcBorders>
              <w:top w:val="single" w:color="000000" w:sz="4" w:space="0"/>
              <w:left w:val="single" w:color="000000" w:sz="4" w:space="0"/>
              <w:bottom w:val="single" w:color="000000" w:sz="4" w:space="0"/>
              <w:right w:val="single" w:color="000000" w:sz="4" w:space="0"/>
            </w:tcBorders>
            <w:vAlign w:val="center"/>
          </w:tcPr>
          <w:p w14:paraId="5EEE961A">
            <w:pPr>
              <w:jc w:val="center"/>
              <w:rPr>
                <w:rStyle w:val="47"/>
                <w:rFonts w:ascii="宋体" w:hAnsi="宋体"/>
                <w:szCs w:val="21"/>
              </w:rPr>
            </w:pPr>
          </w:p>
        </w:tc>
        <w:tc>
          <w:tcPr>
            <w:tcW w:w="1900" w:type="dxa"/>
            <w:tcBorders>
              <w:top w:val="single" w:color="000000" w:sz="4" w:space="0"/>
              <w:left w:val="single" w:color="000000" w:sz="4" w:space="0"/>
              <w:bottom w:val="single" w:color="000000" w:sz="4" w:space="0"/>
              <w:right w:val="single" w:color="000000" w:sz="4" w:space="0"/>
            </w:tcBorders>
            <w:vAlign w:val="center"/>
          </w:tcPr>
          <w:p w14:paraId="70DC32B7">
            <w:pPr>
              <w:jc w:val="center"/>
              <w:rPr>
                <w:rStyle w:val="47"/>
                <w:rFonts w:ascii="宋体" w:hAnsi="宋体"/>
                <w:szCs w:val="21"/>
              </w:rPr>
            </w:pPr>
          </w:p>
        </w:tc>
        <w:tc>
          <w:tcPr>
            <w:tcW w:w="1127" w:type="dxa"/>
            <w:tcBorders>
              <w:top w:val="single" w:color="000000" w:sz="4" w:space="0"/>
              <w:left w:val="single" w:color="000000" w:sz="4" w:space="0"/>
              <w:bottom w:val="single" w:color="000000" w:sz="4" w:space="0"/>
              <w:right w:val="single" w:color="000000" w:sz="4" w:space="0"/>
            </w:tcBorders>
            <w:vAlign w:val="center"/>
          </w:tcPr>
          <w:p w14:paraId="6A8C0C20">
            <w:pPr>
              <w:jc w:val="center"/>
              <w:rPr>
                <w:rStyle w:val="47"/>
                <w:rFonts w:ascii="宋体" w:hAnsi="宋体"/>
                <w:szCs w:val="21"/>
              </w:rPr>
            </w:pPr>
          </w:p>
        </w:tc>
        <w:tc>
          <w:tcPr>
            <w:tcW w:w="1320" w:type="dxa"/>
            <w:tcBorders>
              <w:top w:val="single" w:color="000000" w:sz="4" w:space="0"/>
              <w:left w:val="single" w:color="000000" w:sz="4" w:space="0"/>
              <w:bottom w:val="single" w:color="000000" w:sz="4" w:space="0"/>
              <w:right w:val="single" w:color="000000" w:sz="4" w:space="0"/>
            </w:tcBorders>
            <w:vAlign w:val="center"/>
          </w:tcPr>
          <w:p w14:paraId="5B656F14">
            <w:pPr>
              <w:jc w:val="center"/>
              <w:rPr>
                <w:rStyle w:val="47"/>
                <w:rFonts w:ascii="宋体" w:hAnsi="宋体"/>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6321C5C5">
            <w:pPr>
              <w:jc w:val="center"/>
              <w:rPr>
                <w:rStyle w:val="47"/>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FEB70FC">
            <w:pPr>
              <w:jc w:val="center"/>
              <w:rPr>
                <w:rStyle w:val="47"/>
                <w:rFonts w:ascii="宋体" w:hAnsi="宋体"/>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14:paraId="3F6268AF">
            <w:pPr>
              <w:jc w:val="center"/>
              <w:rPr>
                <w:rStyle w:val="47"/>
                <w:rFonts w:ascii="宋体" w:hAnsi="宋体"/>
                <w:szCs w:val="21"/>
              </w:rPr>
            </w:pPr>
          </w:p>
        </w:tc>
        <w:tc>
          <w:tcPr>
            <w:tcW w:w="1822" w:type="dxa"/>
            <w:tcBorders>
              <w:top w:val="single" w:color="000000" w:sz="4" w:space="0"/>
              <w:left w:val="single" w:color="000000" w:sz="4" w:space="0"/>
              <w:bottom w:val="single" w:color="000000" w:sz="4" w:space="0"/>
              <w:right w:val="single" w:color="000000" w:sz="4" w:space="0"/>
            </w:tcBorders>
          </w:tcPr>
          <w:p w14:paraId="4BE1C062">
            <w:pPr>
              <w:jc w:val="center"/>
              <w:rPr>
                <w:rStyle w:val="47"/>
                <w:rFonts w:ascii="宋体" w:hAnsi="宋体"/>
                <w:szCs w:val="21"/>
              </w:rPr>
            </w:pPr>
          </w:p>
        </w:tc>
      </w:tr>
      <w:tr w14:paraId="0DE6F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26" w:type="dxa"/>
            <w:tcBorders>
              <w:top w:val="single" w:color="000000" w:sz="4" w:space="0"/>
              <w:left w:val="single" w:color="000000" w:sz="4" w:space="0"/>
              <w:bottom w:val="single" w:color="000000" w:sz="4" w:space="0"/>
              <w:right w:val="single" w:color="000000" w:sz="4" w:space="0"/>
            </w:tcBorders>
            <w:vAlign w:val="center"/>
          </w:tcPr>
          <w:p w14:paraId="01628DB8">
            <w:pPr>
              <w:numPr>
                <w:ilvl w:val="0"/>
                <w:numId w:val="0"/>
              </w:numPr>
              <w:ind w:leftChars="0"/>
              <w:jc w:val="center"/>
              <w:rPr>
                <w:rStyle w:val="47"/>
                <w:rFonts w:hint="eastAsia" w:ascii="宋体" w:hAnsi="宋体" w:eastAsia="宋体"/>
                <w:szCs w:val="21"/>
                <w:lang w:val="en-US" w:eastAsia="zh-CN"/>
              </w:rPr>
            </w:pPr>
            <w:r>
              <w:rPr>
                <w:rStyle w:val="47"/>
                <w:rFonts w:hint="eastAsia" w:ascii="宋体" w:hAnsi="宋体"/>
                <w:szCs w:val="21"/>
                <w:lang w:val="en-US" w:eastAsia="zh-CN"/>
              </w:rPr>
              <w:t>4</w:t>
            </w:r>
          </w:p>
        </w:tc>
        <w:tc>
          <w:tcPr>
            <w:tcW w:w="1545" w:type="dxa"/>
            <w:tcBorders>
              <w:top w:val="single" w:color="000000" w:sz="4" w:space="0"/>
              <w:left w:val="single" w:color="000000" w:sz="4" w:space="0"/>
              <w:bottom w:val="single" w:color="000000" w:sz="4" w:space="0"/>
              <w:right w:val="single" w:color="000000" w:sz="4" w:space="0"/>
            </w:tcBorders>
            <w:vAlign w:val="center"/>
          </w:tcPr>
          <w:p w14:paraId="0B9C597C">
            <w:pPr>
              <w:jc w:val="center"/>
              <w:rPr>
                <w:rStyle w:val="47"/>
                <w:rFonts w:ascii="宋体" w:hAnsi="宋体"/>
                <w:szCs w:val="21"/>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52CF1867">
            <w:pPr>
              <w:jc w:val="center"/>
              <w:rPr>
                <w:rStyle w:val="47"/>
                <w:rFonts w:ascii="宋体" w:hAnsi="宋体"/>
                <w:szCs w:val="21"/>
              </w:rPr>
            </w:pPr>
          </w:p>
        </w:tc>
        <w:tc>
          <w:tcPr>
            <w:tcW w:w="1383" w:type="dxa"/>
            <w:tcBorders>
              <w:top w:val="single" w:color="000000" w:sz="4" w:space="0"/>
              <w:left w:val="single" w:color="000000" w:sz="4" w:space="0"/>
              <w:bottom w:val="single" w:color="000000" w:sz="4" w:space="0"/>
              <w:right w:val="single" w:color="000000" w:sz="4" w:space="0"/>
            </w:tcBorders>
            <w:vAlign w:val="center"/>
          </w:tcPr>
          <w:p w14:paraId="317CB2C6">
            <w:pPr>
              <w:jc w:val="center"/>
              <w:rPr>
                <w:rStyle w:val="47"/>
                <w:rFonts w:ascii="宋体" w:hAnsi="宋体"/>
                <w:szCs w:val="21"/>
              </w:rPr>
            </w:pPr>
          </w:p>
        </w:tc>
        <w:tc>
          <w:tcPr>
            <w:tcW w:w="1900" w:type="dxa"/>
            <w:tcBorders>
              <w:top w:val="single" w:color="000000" w:sz="4" w:space="0"/>
              <w:left w:val="single" w:color="000000" w:sz="4" w:space="0"/>
              <w:bottom w:val="single" w:color="000000" w:sz="4" w:space="0"/>
              <w:right w:val="single" w:color="000000" w:sz="4" w:space="0"/>
            </w:tcBorders>
            <w:vAlign w:val="center"/>
          </w:tcPr>
          <w:p w14:paraId="0AD07F6F">
            <w:pPr>
              <w:jc w:val="center"/>
              <w:rPr>
                <w:rStyle w:val="47"/>
                <w:rFonts w:ascii="宋体" w:hAnsi="宋体"/>
                <w:szCs w:val="21"/>
              </w:rPr>
            </w:pPr>
          </w:p>
        </w:tc>
        <w:tc>
          <w:tcPr>
            <w:tcW w:w="1127" w:type="dxa"/>
            <w:tcBorders>
              <w:top w:val="single" w:color="000000" w:sz="4" w:space="0"/>
              <w:left w:val="single" w:color="000000" w:sz="4" w:space="0"/>
              <w:bottom w:val="single" w:color="000000" w:sz="4" w:space="0"/>
              <w:right w:val="single" w:color="000000" w:sz="4" w:space="0"/>
            </w:tcBorders>
            <w:vAlign w:val="center"/>
          </w:tcPr>
          <w:p w14:paraId="4B984F0E">
            <w:pPr>
              <w:jc w:val="center"/>
              <w:rPr>
                <w:rStyle w:val="47"/>
                <w:rFonts w:ascii="宋体" w:hAnsi="宋体"/>
                <w:szCs w:val="21"/>
              </w:rPr>
            </w:pPr>
          </w:p>
        </w:tc>
        <w:tc>
          <w:tcPr>
            <w:tcW w:w="1320" w:type="dxa"/>
            <w:tcBorders>
              <w:top w:val="single" w:color="000000" w:sz="4" w:space="0"/>
              <w:left w:val="single" w:color="000000" w:sz="4" w:space="0"/>
              <w:bottom w:val="single" w:color="000000" w:sz="4" w:space="0"/>
              <w:right w:val="single" w:color="000000" w:sz="4" w:space="0"/>
            </w:tcBorders>
            <w:vAlign w:val="center"/>
          </w:tcPr>
          <w:p w14:paraId="2B65CAE5">
            <w:pPr>
              <w:jc w:val="center"/>
              <w:rPr>
                <w:rStyle w:val="47"/>
                <w:rFonts w:ascii="宋体" w:hAnsi="宋体"/>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63ADD5B7">
            <w:pPr>
              <w:jc w:val="center"/>
              <w:rPr>
                <w:rStyle w:val="47"/>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6FEEA7C">
            <w:pPr>
              <w:jc w:val="center"/>
              <w:rPr>
                <w:rStyle w:val="47"/>
                <w:rFonts w:ascii="宋体" w:hAnsi="宋体"/>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14:paraId="40623B05">
            <w:pPr>
              <w:jc w:val="center"/>
              <w:rPr>
                <w:rStyle w:val="47"/>
                <w:rFonts w:ascii="宋体" w:hAnsi="宋体"/>
                <w:szCs w:val="21"/>
              </w:rPr>
            </w:pPr>
          </w:p>
        </w:tc>
        <w:tc>
          <w:tcPr>
            <w:tcW w:w="1822" w:type="dxa"/>
            <w:tcBorders>
              <w:top w:val="single" w:color="000000" w:sz="4" w:space="0"/>
              <w:left w:val="single" w:color="000000" w:sz="4" w:space="0"/>
              <w:bottom w:val="single" w:color="000000" w:sz="4" w:space="0"/>
              <w:right w:val="single" w:color="000000" w:sz="4" w:space="0"/>
            </w:tcBorders>
          </w:tcPr>
          <w:p w14:paraId="1900675A">
            <w:pPr>
              <w:jc w:val="center"/>
              <w:rPr>
                <w:rStyle w:val="47"/>
                <w:rFonts w:ascii="宋体" w:hAnsi="宋体"/>
                <w:szCs w:val="21"/>
              </w:rPr>
            </w:pPr>
          </w:p>
        </w:tc>
      </w:tr>
      <w:tr w14:paraId="14688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26" w:type="dxa"/>
            <w:tcBorders>
              <w:top w:val="single" w:color="000000" w:sz="4" w:space="0"/>
              <w:left w:val="single" w:color="000000" w:sz="4" w:space="0"/>
              <w:bottom w:val="single" w:color="000000" w:sz="4" w:space="0"/>
              <w:right w:val="single" w:color="000000" w:sz="4" w:space="0"/>
            </w:tcBorders>
            <w:vAlign w:val="center"/>
          </w:tcPr>
          <w:p w14:paraId="5453E101">
            <w:pPr>
              <w:numPr>
                <w:ilvl w:val="0"/>
                <w:numId w:val="0"/>
              </w:numPr>
              <w:ind w:leftChars="0"/>
              <w:jc w:val="center"/>
              <w:rPr>
                <w:rStyle w:val="47"/>
                <w:rFonts w:hint="eastAsia" w:ascii="宋体" w:hAnsi="宋体" w:eastAsia="宋体"/>
                <w:szCs w:val="21"/>
                <w:lang w:val="en-US" w:eastAsia="zh-CN"/>
              </w:rPr>
            </w:pPr>
            <w:r>
              <w:rPr>
                <w:rStyle w:val="47"/>
                <w:rFonts w:hint="eastAsia" w:ascii="宋体" w:hAnsi="宋体"/>
                <w:szCs w:val="21"/>
                <w:lang w:val="en-US" w:eastAsia="zh-CN"/>
              </w:rPr>
              <w:t>5</w:t>
            </w:r>
          </w:p>
        </w:tc>
        <w:tc>
          <w:tcPr>
            <w:tcW w:w="1545" w:type="dxa"/>
            <w:tcBorders>
              <w:top w:val="single" w:color="000000" w:sz="4" w:space="0"/>
              <w:left w:val="single" w:color="000000" w:sz="4" w:space="0"/>
              <w:bottom w:val="single" w:color="000000" w:sz="4" w:space="0"/>
              <w:right w:val="single" w:color="000000" w:sz="4" w:space="0"/>
            </w:tcBorders>
            <w:vAlign w:val="center"/>
          </w:tcPr>
          <w:p w14:paraId="3D9BF0CF">
            <w:pPr>
              <w:jc w:val="center"/>
              <w:rPr>
                <w:rStyle w:val="47"/>
                <w:rFonts w:ascii="宋体" w:hAnsi="宋体"/>
                <w:szCs w:val="21"/>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39F6C1E9">
            <w:pPr>
              <w:jc w:val="center"/>
              <w:rPr>
                <w:rStyle w:val="47"/>
                <w:rFonts w:ascii="宋体" w:hAnsi="宋体"/>
                <w:szCs w:val="21"/>
              </w:rPr>
            </w:pPr>
          </w:p>
        </w:tc>
        <w:tc>
          <w:tcPr>
            <w:tcW w:w="1383" w:type="dxa"/>
            <w:tcBorders>
              <w:top w:val="single" w:color="000000" w:sz="4" w:space="0"/>
              <w:left w:val="single" w:color="000000" w:sz="4" w:space="0"/>
              <w:bottom w:val="single" w:color="000000" w:sz="4" w:space="0"/>
              <w:right w:val="single" w:color="000000" w:sz="4" w:space="0"/>
            </w:tcBorders>
            <w:vAlign w:val="center"/>
          </w:tcPr>
          <w:p w14:paraId="7DAE86E2">
            <w:pPr>
              <w:jc w:val="center"/>
              <w:rPr>
                <w:rStyle w:val="47"/>
                <w:rFonts w:ascii="宋体" w:hAnsi="宋体"/>
                <w:szCs w:val="21"/>
              </w:rPr>
            </w:pPr>
          </w:p>
        </w:tc>
        <w:tc>
          <w:tcPr>
            <w:tcW w:w="1900" w:type="dxa"/>
            <w:tcBorders>
              <w:top w:val="single" w:color="000000" w:sz="4" w:space="0"/>
              <w:left w:val="single" w:color="000000" w:sz="4" w:space="0"/>
              <w:bottom w:val="single" w:color="000000" w:sz="4" w:space="0"/>
              <w:right w:val="single" w:color="000000" w:sz="4" w:space="0"/>
            </w:tcBorders>
            <w:vAlign w:val="center"/>
          </w:tcPr>
          <w:p w14:paraId="5C040FE5">
            <w:pPr>
              <w:jc w:val="center"/>
              <w:rPr>
                <w:rStyle w:val="47"/>
                <w:rFonts w:ascii="宋体" w:hAnsi="宋体"/>
                <w:szCs w:val="21"/>
              </w:rPr>
            </w:pPr>
          </w:p>
        </w:tc>
        <w:tc>
          <w:tcPr>
            <w:tcW w:w="1127" w:type="dxa"/>
            <w:tcBorders>
              <w:top w:val="single" w:color="000000" w:sz="4" w:space="0"/>
              <w:left w:val="single" w:color="000000" w:sz="4" w:space="0"/>
              <w:bottom w:val="single" w:color="000000" w:sz="4" w:space="0"/>
              <w:right w:val="single" w:color="000000" w:sz="4" w:space="0"/>
            </w:tcBorders>
            <w:vAlign w:val="center"/>
          </w:tcPr>
          <w:p w14:paraId="2D4A12AA">
            <w:pPr>
              <w:jc w:val="center"/>
              <w:rPr>
                <w:rStyle w:val="47"/>
                <w:rFonts w:ascii="宋体" w:hAnsi="宋体"/>
                <w:szCs w:val="21"/>
              </w:rPr>
            </w:pPr>
          </w:p>
        </w:tc>
        <w:tc>
          <w:tcPr>
            <w:tcW w:w="1320" w:type="dxa"/>
            <w:tcBorders>
              <w:top w:val="single" w:color="000000" w:sz="4" w:space="0"/>
              <w:left w:val="single" w:color="000000" w:sz="4" w:space="0"/>
              <w:bottom w:val="single" w:color="000000" w:sz="4" w:space="0"/>
              <w:right w:val="single" w:color="000000" w:sz="4" w:space="0"/>
            </w:tcBorders>
            <w:vAlign w:val="center"/>
          </w:tcPr>
          <w:p w14:paraId="2EEFFE2B">
            <w:pPr>
              <w:jc w:val="center"/>
              <w:rPr>
                <w:rStyle w:val="47"/>
                <w:rFonts w:ascii="宋体" w:hAnsi="宋体"/>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12408526">
            <w:pPr>
              <w:jc w:val="center"/>
              <w:rPr>
                <w:rStyle w:val="47"/>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E62F3A7">
            <w:pPr>
              <w:jc w:val="center"/>
              <w:rPr>
                <w:rStyle w:val="47"/>
                <w:rFonts w:ascii="宋体" w:hAnsi="宋体"/>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14:paraId="21404B23">
            <w:pPr>
              <w:jc w:val="center"/>
              <w:rPr>
                <w:rStyle w:val="47"/>
                <w:rFonts w:ascii="宋体" w:hAnsi="宋体"/>
                <w:szCs w:val="21"/>
              </w:rPr>
            </w:pPr>
          </w:p>
        </w:tc>
        <w:tc>
          <w:tcPr>
            <w:tcW w:w="1822" w:type="dxa"/>
            <w:tcBorders>
              <w:top w:val="single" w:color="000000" w:sz="4" w:space="0"/>
              <w:left w:val="single" w:color="000000" w:sz="4" w:space="0"/>
              <w:bottom w:val="single" w:color="000000" w:sz="4" w:space="0"/>
              <w:right w:val="single" w:color="000000" w:sz="4" w:space="0"/>
            </w:tcBorders>
          </w:tcPr>
          <w:p w14:paraId="08800E8D">
            <w:pPr>
              <w:jc w:val="center"/>
              <w:rPr>
                <w:rStyle w:val="47"/>
                <w:rFonts w:ascii="宋体" w:hAnsi="宋体"/>
                <w:szCs w:val="21"/>
              </w:rPr>
            </w:pPr>
          </w:p>
        </w:tc>
      </w:tr>
      <w:tr w14:paraId="3D7FE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26" w:type="dxa"/>
            <w:tcBorders>
              <w:top w:val="single" w:color="000000" w:sz="4" w:space="0"/>
              <w:left w:val="single" w:color="000000" w:sz="4" w:space="0"/>
              <w:bottom w:val="single" w:color="000000" w:sz="4" w:space="0"/>
              <w:right w:val="single" w:color="000000" w:sz="4" w:space="0"/>
            </w:tcBorders>
            <w:vAlign w:val="center"/>
          </w:tcPr>
          <w:p w14:paraId="780399BC">
            <w:pPr>
              <w:numPr>
                <w:ilvl w:val="0"/>
                <w:numId w:val="0"/>
              </w:numPr>
              <w:ind w:leftChars="0"/>
              <w:jc w:val="center"/>
              <w:rPr>
                <w:rStyle w:val="47"/>
                <w:rFonts w:hint="eastAsia" w:ascii="宋体" w:hAnsi="宋体" w:eastAsia="宋体"/>
                <w:szCs w:val="21"/>
                <w:lang w:val="en-US" w:eastAsia="zh-CN"/>
              </w:rPr>
            </w:pPr>
            <w:r>
              <w:rPr>
                <w:rStyle w:val="47"/>
                <w:rFonts w:hint="eastAsia" w:ascii="宋体" w:hAnsi="宋体"/>
                <w:szCs w:val="21"/>
                <w:lang w:val="en-US" w:eastAsia="zh-CN"/>
              </w:rPr>
              <w:t>6</w:t>
            </w:r>
          </w:p>
        </w:tc>
        <w:tc>
          <w:tcPr>
            <w:tcW w:w="1545" w:type="dxa"/>
            <w:tcBorders>
              <w:top w:val="single" w:color="000000" w:sz="4" w:space="0"/>
              <w:left w:val="single" w:color="000000" w:sz="4" w:space="0"/>
              <w:bottom w:val="single" w:color="000000" w:sz="4" w:space="0"/>
              <w:right w:val="single" w:color="000000" w:sz="4" w:space="0"/>
            </w:tcBorders>
            <w:vAlign w:val="center"/>
          </w:tcPr>
          <w:p w14:paraId="3586C8AC">
            <w:pPr>
              <w:jc w:val="center"/>
              <w:rPr>
                <w:rStyle w:val="47"/>
                <w:rFonts w:ascii="宋体" w:hAnsi="宋体"/>
                <w:szCs w:val="21"/>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637A5E20">
            <w:pPr>
              <w:jc w:val="center"/>
              <w:rPr>
                <w:rStyle w:val="47"/>
                <w:rFonts w:ascii="宋体" w:hAnsi="宋体"/>
                <w:szCs w:val="21"/>
              </w:rPr>
            </w:pPr>
          </w:p>
        </w:tc>
        <w:tc>
          <w:tcPr>
            <w:tcW w:w="1383" w:type="dxa"/>
            <w:tcBorders>
              <w:top w:val="single" w:color="000000" w:sz="4" w:space="0"/>
              <w:left w:val="single" w:color="000000" w:sz="4" w:space="0"/>
              <w:bottom w:val="single" w:color="000000" w:sz="4" w:space="0"/>
              <w:right w:val="single" w:color="000000" w:sz="4" w:space="0"/>
            </w:tcBorders>
            <w:vAlign w:val="center"/>
          </w:tcPr>
          <w:p w14:paraId="6A72F78E">
            <w:pPr>
              <w:jc w:val="center"/>
              <w:rPr>
                <w:rStyle w:val="47"/>
                <w:rFonts w:ascii="宋体" w:hAnsi="宋体"/>
                <w:szCs w:val="21"/>
              </w:rPr>
            </w:pPr>
          </w:p>
        </w:tc>
        <w:tc>
          <w:tcPr>
            <w:tcW w:w="1900" w:type="dxa"/>
            <w:tcBorders>
              <w:top w:val="single" w:color="000000" w:sz="4" w:space="0"/>
              <w:left w:val="single" w:color="000000" w:sz="4" w:space="0"/>
              <w:bottom w:val="single" w:color="000000" w:sz="4" w:space="0"/>
              <w:right w:val="single" w:color="000000" w:sz="4" w:space="0"/>
            </w:tcBorders>
            <w:vAlign w:val="center"/>
          </w:tcPr>
          <w:p w14:paraId="5FFAFF4A">
            <w:pPr>
              <w:jc w:val="center"/>
              <w:rPr>
                <w:rStyle w:val="47"/>
                <w:rFonts w:ascii="宋体" w:hAnsi="宋体"/>
                <w:szCs w:val="21"/>
              </w:rPr>
            </w:pPr>
          </w:p>
        </w:tc>
        <w:tc>
          <w:tcPr>
            <w:tcW w:w="1127" w:type="dxa"/>
            <w:tcBorders>
              <w:top w:val="single" w:color="000000" w:sz="4" w:space="0"/>
              <w:left w:val="single" w:color="000000" w:sz="4" w:space="0"/>
              <w:bottom w:val="single" w:color="000000" w:sz="4" w:space="0"/>
              <w:right w:val="single" w:color="000000" w:sz="4" w:space="0"/>
            </w:tcBorders>
            <w:vAlign w:val="center"/>
          </w:tcPr>
          <w:p w14:paraId="500AAEBB">
            <w:pPr>
              <w:jc w:val="center"/>
              <w:rPr>
                <w:rStyle w:val="47"/>
                <w:rFonts w:ascii="宋体" w:hAnsi="宋体"/>
                <w:szCs w:val="21"/>
              </w:rPr>
            </w:pPr>
          </w:p>
        </w:tc>
        <w:tc>
          <w:tcPr>
            <w:tcW w:w="1320" w:type="dxa"/>
            <w:tcBorders>
              <w:top w:val="single" w:color="000000" w:sz="4" w:space="0"/>
              <w:left w:val="single" w:color="000000" w:sz="4" w:space="0"/>
              <w:bottom w:val="single" w:color="000000" w:sz="4" w:space="0"/>
              <w:right w:val="single" w:color="000000" w:sz="4" w:space="0"/>
            </w:tcBorders>
            <w:vAlign w:val="center"/>
          </w:tcPr>
          <w:p w14:paraId="21F38D81">
            <w:pPr>
              <w:jc w:val="center"/>
              <w:rPr>
                <w:rStyle w:val="47"/>
                <w:rFonts w:ascii="宋体" w:hAnsi="宋体"/>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1B5AB606">
            <w:pPr>
              <w:jc w:val="center"/>
              <w:rPr>
                <w:rStyle w:val="47"/>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E7C3C1F">
            <w:pPr>
              <w:jc w:val="center"/>
              <w:rPr>
                <w:rStyle w:val="47"/>
                <w:rFonts w:ascii="宋体" w:hAnsi="宋体"/>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14:paraId="1A834DCE">
            <w:pPr>
              <w:jc w:val="center"/>
              <w:rPr>
                <w:rStyle w:val="47"/>
                <w:rFonts w:ascii="宋体" w:hAnsi="宋体"/>
                <w:szCs w:val="21"/>
              </w:rPr>
            </w:pPr>
          </w:p>
        </w:tc>
        <w:tc>
          <w:tcPr>
            <w:tcW w:w="1822" w:type="dxa"/>
            <w:tcBorders>
              <w:top w:val="single" w:color="000000" w:sz="4" w:space="0"/>
              <w:left w:val="single" w:color="000000" w:sz="4" w:space="0"/>
              <w:bottom w:val="single" w:color="000000" w:sz="4" w:space="0"/>
              <w:right w:val="single" w:color="000000" w:sz="4" w:space="0"/>
            </w:tcBorders>
          </w:tcPr>
          <w:p w14:paraId="18FE7D19">
            <w:pPr>
              <w:jc w:val="center"/>
              <w:rPr>
                <w:rStyle w:val="47"/>
                <w:rFonts w:ascii="宋体" w:hAnsi="宋体"/>
                <w:szCs w:val="21"/>
              </w:rPr>
            </w:pPr>
          </w:p>
        </w:tc>
      </w:tr>
      <w:tr w14:paraId="4E74F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26" w:type="dxa"/>
            <w:tcBorders>
              <w:top w:val="single" w:color="000000" w:sz="4" w:space="0"/>
              <w:left w:val="single" w:color="000000" w:sz="4" w:space="0"/>
              <w:bottom w:val="single" w:color="000000" w:sz="4" w:space="0"/>
              <w:right w:val="single" w:color="000000" w:sz="4" w:space="0"/>
            </w:tcBorders>
            <w:vAlign w:val="center"/>
          </w:tcPr>
          <w:p w14:paraId="2C121AA8">
            <w:pPr>
              <w:jc w:val="center"/>
              <w:rPr>
                <w:rStyle w:val="47"/>
                <w:rFonts w:ascii="宋体" w:hAnsi="宋体"/>
                <w:szCs w:val="21"/>
              </w:rPr>
            </w:pPr>
            <w:r>
              <w:rPr>
                <w:rStyle w:val="47"/>
                <w:rFonts w:ascii="宋体" w:hAnsi="宋体"/>
                <w:szCs w:val="21"/>
              </w:rPr>
              <w:t>……</w:t>
            </w:r>
          </w:p>
        </w:tc>
        <w:tc>
          <w:tcPr>
            <w:tcW w:w="1545" w:type="dxa"/>
            <w:tcBorders>
              <w:top w:val="single" w:color="000000" w:sz="4" w:space="0"/>
              <w:left w:val="single" w:color="000000" w:sz="4" w:space="0"/>
              <w:bottom w:val="single" w:color="000000" w:sz="4" w:space="0"/>
              <w:right w:val="single" w:color="000000" w:sz="4" w:space="0"/>
            </w:tcBorders>
            <w:vAlign w:val="center"/>
          </w:tcPr>
          <w:p w14:paraId="0D4568BE">
            <w:pPr>
              <w:jc w:val="center"/>
              <w:rPr>
                <w:rStyle w:val="47"/>
                <w:rFonts w:ascii="宋体" w:hAnsi="宋体"/>
                <w:szCs w:val="21"/>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7887CC39">
            <w:pPr>
              <w:jc w:val="center"/>
              <w:rPr>
                <w:rStyle w:val="47"/>
                <w:rFonts w:ascii="宋体" w:hAnsi="宋体"/>
                <w:szCs w:val="21"/>
              </w:rPr>
            </w:pPr>
          </w:p>
        </w:tc>
        <w:tc>
          <w:tcPr>
            <w:tcW w:w="1383" w:type="dxa"/>
            <w:tcBorders>
              <w:top w:val="single" w:color="000000" w:sz="4" w:space="0"/>
              <w:left w:val="single" w:color="000000" w:sz="4" w:space="0"/>
              <w:bottom w:val="single" w:color="000000" w:sz="4" w:space="0"/>
              <w:right w:val="single" w:color="000000" w:sz="4" w:space="0"/>
            </w:tcBorders>
            <w:vAlign w:val="center"/>
          </w:tcPr>
          <w:p w14:paraId="4E6388CE">
            <w:pPr>
              <w:jc w:val="center"/>
              <w:rPr>
                <w:rStyle w:val="47"/>
                <w:rFonts w:ascii="宋体" w:hAnsi="宋体"/>
                <w:szCs w:val="21"/>
              </w:rPr>
            </w:pPr>
          </w:p>
        </w:tc>
        <w:tc>
          <w:tcPr>
            <w:tcW w:w="1900" w:type="dxa"/>
            <w:tcBorders>
              <w:top w:val="single" w:color="000000" w:sz="4" w:space="0"/>
              <w:left w:val="single" w:color="000000" w:sz="4" w:space="0"/>
              <w:bottom w:val="single" w:color="000000" w:sz="4" w:space="0"/>
              <w:right w:val="single" w:color="000000" w:sz="4" w:space="0"/>
            </w:tcBorders>
            <w:vAlign w:val="center"/>
          </w:tcPr>
          <w:p w14:paraId="2B31E712">
            <w:pPr>
              <w:jc w:val="center"/>
              <w:rPr>
                <w:rStyle w:val="47"/>
                <w:rFonts w:ascii="宋体" w:hAnsi="宋体"/>
                <w:szCs w:val="21"/>
              </w:rPr>
            </w:pPr>
          </w:p>
        </w:tc>
        <w:tc>
          <w:tcPr>
            <w:tcW w:w="1127" w:type="dxa"/>
            <w:tcBorders>
              <w:top w:val="single" w:color="000000" w:sz="4" w:space="0"/>
              <w:left w:val="single" w:color="000000" w:sz="4" w:space="0"/>
              <w:bottom w:val="single" w:color="000000" w:sz="4" w:space="0"/>
              <w:right w:val="single" w:color="000000" w:sz="4" w:space="0"/>
            </w:tcBorders>
            <w:vAlign w:val="center"/>
          </w:tcPr>
          <w:p w14:paraId="367D375A">
            <w:pPr>
              <w:jc w:val="center"/>
              <w:rPr>
                <w:rStyle w:val="47"/>
                <w:rFonts w:ascii="宋体" w:hAnsi="宋体"/>
                <w:szCs w:val="21"/>
              </w:rPr>
            </w:pPr>
          </w:p>
        </w:tc>
        <w:tc>
          <w:tcPr>
            <w:tcW w:w="1320" w:type="dxa"/>
            <w:tcBorders>
              <w:top w:val="single" w:color="000000" w:sz="4" w:space="0"/>
              <w:left w:val="single" w:color="000000" w:sz="4" w:space="0"/>
              <w:bottom w:val="single" w:color="000000" w:sz="4" w:space="0"/>
              <w:right w:val="single" w:color="000000" w:sz="4" w:space="0"/>
            </w:tcBorders>
            <w:vAlign w:val="center"/>
          </w:tcPr>
          <w:p w14:paraId="2E25715B">
            <w:pPr>
              <w:jc w:val="center"/>
              <w:rPr>
                <w:rStyle w:val="47"/>
                <w:rFonts w:ascii="宋体" w:hAnsi="宋体"/>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0321C255">
            <w:pPr>
              <w:jc w:val="center"/>
              <w:rPr>
                <w:rStyle w:val="47"/>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F4ABC83">
            <w:pPr>
              <w:jc w:val="center"/>
              <w:rPr>
                <w:rStyle w:val="47"/>
                <w:rFonts w:ascii="宋体" w:hAnsi="宋体"/>
                <w:szCs w:val="21"/>
              </w:rPr>
            </w:pPr>
          </w:p>
        </w:tc>
        <w:tc>
          <w:tcPr>
            <w:tcW w:w="1410" w:type="dxa"/>
            <w:tcBorders>
              <w:top w:val="single" w:color="000000" w:sz="4" w:space="0"/>
              <w:left w:val="single" w:color="000000" w:sz="4" w:space="0"/>
              <w:bottom w:val="single" w:color="000000" w:sz="4" w:space="0"/>
              <w:right w:val="single" w:color="000000" w:sz="4" w:space="0"/>
            </w:tcBorders>
            <w:vAlign w:val="center"/>
          </w:tcPr>
          <w:p w14:paraId="05483C65">
            <w:pPr>
              <w:jc w:val="center"/>
              <w:rPr>
                <w:rStyle w:val="47"/>
                <w:rFonts w:ascii="宋体" w:hAnsi="宋体"/>
                <w:szCs w:val="21"/>
              </w:rPr>
            </w:pPr>
          </w:p>
        </w:tc>
        <w:tc>
          <w:tcPr>
            <w:tcW w:w="1822" w:type="dxa"/>
            <w:tcBorders>
              <w:top w:val="single" w:color="000000" w:sz="4" w:space="0"/>
              <w:left w:val="single" w:color="000000" w:sz="4" w:space="0"/>
              <w:bottom w:val="single" w:color="000000" w:sz="4" w:space="0"/>
              <w:right w:val="single" w:color="000000" w:sz="4" w:space="0"/>
            </w:tcBorders>
          </w:tcPr>
          <w:p w14:paraId="4AFC2307">
            <w:pPr>
              <w:jc w:val="center"/>
              <w:rPr>
                <w:rStyle w:val="47"/>
                <w:rFonts w:ascii="宋体" w:hAnsi="宋体"/>
                <w:szCs w:val="21"/>
              </w:rPr>
            </w:pPr>
          </w:p>
        </w:tc>
      </w:tr>
      <w:bookmarkEnd w:id="236"/>
    </w:tbl>
    <w:p w14:paraId="07579908">
      <w:pPr>
        <w:spacing w:line="440" w:lineRule="exact"/>
        <w:ind w:left="630" w:hanging="630" w:hangingChars="300"/>
        <w:rPr>
          <w:rStyle w:val="47"/>
          <w:rFonts w:ascii="宋体" w:hAnsi="宋体"/>
          <w:szCs w:val="21"/>
        </w:rPr>
      </w:pPr>
      <w:r>
        <w:rPr>
          <w:rStyle w:val="47"/>
          <w:rFonts w:ascii="宋体" w:hAnsi="宋体"/>
          <w:szCs w:val="21"/>
        </w:rPr>
        <w:t>备注：</w:t>
      </w:r>
    </w:p>
    <w:p w14:paraId="4D1435A4">
      <w:pPr>
        <w:numPr>
          <w:ilvl w:val="0"/>
          <w:numId w:val="19"/>
        </w:numPr>
        <w:spacing w:line="440" w:lineRule="exact"/>
        <w:ind w:left="630" w:hanging="630" w:hangingChars="300"/>
        <w:rPr>
          <w:rStyle w:val="47"/>
          <w:rFonts w:hint="eastAsia" w:ascii="宋体" w:hAnsi="宋体" w:eastAsia="宋体" w:cs="宋体"/>
          <w:szCs w:val="21"/>
        </w:rPr>
      </w:pPr>
      <w:r>
        <w:rPr>
          <w:rStyle w:val="47"/>
          <w:rFonts w:ascii="宋体" w:hAnsi="宋体"/>
          <w:szCs w:val="21"/>
        </w:rPr>
        <w:t>近三年指20</w:t>
      </w:r>
      <w:r>
        <w:rPr>
          <w:rStyle w:val="47"/>
          <w:rFonts w:hint="eastAsia" w:ascii="宋体" w:hAnsi="宋体"/>
          <w:szCs w:val="21"/>
        </w:rPr>
        <w:t>2</w:t>
      </w:r>
      <w:r>
        <w:rPr>
          <w:rStyle w:val="47"/>
          <w:rFonts w:hint="eastAsia" w:ascii="宋体" w:hAnsi="宋体"/>
          <w:szCs w:val="21"/>
          <w:lang w:val="en-US" w:eastAsia="zh-CN"/>
        </w:rPr>
        <w:t>2</w:t>
      </w:r>
      <w:r>
        <w:rPr>
          <w:rStyle w:val="47"/>
          <w:rFonts w:ascii="宋体" w:hAnsi="宋体"/>
          <w:szCs w:val="21"/>
        </w:rPr>
        <w:t>年</w:t>
      </w:r>
      <w:r>
        <w:rPr>
          <w:rStyle w:val="47"/>
          <w:rFonts w:hint="eastAsia" w:ascii="宋体" w:hAnsi="宋体"/>
          <w:szCs w:val="21"/>
          <w:lang w:val="en-US" w:eastAsia="zh-CN"/>
        </w:rPr>
        <w:t>10</w:t>
      </w:r>
      <w:r>
        <w:rPr>
          <w:rStyle w:val="47"/>
          <w:rFonts w:ascii="宋体" w:hAnsi="宋体"/>
          <w:szCs w:val="21"/>
        </w:rPr>
        <w:t>月1日至开标之日（以</w:t>
      </w:r>
      <w:r>
        <w:rPr>
          <w:rStyle w:val="47"/>
          <w:rFonts w:hint="eastAsia" w:ascii="宋体" w:hAnsi="宋体"/>
          <w:szCs w:val="21"/>
          <w:lang w:val="en-US" w:eastAsia="zh-CN"/>
        </w:rPr>
        <w:t>验收</w:t>
      </w:r>
      <w:r>
        <w:rPr>
          <w:rStyle w:val="47"/>
          <w:rFonts w:ascii="宋体" w:hAnsi="宋体"/>
          <w:szCs w:val="21"/>
        </w:rPr>
        <w:t>时间为准），类似工程：详见</w:t>
      </w:r>
      <w:r>
        <w:rPr>
          <w:rStyle w:val="47"/>
          <w:rFonts w:hint="eastAsia" w:ascii="宋体" w:hAnsi="宋体" w:eastAsia="宋体" w:cs="宋体"/>
          <w:szCs w:val="21"/>
        </w:rPr>
        <w:t>投标人须知前附表；</w:t>
      </w:r>
    </w:p>
    <w:p w14:paraId="1DE010BD">
      <w:pPr>
        <w:numPr>
          <w:ilvl w:val="0"/>
          <w:numId w:val="19"/>
        </w:numPr>
        <w:spacing w:line="440" w:lineRule="exact"/>
        <w:ind w:left="630" w:hanging="630" w:hangingChars="300"/>
        <w:rPr>
          <w:rStyle w:val="47"/>
          <w:rFonts w:ascii="宋体" w:hAnsi="宋体"/>
          <w:b w:val="0"/>
          <w:bCs w:val="0"/>
          <w:szCs w:val="21"/>
        </w:rPr>
      </w:pPr>
      <w:r>
        <w:rPr>
          <w:rStyle w:val="47"/>
          <w:rFonts w:hint="eastAsia" w:ascii="宋体" w:hAnsi="宋体" w:eastAsia="宋体" w:cs="宋体"/>
          <w:b w:val="0"/>
          <w:bCs w:val="0"/>
          <w:szCs w:val="21"/>
        </w:rPr>
        <w:t>评分细则中加分的企业业绩、项目经理业绩</w:t>
      </w:r>
      <w:r>
        <w:rPr>
          <w:rStyle w:val="47"/>
          <w:rFonts w:hint="eastAsia" w:ascii="宋体" w:hAnsi="宋体" w:eastAsia="宋体" w:cs="宋体"/>
          <w:b w:val="0"/>
          <w:bCs w:val="0"/>
          <w:szCs w:val="21"/>
          <w:lang w:val="en-US" w:eastAsia="zh-CN"/>
        </w:rPr>
        <w:t>等</w:t>
      </w:r>
      <w:r>
        <w:rPr>
          <w:rStyle w:val="47"/>
          <w:rFonts w:hint="eastAsia" w:ascii="宋体" w:hAnsi="宋体" w:eastAsia="宋体" w:cs="宋体"/>
          <w:b w:val="0"/>
          <w:bCs w:val="0"/>
          <w:szCs w:val="21"/>
        </w:rPr>
        <w:t>须同时附在本表中，本表后附合同协议书的复印件。</w:t>
      </w:r>
    </w:p>
    <w:p w14:paraId="19332F69">
      <w:pPr>
        <w:pStyle w:val="25"/>
        <w:rPr>
          <w:rStyle w:val="47"/>
          <w:rFonts w:hint="eastAsia" w:ascii="宋体" w:hAnsi="宋体" w:eastAsia="宋体" w:cs="宋体"/>
          <w:b w:val="0"/>
          <w:bCs w:val="0"/>
          <w:szCs w:val="21"/>
        </w:rPr>
      </w:pPr>
    </w:p>
    <w:p w14:paraId="383FDACC">
      <w:pPr>
        <w:numPr>
          <w:ilvl w:val="0"/>
          <w:numId w:val="0"/>
        </w:numPr>
        <w:spacing w:line="440" w:lineRule="exact"/>
        <w:ind w:leftChars="-300"/>
        <w:rPr>
          <w:rStyle w:val="47"/>
          <w:rFonts w:ascii="宋体" w:hAnsi="宋体"/>
          <w:b w:val="0"/>
          <w:bCs w:val="0"/>
          <w:szCs w:val="21"/>
        </w:rPr>
      </w:pPr>
    </w:p>
    <w:p w14:paraId="60E15A2E">
      <w:pPr>
        <w:numPr>
          <w:ilvl w:val="0"/>
          <w:numId w:val="0"/>
        </w:numPr>
        <w:spacing w:line="440" w:lineRule="exact"/>
        <w:ind w:leftChars="-300"/>
        <w:rPr>
          <w:rStyle w:val="47"/>
          <w:rFonts w:ascii="宋体" w:hAnsi="宋体"/>
          <w:b/>
          <w:bCs/>
          <w:szCs w:val="21"/>
        </w:rPr>
        <w:sectPr>
          <w:headerReference r:id="rId16" w:type="first"/>
          <w:headerReference r:id="rId15" w:type="default"/>
          <w:footerReference r:id="rId17" w:type="default"/>
          <w:pgSz w:w="16838" w:h="11905" w:orient="landscape"/>
          <w:pgMar w:top="1304" w:right="1304" w:bottom="1304" w:left="1247" w:header="850" w:footer="992" w:gutter="0"/>
          <w:pgNumType w:fmt="decimal"/>
          <w:cols w:space="0" w:num="1"/>
          <w:titlePg/>
          <w:rtlGutter w:val="0"/>
          <w:docGrid w:type="lines" w:linePitch="320" w:charSpace="0"/>
        </w:sectPr>
      </w:pPr>
    </w:p>
    <w:p w14:paraId="04FA198B">
      <w:pPr>
        <w:pStyle w:val="25"/>
      </w:pPr>
    </w:p>
    <w:p w14:paraId="3F40DA4F">
      <w:pPr>
        <w:pStyle w:val="56"/>
        <w:numPr>
          <w:ilvl w:val="0"/>
          <w:numId w:val="18"/>
        </w:numPr>
        <w:snapToGrid w:val="0"/>
        <w:spacing w:line="440" w:lineRule="exact"/>
        <w:ind w:firstLineChars="0"/>
        <w:jc w:val="center"/>
        <w:rPr>
          <w:rStyle w:val="47"/>
          <w:rFonts w:ascii="宋体" w:hAnsi="宋体"/>
          <w:b/>
          <w:szCs w:val="21"/>
        </w:rPr>
      </w:pPr>
      <w:bookmarkStart w:id="237" w:name="_Toc16064009"/>
      <w:r>
        <w:rPr>
          <w:rStyle w:val="47"/>
          <w:rFonts w:ascii="宋体" w:hAnsi="宋体"/>
          <w:b/>
          <w:szCs w:val="21"/>
        </w:rPr>
        <w:t>无不良行为记录证明材料</w:t>
      </w:r>
      <w:bookmarkEnd w:id="237"/>
    </w:p>
    <w:p w14:paraId="0A5C0626">
      <w:pPr>
        <w:spacing w:before="120" w:after="240" w:line="440" w:lineRule="exact"/>
        <w:ind w:firstLine="420" w:firstLineChars="200"/>
        <w:rPr>
          <w:rStyle w:val="47"/>
          <w:rFonts w:ascii="宋体" w:hAnsi="宋体"/>
        </w:rPr>
      </w:pPr>
      <w:r>
        <w:rPr>
          <w:rStyle w:val="47"/>
          <w:rFonts w:ascii="宋体" w:hAnsi="宋体"/>
        </w:rPr>
        <w:t>须附“中国裁判文书网”行贿犯罪档案查询结果截图及其他无不良行为记录证明材料。</w:t>
      </w:r>
    </w:p>
    <w:p w14:paraId="6F085AB7">
      <w:pPr>
        <w:rPr>
          <w:rStyle w:val="47"/>
          <w:rFonts w:ascii="宋体" w:hAnsi="宋体"/>
          <w:b/>
          <w:szCs w:val="21"/>
        </w:rPr>
      </w:pPr>
      <w:bookmarkStart w:id="238" w:name="_Toc16064010"/>
    </w:p>
    <w:p w14:paraId="63123CED">
      <w:pPr>
        <w:pStyle w:val="11"/>
      </w:pPr>
    </w:p>
    <w:p w14:paraId="343E838D">
      <w:pPr>
        <w:pStyle w:val="56"/>
        <w:numPr>
          <w:ilvl w:val="0"/>
          <w:numId w:val="18"/>
        </w:numPr>
        <w:snapToGrid w:val="0"/>
        <w:spacing w:line="440" w:lineRule="exact"/>
        <w:ind w:left="765" w:firstLineChars="0"/>
        <w:rPr>
          <w:rStyle w:val="47"/>
          <w:rFonts w:ascii="宋体" w:hAnsi="宋体"/>
          <w:b/>
          <w:szCs w:val="21"/>
        </w:rPr>
      </w:pPr>
      <w:r>
        <w:rPr>
          <w:rStyle w:val="47"/>
          <w:rFonts w:ascii="宋体" w:hAnsi="宋体"/>
          <w:b/>
          <w:szCs w:val="21"/>
        </w:rPr>
        <w:t>近三年（20</w:t>
      </w:r>
      <w:r>
        <w:rPr>
          <w:rStyle w:val="47"/>
          <w:rFonts w:hint="eastAsia" w:ascii="宋体" w:hAnsi="宋体"/>
          <w:b/>
          <w:szCs w:val="21"/>
        </w:rPr>
        <w:t>2</w:t>
      </w:r>
      <w:r>
        <w:rPr>
          <w:rStyle w:val="47"/>
          <w:rFonts w:hint="eastAsia" w:ascii="宋体" w:hAnsi="宋体"/>
          <w:b/>
          <w:szCs w:val="21"/>
          <w:lang w:val="en-US" w:eastAsia="zh-CN"/>
        </w:rPr>
        <w:t>2</w:t>
      </w:r>
      <w:r>
        <w:rPr>
          <w:rStyle w:val="47"/>
          <w:rFonts w:ascii="宋体" w:hAnsi="宋体"/>
          <w:b/>
          <w:szCs w:val="21"/>
        </w:rPr>
        <w:t>年</w:t>
      </w:r>
      <w:r>
        <w:rPr>
          <w:rStyle w:val="47"/>
          <w:rFonts w:hint="eastAsia" w:ascii="宋体" w:hAnsi="宋体"/>
          <w:b/>
          <w:szCs w:val="21"/>
          <w:lang w:val="en-US" w:eastAsia="zh-CN"/>
        </w:rPr>
        <w:t>10</w:t>
      </w:r>
      <w:r>
        <w:rPr>
          <w:rStyle w:val="47"/>
          <w:rFonts w:ascii="宋体" w:hAnsi="宋体"/>
          <w:b/>
          <w:szCs w:val="21"/>
        </w:rPr>
        <w:t>月1日至开标之日）发生的诉讼及仲裁情况（应说明相关情况并附法院或仲裁机构作出的判决、仲裁等有关法律文书的复印件）</w:t>
      </w:r>
      <w:bookmarkEnd w:id="238"/>
    </w:p>
    <w:p w14:paraId="43BD4B73">
      <w:pPr>
        <w:spacing w:line="440" w:lineRule="exact"/>
        <w:ind w:firstLine="433" w:firstLineChars="196"/>
        <w:rPr>
          <w:rStyle w:val="47"/>
          <w:rFonts w:ascii="宋体" w:hAnsi="宋体"/>
          <w:b/>
          <w:sz w:val="22"/>
          <w:szCs w:val="28"/>
        </w:rPr>
      </w:pPr>
    </w:p>
    <w:p w14:paraId="661E5E57">
      <w:pPr>
        <w:spacing w:line="440" w:lineRule="exact"/>
        <w:ind w:firstLine="433" w:firstLineChars="196"/>
        <w:rPr>
          <w:rStyle w:val="47"/>
          <w:rFonts w:ascii="宋体" w:hAnsi="宋体"/>
          <w:b/>
          <w:sz w:val="22"/>
          <w:szCs w:val="28"/>
        </w:rPr>
      </w:pPr>
    </w:p>
    <w:p w14:paraId="464E6270">
      <w:pPr>
        <w:spacing w:line="440" w:lineRule="exact"/>
        <w:ind w:firstLine="433" w:firstLineChars="196"/>
      </w:pPr>
      <w:r>
        <w:rPr>
          <w:rStyle w:val="47"/>
          <w:rFonts w:ascii="宋体" w:hAnsi="宋体"/>
          <w:b/>
          <w:sz w:val="22"/>
          <w:szCs w:val="28"/>
        </w:rPr>
        <w:t>注：投标人应按照以上内容要求编制资格审查文件，并对资格审查文件的真实性负责，相关复印件应加盖单位公章。评标过程中评标委员若对资格审查文件有异议的，可要求投标人提供相应原件进行复核，未能及时提供原件或若发现有不实之处的，按废标处理。</w:t>
      </w:r>
      <w:r>
        <w:rPr>
          <w:rStyle w:val="47"/>
          <w:rFonts w:ascii="宋体" w:hAnsi="宋体"/>
          <w:b/>
          <w:sz w:val="22"/>
          <w:szCs w:val="28"/>
          <w:u w:val="single"/>
        </w:rPr>
        <w:t>其中第（一）、（二）、（三）、（</w:t>
      </w:r>
      <w:r>
        <w:rPr>
          <w:rStyle w:val="47"/>
          <w:rFonts w:hint="eastAsia" w:ascii="宋体" w:hAnsi="宋体"/>
          <w:b/>
          <w:sz w:val="22"/>
          <w:szCs w:val="28"/>
          <w:u w:val="single"/>
          <w:lang w:val="en-US" w:eastAsia="zh-CN"/>
        </w:rPr>
        <w:t>四</w:t>
      </w:r>
      <w:r>
        <w:rPr>
          <w:rStyle w:val="47"/>
          <w:rFonts w:ascii="宋体" w:hAnsi="宋体"/>
          <w:b/>
          <w:sz w:val="22"/>
          <w:szCs w:val="28"/>
          <w:u w:val="single"/>
        </w:rPr>
        <w:t>）条为必备条件,若无则资格</w:t>
      </w:r>
      <w:r>
        <w:rPr>
          <w:rStyle w:val="47"/>
          <w:rFonts w:hint="eastAsia" w:ascii="宋体" w:hAnsi="宋体"/>
          <w:b/>
          <w:sz w:val="22"/>
          <w:szCs w:val="28"/>
          <w:u w:val="single"/>
        </w:rPr>
        <w:t>预审</w:t>
      </w:r>
      <w:r>
        <w:rPr>
          <w:rStyle w:val="47"/>
          <w:rFonts w:ascii="宋体" w:hAnsi="宋体"/>
          <w:b/>
          <w:sz w:val="22"/>
          <w:szCs w:val="28"/>
          <w:u w:val="single"/>
        </w:rPr>
        <w:t>不合格,第（</w:t>
      </w:r>
      <w:r>
        <w:rPr>
          <w:rStyle w:val="47"/>
          <w:rFonts w:hint="eastAsia" w:ascii="宋体" w:hAnsi="宋体"/>
          <w:b/>
          <w:sz w:val="22"/>
          <w:szCs w:val="28"/>
          <w:u w:val="single"/>
          <w:lang w:val="en-US" w:eastAsia="zh-CN"/>
        </w:rPr>
        <w:t>五</w:t>
      </w:r>
      <w:r>
        <w:rPr>
          <w:rStyle w:val="47"/>
          <w:rFonts w:ascii="宋体" w:hAnsi="宋体"/>
          <w:b/>
          <w:sz w:val="22"/>
          <w:szCs w:val="28"/>
          <w:u w:val="single"/>
        </w:rPr>
        <w:t>）、（六）项内容若无应注明“无”,若资格审查文件中无第（</w:t>
      </w:r>
      <w:r>
        <w:rPr>
          <w:rStyle w:val="47"/>
          <w:rFonts w:hint="eastAsia" w:ascii="宋体" w:hAnsi="宋体"/>
          <w:b/>
          <w:sz w:val="22"/>
          <w:szCs w:val="28"/>
          <w:u w:val="single"/>
          <w:lang w:val="en-US" w:eastAsia="zh-CN"/>
        </w:rPr>
        <w:t>五</w:t>
      </w:r>
      <w:r>
        <w:rPr>
          <w:rStyle w:val="47"/>
          <w:rFonts w:ascii="宋体" w:hAnsi="宋体"/>
          <w:b/>
          <w:sz w:val="22"/>
          <w:szCs w:val="28"/>
          <w:u w:val="single"/>
        </w:rPr>
        <w:t>）、（六）项内容且未在资格</w:t>
      </w:r>
      <w:r>
        <w:rPr>
          <w:rStyle w:val="47"/>
          <w:rFonts w:hint="eastAsia" w:ascii="宋体" w:hAnsi="宋体"/>
          <w:b/>
          <w:sz w:val="22"/>
          <w:szCs w:val="28"/>
          <w:u w:val="single"/>
        </w:rPr>
        <w:t>预审</w:t>
      </w:r>
      <w:r>
        <w:rPr>
          <w:rStyle w:val="47"/>
          <w:rFonts w:ascii="宋体" w:hAnsi="宋体"/>
          <w:b/>
          <w:sz w:val="22"/>
          <w:szCs w:val="28"/>
          <w:u w:val="single"/>
        </w:rPr>
        <w:t>文件中注明的,则视为不合格，不参与下一步评审。</w:t>
      </w:r>
    </w:p>
    <w:p w14:paraId="7B7BC2D1"/>
    <w:p w14:paraId="02C2FF5E"/>
    <w:p w14:paraId="46C6E410"/>
    <w:p w14:paraId="3C734CD9"/>
    <w:p w14:paraId="0082D138"/>
    <w:p w14:paraId="7B8783B6"/>
    <w:p w14:paraId="378B4D76"/>
    <w:p w14:paraId="1B6D0D99"/>
    <w:p w14:paraId="19CC0758"/>
    <w:p w14:paraId="0E734F5E"/>
    <w:p w14:paraId="0D42ACAD"/>
    <w:p w14:paraId="3E69707F"/>
    <w:p w14:paraId="5A8336E3"/>
    <w:p w14:paraId="6D49E21E"/>
    <w:p w14:paraId="546152D8"/>
    <w:p w14:paraId="1BFE428E"/>
    <w:p w14:paraId="0A04AE4C"/>
    <w:p w14:paraId="3C6D6FF9"/>
    <w:p w14:paraId="57BD8867"/>
    <w:p w14:paraId="51C9005B"/>
    <w:p w14:paraId="16499F42"/>
    <w:p w14:paraId="0F03A146"/>
    <w:p w14:paraId="0F33A73B"/>
    <w:p w14:paraId="372202E9">
      <w:pPr>
        <w:pStyle w:val="2"/>
        <w:keepNext w:val="0"/>
        <w:keepLines w:val="0"/>
        <w:pageBreakBefore w:val="0"/>
        <w:widowControl w:val="0"/>
        <w:kinsoku/>
        <w:wordWrap/>
        <w:overflowPunct/>
        <w:topLinePunct w:val="0"/>
        <w:autoSpaceDE/>
        <w:autoSpaceDN/>
        <w:bidi w:val="0"/>
        <w:spacing w:line="500" w:lineRule="exact"/>
        <w:jc w:val="center"/>
        <w:textAlignment w:val="auto"/>
        <w:outlineLvl w:val="1"/>
        <w:rPr>
          <w:rFonts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SRM非生产供应商注册操作手册</w:t>
      </w:r>
    </w:p>
    <w:p w14:paraId="63DC5BB0">
      <w:pPr>
        <w:pStyle w:val="2"/>
        <w:keepNext w:val="0"/>
        <w:keepLines w:val="0"/>
        <w:pageBreakBefore w:val="0"/>
        <w:widowControl w:val="0"/>
        <w:kinsoku/>
        <w:wordWrap/>
        <w:overflowPunct/>
        <w:topLinePunct w:val="0"/>
        <w:autoSpaceDE/>
        <w:autoSpaceDN/>
        <w:bidi w:val="0"/>
        <w:spacing w:line="500" w:lineRule="exact"/>
        <w:jc w:val="center"/>
        <w:textAlignment w:val="auto"/>
        <w:rPr>
          <w:highlight w:val="none"/>
        </w:rPr>
      </w:pPr>
    </w:p>
    <w:p w14:paraId="4FD800ED">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rFonts w:ascii="宋体" w:hAnsi="宋体" w:cs="宋体"/>
          <w:sz w:val="24"/>
          <w:szCs w:val="24"/>
          <w:highlight w:val="none"/>
        </w:rPr>
        <w:t>浏览器中输入地址;</w:t>
      </w:r>
    </w:p>
    <w:p w14:paraId="1D06A4E6">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p>
    <w:p w14:paraId="3C459B1C">
      <w:pPr>
        <w:adjustRightInd w:val="0"/>
        <w:snapToGrid w:val="0"/>
        <w:spacing w:line="360" w:lineRule="auto"/>
        <w:jc w:val="left"/>
        <w:outlineLvl w:val="1"/>
        <w:rPr>
          <w:rFonts w:ascii="宋体" w:hAnsi="宋体" w:cs="宋体"/>
          <w:sz w:val="24"/>
          <w:szCs w:val="24"/>
          <w:highlight w:val="none"/>
        </w:rPr>
      </w:pPr>
      <w:r>
        <w:rPr>
          <w:rFonts w:ascii="宋体" w:hAnsi="宋体" w:cs="宋体"/>
          <w:sz w:val="24"/>
          <w:szCs w:val="24"/>
          <w:highlight w:val="none"/>
        </w:rPr>
        <w:t>1.点击立即注册</w:t>
      </w:r>
    </w:p>
    <w:p w14:paraId="5BF0276E">
      <w:pPr>
        <w:snapToGrid w:val="0"/>
        <w:spacing w:line="312" w:lineRule="auto"/>
        <w:rPr>
          <w:highlight w:val="none"/>
        </w:rPr>
      </w:pPr>
      <w:r>
        <w:rPr>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4"/>
                    <a:stretch>
                      <a:fillRect/>
                    </a:stretch>
                  </pic:blipFill>
                  <pic:spPr>
                    <a:xfrm>
                      <a:off x="0" y="0"/>
                      <a:ext cx="5760085" cy="2933377"/>
                    </a:xfrm>
                    <a:prstGeom prst="rect">
                      <a:avLst/>
                    </a:prstGeom>
                  </pic:spPr>
                </pic:pic>
              </a:graphicData>
            </a:graphic>
          </wp:inline>
        </w:drawing>
      </w:r>
    </w:p>
    <w:p w14:paraId="18A6DB35">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填写手机号码（没有注册过的）</w:t>
      </w:r>
    </w:p>
    <w:p w14:paraId="418B25C8">
      <w:pPr>
        <w:snapToGrid w:val="0"/>
        <w:spacing w:line="312" w:lineRule="auto"/>
        <w:rPr>
          <w:highlight w:val="none"/>
        </w:rPr>
      </w:pPr>
      <w:r>
        <w:rPr>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5"/>
                    <a:stretch>
                      <a:fillRect/>
                    </a:stretch>
                  </pic:blipFill>
                  <pic:spPr>
                    <a:xfrm>
                      <a:off x="0" y="0"/>
                      <a:ext cx="5760085" cy="2766707"/>
                    </a:xfrm>
                    <a:prstGeom prst="rect">
                      <a:avLst/>
                    </a:prstGeom>
                  </pic:spPr>
                </pic:pic>
              </a:graphicData>
            </a:graphic>
          </wp:inline>
        </w:drawing>
      </w:r>
    </w:p>
    <w:p w14:paraId="5EB0E82E">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14:paraId="326C4DA8">
      <w:pPr>
        <w:snapToGrid w:val="0"/>
        <w:spacing w:line="312" w:lineRule="auto"/>
        <w:rPr>
          <w:highlight w:val="none"/>
        </w:rPr>
      </w:pPr>
      <w:r>
        <w:rPr>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6"/>
                    <a:stretch>
                      <a:fillRect/>
                    </a:stretch>
                  </pic:blipFill>
                  <pic:spPr>
                    <a:xfrm>
                      <a:off x="0" y="0"/>
                      <a:ext cx="5760085" cy="2870054"/>
                    </a:xfrm>
                    <a:prstGeom prst="rect">
                      <a:avLst/>
                    </a:prstGeom>
                  </pic:spPr>
                </pic:pic>
              </a:graphicData>
            </a:graphic>
          </wp:inline>
        </w:drawing>
      </w:r>
    </w:p>
    <w:p w14:paraId="5F111323">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14:paraId="7B5C9EB8">
      <w:pPr>
        <w:snapToGrid w:val="0"/>
        <w:spacing w:line="312" w:lineRule="auto"/>
        <w:rPr>
          <w:highlight w:val="none"/>
        </w:rPr>
      </w:pPr>
      <w:r>
        <w:rPr>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7"/>
                    <a:stretch>
                      <a:fillRect/>
                    </a:stretch>
                  </pic:blipFill>
                  <pic:spPr>
                    <a:xfrm>
                      <a:off x="0" y="0"/>
                      <a:ext cx="5760085" cy="2853375"/>
                    </a:xfrm>
                    <a:prstGeom prst="rect">
                      <a:avLst/>
                    </a:prstGeom>
                  </pic:spPr>
                </pic:pic>
              </a:graphicData>
            </a:graphic>
          </wp:inline>
        </w:drawing>
      </w:r>
    </w:p>
    <w:p w14:paraId="380152E5">
      <w:pPr>
        <w:spacing w:line="360" w:lineRule="auto"/>
        <w:outlineLvl w:val="1"/>
        <w:rPr>
          <w:rFonts w:ascii="宋体" w:hAnsi="宋体" w:cs="宋体"/>
          <w:sz w:val="24"/>
          <w:szCs w:val="28"/>
          <w:highlight w:val="none"/>
        </w:rPr>
      </w:pPr>
      <w:r>
        <w:rPr>
          <w:rFonts w:hint="eastAsia" w:ascii="宋体" w:hAnsi="宋体" w:cs="宋体"/>
          <w:sz w:val="24"/>
          <w:szCs w:val="28"/>
          <w:highlight w:val="none"/>
        </w:rPr>
        <w:t>5</w:t>
      </w:r>
      <w:r>
        <w:rPr>
          <w:rFonts w:hint="eastAsia" w:ascii="宋体" w:hAnsi="宋体" w:cs="宋体"/>
          <w:color w:val="000000"/>
          <w:sz w:val="24"/>
          <w:szCs w:val="28"/>
          <w:highlight w:val="none"/>
        </w:rPr>
        <w:t>.</w:t>
      </w:r>
      <w:r>
        <w:rPr>
          <w:rFonts w:ascii="宋体" w:hAnsi="宋体" w:cs="宋体"/>
          <w:color w:val="000000"/>
          <w:sz w:val="24"/>
          <w:szCs w:val="28"/>
          <w:highlight w:val="none"/>
        </w:rPr>
        <w:t>按要求填写所有信息，注意非生产类要填写合作单位，最后提交审批</w:t>
      </w:r>
    </w:p>
    <w:p w14:paraId="5438C945">
      <w:pPr>
        <w:pStyle w:val="2"/>
        <w:rPr>
          <w:highlight w:val="none"/>
        </w:rPr>
      </w:pPr>
    </w:p>
    <w:p w14:paraId="0B748A22">
      <w:pPr>
        <w:rPr>
          <w:highlight w:val="none"/>
        </w:rPr>
      </w:pPr>
      <w:r>
        <w:rPr>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8"/>
                    <a:stretch>
                      <a:fillRect/>
                    </a:stretch>
                  </pic:blipFill>
                  <pic:spPr>
                    <a:xfrm>
                      <a:off x="0" y="0"/>
                      <a:ext cx="5760085" cy="2810122"/>
                    </a:xfrm>
                    <a:prstGeom prst="rect">
                      <a:avLst/>
                    </a:prstGeom>
                  </pic:spPr>
                </pic:pic>
              </a:graphicData>
            </a:graphic>
          </wp:inline>
        </w:drawing>
      </w:r>
    </w:p>
    <w:p w14:paraId="35B769B9">
      <w:pPr>
        <w:pStyle w:val="2"/>
        <w:rPr>
          <w:highlight w:val="none"/>
        </w:rPr>
      </w:pPr>
      <w:r>
        <w:rPr>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9"/>
                    <a:stretch>
                      <a:fillRect/>
                    </a:stretch>
                  </pic:blipFill>
                  <pic:spPr>
                    <a:xfrm>
                      <a:off x="0" y="0"/>
                      <a:ext cx="5760085" cy="2820042"/>
                    </a:xfrm>
                    <a:prstGeom prst="rect">
                      <a:avLst/>
                    </a:prstGeom>
                  </pic:spPr>
                </pic:pic>
              </a:graphicData>
            </a:graphic>
          </wp:inline>
        </w:drawing>
      </w:r>
    </w:p>
    <w:p w14:paraId="77B1C866">
      <w:pPr>
        <w:pStyle w:val="2"/>
        <w:rPr>
          <w:highlight w:val="none"/>
        </w:rPr>
      </w:pPr>
    </w:p>
    <w:p w14:paraId="7BF61909">
      <w:pPr>
        <w:pStyle w:val="2"/>
        <w:rPr>
          <w:rFonts w:hAnsi="宋体" w:cs="Times New Roman"/>
          <w:b/>
          <w:color w:val="000000"/>
          <w:sz w:val="24"/>
          <w:szCs w:val="24"/>
          <w:highlight w:val="none"/>
        </w:rPr>
      </w:pPr>
    </w:p>
    <w:p w14:paraId="4617F3BE">
      <w:pPr>
        <w:pStyle w:val="2"/>
        <w:rPr>
          <w:rFonts w:hAnsi="宋体" w:cs="Times New Roman"/>
          <w:b/>
          <w:color w:val="000000"/>
          <w:sz w:val="24"/>
          <w:szCs w:val="24"/>
          <w:highlight w:val="none"/>
        </w:rPr>
      </w:pPr>
    </w:p>
    <w:p w14:paraId="2720BCCE">
      <w:pPr>
        <w:pStyle w:val="2"/>
        <w:rPr>
          <w:rFonts w:hAnsi="宋体" w:cs="Times New Roman"/>
          <w:b/>
          <w:color w:val="000000"/>
          <w:sz w:val="24"/>
          <w:szCs w:val="24"/>
          <w:highlight w:val="none"/>
        </w:rPr>
      </w:pPr>
    </w:p>
    <w:p w14:paraId="20FBC9DD">
      <w:pPr>
        <w:pStyle w:val="2"/>
        <w:rPr>
          <w:rFonts w:hAnsi="宋体" w:cs="Times New Roman"/>
          <w:b/>
          <w:color w:val="000000"/>
          <w:sz w:val="24"/>
          <w:szCs w:val="24"/>
          <w:highlight w:val="none"/>
        </w:rPr>
      </w:pPr>
    </w:p>
    <w:p w14:paraId="180E0F24">
      <w:pPr>
        <w:pStyle w:val="2"/>
        <w:rPr>
          <w:rFonts w:hAnsi="宋体" w:cs="Times New Roman"/>
          <w:b/>
          <w:color w:val="000000"/>
          <w:sz w:val="24"/>
          <w:szCs w:val="24"/>
          <w:highlight w:val="none"/>
        </w:rPr>
      </w:pPr>
    </w:p>
    <w:p w14:paraId="41C3098C">
      <w:pPr>
        <w:pStyle w:val="2"/>
        <w:rPr>
          <w:rFonts w:hAnsi="宋体" w:cs="Times New Roman"/>
          <w:b/>
          <w:color w:val="000000"/>
          <w:sz w:val="24"/>
          <w:szCs w:val="24"/>
          <w:highlight w:val="none"/>
        </w:rPr>
      </w:pPr>
    </w:p>
    <w:p w14:paraId="2B32CA41">
      <w:pPr>
        <w:pStyle w:val="2"/>
        <w:rPr>
          <w:rFonts w:hAnsi="宋体" w:cs="Times New Roman"/>
          <w:b/>
          <w:color w:val="000000"/>
          <w:sz w:val="24"/>
          <w:szCs w:val="24"/>
          <w:highlight w:val="none"/>
        </w:rPr>
      </w:pPr>
    </w:p>
    <w:p w14:paraId="2C2530FD">
      <w:pPr>
        <w:pStyle w:val="2"/>
        <w:rPr>
          <w:rFonts w:hAnsi="宋体" w:cs="Times New Roman"/>
          <w:b/>
          <w:color w:val="000000"/>
          <w:sz w:val="24"/>
          <w:szCs w:val="24"/>
          <w:highlight w:val="none"/>
        </w:rPr>
      </w:pPr>
    </w:p>
    <w:p w14:paraId="1DA83FAA">
      <w:pPr>
        <w:pStyle w:val="2"/>
        <w:rPr>
          <w:rFonts w:hAnsi="宋体" w:cs="Times New Roman"/>
          <w:b/>
          <w:color w:val="000000"/>
          <w:sz w:val="24"/>
          <w:szCs w:val="24"/>
          <w:highlight w:val="none"/>
        </w:rPr>
      </w:pPr>
    </w:p>
    <w:p w14:paraId="08DCE429">
      <w:pPr>
        <w:pStyle w:val="2"/>
        <w:rPr>
          <w:rFonts w:hAnsi="宋体" w:cs="Times New Roman"/>
          <w:b/>
          <w:color w:val="000000"/>
          <w:sz w:val="24"/>
          <w:szCs w:val="24"/>
          <w:highlight w:val="none"/>
        </w:rPr>
      </w:pPr>
    </w:p>
    <w:p w14:paraId="2CF174A3">
      <w:pPr>
        <w:pStyle w:val="2"/>
        <w:rPr>
          <w:rFonts w:hAnsi="宋体" w:cs="Times New Roman"/>
          <w:b/>
          <w:color w:val="000000"/>
          <w:sz w:val="24"/>
          <w:szCs w:val="24"/>
          <w:highlight w:val="none"/>
        </w:rPr>
      </w:pPr>
    </w:p>
    <w:p w14:paraId="3E475DA3">
      <w:pPr>
        <w:pStyle w:val="2"/>
        <w:rPr>
          <w:rFonts w:hAnsi="宋体" w:cs="Times New Roman"/>
          <w:b/>
          <w:color w:val="000000"/>
          <w:sz w:val="24"/>
          <w:szCs w:val="24"/>
          <w:highlight w:val="none"/>
        </w:rPr>
      </w:pPr>
    </w:p>
    <w:p w14:paraId="58168E4A">
      <w:pPr>
        <w:pStyle w:val="2"/>
        <w:rPr>
          <w:rFonts w:hAnsi="宋体" w:cs="Times New Roman"/>
          <w:b/>
          <w:color w:val="000000"/>
          <w:sz w:val="24"/>
          <w:szCs w:val="24"/>
          <w:highlight w:val="none"/>
        </w:rPr>
      </w:pPr>
    </w:p>
    <w:p w14:paraId="4071E4D9">
      <w:pPr>
        <w:pStyle w:val="2"/>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Ansi="宋体" w:cs="Times New Roman"/>
          <w:b/>
          <w:color w:val="000000"/>
          <w:sz w:val="24"/>
          <w:szCs w:val="24"/>
          <w:highlight w:val="none"/>
        </w:rPr>
      </w:pPr>
    </w:p>
    <w:p w14:paraId="6BE3B9BC">
      <w:pPr>
        <w:pStyle w:val="2"/>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SRM系统供应商用户手册</w:t>
      </w:r>
    </w:p>
    <w:p w14:paraId="70CDCBBD">
      <w:pPr>
        <w:pStyle w:val="2"/>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p>
    <w:p w14:paraId="556949D5">
      <w:pPr>
        <w:spacing w:line="360" w:lineRule="auto"/>
        <w:rPr>
          <w:rFonts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33"/>
          <w:rFonts w:hint="eastAsia" w:ascii="宋体" w:hAnsi="宋体" w:cs="宋体"/>
          <w:sz w:val="24"/>
          <w:szCs w:val="24"/>
          <w:highlight w:val="none"/>
        </w:rPr>
        <w:t>https://ecaitong.sinotruk.com:8012/</w:t>
      </w:r>
      <w:r>
        <w:rPr>
          <w:rStyle w:val="33"/>
          <w:rFonts w:hint="eastAsia" w:ascii="宋体" w:hAnsi="宋体" w:cs="宋体"/>
          <w:sz w:val="24"/>
          <w:szCs w:val="24"/>
          <w:highlight w:val="none"/>
        </w:rPr>
        <w:fldChar w:fldCharType="end"/>
      </w:r>
    </w:p>
    <w:p w14:paraId="54DB55C3">
      <w:pPr>
        <w:spacing w:line="360" w:lineRule="auto"/>
        <w:rPr>
          <w:rFonts w:ascii="宋体" w:hAnsi="宋体" w:cs="宋体"/>
          <w:sz w:val="24"/>
          <w:szCs w:val="24"/>
          <w:highlight w:val="none"/>
        </w:rPr>
      </w:pPr>
      <w:r>
        <w:rPr>
          <w:rFonts w:hint="eastAsia" w:ascii="宋体" w:hAnsi="宋体" w:cs="宋体"/>
          <w:color w:val="000000"/>
          <w:sz w:val="24"/>
          <w:szCs w:val="24"/>
          <w:highlight w:val="none"/>
        </w:rPr>
        <w:t>用 户 名：gys+供应商代码（</w:t>
      </w:r>
      <w:r>
        <w:rPr>
          <w:rFonts w:hint="eastAsia" w:ascii="宋体" w:hAnsi="宋体" w:cs="宋体"/>
          <w:color w:val="FF0000"/>
          <w:sz w:val="24"/>
          <w:szCs w:val="24"/>
          <w:highlight w:val="none"/>
        </w:rPr>
        <w:t>注意：注册完毕后，用户名不要用手机号登录</w:t>
      </w:r>
      <w:r>
        <w:rPr>
          <w:rFonts w:hint="eastAsia" w:ascii="宋体" w:hAnsi="宋体" w:cs="宋体"/>
          <w:color w:val="000000"/>
          <w:sz w:val="24"/>
          <w:szCs w:val="24"/>
          <w:highlight w:val="none"/>
        </w:rPr>
        <w:t>）</w:t>
      </w:r>
    </w:p>
    <w:p w14:paraId="1A2FE1F4">
      <w:pPr>
        <w:spacing w:line="360" w:lineRule="auto"/>
        <w:rPr>
          <w:rFonts w:ascii="宋体" w:hAnsi="宋体" w:cs="宋体"/>
          <w:sz w:val="24"/>
          <w:szCs w:val="24"/>
          <w:highlight w:val="none"/>
        </w:rPr>
      </w:pPr>
      <w:r>
        <w:rPr>
          <w:rFonts w:hint="eastAsia" w:ascii="宋体" w:hAnsi="宋体" w:cs="宋体"/>
          <w:color w:val="000000"/>
          <w:sz w:val="24"/>
          <w:szCs w:val="24"/>
          <w:highlight w:val="none"/>
        </w:rPr>
        <w:t>初始密码：scm@2022</w:t>
      </w:r>
    </w:p>
    <w:p w14:paraId="205299B3">
      <w:pPr>
        <w:spacing w:line="360" w:lineRule="auto"/>
        <w:outlineLvl w:val="0"/>
        <w:rPr>
          <w:rFonts w:ascii="宋体" w:hAnsi="宋体" w:cs="宋体"/>
          <w:b/>
          <w:bCs/>
          <w:color w:val="000000"/>
          <w:sz w:val="24"/>
          <w:szCs w:val="24"/>
          <w:highlight w:val="none"/>
        </w:rPr>
      </w:pPr>
      <w:bookmarkStart w:id="239" w:name="_Toc3323"/>
      <w:r>
        <w:rPr>
          <w:rFonts w:hint="eastAsia" w:ascii="宋体" w:hAnsi="宋体" w:cs="宋体"/>
          <w:b/>
          <w:bCs/>
          <w:color w:val="000000"/>
          <w:sz w:val="24"/>
          <w:szCs w:val="24"/>
          <w:highlight w:val="none"/>
        </w:rPr>
        <w:t>1.供应商应标</w:t>
      </w:r>
      <w:bookmarkEnd w:id="239"/>
    </w:p>
    <w:p w14:paraId="1FF191E1">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14:paraId="5077C650">
      <w:pPr>
        <w:spacing w:line="360" w:lineRule="auto"/>
        <w:rPr>
          <w:rFonts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14:paraId="15E9632F">
      <w:pPr>
        <w:rPr>
          <w:highlight w:val="none"/>
        </w:rPr>
      </w:pPr>
      <w:r>
        <w:rPr>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0"/>
                    <a:stretch>
                      <a:fillRect/>
                    </a:stretch>
                  </pic:blipFill>
                  <pic:spPr>
                    <a:xfrm>
                      <a:off x="0" y="0"/>
                      <a:ext cx="5760085" cy="2269864"/>
                    </a:xfrm>
                    <a:prstGeom prst="rect">
                      <a:avLst/>
                    </a:prstGeom>
                  </pic:spPr>
                </pic:pic>
              </a:graphicData>
            </a:graphic>
          </wp:inline>
        </w:drawing>
      </w:r>
    </w:p>
    <w:p w14:paraId="1C0C8AB8">
      <w:pPr>
        <w:rPr>
          <w:highlight w:val="none"/>
        </w:rPr>
      </w:pPr>
    </w:p>
    <w:p w14:paraId="6C095091">
      <w:pPr>
        <w:spacing w:line="360" w:lineRule="auto"/>
        <w:outlineLvl w:val="0"/>
        <w:rPr>
          <w:rFonts w:ascii="宋体" w:hAnsi="宋体" w:cs="宋体"/>
          <w:b/>
          <w:bCs/>
          <w:color w:val="000000"/>
          <w:sz w:val="24"/>
          <w:szCs w:val="24"/>
          <w:highlight w:val="none"/>
        </w:rPr>
      </w:pPr>
      <w:bookmarkStart w:id="240" w:name="_Toc4507"/>
      <w:r>
        <w:rPr>
          <w:rFonts w:hint="eastAsia" w:ascii="宋体" w:hAnsi="宋体" w:cs="宋体"/>
          <w:b/>
          <w:bCs/>
          <w:color w:val="000000"/>
          <w:sz w:val="24"/>
          <w:szCs w:val="24"/>
          <w:highlight w:val="none"/>
        </w:rPr>
        <w:t>2.供应商投标</w:t>
      </w:r>
      <w:bookmarkEnd w:id="240"/>
    </w:p>
    <w:p w14:paraId="0BB24B3A">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14:paraId="20042C4F">
      <w:pPr>
        <w:rPr>
          <w:rFonts w:ascii="宋体" w:hAnsi="宋体" w:cs="宋体"/>
          <w:color w:val="000000"/>
          <w:highlight w:val="none"/>
        </w:rPr>
      </w:pPr>
      <w:r>
        <w:rPr>
          <w:rFonts w:ascii="宋体" w:hAnsi="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1"/>
                    <a:stretch>
                      <a:fillRect/>
                    </a:stretch>
                  </pic:blipFill>
                  <pic:spPr>
                    <a:xfrm>
                      <a:off x="0" y="0"/>
                      <a:ext cx="5760085" cy="2125673"/>
                    </a:xfrm>
                    <a:prstGeom prst="rect">
                      <a:avLst/>
                    </a:prstGeom>
                  </pic:spPr>
                </pic:pic>
              </a:graphicData>
            </a:graphic>
          </wp:inline>
        </w:drawing>
      </w:r>
    </w:p>
    <w:p w14:paraId="0928AC66">
      <w:pPr>
        <w:spacing w:line="360" w:lineRule="auto"/>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73174B96">
      <w:pPr>
        <w:pStyle w:val="2"/>
        <w:rPr>
          <w:highlight w:val="none"/>
        </w:rPr>
      </w:pPr>
      <w:r>
        <w:rPr>
          <w:rFonts w:hint="eastAsia" w:hAnsi="宋体" w:cs="宋体"/>
          <w:color w:val="000000"/>
          <w:sz w:val="24"/>
          <w:szCs w:val="28"/>
          <w:highlight w:val="none"/>
        </w:rPr>
        <w:t>注意：系统内的投标报价单位为“万元”，如开标现场发现填错报价，即直接淘汰。</w:t>
      </w:r>
    </w:p>
    <w:p w14:paraId="0AC9A5E3">
      <w:pPr>
        <w:pStyle w:val="6"/>
        <w:numPr>
          <w:ilvl w:val="0"/>
          <w:numId w:val="0"/>
        </w:numPr>
        <w:rPr>
          <w:rFonts w:eastAsia="Arial" w:cs="Arial"/>
          <w:color w:val="000000"/>
          <w:highlight w:val="none"/>
        </w:rPr>
      </w:pPr>
      <w:r>
        <w:rPr>
          <w:rFonts w:eastAsia="Arial" w:cs="Arial"/>
          <w:color w:val="000000"/>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2"/>
                    <a:stretch>
                      <a:fillRect/>
                    </a:stretch>
                  </pic:blipFill>
                  <pic:spPr>
                    <a:xfrm>
                      <a:off x="0" y="0"/>
                      <a:ext cx="5490210" cy="2669498"/>
                    </a:xfrm>
                    <a:prstGeom prst="rect">
                      <a:avLst/>
                    </a:prstGeom>
                  </pic:spPr>
                </pic:pic>
              </a:graphicData>
            </a:graphic>
          </wp:inline>
        </w:drawing>
      </w:r>
    </w:p>
    <w:p w14:paraId="36609967">
      <w:pPr>
        <w:spacing w:line="360" w:lineRule="auto"/>
        <w:outlineLvl w:val="0"/>
        <w:rPr>
          <w:rFonts w:ascii="宋体" w:hAnsi="宋体" w:cs="宋体"/>
          <w:b/>
          <w:bCs/>
          <w:color w:val="000000"/>
          <w:sz w:val="24"/>
          <w:szCs w:val="24"/>
          <w:highlight w:val="none"/>
        </w:rPr>
      </w:pPr>
      <w:bookmarkStart w:id="241" w:name="_Toc30037"/>
      <w:r>
        <w:rPr>
          <w:rFonts w:hint="eastAsia" w:ascii="宋体" w:hAnsi="宋体" w:cs="宋体"/>
          <w:b/>
          <w:bCs/>
          <w:color w:val="000000"/>
          <w:sz w:val="24"/>
          <w:szCs w:val="24"/>
          <w:highlight w:val="none"/>
        </w:rPr>
        <w:t>3.供应商技术标澄清函</w:t>
      </w:r>
      <w:bookmarkEnd w:id="241"/>
    </w:p>
    <w:p w14:paraId="1F2BE3A6">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14:paraId="71EC667E">
      <w:pPr>
        <w:spacing w:line="360" w:lineRule="auto"/>
        <w:rPr>
          <w:rFonts w:ascii="宋体" w:hAnsi="宋体" w:cs="宋体"/>
          <w:sz w:val="24"/>
          <w:szCs w:val="24"/>
          <w:highlight w:val="none"/>
        </w:rPr>
      </w:pPr>
      <w:r>
        <w:rPr>
          <w:rFonts w:ascii="宋体" w:hAnsi="宋体" w:cs="宋体"/>
          <w:color w:val="000000"/>
          <w:sz w:val="24"/>
          <w:szCs w:val="24"/>
          <w:highlight w:val="none"/>
        </w:rPr>
        <w:t>点击编辑按钮进入系统，上传技术标澄清函。</w:t>
      </w:r>
    </w:p>
    <w:p w14:paraId="0F3C10EB">
      <w:pPr>
        <w:spacing w:line="360" w:lineRule="auto"/>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w:t>
      </w:r>
      <w:r>
        <w:rPr>
          <w:rFonts w:hint="eastAsia" w:ascii="宋体" w:hAnsi="宋体" w:cs="宋体"/>
          <w:color w:val="000000"/>
          <w:sz w:val="24"/>
          <w:szCs w:val="24"/>
          <w:highlight w:val="none"/>
        </w:rPr>
        <w:t xml:space="preserve"> </w:t>
      </w:r>
      <w:r>
        <w:rPr>
          <w:rFonts w:ascii="宋体" w:hAnsi="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3"/>
                    <a:stretch>
                      <a:fillRect/>
                    </a:stretch>
                  </pic:blipFill>
                  <pic:spPr>
                    <a:xfrm>
                      <a:off x="0" y="0"/>
                      <a:ext cx="5490210" cy="1992743"/>
                    </a:xfrm>
                    <a:prstGeom prst="rect">
                      <a:avLst/>
                    </a:prstGeom>
                  </pic:spPr>
                </pic:pic>
              </a:graphicData>
            </a:graphic>
          </wp:inline>
        </w:drawing>
      </w:r>
    </w:p>
    <w:p w14:paraId="6FD24C35">
      <w:pPr>
        <w:spacing w:line="360" w:lineRule="auto"/>
        <w:outlineLvl w:val="0"/>
        <w:rPr>
          <w:rFonts w:ascii="宋体" w:hAnsi="宋体" w:cs="宋体"/>
          <w:b/>
          <w:bCs/>
          <w:color w:val="000000"/>
          <w:sz w:val="24"/>
          <w:szCs w:val="24"/>
          <w:highlight w:val="none"/>
        </w:rPr>
      </w:pPr>
      <w:bookmarkStart w:id="242" w:name="_Toc3204"/>
      <w:r>
        <w:rPr>
          <w:rFonts w:hint="eastAsia" w:ascii="宋体" w:hAnsi="宋体" w:cs="宋体"/>
          <w:b/>
          <w:bCs/>
          <w:color w:val="000000"/>
          <w:sz w:val="24"/>
          <w:szCs w:val="24"/>
          <w:highlight w:val="none"/>
        </w:rPr>
        <w:t>4.供应商报价</w:t>
      </w:r>
      <w:bookmarkEnd w:id="242"/>
    </w:p>
    <w:p w14:paraId="7CEF0847">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14:paraId="2C89BEF3">
      <w:pPr>
        <w:spacing w:line="360" w:lineRule="auto"/>
        <w:rPr>
          <w:rFonts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14:paraId="1EA2BB05">
      <w:pPr>
        <w:spacing w:line="360" w:lineRule="auto"/>
        <w:outlineLvl w:val="0"/>
        <w:rPr>
          <w:rFonts w:ascii="宋体" w:hAnsi="宋体" w:cs="宋体"/>
          <w:b/>
          <w:bCs/>
          <w:color w:val="000000"/>
          <w:sz w:val="24"/>
          <w:szCs w:val="24"/>
          <w:highlight w:val="none"/>
        </w:rPr>
      </w:pPr>
      <w:r>
        <w:rPr>
          <w:rFonts w:hint="eastAsia" w:ascii="宋体" w:hAnsi="宋体" w:cs="宋体"/>
          <w:b/>
          <w:bCs/>
          <w:color w:val="000000"/>
          <w:sz w:val="24"/>
          <w:szCs w:val="24"/>
          <w:highlight w:val="none"/>
        </w:rPr>
        <w:t>5.供应商澄清报价</w:t>
      </w:r>
    </w:p>
    <w:p w14:paraId="76723FB3">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14:paraId="109D99F2">
      <w:pPr>
        <w:spacing w:line="360" w:lineRule="auto"/>
        <w:rPr>
          <w:rFonts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738F4FBA">
      <w:pPr>
        <w:pStyle w:val="6"/>
        <w:numPr>
          <w:ilvl w:val="0"/>
          <w:numId w:val="0"/>
        </w:numPr>
        <w:rPr>
          <w:rFonts w:eastAsia="Arial" w:cs="Arial"/>
          <w:color w:val="000000"/>
          <w:highlight w:val="none"/>
        </w:rPr>
      </w:pPr>
      <w:r>
        <w:rPr>
          <w:rFonts w:eastAsia="Arial" w:cs="Arial"/>
          <w:color w:val="000000"/>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4"/>
                    <a:stretch>
                      <a:fillRect/>
                    </a:stretch>
                  </pic:blipFill>
                  <pic:spPr>
                    <a:xfrm>
                      <a:off x="0" y="0"/>
                      <a:ext cx="5490210" cy="2544669"/>
                    </a:xfrm>
                    <a:prstGeom prst="rect">
                      <a:avLst/>
                    </a:prstGeom>
                  </pic:spPr>
                </pic:pic>
              </a:graphicData>
            </a:graphic>
          </wp:inline>
        </w:drawing>
      </w:r>
    </w:p>
    <w:p w14:paraId="3E308773">
      <w:pPr>
        <w:spacing w:line="360" w:lineRule="auto"/>
        <w:outlineLvl w:val="0"/>
        <w:rPr>
          <w:rFonts w:ascii="宋体" w:hAnsi="宋体" w:cs="宋体"/>
          <w:b/>
          <w:bCs/>
          <w:color w:val="000000"/>
          <w:sz w:val="24"/>
          <w:szCs w:val="24"/>
          <w:highlight w:val="none"/>
        </w:rPr>
      </w:pPr>
      <w:bookmarkStart w:id="243" w:name="_Toc26492"/>
      <w:r>
        <w:rPr>
          <w:rFonts w:hint="eastAsia" w:ascii="宋体" w:hAnsi="宋体" w:cs="宋体"/>
          <w:b/>
          <w:bCs/>
          <w:color w:val="000000"/>
          <w:sz w:val="24"/>
          <w:szCs w:val="24"/>
          <w:highlight w:val="none"/>
        </w:rPr>
        <w:t>6.供应商查看中标通知</w:t>
      </w:r>
      <w:bookmarkEnd w:id="243"/>
    </w:p>
    <w:p w14:paraId="2FDE6809">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p>
    <w:p w14:paraId="36D62DF1">
      <w:pPr>
        <w:spacing w:line="360" w:lineRule="auto"/>
        <w:rPr>
          <w:rFonts w:ascii="宋体" w:hAnsi="宋体" w:cs="宋体"/>
          <w:sz w:val="24"/>
          <w:szCs w:val="24"/>
          <w:highlight w:val="none"/>
        </w:rPr>
      </w:pPr>
      <w:r>
        <w:rPr>
          <w:rFonts w:ascii="宋体" w:hAnsi="宋体" w:cs="宋体"/>
          <w:color w:val="000000"/>
          <w:sz w:val="24"/>
          <w:szCs w:val="24"/>
          <w:highlight w:val="none"/>
        </w:rPr>
        <w:t>点击查看进入查看中标项目详情</w:t>
      </w:r>
    </w:p>
    <w:p w14:paraId="0E1CA1E3">
      <w:pPr>
        <w:rPr>
          <w:highlight w:val="none"/>
        </w:rPr>
      </w:pPr>
      <w:r>
        <w:rPr>
          <w:highlight w:val="none"/>
        </w:rPr>
        <w:drawing>
          <wp:inline distT="0" distB="0" distL="0" distR="0">
            <wp:extent cx="5760085" cy="24898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5"/>
                    <a:stretch>
                      <a:fillRect/>
                    </a:stretch>
                  </pic:blipFill>
                  <pic:spPr>
                    <a:xfrm>
                      <a:off x="0" y="0"/>
                      <a:ext cx="5760085" cy="2489835"/>
                    </a:xfrm>
                    <a:prstGeom prst="rect">
                      <a:avLst/>
                    </a:prstGeom>
                  </pic:spPr>
                </pic:pic>
              </a:graphicData>
            </a:graphic>
          </wp:inline>
        </w:drawing>
      </w:r>
    </w:p>
    <w:p w14:paraId="2202B5EE">
      <w:pPr>
        <w:pStyle w:val="2"/>
        <w:rPr>
          <w:rFonts w:hAnsi="宋体" w:cs="Times New Roman"/>
          <w:b/>
          <w:color w:val="000000"/>
          <w:sz w:val="24"/>
          <w:szCs w:val="24"/>
          <w:highlight w:val="none"/>
        </w:rPr>
      </w:pPr>
    </w:p>
    <w:p w14:paraId="4FD7202B">
      <w:pPr>
        <w:spacing w:line="440" w:lineRule="exact"/>
        <w:ind w:firstLine="420" w:firstLineChars="200"/>
        <w:rPr>
          <w:rFonts w:ascii="宋体" w:hAnsi="Courier New"/>
          <w:highlight w:val="none"/>
        </w:rPr>
      </w:pPr>
    </w:p>
    <w:p w14:paraId="4D537582">
      <w:pPr>
        <w:pStyle w:val="11"/>
        <w:rPr>
          <w:rFonts w:ascii="宋体" w:hAnsi="宋体"/>
          <w:sz w:val="24"/>
          <w:highlight w:val="none"/>
        </w:rPr>
      </w:pPr>
    </w:p>
    <w:p w14:paraId="3038F8C8"/>
    <w:p w14:paraId="7CEB1937"/>
    <w:p w14:paraId="5ADA0A72"/>
    <w:p w14:paraId="795A09AC"/>
    <w:p w14:paraId="0C887F21"/>
    <w:p w14:paraId="274E54CE"/>
    <w:p w14:paraId="7FF05CA8"/>
    <w:p w14:paraId="436EBBD8"/>
    <w:sectPr>
      <w:pgSz w:w="11905" w:h="16838"/>
      <w:pgMar w:top="1304" w:right="1304" w:bottom="1247" w:left="1304" w:header="850" w:footer="992" w:gutter="0"/>
      <w:pgNumType w:fmt="decimal"/>
      <w:cols w:space="0" w:num="1"/>
      <w:titlePg/>
      <w:rtlGutter w:val="0"/>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FF3C508-B318-4B93-8192-CFF464988E42}"/>
  </w:font>
  <w:font w:name="黑体">
    <w:panose1 w:val="02010609060101010101"/>
    <w:charset w:val="86"/>
    <w:family w:val="auto"/>
    <w:pitch w:val="default"/>
    <w:sig w:usb0="800002BF" w:usb1="38CF7CFA" w:usb2="00000016" w:usb3="00000000" w:csb0="00040001" w:csb1="00000000"/>
    <w:embedRegular r:id="rId2" w:fontKey="{D72067DC-57AD-4D76-8FF7-8193B36B5CEF}"/>
  </w:font>
  <w:font w:name="Courier New">
    <w:panose1 w:val="02070309020205020404"/>
    <w:charset w:val="01"/>
    <w:family w:val="modern"/>
    <w:pitch w:val="default"/>
    <w:sig w:usb0="E0002EFF" w:usb1="C0007843" w:usb2="00000009" w:usb3="00000000" w:csb0="400001FF" w:csb1="FFFF0000"/>
    <w:embedRegular r:id="rId3" w:fontKey="{A80E07EB-6E12-4E37-8F9E-1BB96850789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188F8BC-5389-409C-B7DD-B2A36836C999}"/>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5" w:fontKey="{7BC93690-6297-4257-AA95-15C51CE0BE15}"/>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embedRegular r:id="rId6" w:fontKey="{543D2D41-7754-4F4A-836C-15248CD745A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embedRegular r:id="rId7" w:fontKey="{8642067F-687C-4074-B974-8C0EA4360258}"/>
  </w:font>
  <w:font w:name="仿宋_GB2312">
    <w:panose1 w:val="02010609030101010101"/>
    <w:charset w:val="86"/>
    <w:family w:val="modern"/>
    <w:pitch w:val="default"/>
    <w:sig w:usb0="00000001" w:usb1="080E0000" w:usb2="00000000" w:usb3="00000000" w:csb0="00040000" w:csb1="00000000"/>
    <w:embedRegular r:id="rId8" w:fontKey="{38EC51AA-274D-4896-8243-4250CA422937}"/>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2EC94">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473BF">
                          <w:pPr>
                            <w:pStyle w:val="16"/>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14473BF">
                    <w:pPr>
                      <w:pStyle w:val="16"/>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301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58212">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6FF116">
                          <w:pPr>
                            <w:pStyle w:val="16"/>
                          </w:pPr>
                          <w:r>
                            <w:t xml:space="preserve">第 </w:t>
                          </w:r>
                          <w:r>
                            <w:fldChar w:fldCharType="begin"/>
                          </w:r>
                          <w:r>
                            <w:instrText xml:space="preserve"> PAGE  \* MERGEFORMAT </w:instrText>
                          </w:r>
                          <w:r>
                            <w:fldChar w:fldCharType="separate"/>
                          </w:r>
                          <w:r>
                            <w:t>189</w:t>
                          </w:r>
                          <w:r>
                            <w:fldChar w:fldCharType="end"/>
                          </w:r>
                          <w:r>
                            <w:t xml:space="preserve"> 页 共 </w:t>
                          </w:r>
                          <w:r>
                            <w:fldChar w:fldCharType="begin"/>
                          </w:r>
                          <w:r>
                            <w:instrText xml:space="preserve"> NUMPAGES  \* MERGEFORMAT </w:instrText>
                          </w:r>
                          <w:r>
                            <w:fldChar w:fldCharType="separate"/>
                          </w:r>
                          <w:r>
                            <w:t>301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C6FF116">
                    <w:pPr>
                      <w:pStyle w:val="16"/>
                    </w:pPr>
                    <w:r>
                      <w:t xml:space="preserve">第 </w:t>
                    </w:r>
                    <w:r>
                      <w:fldChar w:fldCharType="begin"/>
                    </w:r>
                    <w:r>
                      <w:instrText xml:space="preserve"> PAGE  \* MERGEFORMAT </w:instrText>
                    </w:r>
                    <w:r>
                      <w:fldChar w:fldCharType="separate"/>
                    </w:r>
                    <w:r>
                      <w:t>189</w:t>
                    </w:r>
                    <w:r>
                      <w:fldChar w:fldCharType="end"/>
                    </w:r>
                    <w:r>
                      <w:t xml:space="preserve"> 页 共 </w:t>
                    </w:r>
                    <w:r>
                      <w:fldChar w:fldCharType="begin"/>
                    </w:r>
                    <w:r>
                      <w:instrText xml:space="preserve"> NUMPAGES  \* MERGEFORMAT </w:instrText>
                    </w:r>
                    <w:r>
                      <w:fldChar w:fldCharType="separate"/>
                    </w:r>
                    <w:r>
                      <w:t>301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63921">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B41A0">
                          <w:pPr>
                            <w:pStyle w:val="16"/>
                          </w:pPr>
                          <w:r>
                            <w:t xml:space="preserve">第 </w:t>
                          </w:r>
                          <w:r>
                            <w:fldChar w:fldCharType="begin"/>
                          </w:r>
                          <w:r>
                            <w:instrText xml:space="preserve"> PAGE  \* MERGEFORMAT </w:instrText>
                          </w:r>
                          <w:r>
                            <w:fldChar w:fldCharType="separate"/>
                          </w:r>
                          <w:r>
                            <w:t>188</w:t>
                          </w:r>
                          <w:r>
                            <w:fldChar w:fldCharType="end"/>
                          </w:r>
                          <w:r>
                            <w:t xml:space="preserve"> 页 共 </w:t>
                          </w:r>
                          <w:r>
                            <w:fldChar w:fldCharType="begin"/>
                          </w:r>
                          <w:r>
                            <w:instrText xml:space="preserve"> NUMPAGES  \* MERGEFORMAT </w:instrText>
                          </w:r>
                          <w:r>
                            <w:fldChar w:fldCharType="separate"/>
                          </w:r>
                          <w:r>
                            <w:t>301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9BB41A0">
                    <w:pPr>
                      <w:pStyle w:val="16"/>
                    </w:pPr>
                    <w:r>
                      <w:t xml:space="preserve">第 </w:t>
                    </w:r>
                    <w:r>
                      <w:fldChar w:fldCharType="begin"/>
                    </w:r>
                    <w:r>
                      <w:instrText xml:space="preserve"> PAGE  \* MERGEFORMAT </w:instrText>
                    </w:r>
                    <w:r>
                      <w:fldChar w:fldCharType="separate"/>
                    </w:r>
                    <w:r>
                      <w:t>188</w:t>
                    </w:r>
                    <w:r>
                      <w:fldChar w:fldCharType="end"/>
                    </w:r>
                    <w:r>
                      <w:t xml:space="preserve"> 页 共 </w:t>
                    </w:r>
                    <w:r>
                      <w:fldChar w:fldCharType="begin"/>
                    </w:r>
                    <w:r>
                      <w:instrText xml:space="preserve"> NUMPAGES  \* MERGEFORMAT </w:instrText>
                    </w:r>
                    <w:r>
                      <w:fldChar w:fldCharType="separate"/>
                    </w:r>
                    <w:r>
                      <w:t>301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F3223">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FD9F8">
                          <w:pPr>
                            <w:pStyle w:val="16"/>
                          </w:pPr>
                          <w:r>
                            <w:t xml:space="preserve">第 </w:t>
                          </w:r>
                          <w:r>
                            <w:fldChar w:fldCharType="begin"/>
                          </w:r>
                          <w:r>
                            <w:instrText xml:space="preserve"> PAGE  \* MERGEFORMAT </w:instrText>
                          </w:r>
                          <w:r>
                            <w:fldChar w:fldCharType="separate"/>
                          </w:r>
                          <w:r>
                            <w:t>217</w:t>
                          </w:r>
                          <w:r>
                            <w:fldChar w:fldCharType="end"/>
                          </w:r>
                          <w:r>
                            <w:t xml:space="preserve"> 页 共 </w:t>
                          </w:r>
                          <w:r>
                            <w:fldChar w:fldCharType="begin"/>
                          </w:r>
                          <w:r>
                            <w:instrText xml:space="preserve"> NUMPAGES  \* MERGEFORMAT </w:instrText>
                          </w:r>
                          <w:r>
                            <w:fldChar w:fldCharType="separate"/>
                          </w:r>
                          <w:r>
                            <w:t>301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70FD9F8">
                    <w:pPr>
                      <w:pStyle w:val="16"/>
                    </w:pPr>
                    <w:r>
                      <w:t xml:space="preserve">第 </w:t>
                    </w:r>
                    <w:r>
                      <w:fldChar w:fldCharType="begin"/>
                    </w:r>
                    <w:r>
                      <w:instrText xml:space="preserve"> PAGE  \* MERGEFORMAT </w:instrText>
                    </w:r>
                    <w:r>
                      <w:fldChar w:fldCharType="separate"/>
                    </w:r>
                    <w:r>
                      <w:t>217</w:t>
                    </w:r>
                    <w:r>
                      <w:fldChar w:fldCharType="end"/>
                    </w:r>
                    <w:r>
                      <w:t xml:space="preserve"> 页 共 </w:t>
                    </w:r>
                    <w:r>
                      <w:fldChar w:fldCharType="begin"/>
                    </w:r>
                    <w:r>
                      <w:instrText xml:space="preserve"> NUMPAGES  \* MERGEFORMAT </w:instrText>
                    </w:r>
                    <w:r>
                      <w:fldChar w:fldCharType="separate"/>
                    </w:r>
                    <w:r>
                      <w:t>301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CC403">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32A23">
                          <w:pPr>
                            <w:pStyle w:val="16"/>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301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5032A23">
                    <w:pPr>
                      <w:pStyle w:val="16"/>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301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05C24">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7321E">
                          <w:pPr>
                            <w:pStyle w:val="16"/>
                          </w:pPr>
                          <w:r>
                            <w:t xml:space="preserve">第 </w:t>
                          </w:r>
                          <w:r>
                            <w:fldChar w:fldCharType="begin"/>
                          </w:r>
                          <w:r>
                            <w:instrText xml:space="preserve"> PAGE  \* MERGEFORMAT </w:instrText>
                          </w:r>
                          <w:r>
                            <w:fldChar w:fldCharType="separate"/>
                          </w:r>
                          <w:r>
                            <w:t>300</w:t>
                          </w:r>
                          <w:r>
                            <w:fldChar w:fldCharType="end"/>
                          </w:r>
                          <w:r>
                            <w:t xml:space="preserve"> 页 共 </w:t>
                          </w:r>
                          <w:r>
                            <w:fldChar w:fldCharType="begin"/>
                          </w:r>
                          <w:r>
                            <w:instrText xml:space="preserve"> NUMPAGES  \* MERGEFORMAT </w:instrText>
                          </w:r>
                          <w:r>
                            <w:fldChar w:fldCharType="separate"/>
                          </w:r>
                          <w:r>
                            <w:t>301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007321E">
                    <w:pPr>
                      <w:pStyle w:val="16"/>
                    </w:pPr>
                    <w:r>
                      <w:t xml:space="preserve">第 </w:t>
                    </w:r>
                    <w:r>
                      <w:fldChar w:fldCharType="begin"/>
                    </w:r>
                    <w:r>
                      <w:instrText xml:space="preserve"> PAGE  \* MERGEFORMAT </w:instrText>
                    </w:r>
                    <w:r>
                      <w:fldChar w:fldCharType="separate"/>
                    </w:r>
                    <w:r>
                      <w:t>300</w:t>
                    </w:r>
                    <w:r>
                      <w:fldChar w:fldCharType="end"/>
                    </w:r>
                    <w:r>
                      <w:t xml:space="preserve"> 页 共 </w:t>
                    </w:r>
                    <w:r>
                      <w:fldChar w:fldCharType="begin"/>
                    </w:r>
                    <w:r>
                      <w:instrText xml:space="preserve"> NUMPAGES  \* MERGEFORMAT </w:instrText>
                    </w:r>
                    <w:r>
                      <w:fldChar w:fldCharType="separate"/>
                    </w:r>
                    <w:r>
                      <w:t>301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12EF">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023EC">
    <w:pPr>
      <w:pStyle w:val="17"/>
      <w:pBdr>
        <w:bottom w:val="none" w:color="auto" w:sz="0" w:space="1"/>
      </w:pBdr>
      <w:tabs>
        <w:tab w:val="left" w:pos="1020"/>
        <w:tab w:val="clear" w:pos="4153"/>
      </w:tabs>
    </w:pP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D5A8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3380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E75C2">
    <w:pPr>
      <w:pStyle w:val="1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A044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36B3A">
    <w:pPr>
      <w:pStyle w:val="1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953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C9B5E">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5D2E9C"/>
    <w:multiLevelType w:val="singleLevel"/>
    <w:tmpl w:val="955D2E9C"/>
    <w:lvl w:ilvl="0" w:tentative="0">
      <w:start w:val="1"/>
      <w:numFmt w:val="lowerLetter"/>
      <w:suff w:val="nothing"/>
      <w:lvlText w:val="%1、"/>
      <w:lvlJc w:val="left"/>
    </w:lvl>
  </w:abstractNum>
  <w:abstractNum w:abstractNumId="1">
    <w:nsid w:val="9B34A6A5"/>
    <w:multiLevelType w:val="singleLevel"/>
    <w:tmpl w:val="9B34A6A5"/>
    <w:lvl w:ilvl="0" w:tentative="0">
      <w:start w:val="6"/>
      <w:numFmt w:val="decimal"/>
      <w:lvlText w:val="%1."/>
      <w:lvlJc w:val="left"/>
      <w:pPr>
        <w:tabs>
          <w:tab w:val="left" w:pos="312"/>
        </w:tabs>
      </w:pPr>
    </w:lvl>
  </w:abstractNum>
  <w:abstractNum w:abstractNumId="2">
    <w:nsid w:val="AC895D28"/>
    <w:multiLevelType w:val="singleLevel"/>
    <w:tmpl w:val="AC895D28"/>
    <w:lvl w:ilvl="0" w:tentative="0">
      <w:start w:val="1"/>
      <w:numFmt w:val="decimal"/>
      <w:lvlText w:val="%1."/>
      <w:lvlJc w:val="left"/>
      <w:pPr>
        <w:tabs>
          <w:tab w:val="left" w:pos="312"/>
        </w:tabs>
      </w:pPr>
    </w:lvl>
  </w:abstractNum>
  <w:abstractNum w:abstractNumId="3">
    <w:nsid w:val="CC437F8C"/>
    <w:multiLevelType w:val="singleLevel"/>
    <w:tmpl w:val="CC437F8C"/>
    <w:lvl w:ilvl="0" w:tentative="0">
      <w:start w:val="1"/>
      <w:numFmt w:val="decimal"/>
      <w:suff w:val="nothing"/>
      <w:lvlText w:val="%1、"/>
      <w:lvlJc w:val="left"/>
      <w:pPr>
        <w:ind w:left="0"/>
      </w:pPr>
      <w:rPr>
        <w:rFonts w:hint="default"/>
        <w:color w:val="auto"/>
      </w:rPr>
    </w:lvl>
  </w:abstractNum>
  <w:abstractNum w:abstractNumId="4">
    <w:nsid w:val="D26A09EE"/>
    <w:multiLevelType w:val="singleLevel"/>
    <w:tmpl w:val="D26A09EE"/>
    <w:lvl w:ilvl="0" w:tentative="0">
      <w:start w:val="1"/>
      <w:numFmt w:val="decimal"/>
      <w:suff w:val="space"/>
      <w:lvlText w:val="(%1)"/>
      <w:lvlJc w:val="left"/>
    </w:lvl>
  </w:abstractNum>
  <w:abstractNum w:abstractNumId="5">
    <w:nsid w:val="E49EC013"/>
    <w:multiLevelType w:val="singleLevel"/>
    <w:tmpl w:val="E49EC013"/>
    <w:lvl w:ilvl="0" w:tentative="0">
      <w:start w:val="1"/>
      <w:numFmt w:val="decimal"/>
      <w:lvlText w:val="%1."/>
      <w:lvlJc w:val="left"/>
      <w:pPr>
        <w:tabs>
          <w:tab w:val="left" w:pos="312"/>
        </w:tabs>
      </w:pPr>
    </w:lvl>
  </w:abstractNum>
  <w:abstractNum w:abstractNumId="6">
    <w:nsid w:val="FCEFC15B"/>
    <w:multiLevelType w:val="multilevel"/>
    <w:tmpl w:val="FCEFC15B"/>
    <w:lvl w:ilvl="0" w:tentative="0">
      <w:start w:val="1"/>
      <w:numFmt w:val="decimal"/>
      <w:lvlText w:val="%1."/>
      <w:lvlJc w:val="left"/>
      <w:pPr>
        <w:ind w:left="84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075DB8C"/>
    <w:multiLevelType w:val="multilevel"/>
    <w:tmpl w:val="0075DB8C"/>
    <w:lvl w:ilvl="0" w:tentative="0">
      <w:start w:val="1"/>
      <w:numFmt w:val="japaneseCounting"/>
      <w:lvlText w:val="（%1）"/>
      <w:lvlJc w:val="left"/>
      <w:pPr>
        <w:ind w:left="1367" w:hanging="765"/>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8">
    <w:nsid w:val="046EAB2E"/>
    <w:multiLevelType w:val="multilevel"/>
    <w:tmpl w:val="046EAB2E"/>
    <w:lvl w:ilvl="0" w:tentative="0">
      <w:start w:val="1"/>
      <w:numFmt w:val="decimal"/>
      <w:suff w:val="nothing"/>
      <w:lvlText w:val="（%1）"/>
      <w:lvlJc w:val="left"/>
      <w:pPr>
        <w:ind w:left="1020" w:hanging="420"/>
      </w:pPr>
      <w:rPr>
        <w:rFonts w:hint="default"/>
        <w:i w:val="0"/>
        <w:iCs w:val="0"/>
        <w:sz w:val="24"/>
        <w:szCs w:val="24"/>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9">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0">
    <w:nsid w:val="0F527ADD"/>
    <w:multiLevelType w:val="multilevel"/>
    <w:tmpl w:val="0F527ADD"/>
    <w:lvl w:ilvl="0" w:tentative="0">
      <w:start w:val="1"/>
      <w:numFmt w:val="japaneseCounting"/>
      <w:lvlText w:val="（%1）"/>
      <w:lvlJc w:val="left"/>
      <w:pPr>
        <w:ind w:left="1367" w:hanging="765"/>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11">
    <w:nsid w:val="2C70B407"/>
    <w:multiLevelType w:val="singleLevel"/>
    <w:tmpl w:val="2C70B407"/>
    <w:lvl w:ilvl="0" w:tentative="0">
      <w:start w:val="6"/>
      <w:numFmt w:val="chineseCounting"/>
      <w:suff w:val="nothing"/>
      <w:lvlText w:val="%1、"/>
      <w:lvlJc w:val="left"/>
      <w:rPr>
        <w:rFonts w:hint="eastAsia"/>
      </w:rPr>
    </w:lvl>
  </w:abstractNum>
  <w:abstractNum w:abstractNumId="12">
    <w:nsid w:val="3542603B"/>
    <w:multiLevelType w:val="singleLevel"/>
    <w:tmpl w:val="3542603B"/>
    <w:lvl w:ilvl="0" w:tentative="0">
      <w:start w:val="1"/>
      <w:numFmt w:val="decimal"/>
      <w:lvlText w:val="%1."/>
      <w:lvlJc w:val="left"/>
      <w:pPr>
        <w:tabs>
          <w:tab w:val="left" w:pos="312"/>
        </w:tabs>
      </w:pPr>
    </w:lvl>
  </w:abstractNum>
  <w:abstractNum w:abstractNumId="13">
    <w:nsid w:val="3B2D9BA0"/>
    <w:multiLevelType w:val="singleLevel"/>
    <w:tmpl w:val="3B2D9BA0"/>
    <w:lvl w:ilvl="0" w:tentative="0">
      <w:start w:val="7"/>
      <w:numFmt w:val="chineseCounting"/>
      <w:suff w:val="space"/>
      <w:lvlText w:val="第%1章"/>
      <w:lvlJc w:val="left"/>
      <w:rPr>
        <w:rFonts w:hint="eastAsia"/>
      </w:rPr>
    </w:lvl>
  </w:abstractNum>
  <w:abstractNum w:abstractNumId="14">
    <w:nsid w:val="42632258"/>
    <w:multiLevelType w:val="multilevel"/>
    <w:tmpl w:val="42632258"/>
    <w:lvl w:ilvl="0" w:tentative="0">
      <w:start w:val="1"/>
      <w:numFmt w:val="decimal"/>
      <w:suff w:val="nothing"/>
      <w:lvlText w:val="（%1）"/>
      <w:lvlJc w:val="left"/>
      <w:pPr>
        <w:ind w:left="779" w:hanging="420"/>
      </w:pPr>
      <w:rPr>
        <w:rFonts w:hint="eastAsia"/>
      </w:rPr>
    </w:lvl>
    <w:lvl w:ilvl="1" w:tentative="0">
      <w:start w:val="1"/>
      <w:numFmt w:val="lowerLetter"/>
      <w:lvlText w:val="%2)"/>
      <w:lvlJc w:val="left"/>
      <w:pPr>
        <w:ind w:left="1199" w:hanging="420"/>
      </w:pPr>
    </w:lvl>
    <w:lvl w:ilvl="2" w:tentative="0">
      <w:start w:val="1"/>
      <w:numFmt w:val="lowerRoman"/>
      <w:lvlText w:val="%3."/>
      <w:lvlJc w:val="right"/>
      <w:pPr>
        <w:ind w:left="1619" w:hanging="420"/>
      </w:pPr>
    </w:lvl>
    <w:lvl w:ilvl="3" w:tentative="0">
      <w:start w:val="1"/>
      <w:numFmt w:val="decimal"/>
      <w:lvlText w:val="%4."/>
      <w:lvlJc w:val="left"/>
      <w:pPr>
        <w:ind w:left="2039" w:hanging="420"/>
      </w:pPr>
    </w:lvl>
    <w:lvl w:ilvl="4" w:tentative="0">
      <w:start w:val="1"/>
      <w:numFmt w:val="lowerLetter"/>
      <w:lvlText w:val="%5)"/>
      <w:lvlJc w:val="left"/>
      <w:pPr>
        <w:ind w:left="2459" w:hanging="420"/>
      </w:pPr>
    </w:lvl>
    <w:lvl w:ilvl="5" w:tentative="0">
      <w:start w:val="1"/>
      <w:numFmt w:val="lowerRoman"/>
      <w:lvlText w:val="%6."/>
      <w:lvlJc w:val="right"/>
      <w:pPr>
        <w:ind w:left="2879" w:hanging="420"/>
      </w:pPr>
    </w:lvl>
    <w:lvl w:ilvl="6" w:tentative="0">
      <w:start w:val="1"/>
      <w:numFmt w:val="decimal"/>
      <w:lvlText w:val="%7."/>
      <w:lvlJc w:val="left"/>
      <w:pPr>
        <w:ind w:left="3299" w:hanging="420"/>
      </w:pPr>
    </w:lvl>
    <w:lvl w:ilvl="7" w:tentative="0">
      <w:start w:val="1"/>
      <w:numFmt w:val="lowerLetter"/>
      <w:lvlText w:val="%8)"/>
      <w:lvlJc w:val="left"/>
      <w:pPr>
        <w:ind w:left="3719" w:hanging="420"/>
      </w:pPr>
    </w:lvl>
    <w:lvl w:ilvl="8" w:tentative="0">
      <w:start w:val="1"/>
      <w:numFmt w:val="lowerRoman"/>
      <w:lvlText w:val="%9."/>
      <w:lvlJc w:val="right"/>
      <w:pPr>
        <w:ind w:left="4139" w:hanging="420"/>
      </w:pPr>
    </w:lvl>
  </w:abstractNum>
  <w:abstractNum w:abstractNumId="15">
    <w:nsid w:val="479C5F7A"/>
    <w:multiLevelType w:val="multilevel"/>
    <w:tmpl w:val="479C5F7A"/>
    <w:lvl w:ilvl="0" w:tentative="0">
      <w:start w:val="1"/>
      <w:numFmt w:val="decimal"/>
      <w:suff w:val="nothing"/>
      <w:lvlText w:val="（%1）"/>
      <w:lvlJc w:val="left"/>
      <w:pPr>
        <w:ind w:left="779"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56A6EAE"/>
    <w:multiLevelType w:val="multilevel"/>
    <w:tmpl w:val="656A6EAE"/>
    <w:lvl w:ilvl="0" w:tentative="0">
      <w:start w:val="1"/>
      <w:numFmt w:val="chineseCountingThousand"/>
      <w:pStyle w:val="11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67B03649"/>
    <w:multiLevelType w:val="multilevel"/>
    <w:tmpl w:val="67B03649"/>
    <w:lvl w:ilvl="0" w:tentative="0">
      <w:start w:val="1"/>
      <w:numFmt w:val="bullet"/>
      <w:suff w:val="nothing"/>
      <w:lvlText w:val=""/>
      <w:lvlJc w:val="left"/>
      <w:pPr>
        <w:ind w:left="0" w:leftChars="0" w:firstLine="4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8">
    <w:nsid w:val="7B512587"/>
    <w:multiLevelType w:val="multilevel"/>
    <w:tmpl w:val="7B512587"/>
    <w:lvl w:ilvl="0" w:tentative="0">
      <w:start w:val="1"/>
      <w:numFmt w:val="decimal"/>
      <w:suff w:val="noth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6"/>
  </w:num>
  <w:num w:numId="2">
    <w:abstractNumId w:val="6"/>
  </w:num>
  <w:num w:numId="3">
    <w:abstractNumId w:val="10"/>
  </w:num>
  <w:num w:numId="4">
    <w:abstractNumId w:val="17"/>
  </w:num>
  <w:num w:numId="5">
    <w:abstractNumId w:val="3"/>
  </w:num>
  <w:num w:numId="6">
    <w:abstractNumId w:val="0"/>
  </w:num>
  <w:num w:numId="7">
    <w:abstractNumId w:val="18"/>
  </w:num>
  <w:num w:numId="8">
    <w:abstractNumId w:val="14"/>
  </w:num>
  <w:num w:numId="9">
    <w:abstractNumId w:val="15"/>
  </w:num>
  <w:num w:numId="10">
    <w:abstractNumId w:val="2"/>
  </w:num>
  <w:num w:numId="11">
    <w:abstractNumId w:val="9"/>
  </w:num>
  <w:num w:numId="12">
    <w:abstractNumId w:val="8"/>
  </w:num>
  <w:num w:numId="13">
    <w:abstractNumId w:val="1"/>
  </w:num>
  <w:num w:numId="14">
    <w:abstractNumId w:val="4"/>
  </w:num>
  <w:num w:numId="15">
    <w:abstractNumId w:val="13"/>
  </w:num>
  <w:num w:numId="16">
    <w:abstractNumId w:val="12"/>
  </w:num>
  <w:num w:numId="17">
    <w:abstractNumId w:val="11"/>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HorizontalSpacing w:val="210"/>
  <w:drawingGridVerticalSpacing w:val="160"/>
  <w:displayHorizontalDrawingGridEvery w:val="1"/>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BkY2Q2ZGRmN2ZkNGIwYjQyNGVmMjAyY2NiZDQ0NDYifQ=="/>
  </w:docVars>
  <w:rsids>
    <w:rsidRoot w:val="00DB489A"/>
    <w:rsid w:val="00011CD3"/>
    <w:rsid w:val="00016A8A"/>
    <w:rsid w:val="0001746A"/>
    <w:rsid w:val="000750CE"/>
    <w:rsid w:val="00090192"/>
    <w:rsid w:val="000909EE"/>
    <w:rsid w:val="000A46BE"/>
    <w:rsid w:val="000B4678"/>
    <w:rsid w:val="000E1CE0"/>
    <w:rsid w:val="000E70EF"/>
    <w:rsid w:val="000F5645"/>
    <w:rsid w:val="00100800"/>
    <w:rsid w:val="00112CEC"/>
    <w:rsid w:val="00116420"/>
    <w:rsid w:val="00122461"/>
    <w:rsid w:val="0012657E"/>
    <w:rsid w:val="00132373"/>
    <w:rsid w:val="00132AA3"/>
    <w:rsid w:val="00135135"/>
    <w:rsid w:val="001400B3"/>
    <w:rsid w:val="00154076"/>
    <w:rsid w:val="001612AF"/>
    <w:rsid w:val="001630AF"/>
    <w:rsid w:val="00174900"/>
    <w:rsid w:val="001805B3"/>
    <w:rsid w:val="001865A3"/>
    <w:rsid w:val="001902B3"/>
    <w:rsid w:val="001906AA"/>
    <w:rsid w:val="001929D4"/>
    <w:rsid w:val="001B6B36"/>
    <w:rsid w:val="001C3A1C"/>
    <w:rsid w:val="001E4DAC"/>
    <w:rsid w:val="001F02A0"/>
    <w:rsid w:val="001F6D81"/>
    <w:rsid w:val="00216838"/>
    <w:rsid w:val="002232A7"/>
    <w:rsid w:val="002353CF"/>
    <w:rsid w:val="00245E4D"/>
    <w:rsid w:val="00251F26"/>
    <w:rsid w:val="00257845"/>
    <w:rsid w:val="002613A7"/>
    <w:rsid w:val="00275F54"/>
    <w:rsid w:val="00276C9E"/>
    <w:rsid w:val="0029233E"/>
    <w:rsid w:val="002A5529"/>
    <w:rsid w:val="002C3BFD"/>
    <w:rsid w:val="002D3B99"/>
    <w:rsid w:val="00301138"/>
    <w:rsid w:val="00302AF0"/>
    <w:rsid w:val="00305CE7"/>
    <w:rsid w:val="003101EF"/>
    <w:rsid w:val="00311B46"/>
    <w:rsid w:val="003176F0"/>
    <w:rsid w:val="003302A4"/>
    <w:rsid w:val="003621A0"/>
    <w:rsid w:val="003754B9"/>
    <w:rsid w:val="00382A60"/>
    <w:rsid w:val="003831FC"/>
    <w:rsid w:val="00384BD0"/>
    <w:rsid w:val="003A7160"/>
    <w:rsid w:val="003B6CAA"/>
    <w:rsid w:val="003D1783"/>
    <w:rsid w:val="003D7B17"/>
    <w:rsid w:val="003E23C8"/>
    <w:rsid w:val="004111B8"/>
    <w:rsid w:val="004225AC"/>
    <w:rsid w:val="0042405C"/>
    <w:rsid w:val="004318A0"/>
    <w:rsid w:val="0043358B"/>
    <w:rsid w:val="00446A8C"/>
    <w:rsid w:val="004758DA"/>
    <w:rsid w:val="004A07C1"/>
    <w:rsid w:val="004A2D59"/>
    <w:rsid w:val="004B0D73"/>
    <w:rsid w:val="004B2296"/>
    <w:rsid w:val="004C1BD0"/>
    <w:rsid w:val="004D5F91"/>
    <w:rsid w:val="00505719"/>
    <w:rsid w:val="005121F8"/>
    <w:rsid w:val="005459EC"/>
    <w:rsid w:val="00572AF0"/>
    <w:rsid w:val="00575A43"/>
    <w:rsid w:val="00580433"/>
    <w:rsid w:val="005862AC"/>
    <w:rsid w:val="005B2BC7"/>
    <w:rsid w:val="005B6E76"/>
    <w:rsid w:val="005D61B4"/>
    <w:rsid w:val="005D75AE"/>
    <w:rsid w:val="005F5501"/>
    <w:rsid w:val="00612F27"/>
    <w:rsid w:val="00614919"/>
    <w:rsid w:val="00625CA4"/>
    <w:rsid w:val="00631CA6"/>
    <w:rsid w:val="0063599B"/>
    <w:rsid w:val="00655AD1"/>
    <w:rsid w:val="0066624F"/>
    <w:rsid w:val="00667EA0"/>
    <w:rsid w:val="006803FC"/>
    <w:rsid w:val="006836AB"/>
    <w:rsid w:val="006A1745"/>
    <w:rsid w:val="006C2CA0"/>
    <w:rsid w:val="006F01B1"/>
    <w:rsid w:val="006F497D"/>
    <w:rsid w:val="0070121C"/>
    <w:rsid w:val="00702E5D"/>
    <w:rsid w:val="00704336"/>
    <w:rsid w:val="00705BAD"/>
    <w:rsid w:val="007149E8"/>
    <w:rsid w:val="00742B72"/>
    <w:rsid w:val="007532B8"/>
    <w:rsid w:val="007569FD"/>
    <w:rsid w:val="00761BE9"/>
    <w:rsid w:val="00773C26"/>
    <w:rsid w:val="0078143C"/>
    <w:rsid w:val="007874C2"/>
    <w:rsid w:val="00792C7D"/>
    <w:rsid w:val="007B7FB5"/>
    <w:rsid w:val="007C5D59"/>
    <w:rsid w:val="007D232D"/>
    <w:rsid w:val="007D7B02"/>
    <w:rsid w:val="007E300E"/>
    <w:rsid w:val="007F74B8"/>
    <w:rsid w:val="00806B02"/>
    <w:rsid w:val="00816784"/>
    <w:rsid w:val="00817903"/>
    <w:rsid w:val="0082197F"/>
    <w:rsid w:val="00833A66"/>
    <w:rsid w:val="00850873"/>
    <w:rsid w:val="00852B0D"/>
    <w:rsid w:val="0087095D"/>
    <w:rsid w:val="0088177E"/>
    <w:rsid w:val="008878D1"/>
    <w:rsid w:val="008A19D7"/>
    <w:rsid w:val="008A238E"/>
    <w:rsid w:val="008B5614"/>
    <w:rsid w:val="008C04FA"/>
    <w:rsid w:val="008E649E"/>
    <w:rsid w:val="00906CDC"/>
    <w:rsid w:val="009170E0"/>
    <w:rsid w:val="00924BCD"/>
    <w:rsid w:val="00936637"/>
    <w:rsid w:val="0096009C"/>
    <w:rsid w:val="00964AB4"/>
    <w:rsid w:val="00974111"/>
    <w:rsid w:val="00991377"/>
    <w:rsid w:val="00994CDB"/>
    <w:rsid w:val="0099740E"/>
    <w:rsid w:val="009B42E1"/>
    <w:rsid w:val="009C37E2"/>
    <w:rsid w:val="009D1308"/>
    <w:rsid w:val="009D488E"/>
    <w:rsid w:val="009E1005"/>
    <w:rsid w:val="00A2096D"/>
    <w:rsid w:val="00A2552F"/>
    <w:rsid w:val="00A42267"/>
    <w:rsid w:val="00A43087"/>
    <w:rsid w:val="00A463D6"/>
    <w:rsid w:val="00A52FED"/>
    <w:rsid w:val="00A551BA"/>
    <w:rsid w:val="00A72C3B"/>
    <w:rsid w:val="00A75730"/>
    <w:rsid w:val="00A82279"/>
    <w:rsid w:val="00A91DD1"/>
    <w:rsid w:val="00A93436"/>
    <w:rsid w:val="00A9489F"/>
    <w:rsid w:val="00A96F14"/>
    <w:rsid w:val="00A97E81"/>
    <w:rsid w:val="00AA5C4C"/>
    <w:rsid w:val="00AD0EA2"/>
    <w:rsid w:val="00AE30B0"/>
    <w:rsid w:val="00B17A04"/>
    <w:rsid w:val="00B20DF2"/>
    <w:rsid w:val="00B33923"/>
    <w:rsid w:val="00B40DC3"/>
    <w:rsid w:val="00B4615A"/>
    <w:rsid w:val="00B5084D"/>
    <w:rsid w:val="00B52321"/>
    <w:rsid w:val="00B610C9"/>
    <w:rsid w:val="00B75784"/>
    <w:rsid w:val="00B8163F"/>
    <w:rsid w:val="00B85F31"/>
    <w:rsid w:val="00B87911"/>
    <w:rsid w:val="00B93F2F"/>
    <w:rsid w:val="00BD350D"/>
    <w:rsid w:val="00BD430C"/>
    <w:rsid w:val="00BE32F3"/>
    <w:rsid w:val="00BE7683"/>
    <w:rsid w:val="00C31339"/>
    <w:rsid w:val="00C42C13"/>
    <w:rsid w:val="00C64FEA"/>
    <w:rsid w:val="00C659F7"/>
    <w:rsid w:val="00C862A0"/>
    <w:rsid w:val="00CA586B"/>
    <w:rsid w:val="00CB3998"/>
    <w:rsid w:val="00CD1A31"/>
    <w:rsid w:val="00CD312F"/>
    <w:rsid w:val="00D01278"/>
    <w:rsid w:val="00D02047"/>
    <w:rsid w:val="00D028C8"/>
    <w:rsid w:val="00D123ED"/>
    <w:rsid w:val="00D13E4D"/>
    <w:rsid w:val="00D15298"/>
    <w:rsid w:val="00D24FF0"/>
    <w:rsid w:val="00D353E0"/>
    <w:rsid w:val="00D4065C"/>
    <w:rsid w:val="00D50F91"/>
    <w:rsid w:val="00D54A1E"/>
    <w:rsid w:val="00D72F73"/>
    <w:rsid w:val="00D80797"/>
    <w:rsid w:val="00D91E31"/>
    <w:rsid w:val="00DA25FF"/>
    <w:rsid w:val="00DB41A5"/>
    <w:rsid w:val="00DB489A"/>
    <w:rsid w:val="00DD0B78"/>
    <w:rsid w:val="00DE195E"/>
    <w:rsid w:val="00DF14BB"/>
    <w:rsid w:val="00DF2B14"/>
    <w:rsid w:val="00E123C4"/>
    <w:rsid w:val="00E23F81"/>
    <w:rsid w:val="00E55B0E"/>
    <w:rsid w:val="00E66FA8"/>
    <w:rsid w:val="00E700F5"/>
    <w:rsid w:val="00E73B54"/>
    <w:rsid w:val="00E73ED1"/>
    <w:rsid w:val="00E956C3"/>
    <w:rsid w:val="00EB17EE"/>
    <w:rsid w:val="00EE3DC4"/>
    <w:rsid w:val="00EE7DEA"/>
    <w:rsid w:val="00EF5BA2"/>
    <w:rsid w:val="00F025EA"/>
    <w:rsid w:val="00F036C9"/>
    <w:rsid w:val="00F27BDB"/>
    <w:rsid w:val="00F602C2"/>
    <w:rsid w:val="00F60D21"/>
    <w:rsid w:val="00F63DC0"/>
    <w:rsid w:val="00F7333F"/>
    <w:rsid w:val="00F95F74"/>
    <w:rsid w:val="00FE03BA"/>
    <w:rsid w:val="00FE11AA"/>
    <w:rsid w:val="010667DD"/>
    <w:rsid w:val="01170C55"/>
    <w:rsid w:val="011833BF"/>
    <w:rsid w:val="011E777A"/>
    <w:rsid w:val="01311D17"/>
    <w:rsid w:val="013D290D"/>
    <w:rsid w:val="0147153B"/>
    <w:rsid w:val="01475930"/>
    <w:rsid w:val="014F219D"/>
    <w:rsid w:val="015C4473"/>
    <w:rsid w:val="01671BDD"/>
    <w:rsid w:val="017936BE"/>
    <w:rsid w:val="01916C5A"/>
    <w:rsid w:val="01934780"/>
    <w:rsid w:val="01A52705"/>
    <w:rsid w:val="01A964E4"/>
    <w:rsid w:val="01BD35AB"/>
    <w:rsid w:val="01D71174"/>
    <w:rsid w:val="01DA16D0"/>
    <w:rsid w:val="01E274B5"/>
    <w:rsid w:val="01F77AD2"/>
    <w:rsid w:val="01FF193E"/>
    <w:rsid w:val="020411DA"/>
    <w:rsid w:val="0224187C"/>
    <w:rsid w:val="022766A9"/>
    <w:rsid w:val="022C6982"/>
    <w:rsid w:val="0233386D"/>
    <w:rsid w:val="023615AF"/>
    <w:rsid w:val="02377801"/>
    <w:rsid w:val="023A0DE1"/>
    <w:rsid w:val="023F2212"/>
    <w:rsid w:val="024C263E"/>
    <w:rsid w:val="02531E27"/>
    <w:rsid w:val="025F4662"/>
    <w:rsid w:val="02647ECA"/>
    <w:rsid w:val="02667537"/>
    <w:rsid w:val="02732A09"/>
    <w:rsid w:val="02985DB7"/>
    <w:rsid w:val="02A81B3F"/>
    <w:rsid w:val="02B250DA"/>
    <w:rsid w:val="02B54DE1"/>
    <w:rsid w:val="02BF04D5"/>
    <w:rsid w:val="02C40969"/>
    <w:rsid w:val="02C46BBB"/>
    <w:rsid w:val="02C602A8"/>
    <w:rsid w:val="02CD2A7C"/>
    <w:rsid w:val="02CD5A6F"/>
    <w:rsid w:val="02CF69B1"/>
    <w:rsid w:val="02E021C5"/>
    <w:rsid w:val="02ED1C6E"/>
    <w:rsid w:val="02F91864"/>
    <w:rsid w:val="02FA082F"/>
    <w:rsid w:val="032475DC"/>
    <w:rsid w:val="032B6C3A"/>
    <w:rsid w:val="033169AF"/>
    <w:rsid w:val="03327FC8"/>
    <w:rsid w:val="033412E1"/>
    <w:rsid w:val="03367AB9"/>
    <w:rsid w:val="033A0C2B"/>
    <w:rsid w:val="03480A27"/>
    <w:rsid w:val="03496F14"/>
    <w:rsid w:val="0361265C"/>
    <w:rsid w:val="036D7252"/>
    <w:rsid w:val="036F6B27"/>
    <w:rsid w:val="037203C5"/>
    <w:rsid w:val="037557A7"/>
    <w:rsid w:val="037C7321"/>
    <w:rsid w:val="037E603E"/>
    <w:rsid w:val="038921D4"/>
    <w:rsid w:val="039E11BA"/>
    <w:rsid w:val="03B23BAF"/>
    <w:rsid w:val="03B552F7"/>
    <w:rsid w:val="03B94246"/>
    <w:rsid w:val="03BA0D49"/>
    <w:rsid w:val="03C03826"/>
    <w:rsid w:val="03C52BEB"/>
    <w:rsid w:val="03CB7D0A"/>
    <w:rsid w:val="03CC06C2"/>
    <w:rsid w:val="03D80B70"/>
    <w:rsid w:val="03E312C3"/>
    <w:rsid w:val="03EC4439"/>
    <w:rsid w:val="040354C1"/>
    <w:rsid w:val="04164081"/>
    <w:rsid w:val="04207E21"/>
    <w:rsid w:val="042A0CA0"/>
    <w:rsid w:val="04313BF7"/>
    <w:rsid w:val="043C14EE"/>
    <w:rsid w:val="044004C3"/>
    <w:rsid w:val="044322DE"/>
    <w:rsid w:val="044E0E32"/>
    <w:rsid w:val="045521C0"/>
    <w:rsid w:val="04675A50"/>
    <w:rsid w:val="04844854"/>
    <w:rsid w:val="04877EA0"/>
    <w:rsid w:val="048B3E34"/>
    <w:rsid w:val="048D195A"/>
    <w:rsid w:val="049251C3"/>
    <w:rsid w:val="049338D7"/>
    <w:rsid w:val="04A722F0"/>
    <w:rsid w:val="04C46C82"/>
    <w:rsid w:val="04D8694E"/>
    <w:rsid w:val="04DA76EC"/>
    <w:rsid w:val="04EB7D01"/>
    <w:rsid w:val="04F80D9E"/>
    <w:rsid w:val="04FA68C4"/>
    <w:rsid w:val="04FC263C"/>
    <w:rsid w:val="04FD0162"/>
    <w:rsid w:val="05045994"/>
    <w:rsid w:val="05145BD8"/>
    <w:rsid w:val="052B4CCF"/>
    <w:rsid w:val="052E6336"/>
    <w:rsid w:val="05300538"/>
    <w:rsid w:val="053E2C54"/>
    <w:rsid w:val="0543421B"/>
    <w:rsid w:val="05504736"/>
    <w:rsid w:val="055D0D8E"/>
    <w:rsid w:val="05654685"/>
    <w:rsid w:val="058D598A"/>
    <w:rsid w:val="059B1E55"/>
    <w:rsid w:val="05AA653C"/>
    <w:rsid w:val="05AB5E10"/>
    <w:rsid w:val="05AF76AE"/>
    <w:rsid w:val="05C16B02"/>
    <w:rsid w:val="05C416C0"/>
    <w:rsid w:val="05C759FB"/>
    <w:rsid w:val="05CC20C2"/>
    <w:rsid w:val="05D62E8D"/>
    <w:rsid w:val="05E0482F"/>
    <w:rsid w:val="05E82BC0"/>
    <w:rsid w:val="05E84CA4"/>
    <w:rsid w:val="05F2028D"/>
    <w:rsid w:val="05F21AC8"/>
    <w:rsid w:val="05FB6D97"/>
    <w:rsid w:val="05FD666C"/>
    <w:rsid w:val="05FF1DAE"/>
    <w:rsid w:val="0600615C"/>
    <w:rsid w:val="060743F1"/>
    <w:rsid w:val="060A6FDB"/>
    <w:rsid w:val="06110369"/>
    <w:rsid w:val="06112117"/>
    <w:rsid w:val="06233BF8"/>
    <w:rsid w:val="06257970"/>
    <w:rsid w:val="063302DF"/>
    <w:rsid w:val="063E20E3"/>
    <w:rsid w:val="063F62DA"/>
    <w:rsid w:val="06400C4E"/>
    <w:rsid w:val="065B3392"/>
    <w:rsid w:val="066E2587"/>
    <w:rsid w:val="06846D8D"/>
    <w:rsid w:val="069A266D"/>
    <w:rsid w:val="069B7C96"/>
    <w:rsid w:val="069B7E16"/>
    <w:rsid w:val="069F005B"/>
    <w:rsid w:val="06AA6409"/>
    <w:rsid w:val="06B036DE"/>
    <w:rsid w:val="06B81B4A"/>
    <w:rsid w:val="06C453DB"/>
    <w:rsid w:val="06CE1DB6"/>
    <w:rsid w:val="06D215CC"/>
    <w:rsid w:val="06E11AE9"/>
    <w:rsid w:val="06E17D3B"/>
    <w:rsid w:val="06FA0DFD"/>
    <w:rsid w:val="06FD269B"/>
    <w:rsid w:val="07014810"/>
    <w:rsid w:val="070F3B90"/>
    <w:rsid w:val="07117EF5"/>
    <w:rsid w:val="07192104"/>
    <w:rsid w:val="072339A0"/>
    <w:rsid w:val="072B7208"/>
    <w:rsid w:val="07322345"/>
    <w:rsid w:val="0733461A"/>
    <w:rsid w:val="073A569E"/>
    <w:rsid w:val="0757624F"/>
    <w:rsid w:val="076470DA"/>
    <w:rsid w:val="076562D9"/>
    <w:rsid w:val="076740C7"/>
    <w:rsid w:val="07683FB9"/>
    <w:rsid w:val="077C680D"/>
    <w:rsid w:val="078E4413"/>
    <w:rsid w:val="07A50D69"/>
    <w:rsid w:val="07AF7BA9"/>
    <w:rsid w:val="07C1191B"/>
    <w:rsid w:val="07C46095"/>
    <w:rsid w:val="07D653C6"/>
    <w:rsid w:val="07DA7F0D"/>
    <w:rsid w:val="07EA70C4"/>
    <w:rsid w:val="07EC4BEA"/>
    <w:rsid w:val="07ED44BE"/>
    <w:rsid w:val="08033923"/>
    <w:rsid w:val="08123F24"/>
    <w:rsid w:val="081F1F8D"/>
    <w:rsid w:val="08346591"/>
    <w:rsid w:val="083700A4"/>
    <w:rsid w:val="08386081"/>
    <w:rsid w:val="08422A5C"/>
    <w:rsid w:val="084367D4"/>
    <w:rsid w:val="08442605"/>
    <w:rsid w:val="084A19AA"/>
    <w:rsid w:val="085E716A"/>
    <w:rsid w:val="088B6AD7"/>
    <w:rsid w:val="089B1187"/>
    <w:rsid w:val="08A90D2D"/>
    <w:rsid w:val="08B74549"/>
    <w:rsid w:val="08BC0A60"/>
    <w:rsid w:val="08BD6586"/>
    <w:rsid w:val="08C65D8C"/>
    <w:rsid w:val="08E22CC1"/>
    <w:rsid w:val="08EC29C7"/>
    <w:rsid w:val="08ED522D"/>
    <w:rsid w:val="08FA6E92"/>
    <w:rsid w:val="090174FF"/>
    <w:rsid w:val="09095327"/>
    <w:rsid w:val="090D12BC"/>
    <w:rsid w:val="091031EE"/>
    <w:rsid w:val="091C1203"/>
    <w:rsid w:val="09336848"/>
    <w:rsid w:val="09412D13"/>
    <w:rsid w:val="0950045D"/>
    <w:rsid w:val="0950709A"/>
    <w:rsid w:val="0954774B"/>
    <w:rsid w:val="097906FF"/>
    <w:rsid w:val="09811362"/>
    <w:rsid w:val="098552F6"/>
    <w:rsid w:val="098826F0"/>
    <w:rsid w:val="09895EE3"/>
    <w:rsid w:val="0989722B"/>
    <w:rsid w:val="098A290C"/>
    <w:rsid w:val="098E4FA0"/>
    <w:rsid w:val="09975029"/>
    <w:rsid w:val="09977F89"/>
    <w:rsid w:val="099B68C7"/>
    <w:rsid w:val="09A15D2F"/>
    <w:rsid w:val="09B5725D"/>
    <w:rsid w:val="09B90AFC"/>
    <w:rsid w:val="09C247EA"/>
    <w:rsid w:val="09CB082F"/>
    <w:rsid w:val="09D05E45"/>
    <w:rsid w:val="09D1286A"/>
    <w:rsid w:val="09EE394E"/>
    <w:rsid w:val="09F00295"/>
    <w:rsid w:val="09F2037E"/>
    <w:rsid w:val="0A1D791A"/>
    <w:rsid w:val="0A222B45"/>
    <w:rsid w:val="0A23066B"/>
    <w:rsid w:val="0A2D5046"/>
    <w:rsid w:val="0A3E7253"/>
    <w:rsid w:val="0A466107"/>
    <w:rsid w:val="0A53088D"/>
    <w:rsid w:val="0A5847B8"/>
    <w:rsid w:val="0A5C592B"/>
    <w:rsid w:val="0A5D1745"/>
    <w:rsid w:val="0A671FB8"/>
    <w:rsid w:val="0A7F7F97"/>
    <w:rsid w:val="0ABD482B"/>
    <w:rsid w:val="0AC7549A"/>
    <w:rsid w:val="0ACB31DC"/>
    <w:rsid w:val="0AE20526"/>
    <w:rsid w:val="0AEA2F37"/>
    <w:rsid w:val="0AF05C82"/>
    <w:rsid w:val="0B00275A"/>
    <w:rsid w:val="0B062F42"/>
    <w:rsid w:val="0B0653F7"/>
    <w:rsid w:val="0B1A1A6E"/>
    <w:rsid w:val="0B1D330C"/>
    <w:rsid w:val="0B2138E2"/>
    <w:rsid w:val="0B27100A"/>
    <w:rsid w:val="0B3D575C"/>
    <w:rsid w:val="0B446A99"/>
    <w:rsid w:val="0B4D1E43"/>
    <w:rsid w:val="0B5605CC"/>
    <w:rsid w:val="0B61253D"/>
    <w:rsid w:val="0B6947A3"/>
    <w:rsid w:val="0B731A1D"/>
    <w:rsid w:val="0B7B0E38"/>
    <w:rsid w:val="0B7C3EFC"/>
    <w:rsid w:val="0BA844FD"/>
    <w:rsid w:val="0BB05F2E"/>
    <w:rsid w:val="0BB11466"/>
    <w:rsid w:val="0BB670AB"/>
    <w:rsid w:val="0BCB0FBA"/>
    <w:rsid w:val="0BE429C6"/>
    <w:rsid w:val="0BE502CE"/>
    <w:rsid w:val="0BEF6A57"/>
    <w:rsid w:val="0BF518FA"/>
    <w:rsid w:val="0C120997"/>
    <w:rsid w:val="0C2506CA"/>
    <w:rsid w:val="0C272694"/>
    <w:rsid w:val="0C2C6743"/>
    <w:rsid w:val="0C2F6CB1"/>
    <w:rsid w:val="0C3D1AC7"/>
    <w:rsid w:val="0C49267E"/>
    <w:rsid w:val="0C4B0BAD"/>
    <w:rsid w:val="0C8851C5"/>
    <w:rsid w:val="0C921F4B"/>
    <w:rsid w:val="0C985340"/>
    <w:rsid w:val="0CB3217A"/>
    <w:rsid w:val="0CB41A4E"/>
    <w:rsid w:val="0CBD45C2"/>
    <w:rsid w:val="0CD14217"/>
    <w:rsid w:val="0CE74FA2"/>
    <w:rsid w:val="0CEA0261"/>
    <w:rsid w:val="0CF339BC"/>
    <w:rsid w:val="0CF85DDF"/>
    <w:rsid w:val="0D0A78C0"/>
    <w:rsid w:val="0D136775"/>
    <w:rsid w:val="0D226620"/>
    <w:rsid w:val="0D2408DB"/>
    <w:rsid w:val="0D252FB8"/>
    <w:rsid w:val="0D336E17"/>
    <w:rsid w:val="0D575040"/>
    <w:rsid w:val="0D61776E"/>
    <w:rsid w:val="0D776204"/>
    <w:rsid w:val="0D781E29"/>
    <w:rsid w:val="0D7D4536"/>
    <w:rsid w:val="0D8862D3"/>
    <w:rsid w:val="0D904269"/>
    <w:rsid w:val="0D921D8F"/>
    <w:rsid w:val="0D933AC8"/>
    <w:rsid w:val="0D945EE0"/>
    <w:rsid w:val="0D9A51F4"/>
    <w:rsid w:val="0D9D62C2"/>
    <w:rsid w:val="0DA5787D"/>
    <w:rsid w:val="0DA64D0D"/>
    <w:rsid w:val="0DC64B7C"/>
    <w:rsid w:val="0DD95C10"/>
    <w:rsid w:val="0DE10621"/>
    <w:rsid w:val="0DEF595D"/>
    <w:rsid w:val="0DF2282E"/>
    <w:rsid w:val="0DF26BF3"/>
    <w:rsid w:val="0DFE11D3"/>
    <w:rsid w:val="0E0A401C"/>
    <w:rsid w:val="0E0B38F0"/>
    <w:rsid w:val="0E236E8B"/>
    <w:rsid w:val="0E3C7F4D"/>
    <w:rsid w:val="0E721BC1"/>
    <w:rsid w:val="0E7E40C2"/>
    <w:rsid w:val="0E801780"/>
    <w:rsid w:val="0E8C2C83"/>
    <w:rsid w:val="0E8F75E8"/>
    <w:rsid w:val="0E9658AF"/>
    <w:rsid w:val="0EA31F34"/>
    <w:rsid w:val="0EAF071F"/>
    <w:rsid w:val="0EDD34DE"/>
    <w:rsid w:val="0EE54141"/>
    <w:rsid w:val="0EEA668C"/>
    <w:rsid w:val="0EF71212"/>
    <w:rsid w:val="0F125B2D"/>
    <w:rsid w:val="0F1A64E0"/>
    <w:rsid w:val="0F3A448D"/>
    <w:rsid w:val="0F474DFC"/>
    <w:rsid w:val="0F4E7F38"/>
    <w:rsid w:val="0F5117D6"/>
    <w:rsid w:val="0F59068B"/>
    <w:rsid w:val="0F5B4403"/>
    <w:rsid w:val="0F706100"/>
    <w:rsid w:val="0F73799F"/>
    <w:rsid w:val="0F863D1E"/>
    <w:rsid w:val="0F9D2344"/>
    <w:rsid w:val="0FB35025"/>
    <w:rsid w:val="0FB73569"/>
    <w:rsid w:val="0FBC7598"/>
    <w:rsid w:val="0FBD0D96"/>
    <w:rsid w:val="0FBF4992"/>
    <w:rsid w:val="0FC562C3"/>
    <w:rsid w:val="0FCA78FF"/>
    <w:rsid w:val="0FCF6A52"/>
    <w:rsid w:val="0FD348E1"/>
    <w:rsid w:val="0FDC5544"/>
    <w:rsid w:val="0FE16B50"/>
    <w:rsid w:val="0FE31AF2"/>
    <w:rsid w:val="0FE8213B"/>
    <w:rsid w:val="0FEB39D9"/>
    <w:rsid w:val="100B7ABF"/>
    <w:rsid w:val="101914A3"/>
    <w:rsid w:val="10245BDA"/>
    <w:rsid w:val="102B0279"/>
    <w:rsid w:val="102B42CD"/>
    <w:rsid w:val="103F3D25"/>
    <w:rsid w:val="10525806"/>
    <w:rsid w:val="10675755"/>
    <w:rsid w:val="10825588"/>
    <w:rsid w:val="10B14C22"/>
    <w:rsid w:val="10C2298C"/>
    <w:rsid w:val="10DC1574"/>
    <w:rsid w:val="10E5667A"/>
    <w:rsid w:val="10E723F2"/>
    <w:rsid w:val="10FE598E"/>
    <w:rsid w:val="110A60E1"/>
    <w:rsid w:val="110F1949"/>
    <w:rsid w:val="111D10C4"/>
    <w:rsid w:val="111D5BA4"/>
    <w:rsid w:val="11453A98"/>
    <w:rsid w:val="115050FF"/>
    <w:rsid w:val="115815EA"/>
    <w:rsid w:val="116D107E"/>
    <w:rsid w:val="116E6670"/>
    <w:rsid w:val="11733C86"/>
    <w:rsid w:val="11755C50"/>
    <w:rsid w:val="117F6ACF"/>
    <w:rsid w:val="11855C9D"/>
    <w:rsid w:val="11904838"/>
    <w:rsid w:val="11916802"/>
    <w:rsid w:val="11983DE6"/>
    <w:rsid w:val="11A249A7"/>
    <w:rsid w:val="11A65D65"/>
    <w:rsid w:val="11AD370E"/>
    <w:rsid w:val="11BE156C"/>
    <w:rsid w:val="11D212FE"/>
    <w:rsid w:val="11DB6B5A"/>
    <w:rsid w:val="11E708F3"/>
    <w:rsid w:val="11F70905"/>
    <w:rsid w:val="12062D4C"/>
    <w:rsid w:val="120F5E78"/>
    <w:rsid w:val="1218482D"/>
    <w:rsid w:val="122338FE"/>
    <w:rsid w:val="12274A70"/>
    <w:rsid w:val="122B27B2"/>
    <w:rsid w:val="12463148"/>
    <w:rsid w:val="12491018"/>
    <w:rsid w:val="1255782F"/>
    <w:rsid w:val="126A5144"/>
    <w:rsid w:val="127174C9"/>
    <w:rsid w:val="12741362"/>
    <w:rsid w:val="127C300E"/>
    <w:rsid w:val="12831E45"/>
    <w:rsid w:val="128E689D"/>
    <w:rsid w:val="12932288"/>
    <w:rsid w:val="12C14EC5"/>
    <w:rsid w:val="12D20E80"/>
    <w:rsid w:val="12D6271E"/>
    <w:rsid w:val="12EA441C"/>
    <w:rsid w:val="12EF7040"/>
    <w:rsid w:val="130130C6"/>
    <w:rsid w:val="130D1EB8"/>
    <w:rsid w:val="13120644"/>
    <w:rsid w:val="131A3C63"/>
    <w:rsid w:val="13376C81"/>
    <w:rsid w:val="133B638F"/>
    <w:rsid w:val="133E02C4"/>
    <w:rsid w:val="133E038F"/>
    <w:rsid w:val="13482EF0"/>
    <w:rsid w:val="13491142"/>
    <w:rsid w:val="13960100"/>
    <w:rsid w:val="139E09AB"/>
    <w:rsid w:val="13A46379"/>
    <w:rsid w:val="13B70D40"/>
    <w:rsid w:val="13C26D3E"/>
    <w:rsid w:val="13DD188A"/>
    <w:rsid w:val="13E650F4"/>
    <w:rsid w:val="13EB70F4"/>
    <w:rsid w:val="13F82B68"/>
    <w:rsid w:val="14030C55"/>
    <w:rsid w:val="140F702E"/>
    <w:rsid w:val="14111450"/>
    <w:rsid w:val="14151024"/>
    <w:rsid w:val="141E3891"/>
    <w:rsid w:val="142174E5"/>
    <w:rsid w:val="143B0852"/>
    <w:rsid w:val="143E4A1F"/>
    <w:rsid w:val="146C357D"/>
    <w:rsid w:val="14740441"/>
    <w:rsid w:val="147C5547"/>
    <w:rsid w:val="147D6BCA"/>
    <w:rsid w:val="148166BA"/>
    <w:rsid w:val="148263CE"/>
    <w:rsid w:val="14A14FAE"/>
    <w:rsid w:val="14A979BF"/>
    <w:rsid w:val="14C52A97"/>
    <w:rsid w:val="14D709D0"/>
    <w:rsid w:val="14E153AA"/>
    <w:rsid w:val="14EA425F"/>
    <w:rsid w:val="14F567DB"/>
    <w:rsid w:val="14F65188"/>
    <w:rsid w:val="14FB63E3"/>
    <w:rsid w:val="150B5F52"/>
    <w:rsid w:val="15145780"/>
    <w:rsid w:val="15190FE8"/>
    <w:rsid w:val="152A0AFF"/>
    <w:rsid w:val="15353A71"/>
    <w:rsid w:val="15396E97"/>
    <w:rsid w:val="155142DE"/>
    <w:rsid w:val="15674EC2"/>
    <w:rsid w:val="156E30E2"/>
    <w:rsid w:val="156E5995"/>
    <w:rsid w:val="157601E9"/>
    <w:rsid w:val="158845AB"/>
    <w:rsid w:val="158A3C94"/>
    <w:rsid w:val="158C5511"/>
    <w:rsid w:val="158E72E0"/>
    <w:rsid w:val="15991BC6"/>
    <w:rsid w:val="159A517C"/>
    <w:rsid w:val="159B37AB"/>
    <w:rsid w:val="159D1877"/>
    <w:rsid w:val="15A23889"/>
    <w:rsid w:val="15C34AB0"/>
    <w:rsid w:val="15C63ED2"/>
    <w:rsid w:val="15C727F2"/>
    <w:rsid w:val="15CA4090"/>
    <w:rsid w:val="15D26F32"/>
    <w:rsid w:val="15DC6409"/>
    <w:rsid w:val="15E909BB"/>
    <w:rsid w:val="15EC2259"/>
    <w:rsid w:val="15FC6940"/>
    <w:rsid w:val="16013F56"/>
    <w:rsid w:val="160C3F81"/>
    <w:rsid w:val="160D7DE5"/>
    <w:rsid w:val="16105F47"/>
    <w:rsid w:val="16133C89"/>
    <w:rsid w:val="16175528"/>
    <w:rsid w:val="162163A6"/>
    <w:rsid w:val="16261FBD"/>
    <w:rsid w:val="16302145"/>
    <w:rsid w:val="163321D8"/>
    <w:rsid w:val="1635722E"/>
    <w:rsid w:val="1653052A"/>
    <w:rsid w:val="1653677B"/>
    <w:rsid w:val="165738F2"/>
    <w:rsid w:val="1665569C"/>
    <w:rsid w:val="1665736E"/>
    <w:rsid w:val="168D57EA"/>
    <w:rsid w:val="169052DA"/>
    <w:rsid w:val="169E17A5"/>
    <w:rsid w:val="16AB5C70"/>
    <w:rsid w:val="16AE541A"/>
    <w:rsid w:val="16B014D8"/>
    <w:rsid w:val="16BE382D"/>
    <w:rsid w:val="16D0271B"/>
    <w:rsid w:val="16E51F2C"/>
    <w:rsid w:val="16F45869"/>
    <w:rsid w:val="16FC2F2E"/>
    <w:rsid w:val="17066741"/>
    <w:rsid w:val="174A5489"/>
    <w:rsid w:val="175E2CE2"/>
    <w:rsid w:val="176A5B2B"/>
    <w:rsid w:val="176E2771"/>
    <w:rsid w:val="17771FF6"/>
    <w:rsid w:val="1780009A"/>
    <w:rsid w:val="178F7340"/>
    <w:rsid w:val="17914E66"/>
    <w:rsid w:val="179766B3"/>
    <w:rsid w:val="17981331"/>
    <w:rsid w:val="17AA23CB"/>
    <w:rsid w:val="17D240F5"/>
    <w:rsid w:val="17D74D17"/>
    <w:rsid w:val="17E95781"/>
    <w:rsid w:val="17F453F5"/>
    <w:rsid w:val="17FA4680"/>
    <w:rsid w:val="1800023D"/>
    <w:rsid w:val="180D49CF"/>
    <w:rsid w:val="1811546F"/>
    <w:rsid w:val="18185587"/>
    <w:rsid w:val="1821365D"/>
    <w:rsid w:val="18351992"/>
    <w:rsid w:val="184B770B"/>
    <w:rsid w:val="18585984"/>
    <w:rsid w:val="185F4F64"/>
    <w:rsid w:val="18673E19"/>
    <w:rsid w:val="18694035"/>
    <w:rsid w:val="186E5D85"/>
    <w:rsid w:val="18720979"/>
    <w:rsid w:val="18736C61"/>
    <w:rsid w:val="187C3D68"/>
    <w:rsid w:val="187F73B4"/>
    <w:rsid w:val="1880058A"/>
    <w:rsid w:val="189B0F32"/>
    <w:rsid w:val="18A32F63"/>
    <w:rsid w:val="18A46E1B"/>
    <w:rsid w:val="18C96881"/>
    <w:rsid w:val="18D72D4C"/>
    <w:rsid w:val="18E216F1"/>
    <w:rsid w:val="18ED2570"/>
    <w:rsid w:val="19053D5D"/>
    <w:rsid w:val="190E24E6"/>
    <w:rsid w:val="190E3F54"/>
    <w:rsid w:val="191C10A7"/>
    <w:rsid w:val="19481E9C"/>
    <w:rsid w:val="194E63D2"/>
    <w:rsid w:val="19573E8D"/>
    <w:rsid w:val="19647819"/>
    <w:rsid w:val="1968700C"/>
    <w:rsid w:val="196977CD"/>
    <w:rsid w:val="196A0064"/>
    <w:rsid w:val="196E3267"/>
    <w:rsid w:val="197902A7"/>
    <w:rsid w:val="197E141A"/>
    <w:rsid w:val="198D07FF"/>
    <w:rsid w:val="1990114D"/>
    <w:rsid w:val="199433D3"/>
    <w:rsid w:val="199B523D"/>
    <w:rsid w:val="199E7D0E"/>
    <w:rsid w:val="19A51287"/>
    <w:rsid w:val="19A8293B"/>
    <w:rsid w:val="19AD7F51"/>
    <w:rsid w:val="19B25567"/>
    <w:rsid w:val="19BC1F42"/>
    <w:rsid w:val="19C57049"/>
    <w:rsid w:val="19C77265"/>
    <w:rsid w:val="19CE28BF"/>
    <w:rsid w:val="19E33973"/>
    <w:rsid w:val="19E80F89"/>
    <w:rsid w:val="19EC0A79"/>
    <w:rsid w:val="19EE5FDA"/>
    <w:rsid w:val="19F718E2"/>
    <w:rsid w:val="19FD67E3"/>
    <w:rsid w:val="1A0F1779"/>
    <w:rsid w:val="1A1F0E4F"/>
    <w:rsid w:val="1A214DBA"/>
    <w:rsid w:val="1A2566F4"/>
    <w:rsid w:val="1A2D652E"/>
    <w:rsid w:val="1A442B13"/>
    <w:rsid w:val="1A552731"/>
    <w:rsid w:val="1A554870"/>
    <w:rsid w:val="1A6052D4"/>
    <w:rsid w:val="1A705206"/>
    <w:rsid w:val="1A742084"/>
    <w:rsid w:val="1A7A6085"/>
    <w:rsid w:val="1A864A2A"/>
    <w:rsid w:val="1A8E7D82"/>
    <w:rsid w:val="1A907657"/>
    <w:rsid w:val="1A932D34"/>
    <w:rsid w:val="1A951111"/>
    <w:rsid w:val="1AAB26E2"/>
    <w:rsid w:val="1AB33345"/>
    <w:rsid w:val="1AB75AFC"/>
    <w:rsid w:val="1AC344D0"/>
    <w:rsid w:val="1AC55E2B"/>
    <w:rsid w:val="1AC75042"/>
    <w:rsid w:val="1ACD08AB"/>
    <w:rsid w:val="1AE14356"/>
    <w:rsid w:val="1AF529B5"/>
    <w:rsid w:val="1AF9676E"/>
    <w:rsid w:val="1B0032DD"/>
    <w:rsid w:val="1B171B26"/>
    <w:rsid w:val="1B197D8B"/>
    <w:rsid w:val="1B1E590D"/>
    <w:rsid w:val="1B1F4E7E"/>
    <w:rsid w:val="1B222279"/>
    <w:rsid w:val="1B4D19EC"/>
    <w:rsid w:val="1B4E306E"/>
    <w:rsid w:val="1B525F13"/>
    <w:rsid w:val="1B5508A0"/>
    <w:rsid w:val="1B5A1A13"/>
    <w:rsid w:val="1B632FBD"/>
    <w:rsid w:val="1B656E0C"/>
    <w:rsid w:val="1B6603B7"/>
    <w:rsid w:val="1B75684C"/>
    <w:rsid w:val="1B875F82"/>
    <w:rsid w:val="1B8E6E35"/>
    <w:rsid w:val="1B903686"/>
    <w:rsid w:val="1B970EB9"/>
    <w:rsid w:val="1B972C67"/>
    <w:rsid w:val="1B9B4505"/>
    <w:rsid w:val="1BA07D6D"/>
    <w:rsid w:val="1BA94944"/>
    <w:rsid w:val="1BB2184F"/>
    <w:rsid w:val="1BB83309"/>
    <w:rsid w:val="1BC157A5"/>
    <w:rsid w:val="1BCA4DEA"/>
    <w:rsid w:val="1BCA6B98"/>
    <w:rsid w:val="1BD9534F"/>
    <w:rsid w:val="1BE340FE"/>
    <w:rsid w:val="1BF400B9"/>
    <w:rsid w:val="1C054074"/>
    <w:rsid w:val="1C1E0C92"/>
    <w:rsid w:val="1C24274C"/>
    <w:rsid w:val="1C275E4B"/>
    <w:rsid w:val="1C3404B6"/>
    <w:rsid w:val="1C3A300E"/>
    <w:rsid w:val="1C3D724A"/>
    <w:rsid w:val="1C4A2B97"/>
    <w:rsid w:val="1C4C74DF"/>
    <w:rsid w:val="1C5C096D"/>
    <w:rsid w:val="1C71170A"/>
    <w:rsid w:val="1C76287C"/>
    <w:rsid w:val="1C834AA6"/>
    <w:rsid w:val="1C84143D"/>
    <w:rsid w:val="1C896E4F"/>
    <w:rsid w:val="1C8A6328"/>
    <w:rsid w:val="1C9A2A0F"/>
    <w:rsid w:val="1CB735C0"/>
    <w:rsid w:val="1CBF4223"/>
    <w:rsid w:val="1CCC6940"/>
    <w:rsid w:val="1CE75528"/>
    <w:rsid w:val="1CEE68F4"/>
    <w:rsid w:val="1CF754A3"/>
    <w:rsid w:val="1CFD4D4B"/>
    <w:rsid w:val="1CFE11EF"/>
    <w:rsid w:val="1D1E1B46"/>
    <w:rsid w:val="1D1F2F14"/>
    <w:rsid w:val="1D2319B4"/>
    <w:rsid w:val="1D24677C"/>
    <w:rsid w:val="1D2B1C22"/>
    <w:rsid w:val="1D2B3667"/>
    <w:rsid w:val="1D3A7D4E"/>
    <w:rsid w:val="1D3C1D18"/>
    <w:rsid w:val="1D3D339A"/>
    <w:rsid w:val="1D41732E"/>
    <w:rsid w:val="1D4410E0"/>
    <w:rsid w:val="1D5C7AF8"/>
    <w:rsid w:val="1D8B05A9"/>
    <w:rsid w:val="1DB01DBE"/>
    <w:rsid w:val="1DB4543D"/>
    <w:rsid w:val="1DB7139E"/>
    <w:rsid w:val="1DC00253"/>
    <w:rsid w:val="1DD67A76"/>
    <w:rsid w:val="1DE60A5F"/>
    <w:rsid w:val="1DE92A07"/>
    <w:rsid w:val="1E023031"/>
    <w:rsid w:val="1E0B5246"/>
    <w:rsid w:val="1E0E7548"/>
    <w:rsid w:val="1E2456E5"/>
    <w:rsid w:val="1E347EFA"/>
    <w:rsid w:val="1E3900BC"/>
    <w:rsid w:val="1E396257"/>
    <w:rsid w:val="1E3E4C49"/>
    <w:rsid w:val="1E5866DD"/>
    <w:rsid w:val="1E5B7F7C"/>
    <w:rsid w:val="1E5F5CBE"/>
    <w:rsid w:val="1E6A62F1"/>
    <w:rsid w:val="1E7D5CD7"/>
    <w:rsid w:val="1E7E2B74"/>
    <w:rsid w:val="1E803E86"/>
    <w:rsid w:val="1E830C89"/>
    <w:rsid w:val="1E8C6387"/>
    <w:rsid w:val="1E8F40C9"/>
    <w:rsid w:val="1E984D2C"/>
    <w:rsid w:val="1EA551C0"/>
    <w:rsid w:val="1EBD551E"/>
    <w:rsid w:val="1EC75611"/>
    <w:rsid w:val="1EC91F8E"/>
    <w:rsid w:val="1ED0096A"/>
    <w:rsid w:val="1ED1023E"/>
    <w:rsid w:val="1ED927EF"/>
    <w:rsid w:val="1EDC27EF"/>
    <w:rsid w:val="1EE2244B"/>
    <w:rsid w:val="1EE84E4D"/>
    <w:rsid w:val="1EED4C42"/>
    <w:rsid w:val="1EF83B0F"/>
    <w:rsid w:val="1EFA3A95"/>
    <w:rsid w:val="1EFB3381"/>
    <w:rsid w:val="1F0028D1"/>
    <w:rsid w:val="1F122D30"/>
    <w:rsid w:val="1F3F3E4B"/>
    <w:rsid w:val="1F433613"/>
    <w:rsid w:val="1F4A459A"/>
    <w:rsid w:val="1F550E6F"/>
    <w:rsid w:val="1F566913"/>
    <w:rsid w:val="1F6317DE"/>
    <w:rsid w:val="1F8A4CDF"/>
    <w:rsid w:val="1F9951FF"/>
    <w:rsid w:val="1F9B63EB"/>
    <w:rsid w:val="1FA53BA4"/>
    <w:rsid w:val="1FAF67D1"/>
    <w:rsid w:val="1FC21B8C"/>
    <w:rsid w:val="1FC95848"/>
    <w:rsid w:val="1FDA04EA"/>
    <w:rsid w:val="1FDE2C12"/>
    <w:rsid w:val="1FEA0867"/>
    <w:rsid w:val="200308CB"/>
    <w:rsid w:val="2003291B"/>
    <w:rsid w:val="200E0A62"/>
    <w:rsid w:val="200F4676"/>
    <w:rsid w:val="20161AB2"/>
    <w:rsid w:val="20190CCF"/>
    <w:rsid w:val="20191E9C"/>
    <w:rsid w:val="201C212F"/>
    <w:rsid w:val="201E74B3"/>
    <w:rsid w:val="201F2242"/>
    <w:rsid w:val="20230F6D"/>
    <w:rsid w:val="20322F5E"/>
    <w:rsid w:val="20370574"/>
    <w:rsid w:val="204213F3"/>
    <w:rsid w:val="204A474C"/>
    <w:rsid w:val="204D7566"/>
    <w:rsid w:val="204E1006"/>
    <w:rsid w:val="20514B81"/>
    <w:rsid w:val="20526073"/>
    <w:rsid w:val="207021AE"/>
    <w:rsid w:val="20744DEB"/>
    <w:rsid w:val="207913EC"/>
    <w:rsid w:val="208675A5"/>
    <w:rsid w:val="208A42B8"/>
    <w:rsid w:val="208D63E6"/>
    <w:rsid w:val="20B9014C"/>
    <w:rsid w:val="20C52024"/>
    <w:rsid w:val="20CF4C51"/>
    <w:rsid w:val="20D20146"/>
    <w:rsid w:val="20D83B05"/>
    <w:rsid w:val="20EE157B"/>
    <w:rsid w:val="20F14BC7"/>
    <w:rsid w:val="20F7407F"/>
    <w:rsid w:val="21042B4C"/>
    <w:rsid w:val="211549B5"/>
    <w:rsid w:val="21274A8D"/>
    <w:rsid w:val="2129610F"/>
    <w:rsid w:val="212B7C94"/>
    <w:rsid w:val="214747E7"/>
    <w:rsid w:val="214B2529"/>
    <w:rsid w:val="215F709E"/>
    <w:rsid w:val="216B497A"/>
    <w:rsid w:val="216D719B"/>
    <w:rsid w:val="217001E2"/>
    <w:rsid w:val="21703D3E"/>
    <w:rsid w:val="218617B3"/>
    <w:rsid w:val="21871088"/>
    <w:rsid w:val="218B501C"/>
    <w:rsid w:val="21AB121A"/>
    <w:rsid w:val="21AC3BEE"/>
    <w:rsid w:val="21CF4F08"/>
    <w:rsid w:val="21D67962"/>
    <w:rsid w:val="21DA38AD"/>
    <w:rsid w:val="21DA611C"/>
    <w:rsid w:val="21DC7625"/>
    <w:rsid w:val="21E12848"/>
    <w:rsid w:val="21ED7B39"/>
    <w:rsid w:val="21FC3824"/>
    <w:rsid w:val="220729A3"/>
    <w:rsid w:val="220C13C9"/>
    <w:rsid w:val="22114E02"/>
    <w:rsid w:val="221424D5"/>
    <w:rsid w:val="22145011"/>
    <w:rsid w:val="221B63A0"/>
    <w:rsid w:val="22325497"/>
    <w:rsid w:val="22350AE4"/>
    <w:rsid w:val="223643DF"/>
    <w:rsid w:val="22370D00"/>
    <w:rsid w:val="223907F9"/>
    <w:rsid w:val="22415264"/>
    <w:rsid w:val="225C2514"/>
    <w:rsid w:val="22600256"/>
    <w:rsid w:val="22665141"/>
    <w:rsid w:val="226B1089"/>
    <w:rsid w:val="226D1E71"/>
    <w:rsid w:val="22737F8A"/>
    <w:rsid w:val="22821F7B"/>
    <w:rsid w:val="22903384"/>
    <w:rsid w:val="22944D55"/>
    <w:rsid w:val="22BC5DEE"/>
    <w:rsid w:val="22C2681B"/>
    <w:rsid w:val="22D447A0"/>
    <w:rsid w:val="22DA6F20"/>
    <w:rsid w:val="22F117B5"/>
    <w:rsid w:val="22F17100"/>
    <w:rsid w:val="22F275D2"/>
    <w:rsid w:val="2305495A"/>
    <w:rsid w:val="23150E4F"/>
    <w:rsid w:val="23204833"/>
    <w:rsid w:val="23223022"/>
    <w:rsid w:val="23314793"/>
    <w:rsid w:val="2332525A"/>
    <w:rsid w:val="23517B9F"/>
    <w:rsid w:val="235D02F2"/>
    <w:rsid w:val="235D6544"/>
    <w:rsid w:val="235F22BC"/>
    <w:rsid w:val="236478D2"/>
    <w:rsid w:val="23671171"/>
    <w:rsid w:val="236D2C2B"/>
    <w:rsid w:val="237A0EA4"/>
    <w:rsid w:val="237D3DBF"/>
    <w:rsid w:val="23825FAA"/>
    <w:rsid w:val="2399753C"/>
    <w:rsid w:val="23B5012E"/>
    <w:rsid w:val="23BD5235"/>
    <w:rsid w:val="23C12F77"/>
    <w:rsid w:val="23C640E9"/>
    <w:rsid w:val="23CF5A54"/>
    <w:rsid w:val="23E32EED"/>
    <w:rsid w:val="23EC48FB"/>
    <w:rsid w:val="23F76D95"/>
    <w:rsid w:val="240739F0"/>
    <w:rsid w:val="24114702"/>
    <w:rsid w:val="24482291"/>
    <w:rsid w:val="24526181"/>
    <w:rsid w:val="245A2A83"/>
    <w:rsid w:val="246D6C5B"/>
    <w:rsid w:val="247D5187"/>
    <w:rsid w:val="24861ACA"/>
    <w:rsid w:val="248A3369"/>
    <w:rsid w:val="24973CD7"/>
    <w:rsid w:val="249C32F8"/>
    <w:rsid w:val="249C4ADD"/>
    <w:rsid w:val="24A00DDE"/>
    <w:rsid w:val="24A51F50"/>
    <w:rsid w:val="24C279DD"/>
    <w:rsid w:val="24D05BE5"/>
    <w:rsid w:val="24D60933"/>
    <w:rsid w:val="24E419D9"/>
    <w:rsid w:val="24EE1B49"/>
    <w:rsid w:val="2500187D"/>
    <w:rsid w:val="251B5CF5"/>
    <w:rsid w:val="251E1D03"/>
    <w:rsid w:val="251F7F55"/>
    <w:rsid w:val="25202506"/>
    <w:rsid w:val="252668FD"/>
    <w:rsid w:val="2527796E"/>
    <w:rsid w:val="2540611D"/>
    <w:rsid w:val="25710085"/>
    <w:rsid w:val="25740E92"/>
    <w:rsid w:val="258244FA"/>
    <w:rsid w:val="258B5E98"/>
    <w:rsid w:val="259E35AA"/>
    <w:rsid w:val="259F64C7"/>
    <w:rsid w:val="25A07EAF"/>
    <w:rsid w:val="25A42208"/>
    <w:rsid w:val="25AB17E9"/>
    <w:rsid w:val="25BC39F6"/>
    <w:rsid w:val="25BF3FF0"/>
    <w:rsid w:val="25BF7042"/>
    <w:rsid w:val="25CB59E7"/>
    <w:rsid w:val="25D37172"/>
    <w:rsid w:val="25E704B2"/>
    <w:rsid w:val="25E940BF"/>
    <w:rsid w:val="25EA283B"/>
    <w:rsid w:val="25F807A6"/>
    <w:rsid w:val="261A3072"/>
    <w:rsid w:val="261E2B1F"/>
    <w:rsid w:val="26265313"/>
    <w:rsid w:val="262833B5"/>
    <w:rsid w:val="26437C73"/>
    <w:rsid w:val="264834DB"/>
    <w:rsid w:val="264B2FCC"/>
    <w:rsid w:val="26583D33"/>
    <w:rsid w:val="2668592C"/>
    <w:rsid w:val="26831856"/>
    <w:rsid w:val="2685793C"/>
    <w:rsid w:val="268A30D0"/>
    <w:rsid w:val="269E759F"/>
    <w:rsid w:val="26A050C5"/>
    <w:rsid w:val="26E03714"/>
    <w:rsid w:val="26E31456"/>
    <w:rsid w:val="26FA69C7"/>
    <w:rsid w:val="27052670"/>
    <w:rsid w:val="270B5BBD"/>
    <w:rsid w:val="270C4509"/>
    <w:rsid w:val="271D5449"/>
    <w:rsid w:val="272827A2"/>
    <w:rsid w:val="272E7E78"/>
    <w:rsid w:val="27313F6F"/>
    <w:rsid w:val="27473793"/>
    <w:rsid w:val="276667D6"/>
    <w:rsid w:val="27727CAF"/>
    <w:rsid w:val="27871DE1"/>
    <w:rsid w:val="278E3170"/>
    <w:rsid w:val="2795508D"/>
    <w:rsid w:val="279C5E68"/>
    <w:rsid w:val="27A209C9"/>
    <w:rsid w:val="27C63A14"/>
    <w:rsid w:val="27CB7F20"/>
    <w:rsid w:val="27D05536"/>
    <w:rsid w:val="27F75392"/>
    <w:rsid w:val="27F82CDF"/>
    <w:rsid w:val="27FC27CF"/>
    <w:rsid w:val="28013942"/>
    <w:rsid w:val="280A2539"/>
    <w:rsid w:val="281318C7"/>
    <w:rsid w:val="282633A8"/>
    <w:rsid w:val="282F0619"/>
    <w:rsid w:val="28327F9F"/>
    <w:rsid w:val="28377363"/>
    <w:rsid w:val="28465DDB"/>
    <w:rsid w:val="28551EE0"/>
    <w:rsid w:val="285C14C0"/>
    <w:rsid w:val="286745BE"/>
    <w:rsid w:val="287A1CEF"/>
    <w:rsid w:val="28A72075"/>
    <w:rsid w:val="28A80261"/>
    <w:rsid w:val="28BE0C8F"/>
    <w:rsid w:val="28BE2459"/>
    <w:rsid w:val="28E31299"/>
    <w:rsid w:val="28EA6ACC"/>
    <w:rsid w:val="28F60FCD"/>
    <w:rsid w:val="2907142C"/>
    <w:rsid w:val="291E49C7"/>
    <w:rsid w:val="293E0BC6"/>
    <w:rsid w:val="294A78BC"/>
    <w:rsid w:val="2952459C"/>
    <w:rsid w:val="295977AD"/>
    <w:rsid w:val="295F6920"/>
    <w:rsid w:val="29625E6D"/>
    <w:rsid w:val="296E1870"/>
    <w:rsid w:val="29712D49"/>
    <w:rsid w:val="297312C8"/>
    <w:rsid w:val="297D4509"/>
    <w:rsid w:val="2987431B"/>
    <w:rsid w:val="298A3E0B"/>
    <w:rsid w:val="298A4D0B"/>
    <w:rsid w:val="29934A6D"/>
    <w:rsid w:val="299D3B3E"/>
    <w:rsid w:val="29B449E4"/>
    <w:rsid w:val="29D110BC"/>
    <w:rsid w:val="29DA5A8A"/>
    <w:rsid w:val="29EC0622"/>
    <w:rsid w:val="29EE6148"/>
    <w:rsid w:val="29EF3C6E"/>
    <w:rsid w:val="29F37C02"/>
    <w:rsid w:val="29FC28EB"/>
    <w:rsid w:val="2A187669"/>
    <w:rsid w:val="2A2E29E8"/>
    <w:rsid w:val="2A506E02"/>
    <w:rsid w:val="2A596B13"/>
    <w:rsid w:val="2A5E660E"/>
    <w:rsid w:val="2A685AC2"/>
    <w:rsid w:val="2A703001"/>
    <w:rsid w:val="2A781EB5"/>
    <w:rsid w:val="2A7A657E"/>
    <w:rsid w:val="2A85535E"/>
    <w:rsid w:val="2A9211C9"/>
    <w:rsid w:val="2A9767DF"/>
    <w:rsid w:val="2A9D36CA"/>
    <w:rsid w:val="2A9F5694"/>
    <w:rsid w:val="2AA077A9"/>
    <w:rsid w:val="2AC800C8"/>
    <w:rsid w:val="2AE01F34"/>
    <w:rsid w:val="2AF07C9E"/>
    <w:rsid w:val="2B0100FD"/>
    <w:rsid w:val="2B134AD1"/>
    <w:rsid w:val="2B1E2A5D"/>
    <w:rsid w:val="2B2160A9"/>
    <w:rsid w:val="2B361B54"/>
    <w:rsid w:val="2B3F1304"/>
    <w:rsid w:val="2B562D09"/>
    <w:rsid w:val="2B5E3CCB"/>
    <w:rsid w:val="2B83510F"/>
    <w:rsid w:val="2B844FB6"/>
    <w:rsid w:val="2B920D55"/>
    <w:rsid w:val="2B93024A"/>
    <w:rsid w:val="2B9351F9"/>
    <w:rsid w:val="2BB46F1D"/>
    <w:rsid w:val="2BBD04C8"/>
    <w:rsid w:val="2BC108A9"/>
    <w:rsid w:val="2BD66E93"/>
    <w:rsid w:val="2BDA1BE3"/>
    <w:rsid w:val="2BEA0B91"/>
    <w:rsid w:val="2BEC6C4B"/>
    <w:rsid w:val="2BF33EE9"/>
    <w:rsid w:val="2BFD2672"/>
    <w:rsid w:val="2C1604CF"/>
    <w:rsid w:val="2C273B93"/>
    <w:rsid w:val="2C33078A"/>
    <w:rsid w:val="2C3562B0"/>
    <w:rsid w:val="2C3D6F12"/>
    <w:rsid w:val="2C4B343F"/>
    <w:rsid w:val="2C4C53A8"/>
    <w:rsid w:val="2C5D1C85"/>
    <w:rsid w:val="2C7566AC"/>
    <w:rsid w:val="2C8E59C0"/>
    <w:rsid w:val="2C98683F"/>
    <w:rsid w:val="2CB573F1"/>
    <w:rsid w:val="2CB9694F"/>
    <w:rsid w:val="2CC3566A"/>
    <w:rsid w:val="2CCC0E2D"/>
    <w:rsid w:val="2CD772AE"/>
    <w:rsid w:val="2CD930DF"/>
    <w:rsid w:val="2CDA6E57"/>
    <w:rsid w:val="2CF2792E"/>
    <w:rsid w:val="2CFB12A7"/>
    <w:rsid w:val="2CFC1259"/>
    <w:rsid w:val="2D045C82"/>
    <w:rsid w:val="2D051035"/>
    <w:rsid w:val="2D1C2FCC"/>
    <w:rsid w:val="2D222CFE"/>
    <w:rsid w:val="2D2354A4"/>
    <w:rsid w:val="2D391DD0"/>
    <w:rsid w:val="2D393907"/>
    <w:rsid w:val="2D406CBA"/>
    <w:rsid w:val="2D4367AA"/>
    <w:rsid w:val="2D5E1836"/>
    <w:rsid w:val="2D621F11"/>
    <w:rsid w:val="2D654973"/>
    <w:rsid w:val="2D74208E"/>
    <w:rsid w:val="2D825525"/>
    <w:rsid w:val="2D834DF9"/>
    <w:rsid w:val="2D896E36"/>
    <w:rsid w:val="2D8D5C78"/>
    <w:rsid w:val="2D9178B5"/>
    <w:rsid w:val="2D9E7E85"/>
    <w:rsid w:val="2DA37249"/>
    <w:rsid w:val="2DA82AB1"/>
    <w:rsid w:val="2DB94CBF"/>
    <w:rsid w:val="2DCA6ECC"/>
    <w:rsid w:val="2DD506FD"/>
    <w:rsid w:val="2DE55AB4"/>
    <w:rsid w:val="2DED178F"/>
    <w:rsid w:val="2DF31F7F"/>
    <w:rsid w:val="2E104CD9"/>
    <w:rsid w:val="2E255EB0"/>
    <w:rsid w:val="2E277E7A"/>
    <w:rsid w:val="2E4863BE"/>
    <w:rsid w:val="2E536EC1"/>
    <w:rsid w:val="2E586286"/>
    <w:rsid w:val="2E6102EA"/>
    <w:rsid w:val="2E762311"/>
    <w:rsid w:val="2E7E42B1"/>
    <w:rsid w:val="2EA64400"/>
    <w:rsid w:val="2EC3210B"/>
    <w:rsid w:val="2EC511B2"/>
    <w:rsid w:val="2ED40002"/>
    <w:rsid w:val="2EE351E2"/>
    <w:rsid w:val="2EE90474"/>
    <w:rsid w:val="2EEA15D4"/>
    <w:rsid w:val="2F0562AC"/>
    <w:rsid w:val="2F0B754D"/>
    <w:rsid w:val="2F1475F5"/>
    <w:rsid w:val="2F366BAF"/>
    <w:rsid w:val="2F394689"/>
    <w:rsid w:val="2F3E191F"/>
    <w:rsid w:val="2F6915D5"/>
    <w:rsid w:val="2F6D3FB3"/>
    <w:rsid w:val="2FD2443E"/>
    <w:rsid w:val="2FF16992"/>
    <w:rsid w:val="300849DC"/>
    <w:rsid w:val="300F0BC6"/>
    <w:rsid w:val="301E705B"/>
    <w:rsid w:val="302503E9"/>
    <w:rsid w:val="302A0B85"/>
    <w:rsid w:val="302F2063"/>
    <w:rsid w:val="302F3016"/>
    <w:rsid w:val="303C02B7"/>
    <w:rsid w:val="303F594F"/>
    <w:rsid w:val="30414D3E"/>
    <w:rsid w:val="30550CCF"/>
    <w:rsid w:val="306B04F2"/>
    <w:rsid w:val="306F53A0"/>
    <w:rsid w:val="30717AD3"/>
    <w:rsid w:val="30797274"/>
    <w:rsid w:val="308604DF"/>
    <w:rsid w:val="3086532C"/>
    <w:rsid w:val="308C7A93"/>
    <w:rsid w:val="309238A5"/>
    <w:rsid w:val="30A6777C"/>
    <w:rsid w:val="30C00511"/>
    <w:rsid w:val="30CA3EF9"/>
    <w:rsid w:val="30D77936"/>
    <w:rsid w:val="30DA5678"/>
    <w:rsid w:val="30E6765D"/>
    <w:rsid w:val="30FC114A"/>
    <w:rsid w:val="31061FC9"/>
    <w:rsid w:val="311178ED"/>
    <w:rsid w:val="3115045E"/>
    <w:rsid w:val="311A616D"/>
    <w:rsid w:val="311D0C1A"/>
    <w:rsid w:val="31280191"/>
    <w:rsid w:val="312B5ED3"/>
    <w:rsid w:val="315E32C6"/>
    <w:rsid w:val="316118F5"/>
    <w:rsid w:val="317E6003"/>
    <w:rsid w:val="31B57180"/>
    <w:rsid w:val="31B67770"/>
    <w:rsid w:val="31BE28A4"/>
    <w:rsid w:val="31C60B71"/>
    <w:rsid w:val="31C679AA"/>
    <w:rsid w:val="31D125D7"/>
    <w:rsid w:val="31DE2F46"/>
    <w:rsid w:val="31E340B8"/>
    <w:rsid w:val="31E67F59"/>
    <w:rsid w:val="31F449E0"/>
    <w:rsid w:val="31F77B64"/>
    <w:rsid w:val="31F84007"/>
    <w:rsid w:val="31F91B2E"/>
    <w:rsid w:val="31FA5931"/>
    <w:rsid w:val="32007897"/>
    <w:rsid w:val="3202600F"/>
    <w:rsid w:val="320358CC"/>
    <w:rsid w:val="320A3D3B"/>
    <w:rsid w:val="320A7897"/>
    <w:rsid w:val="32195D2C"/>
    <w:rsid w:val="322A7F39"/>
    <w:rsid w:val="32384404"/>
    <w:rsid w:val="32556074"/>
    <w:rsid w:val="32566F80"/>
    <w:rsid w:val="327F3F38"/>
    <w:rsid w:val="328533C1"/>
    <w:rsid w:val="32956148"/>
    <w:rsid w:val="329B2BE5"/>
    <w:rsid w:val="329E4ACA"/>
    <w:rsid w:val="32A73338"/>
    <w:rsid w:val="32BA12BD"/>
    <w:rsid w:val="32BB2294"/>
    <w:rsid w:val="32BF2D77"/>
    <w:rsid w:val="32E26A66"/>
    <w:rsid w:val="32E77BD8"/>
    <w:rsid w:val="32FC18D5"/>
    <w:rsid w:val="32FE389F"/>
    <w:rsid w:val="330F50E4"/>
    <w:rsid w:val="331A0480"/>
    <w:rsid w:val="33364352"/>
    <w:rsid w:val="335A49BF"/>
    <w:rsid w:val="335C05C6"/>
    <w:rsid w:val="33637EC3"/>
    <w:rsid w:val="336A3FB7"/>
    <w:rsid w:val="33707BCD"/>
    <w:rsid w:val="3371256C"/>
    <w:rsid w:val="337771AE"/>
    <w:rsid w:val="33AD2BD0"/>
    <w:rsid w:val="33AD7074"/>
    <w:rsid w:val="33B10912"/>
    <w:rsid w:val="33B37295"/>
    <w:rsid w:val="33C8709C"/>
    <w:rsid w:val="33CD6DCE"/>
    <w:rsid w:val="33D20888"/>
    <w:rsid w:val="33D901C8"/>
    <w:rsid w:val="33F80274"/>
    <w:rsid w:val="340B3DCC"/>
    <w:rsid w:val="340F388A"/>
    <w:rsid w:val="34182AA6"/>
    <w:rsid w:val="341964B7"/>
    <w:rsid w:val="343155AF"/>
    <w:rsid w:val="343E1A7A"/>
    <w:rsid w:val="34572B3B"/>
    <w:rsid w:val="34595660"/>
    <w:rsid w:val="34755000"/>
    <w:rsid w:val="347B4A7C"/>
    <w:rsid w:val="347F41D9"/>
    <w:rsid w:val="348222AE"/>
    <w:rsid w:val="34967B08"/>
    <w:rsid w:val="34970741"/>
    <w:rsid w:val="34A2025B"/>
    <w:rsid w:val="34A42225"/>
    <w:rsid w:val="34A64C33"/>
    <w:rsid w:val="34D4418C"/>
    <w:rsid w:val="34D523DE"/>
    <w:rsid w:val="34E67020"/>
    <w:rsid w:val="34E70363"/>
    <w:rsid w:val="34F8431E"/>
    <w:rsid w:val="34FB5BBD"/>
    <w:rsid w:val="34FC1F63"/>
    <w:rsid w:val="350039D6"/>
    <w:rsid w:val="35016274"/>
    <w:rsid w:val="35020CF9"/>
    <w:rsid w:val="3505165F"/>
    <w:rsid w:val="35141C21"/>
    <w:rsid w:val="351C625F"/>
    <w:rsid w:val="351F5D4F"/>
    <w:rsid w:val="35242AF7"/>
    <w:rsid w:val="35272229"/>
    <w:rsid w:val="352814BA"/>
    <w:rsid w:val="35284C04"/>
    <w:rsid w:val="35292F17"/>
    <w:rsid w:val="35490860"/>
    <w:rsid w:val="35700359"/>
    <w:rsid w:val="35717C54"/>
    <w:rsid w:val="357D0A8C"/>
    <w:rsid w:val="35831E3A"/>
    <w:rsid w:val="35835CB0"/>
    <w:rsid w:val="359A627E"/>
    <w:rsid w:val="359B1211"/>
    <w:rsid w:val="35A973C7"/>
    <w:rsid w:val="35B17FEC"/>
    <w:rsid w:val="35B20971"/>
    <w:rsid w:val="35B801E4"/>
    <w:rsid w:val="35C505F0"/>
    <w:rsid w:val="35C72C49"/>
    <w:rsid w:val="35C80195"/>
    <w:rsid w:val="35D94150"/>
    <w:rsid w:val="35DA717D"/>
    <w:rsid w:val="35DC779C"/>
    <w:rsid w:val="35E473E2"/>
    <w:rsid w:val="35FA48FF"/>
    <w:rsid w:val="360F1920"/>
    <w:rsid w:val="361C4B7B"/>
    <w:rsid w:val="361E6007"/>
    <w:rsid w:val="362178A5"/>
    <w:rsid w:val="363B0D71"/>
    <w:rsid w:val="36462E68"/>
    <w:rsid w:val="36735060"/>
    <w:rsid w:val="3679148F"/>
    <w:rsid w:val="367B5207"/>
    <w:rsid w:val="369167D9"/>
    <w:rsid w:val="36B14785"/>
    <w:rsid w:val="36C7044C"/>
    <w:rsid w:val="36D05553"/>
    <w:rsid w:val="36D839FB"/>
    <w:rsid w:val="36D8497A"/>
    <w:rsid w:val="36F6488E"/>
    <w:rsid w:val="36F9612C"/>
    <w:rsid w:val="36FA4EEB"/>
    <w:rsid w:val="36FC6348"/>
    <w:rsid w:val="37076A9B"/>
    <w:rsid w:val="37227431"/>
    <w:rsid w:val="37362EDC"/>
    <w:rsid w:val="373D426B"/>
    <w:rsid w:val="3744085D"/>
    <w:rsid w:val="37736D1E"/>
    <w:rsid w:val="37781747"/>
    <w:rsid w:val="377D1FF4"/>
    <w:rsid w:val="37850378"/>
    <w:rsid w:val="37864AFA"/>
    <w:rsid w:val="378E2D18"/>
    <w:rsid w:val="379C71E3"/>
    <w:rsid w:val="37A12A4B"/>
    <w:rsid w:val="37A147F9"/>
    <w:rsid w:val="37B207B5"/>
    <w:rsid w:val="37C36E66"/>
    <w:rsid w:val="37C60704"/>
    <w:rsid w:val="37CE75B8"/>
    <w:rsid w:val="37CF2144"/>
    <w:rsid w:val="37DE3B74"/>
    <w:rsid w:val="37E361C3"/>
    <w:rsid w:val="37E53998"/>
    <w:rsid w:val="37E82428"/>
    <w:rsid w:val="37F304FA"/>
    <w:rsid w:val="38066D52"/>
    <w:rsid w:val="382673F4"/>
    <w:rsid w:val="38285B52"/>
    <w:rsid w:val="38313A78"/>
    <w:rsid w:val="383C09C6"/>
    <w:rsid w:val="384653A1"/>
    <w:rsid w:val="384A034B"/>
    <w:rsid w:val="384A7212"/>
    <w:rsid w:val="38545D10"/>
    <w:rsid w:val="387243E8"/>
    <w:rsid w:val="38795776"/>
    <w:rsid w:val="3894435E"/>
    <w:rsid w:val="389600D6"/>
    <w:rsid w:val="38983E4E"/>
    <w:rsid w:val="38A04AB1"/>
    <w:rsid w:val="38A05EC7"/>
    <w:rsid w:val="38AF1198"/>
    <w:rsid w:val="38AF73EA"/>
    <w:rsid w:val="38B9690B"/>
    <w:rsid w:val="38BD5663"/>
    <w:rsid w:val="38C20ECB"/>
    <w:rsid w:val="38C22C79"/>
    <w:rsid w:val="38CC1D03"/>
    <w:rsid w:val="38D174C9"/>
    <w:rsid w:val="38DD3F57"/>
    <w:rsid w:val="38DF50B3"/>
    <w:rsid w:val="38E10F32"/>
    <w:rsid w:val="38E2331B"/>
    <w:rsid w:val="390F1C37"/>
    <w:rsid w:val="39142786"/>
    <w:rsid w:val="392A6C55"/>
    <w:rsid w:val="393B551F"/>
    <w:rsid w:val="39443B39"/>
    <w:rsid w:val="395018F6"/>
    <w:rsid w:val="395D0BF4"/>
    <w:rsid w:val="395F1248"/>
    <w:rsid w:val="3962445C"/>
    <w:rsid w:val="39777F17"/>
    <w:rsid w:val="397D1296"/>
    <w:rsid w:val="3986639D"/>
    <w:rsid w:val="39921F91"/>
    <w:rsid w:val="39924D42"/>
    <w:rsid w:val="39981C2C"/>
    <w:rsid w:val="399B77CA"/>
    <w:rsid w:val="399F2FBB"/>
    <w:rsid w:val="39B90629"/>
    <w:rsid w:val="39BD1693"/>
    <w:rsid w:val="39BD78E5"/>
    <w:rsid w:val="39C26CA9"/>
    <w:rsid w:val="39E62997"/>
    <w:rsid w:val="39E9692C"/>
    <w:rsid w:val="39FA6443"/>
    <w:rsid w:val="3A054EAE"/>
    <w:rsid w:val="3A104469"/>
    <w:rsid w:val="3A137505"/>
    <w:rsid w:val="3A190FBF"/>
    <w:rsid w:val="3A210CE6"/>
    <w:rsid w:val="3A257964"/>
    <w:rsid w:val="3A3E27D3"/>
    <w:rsid w:val="3A483652"/>
    <w:rsid w:val="3A4F678F"/>
    <w:rsid w:val="3A5169AB"/>
    <w:rsid w:val="3A52627F"/>
    <w:rsid w:val="3A54375A"/>
    <w:rsid w:val="3A5807D1"/>
    <w:rsid w:val="3A5C70FE"/>
    <w:rsid w:val="3A661D2A"/>
    <w:rsid w:val="3A7B5195"/>
    <w:rsid w:val="3A8275B3"/>
    <w:rsid w:val="3A856654"/>
    <w:rsid w:val="3AB94550"/>
    <w:rsid w:val="3AC448FF"/>
    <w:rsid w:val="3AC70A1B"/>
    <w:rsid w:val="3ACE7FFB"/>
    <w:rsid w:val="3ACF4AE8"/>
    <w:rsid w:val="3AEC11B5"/>
    <w:rsid w:val="3AEC222F"/>
    <w:rsid w:val="3AF26584"/>
    <w:rsid w:val="3B043A1D"/>
    <w:rsid w:val="3B0E664A"/>
    <w:rsid w:val="3B3911ED"/>
    <w:rsid w:val="3B3B4F65"/>
    <w:rsid w:val="3B3E6803"/>
    <w:rsid w:val="3B4103CD"/>
    <w:rsid w:val="3B471B5C"/>
    <w:rsid w:val="3B474590"/>
    <w:rsid w:val="3B4756B8"/>
    <w:rsid w:val="3B651FE2"/>
    <w:rsid w:val="3B7137D9"/>
    <w:rsid w:val="3B7304D5"/>
    <w:rsid w:val="3B814510"/>
    <w:rsid w:val="3B822661"/>
    <w:rsid w:val="3B874CA8"/>
    <w:rsid w:val="3B936B4F"/>
    <w:rsid w:val="3B967BC8"/>
    <w:rsid w:val="3BA26D92"/>
    <w:rsid w:val="3BA70FA5"/>
    <w:rsid w:val="3BAC5E63"/>
    <w:rsid w:val="3BAE7C66"/>
    <w:rsid w:val="3BCD0DCE"/>
    <w:rsid w:val="3BE63123"/>
    <w:rsid w:val="3BED44B1"/>
    <w:rsid w:val="3C1A2DCC"/>
    <w:rsid w:val="3C746980"/>
    <w:rsid w:val="3C7626F9"/>
    <w:rsid w:val="3C7921E9"/>
    <w:rsid w:val="3C7A386B"/>
    <w:rsid w:val="3C856D82"/>
    <w:rsid w:val="3CB13731"/>
    <w:rsid w:val="3CB36439"/>
    <w:rsid w:val="3CB66843"/>
    <w:rsid w:val="3CB716C0"/>
    <w:rsid w:val="3CBF4BC3"/>
    <w:rsid w:val="3CC3186F"/>
    <w:rsid w:val="3CCA6B71"/>
    <w:rsid w:val="3CCC06E9"/>
    <w:rsid w:val="3CD814AD"/>
    <w:rsid w:val="3CDC5044"/>
    <w:rsid w:val="3CE5162C"/>
    <w:rsid w:val="3CE5587C"/>
    <w:rsid w:val="3CF655E7"/>
    <w:rsid w:val="3CFE7D2F"/>
    <w:rsid w:val="3D112421"/>
    <w:rsid w:val="3D620019"/>
    <w:rsid w:val="3D632551"/>
    <w:rsid w:val="3D6759D2"/>
    <w:rsid w:val="3D6F3CD1"/>
    <w:rsid w:val="3D711112"/>
    <w:rsid w:val="3D8726E3"/>
    <w:rsid w:val="3D874ACB"/>
    <w:rsid w:val="3D9267FC"/>
    <w:rsid w:val="3D9A41C5"/>
    <w:rsid w:val="3D9F5C7F"/>
    <w:rsid w:val="3DA11B91"/>
    <w:rsid w:val="3DAA0180"/>
    <w:rsid w:val="3DBF44D4"/>
    <w:rsid w:val="3DD551FD"/>
    <w:rsid w:val="3DDE0F59"/>
    <w:rsid w:val="3DE25B6C"/>
    <w:rsid w:val="3DE6565C"/>
    <w:rsid w:val="3DEA67CE"/>
    <w:rsid w:val="3DF06474"/>
    <w:rsid w:val="3DF66D78"/>
    <w:rsid w:val="3DF87516"/>
    <w:rsid w:val="3DFC6C2D"/>
    <w:rsid w:val="3E021BD6"/>
    <w:rsid w:val="3E263CAA"/>
    <w:rsid w:val="3E2D5039"/>
    <w:rsid w:val="3E377C66"/>
    <w:rsid w:val="3E3E7246"/>
    <w:rsid w:val="3E441727"/>
    <w:rsid w:val="3E4573F0"/>
    <w:rsid w:val="3E4660FB"/>
    <w:rsid w:val="3E506F79"/>
    <w:rsid w:val="3E5959D1"/>
    <w:rsid w:val="3E643E6A"/>
    <w:rsid w:val="3E646581"/>
    <w:rsid w:val="3E692C67"/>
    <w:rsid w:val="3E7964D0"/>
    <w:rsid w:val="3E820D6F"/>
    <w:rsid w:val="3E88226F"/>
    <w:rsid w:val="3E9B5F83"/>
    <w:rsid w:val="3E9E58CA"/>
    <w:rsid w:val="3EBF52F9"/>
    <w:rsid w:val="3ECB08D6"/>
    <w:rsid w:val="3ED03C16"/>
    <w:rsid w:val="3EF76F56"/>
    <w:rsid w:val="3EFB6EE5"/>
    <w:rsid w:val="3EFC2C5D"/>
    <w:rsid w:val="3F073ADC"/>
    <w:rsid w:val="3F122481"/>
    <w:rsid w:val="3F1955BD"/>
    <w:rsid w:val="3F312907"/>
    <w:rsid w:val="3F373C95"/>
    <w:rsid w:val="3F5E2ED3"/>
    <w:rsid w:val="3F6E7574"/>
    <w:rsid w:val="3FB84DD6"/>
    <w:rsid w:val="3FB90C6E"/>
    <w:rsid w:val="3FC01EDD"/>
    <w:rsid w:val="3FE57DC9"/>
    <w:rsid w:val="3FF21887"/>
    <w:rsid w:val="40074D14"/>
    <w:rsid w:val="40104C12"/>
    <w:rsid w:val="40216A50"/>
    <w:rsid w:val="403B73E2"/>
    <w:rsid w:val="403E5587"/>
    <w:rsid w:val="40413E86"/>
    <w:rsid w:val="40782BB5"/>
    <w:rsid w:val="407D6153"/>
    <w:rsid w:val="40864196"/>
    <w:rsid w:val="408B3D18"/>
    <w:rsid w:val="40BC4452"/>
    <w:rsid w:val="40D35740"/>
    <w:rsid w:val="40DB29AD"/>
    <w:rsid w:val="40DF6392"/>
    <w:rsid w:val="40E4515D"/>
    <w:rsid w:val="40E8793D"/>
    <w:rsid w:val="40FE2CBD"/>
    <w:rsid w:val="41033B9B"/>
    <w:rsid w:val="41286C44"/>
    <w:rsid w:val="41384420"/>
    <w:rsid w:val="414C1C7A"/>
    <w:rsid w:val="41543A22"/>
    <w:rsid w:val="415648A7"/>
    <w:rsid w:val="41654AEA"/>
    <w:rsid w:val="41681E7A"/>
    <w:rsid w:val="41742F7F"/>
    <w:rsid w:val="417D488E"/>
    <w:rsid w:val="417D61FB"/>
    <w:rsid w:val="417E750A"/>
    <w:rsid w:val="41817A57"/>
    <w:rsid w:val="41892EE4"/>
    <w:rsid w:val="418D4040"/>
    <w:rsid w:val="418E1EFA"/>
    <w:rsid w:val="418E3FCE"/>
    <w:rsid w:val="41942815"/>
    <w:rsid w:val="419A3FAE"/>
    <w:rsid w:val="419E624E"/>
    <w:rsid w:val="41AB5238"/>
    <w:rsid w:val="41D03EDA"/>
    <w:rsid w:val="41D626A7"/>
    <w:rsid w:val="41E023C2"/>
    <w:rsid w:val="41E20469"/>
    <w:rsid w:val="41E41EB2"/>
    <w:rsid w:val="41F36599"/>
    <w:rsid w:val="41F8770C"/>
    <w:rsid w:val="421B164C"/>
    <w:rsid w:val="422B01D6"/>
    <w:rsid w:val="424233D5"/>
    <w:rsid w:val="42497F67"/>
    <w:rsid w:val="424E7922"/>
    <w:rsid w:val="424F183F"/>
    <w:rsid w:val="42506835"/>
    <w:rsid w:val="425608D6"/>
    <w:rsid w:val="425F778B"/>
    <w:rsid w:val="4262727B"/>
    <w:rsid w:val="427146DB"/>
    <w:rsid w:val="4286740D"/>
    <w:rsid w:val="428E1E1E"/>
    <w:rsid w:val="4294122E"/>
    <w:rsid w:val="429A4C67"/>
    <w:rsid w:val="429D02B3"/>
    <w:rsid w:val="42A653BA"/>
    <w:rsid w:val="42A933F4"/>
    <w:rsid w:val="42E44134"/>
    <w:rsid w:val="42ED123B"/>
    <w:rsid w:val="42F44377"/>
    <w:rsid w:val="42F75C15"/>
    <w:rsid w:val="42FE40ED"/>
    <w:rsid w:val="430A11BE"/>
    <w:rsid w:val="43100A85"/>
    <w:rsid w:val="431247FD"/>
    <w:rsid w:val="43257CFD"/>
    <w:rsid w:val="432A39CC"/>
    <w:rsid w:val="43394480"/>
    <w:rsid w:val="43397FDC"/>
    <w:rsid w:val="43417856"/>
    <w:rsid w:val="43525542"/>
    <w:rsid w:val="435B576A"/>
    <w:rsid w:val="43615785"/>
    <w:rsid w:val="436438EC"/>
    <w:rsid w:val="438324EF"/>
    <w:rsid w:val="438356FB"/>
    <w:rsid w:val="43A062AD"/>
    <w:rsid w:val="43B55488"/>
    <w:rsid w:val="43BF6DCD"/>
    <w:rsid w:val="43DB00E0"/>
    <w:rsid w:val="43FE4842"/>
    <w:rsid w:val="44006D4C"/>
    <w:rsid w:val="44024872"/>
    <w:rsid w:val="44114AB5"/>
    <w:rsid w:val="441403C0"/>
    <w:rsid w:val="441D19B0"/>
    <w:rsid w:val="4436451B"/>
    <w:rsid w:val="443A7A13"/>
    <w:rsid w:val="44481C03"/>
    <w:rsid w:val="44550E45"/>
    <w:rsid w:val="445B1E31"/>
    <w:rsid w:val="445B21D4"/>
    <w:rsid w:val="44623562"/>
    <w:rsid w:val="447F4081"/>
    <w:rsid w:val="447F5EC2"/>
    <w:rsid w:val="4488746D"/>
    <w:rsid w:val="448F3867"/>
    <w:rsid w:val="44977AA4"/>
    <w:rsid w:val="449B0822"/>
    <w:rsid w:val="449C6A74"/>
    <w:rsid w:val="44A32D3E"/>
    <w:rsid w:val="44A973E3"/>
    <w:rsid w:val="44B244EA"/>
    <w:rsid w:val="44BA514C"/>
    <w:rsid w:val="44D53D34"/>
    <w:rsid w:val="44D77EF0"/>
    <w:rsid w:val="44E855C1"/>
    <w:rsid w:val="44EF6789"/>
    <w:rsid w:val="44F763A1"/>
    <w:rsid w:val="45013B88"/>
    <w:rsid w:val="450261CD"/>
    <w:rsid w:val="452151CC"/>
    <w:rsid w:val="45333720"/>
    <w:rsid w:val="453C7189"/>
    <w:rsid w:val="454B049A"/>
    <w:rsid w:val="45505AB1"/>
    <w:rsid w:val="45603F46"/>
    <w:rsid w:val="456F7CFB"/>
    <w:rsid w:val="45765517"/>
    <w:rsid w:val="45833892"/>
    <w:rsid w:val="45863281"/>
    <w:rsid w:val="458D2AE2"/>
    <w:rsid w:val="458F0387"/>
    <w:rsid w:val="458F482B"/>
    <w:rsid w:val="459B6204"/>
    <w:rsid w:val="45A007E6"/>
    <w:rsid w:val="45AC0F39"/>
    <w:rsid w:val="45B222C8"/>
    <w:rsid w:val="45B55914"/>
    <w:rsid w:val="45B918A8"/>
    <w:rsid w:val="45B95404"/>
    <w:rsid w:val="45C344D5"/>
    <w:rsid w:val="45D64208"/>
    <w:rsid w:val="45EC3A2B"/>
    <w:rsid w:val="45EF0E26"/>
    <w:rsid w:val="45F428E0"/>
    <w:rsid w:val="45FE72BB"/>
    <w:rsid w:val="460D74FE"/>
    <w:rsid w:val="46151CE8"/>
    <w:rsid w:val="4624601B"/>
    <w:rsid w:val="462A4554"/>
    <w:rsid w:val="462F3918"/>
    <w:rsid w:val="463827CD"/>
    <w:rsid w:val="46492AAA"/>
    <w:rsid w:val="464D6A35"/>
    <w:rsid w:val="4655232A"/>
    <w:rsid w:val="465E0864"/>
    <w:rsid w:val="4665149E"/>
    <w:rsid w:val="4665733A"/>
    <w:rsid w:val="4674757D"/>
    <w:rsid w:val="46815A7F"/>
    <w:rsid w:val="46935C55"/>
    <w:rsid w:val="46B207D1"/>
    <w:rsid w:val="46B300A5"/>
    <w:rsid w:val="46BA7686"/>
    <w:rsid w:val="46BC1650"/>
    <w:rsid w:val="46C35681"/>
    <w:rsid w:val="46C6602A"/>
    <w:rsid w:val="46D149CF"/>
    <w:rsid w:val="46E95941"/>
    <w:rsid w:val="46EE732F"/>
    <w:rsid w:val="46F661E4"/>
    <w:rsid w:val="4705013F"/>
    <w:rsid w:val="47063A4D"/>
    <w:rsid w:val="471F1BDF"/>
    <w:rsid w:val="47204064"/>
    <w:rsid w:val="47271392"/>
    <w:rsid w:val="47332F94"/>
    <w:rsid w:val="473A07C7"/>
    <w:rsid w:val="474F4272"/>
    <w:rsid w:val="47503B46"/>
    <w:rsid w:val="475A6773"/>
    <w:rsid w:val="47613FA5"/>
    <w:rsid w:val="4761585B"/>
    <w:rsid w:val="4767711B"/>
    <w:rsid w:val="47705F96"/>
    <w:rsid w:val="47767FBB"/>
    <w:rsid w:val="477E4B57"/>
    <w:rsid w:val="47811F51"/>
    <w:rsid w:val="47835CCA"/>
    <w:rsid w:val="47965810"/>
    <w:rsid w:val="47BD3EFE"/>
    <w:rsid w:val="481B63E2"/>
    <w:rsid w:val="483A20DA"/>
    <w:rsid w:val="48403BBB"/>
    <w:rsid w:val="484424D9"/>
    <w:rsid w:val="4847103F"/>
    <w:rsid w:val="484767B0"/>
    <w:rsid w:val="48663A33"/>
    <w:rsid w:val="48874AA5"/>
    <w:rsid w:val="489A776F"/>
    <w:rsid w:val="48A464AC"/>
    <w:rsid w:val="48A979B2"/>
    <w:rsid w:val="48B60321"/>
    <w:rsid w:val="48BB1D99"/>
    <w:rsid w:val="48CB1236"/>
    <w:rsid w:val="48D11FAA"/>
    <w:rsid w:val="48D250C5"/>
    <w:rsid w:val="48D9333D"/>
    <w:rsid w:val="48DD51B6"/>
    <w:rsid w:val="48E85443"/>
    <w:rsid w:val="48F13107"/>
    <w:rsid w:val="48F350D1"/>
    <w:rsid w:val="48FD1AAC"/>
    <w:rsid w:val="48FF6D09"/>
    <w:rsid w:val="49050FB9"/>
    <w:rsid w:val="49137FEC"/>
    <w:rsid w:val="4933371F"/>
    <w:rsid w:val="493C4382"/>
    <w:rsid w:val="495D4852"/>
    <w:rsid w:val="496930A0"/>
    <w:rsid w:val="49836455"/>
    <w:rsid w:val="4989333F"/>
    <w:rsid w:val="49920446"/>
    <w:rsid w:val="499A72FA"/>
    <w:rsid w:val="49BC684D"/>
    <w:rsid w:val="49E05655"/>
    <w:rsid w:val="49ED77B7"/>
    <w:rsid w:val="49ED7D72"/>
    <w:rsid w:val="49EF3AEA"/>
    <w:rsid w:val="4A0977B8"/>
    <w:rsid w:val="4A0D21C2"/>
    <w:rsid w:val="4A1F71D6"/>
    <w:rsid w:val="4A2C089A"/>
    <w:rsid w:val="4A360328"/>
    <w:rsid w:val="4A4861AE"/>
    <w:rsid w:val="4A5676C5"/>
    <w:rsid w:val="4A6022F2"/>
    <w:rsid w:val="4A62606A"/>
    <w:rsid w:val="4A767978"/>
    <w:rsid w:val="4A7A0275"/>
    <w:rsid w:val="4A7A5D42"/>
    <w:rsid w:val="4A7A7858"/>
    <w:rsid w:val="4A897A9B"/>
    <w:rsid w:val="4A8C4DC6"/>
    <w:rsid w:val="4A9D3546"/>
    <w:rsid w:val="4AAA6C0E"/>
    <w:rsid w:val="4ABB0937"/>
    <w:rsid w:val="4ABE7E56"/>
    <w:rsid w:val="4AC42386"/>
    <w:rsid w:val="4AC53816"/>
    <w:rsid w:val="4ADB5E1D"/>
    <w:rsid w:val="4ADC161F"/>
    <w:rsid w:val="4AE73B13"/>
    <w:rsid w:val="4AE9678B"/>
    <w:rsid w:val="4AF60694"/>
    <w:rsid w:val="4B013AD5"/>
    <w:rsid w:val="4B0435C5"/>
    <w:rsid w:val="4B296B88"/>
    <w:rsid w:val="4B383F8F"/>
    <w:rsid w:val="4B3D2633"/>
    <w:rsid w:val="4B4340EE"/>
    <w:rsid w:val="4B484514"/>
    <w:rsid w:val="4B5D30A3"/>
    <w:rsid w:val="4B6840F7"/>
    <w:rsid w:val="4B6D116B"/>
    <w:rsid w:val="4B700C5B"/>
    <w:rsid w:val="4B70376A"/>
    <w:rsid w:val="4B75139B"/>
    <w:rsid w:val="4B7F0E9E"/>
    <w:rsid w:val="4B8244EA"/>
    <w:rsid w:val="4BAC4274"/>
    <w:rsid w:val="4BAC7EBB"/>
    <w:rsid w:val="4BB80BD4"/>
    <w:rsid w:val="4BCC799F"/>
    <w:rsid w:val="4BDC009E"/>
    <w:rsid w:val="4C0B6621"/>
    <w:rsid w:val="4C0C485C"/>
    <w:rsid w:val="4C135C51"/>
    <w:rsid w:val="4C1635B0"/>
    <w:rsid w:val="4C3B3017"/>
    <w:rsid w:val="4C4579F1"/>
    <w:rsid w:val="4C5440D8"/>
    <w:rsid w:val="4C5C314D"/>
    <w:rsid w:val="4C5D06B2"/>
    <w:rsid w:val="4C5E0AB3"/>
    <w:rsid w:val="4C6065D9"/>
    <w:rsid w:val="4C686721"/>
    <w:rsid w:val="4C912C37"/>
    <w:rsid w:val="4C9149E5"/>
    <w:rsid w:val="4CA77FB6"/>
    <w:rsid w:val="4CBF59F6"/>
    <w:rsid w:val="4CC21042"/>
    <w:rsid w:val="4CD10909"/>
    <w:rsid w:val="4CD34FFD"/>
    <w:rsid w:val="4CE34CCC"/>
    <w:rsid w:val="4CE6533E"/>
    <w:rsid w:val="4CE76CFB"/>
    <w:rsid w:val="4CF11A96"/>
    <w:rsid w:val="4CF51418"/>
    <w:rsid w:val="4CFF2296"/>
    <w:rsid w:val="4D0E2D62"/>
    <w:rsid w:val="4D106251"/>
    <w:rsid w:val="4D185106"/>
    <w:rsid w:val="4D357BF4"/>
    <w:rsid w:val="4D3B2BA3"/>
    <w:rsid w:val="4D4203D5"/>
    <w:rsid w:val="4D5349B7"/>
    <w:rsid w:val="4D5A11C9"/>
    <w:rsid w:val="4D5B4FF3"/>
    <w:rsid w:val="4D64659D"/>
    <w:rsid w:val="4D663E25"/>
    <w:rsid w:val="4D706CF0"/>
    <w:rsid w:val="4D77007F"/>
    <w:rsid w:val="4D7B7443"/>
    <w:rsid w:val="4D825912"/>
    <w:rsid w:val="4D87403A"/>
    <w:rsid w:val="4DA31497"/>
    <w:rsid w:val="4DA62712"/>
    <w:rsid w:val="4DB106BA"/>
    <w:rsid w:val="4DC4528E"/>
    <w:rsid w:val="4DCC6C2B"/>
    <w:rsid w:val="4DDF5C24"/>
    <w:rsid w:val="4DDF79D2"/>
    <w:rsid w:val="4DE33FEE"/>
    <w:rsid w:val="4DEE4A39"/>
    <w:rsid w:val="4DF110C4"/>
    <w:rsid w:val="4DFB6F66"/>
    <w:rsid w:val="4E015B9A"/>
    <w:rsid w:val="4E086F29"/>
    <w:rsid w:val="4E09413B"/>
    <w:rsid w:val="4E0B6A19"/>
    <w:rsid w:val="4E1542CD"/>
    <w:rsid w:val="4E1A7EED"/>
    <w:rsid w:val="4E235B10"/>
    <w:rsid w:val="4E2A50F1"/>
    <w:rsid w:val="4E3161FF"/>
    <w:rsid w:val="4E3C6BD2"/>
    <w:rsid w:val="4E404914"/>
    <w:rsid w:val="4E772300"/>
    <w:rsid w:val="4E7B44C1"/>
    <w:rsid w:val="4E7B76FB"/>
    <w:rsid w:val="4E7D549E"/>
    <w:rsid w:val="4E8011B5"/>
    <w:rsid w:val="4E880069"/>
    <w:rsid w:val="4E8F658C"/>
    <w:rsid w:val="4E984750"/>
    <w:rsid w:val="4E9A16B0"/>
    <w:rsid w:val="4EA50661"/>
    <w:rsid w:val="4EB33338"/>
    <w:rsid w:val="4EC10AA6"/>
    <w:rsid w:val="4ECA3CF2"/>
    <w:rsid w:val="4ECC0B5C"/>
    <w:rsid w:val="4EDE7C89"/>
    <w:rsid w:val="4EF1022F"/>
    <w:rsid w:val="4EFE4FDC"/>
    <w:rsid w:val="4F0022F6"/>
    <w:rsid w:val="4F043B94"/>
    <w:rsid w:val="4F251D5C"/>
    <w:rsid w:val="4F376E91"/>
    <w:rsid w:val="4F433BF1"/>
    <w:rsid w:val="4F460F98"/>
    <w:rsid w:val="4F4637CC"/>
    <w:rsid w:val="4F560168"/>
    <w:rsid w:val="4F604B42"/>
    <w:rsid w:val="4F674123"/>
    <w:rsid w:val="4F6939F7"/>
    <w:rsid w:val="4F7439BB"/>
    <w:rsid w:val="4F754A92"/>
    <w:rsid w:val="4F7B673F"/>
    <w:rsid w:val="4F806F93"/>
    <w:rsid w:val="4F903279"/>
    <w:rsid w:val="4F905428"/>
    <w:rsid w:val="4F992060"/>
    <w:rsid w:val="4F9A62A6"/>
    <w:rsid w:val="4FA85ABF"/>
    <w:rsid w:val="4FB07878"/>
    <w:rsid w:val="4FC155E1"/>
    <w:rsid w:val="4FD07EA9"/>
    <w:rsid w:val="4FD81D51"/>
    <w:rsid w:val="4FDC7366"/>
    <w:rsid w:val="4FE37C4D"/>
    <w:rsid w:val="4FE93C6F"/>
    <w:rsid w:val="4FF17A7C"/>
    <w:rsid w:val="4FF17D82"/>
    <w:rsid w:val="4FF421D0"/>
    <w:rsid w:val="501568D4"/>
    <w:rsid w:val="5019541D"/>
    <w:rsid w:val="50243DC2"/>
    <w:rsid w:val="502D765B"/>
    <w:rsid w:val="50330996"/>
    <w:rsid w:val="50354221"/>
    <w:rsid w:val="50504A55"/>
    <w:rsid w:val="506F403E"/>
    <w:rsid w:val="50764389"/>
    <w:rsid w:val="508825A3"/>
    <w:rsid w:val="508A3A3E"/>
    <w:rsid w:val="508F3931"/>
    <w:rsid w:val="509E1DC6"/>
    <w:rsid w:val="50E0418D"/>
    <w:rsid w:val="50F546A4"/>
    <w:rsid w:val="50FB3A85"/>
    <w:rsid w:val="510F5BEA"/>
    <w:rsid w:val="51142088"/>
    <w:rsid w:val="51383FC9"/>
    <w:rsid w:val="513B7615"/>
    <w:rsid w:val="514209A3"/>
    <w:rsid w:val="51451EA1"/>
    <w:rsid w:val="5147420C"/>
    <w:rsid w:val="51534A93"/>
    <w:rsid w:val="517B639D"/>
    <w:rsid w:val="51894824"/>
    <w:rsid w:val="518C60C3"/>
    <w:rsid w:val="519226D4"/>
    <w:rsid w:val="51963715"/>
    <w:rsid w:val="51B00003"/>
    <w:rsid w:val="51BA2C30"/>
    <w:rsid w:val="51C8534D"/>
    <w:rsid w:val="51D07D5D"/>
    <w:rsid w:val="51D3784E"/>
    <w:rsid w:val="51F160FB"/>
    <w:rsid w:val="520143BB"/>
    <w:rsid w:val="52045C59"/>
    <w:rsid w:val="520619D1"/>
    <w:rsid w:val="52081BED"/>
    <w:rsid w:val="520E6AD8"/>
    <w:rsid w:val="52173BDE"/>
    <w:rsid w:val="522956BF"/>
    <w:rsid w:val="52574E2D"/>
    <w:rsid w:val="525F0578"/>
    <w:rsid w:val="52636E23"/>
    <w:rsid w:val="52711649"/>
    <w:rsid w:val="52975115"/>
    <w:rsid w:val="529A1FAF"/>
    <w:rsid w:val="52A15B9E"/>
    <w:rsid w:val="52A667A8"/>
    <w:rsid w:val="52AD14ED"/>
    <w:rsid w:val="52BF2313"/>
    <w:rsid w:val="52C435B1"/>
    <w:rsid w:val="52DB4A67"/>
    <w:rsid w:val="52EA4E4F"/>
    <w:rsid w:val="52EB0BC7"/>
    <w:rsid w:val="530103EA"/>
    <w:rsid w:val="53051C89"/>
    <w:rsid w:val="53130849"/>
    <w:rsid w:val="53135C11"/>
    <w:rsid w:val="531B14AC"/>
    <w:rsid w:val="53452D12"/>
    <w:rsid w:val="534E654C"/>
    <w:rsid w:val="53582700"/>
    <w:rsid w:val="53600DED"/>
    <w:rsid w:val="5369063B"/>
    <w:rsid w:val="538E7ED0"/>
    <w:rsid w:val="538F3C48"/>
    <w:rsid w:val="5391176E"/>
    <w:rsid w:val="53915C12"/>
    <w:rsid w:val="53C27B7A"/>
    <w:rsid w:val="53CB3583"/>
    <w:rsid w:val="53CB6C1B"/>
    <w:rsid w:val="53E06252"/>
    <w:rsid w:val="53EB5322"/>
    <w:rsid w:val="540006A2"/>
    <w:rsid w:val="540240D6"/>
    <w:rsid w:val="54065CB8"/>
    <w:rsid w:val="541C1980"/>
    <w:rsid w:val="541D72D1"/>
    <w:rsid w:val="54212AF2"/>
    <w:rsid w:val="54250A35"/>
    <w:rsid w:val="54300F87"/>
    <w:rsid w:val="54311FCD"/>
    <w:rsid w:val="54316AAD"/>
    <w:rsid w:val="5436078C"/>
    <w:rsid w:val="544B5DC1"/>
    <w:rsid w:val="54554E92"/>
    <w:rsid w:val="54607A2C"/>
    <w:rsid w:val="546A2608"/>
    <w:rsid w:val="5472334E"/>
    <w:rsid w:val="5474450F"/>
    <w:rsid w:val="5483555B"/>
    <w:rsid w:val="54877854"/>
    <w:rsid w:val="54880DC3"/>
    <w:rsid w:val="548C0FB1"/>
    <w:rsid w:val="548E5813"/>
    <w:rsid w:val="549A0AF6"/>
    <w:rsid w:val="54A379AB"/>
    <w:rsid w:val="54AB2D04"/>
    <w:rsid w:val="54AC6661"/>
    <w:rsid w:val="54B308BD"/>
    <w:rsid w:val="54B422B4"/>
    <w:rsid w:val="54BC281B"/>
    <w:rsid w:val="54E16725"/>
    <w:rsid w:val="54E7304B"/>
    <w:rsid w:val="54EA55DA"/>
    <w:rsid w:val="54EA7388"/>
    <w:rsid w:val="54EB3100"/>
    <w:rsid w:val="54FB1595"/>
    <w:rsid w:val="551B5793"/>
    <w:rsid w:val="552D62BB"/>
    <w:rsid w:val="55344AA7"/>
    <w:rsid w:val="55500B36"/>
    <w:rsid w:val="555E38D2"/>
    <w:rsid w:val="55654C60"/>
    <w:rsid w:val="556B3758"/>
    <w:rsid w:val="5576698E"/>
    <w:rsid w:val="55872E29"/>
    <w:rsid w:val="5591600D"/>
    <w:rsid w:val="559674D1"/>
    <w:rsid w:val="55A57753"/>
    <w:rsid w:val="55BA31FE"/>
    <w:rsid w:val="55BA7EEF"/>
    <w:rsid w:val="55C34728"/>
    <w:rsid w:val="55C41CBF"/>
    <w:rsid w:val="55CB540B"/>
    <w:rsid w:val="55CE6CAA"/>
    <w:rsid w:val="55D41DE6"/>
    <w:rsid w:val="55DB4F23"/>
    <w:rsid w:val="55E72F80"/>
    <w:rsid w:val="55F13F1A"/>
    <w:rsid w:val="55F53C2C"/>
    <w:rsid w:val="55FD3133"/>
    <w:rsid w:val="55FD758F"/>
    <w:rsid w:val="55FF6E63"/>
    <w:rsid w:val="56000E28"/>
    <w:rsid w:val="56044479"/>
    <w:rsid w:val="560B12B3"/>
    <w:rsid w:val="561F7C1A"/>
    <w:rsid w:val="562E67F9"/>
    <w:rsid w:val="56327239"/>
    <w:rsid w:val="563C5495"/>
    <w:rsid w:val="56434B55"/>
    <w:rsid w:val="56443940"/>
    <w:rsid w:val="564B3E56"/>
    <w:rsid w:val="565D3B8A"/>
    <w:rsid w:val="5666669C"/>
    <w:rsid w:val="566D0271"/>
    <w:rsid w:val="5676387C"/>
    <w:rsid w:val="568B06F7"/>
    <w:rsid w:val="56BA5480"/>
    <w:rsid w:val="56BE6D1E"/>
    <w:rsid w:val="56CA561A"/>
    <w:rsid w:val="56F42740"/>
    <w:rsid w:val="57016723"/>
    <w:rsid w:val="57026FD2"/>
    <w:rsid w:val="570A5ABF"/>
    <w:rsid w:val="571237ED"/>
    <w:rsid w:val="571E01E8"/>
    <w:rsid w:val="5726041F"/>
    <w:rsid w:val="5731466D"/>
    <w:rsid w:val="573C7C43"/>
    <w:rsid w:val="574627A7"/>
    <w:rsid w:val="576C003B"/>
    <w:rsid w:val="57734F1B"/>
    <w:rsid w:val="57763155"/>
    <w:rsid w:val="57790E97"/>
    <w:rsid w:val="57792C45"/>
    <w:rsid w:val="5780227B"/>
    <w:rsid w:val="578565B3"/>
    <w:rsid w:val="5795733C"/>
    <w:rsid w:val="57AF58B5"/>
    <w:rsid w:val="57B65C47"/>
    <w:rsid w:val="57B97EA1"/>
    <w:rsid w:val="57BA2F2A"/>
    <w:rsid w:val="57BC3348"/>
    <w:rsid w:val="57BD4B8F"/>
    <w:rsid w:val="57BF2D4E"/>
    <w:rsid w:val="57CE0F24"/>
    <w:rsid w:val="57D57E3D"/>
    <w:rsid w:val="57D7775D"/>
    <w:rsid w:val="57D837C4"/>
    <w:rsid w:val="57E24C8E"/>
    <w:rsid w:val="57E26A3C"/>
    <w:rsid w:val="58040325"/>
    <w:rsid w:val="580F5357"/>
    <w:rsid w:val="581110D0"/>
    <w:rsid w:val="58156E12"/>
    <w:rsid w:val="5818420C"/>
    <w:rsid w:val="582E3A30"/>
    <w:rsid w:val="583A7F06"/>
    <w:rsid w:val="58417880"/>
    <w:rsid w:val="584E2691"/>
    <w:rsid w:val="585711D8"/>
    <w:rsid w:val="58613E05"/>
    <w:rsid w:val="58686560"/>
    <w:rsid w:val="587246A0"/>
    <w:rsid w:val="587753D7"/>
    <w:rsid w:val="587F0726"/>
    <w:rsid w:val="588D419D"/>
    <w:rsid w:val="589E5122"/>
    <w:rsid w:val="589F0489"/>
    <w:rsid w:val="58A107EF"/>
    <w:rsid w:val="58AE4B70"/>
    <w:rsid w:val="58B2640F"/>
    <w:rsid w:val="58C93FD9"/>
    <w:rsid w:val="58D36385"/>
    <w:rsid w:val="58ED5699"/>
    <w:rsid w:val="58F92290"/>
    <w:rsid w:val="5903310E"/>
    <w:rsid w:val="591519E0"/>
    <w:rsid w:val="592032E1"/>
    <w:rsid w:val="592941F7"/>
    <w:rsid w:val="592B4413"/>
    <w:rsid w:val="59350F8E"/>
    <w:rsid w:val="59441031"/>
    <w:rsid w:val="594B2841"/>
    <w:rsid w:val="595B4E18"/>
    <w:rsid w:val="59605E6B"/>
    <w:rsid w:val="597605AF"/>
    <w:rsid w:val="59777658"/>
    <w:rsid w:val="59782D8C"/>
    <w:rsid w:val="598F04FE"/>
    <w:rsid w:val="598F6750"/>
    <w:rsid w:val="59AB1DA0"/>
    <w:rsid w:val="59AB25C2"/>
    <w:rsid w:val="59BB12F3"/>
    <w:rsid w:val="59C02DAD"/>
    <w:rsid w:val="59DE3233"/>
    <w:rsid w:val="59E051FD"/>
    <w:rsid w:val="59E358A9"/>
    <w:rsid w:val="5A0E1452"/>
    <w:rsid w:val="5A111C53"/>
    <w:rsid w:val="5A160C1F"/>
    <w:rsid w:val="5A1E1882"/>
    <w:rsid w:val="5A2275C4"/>
    <w:rsid w:val="5A271F03"/>
    <w:rsid w:val="5A3E4E55"/>
    <w:rsid w:val="5A4E296C"/>
    <w:rsid w:val="5A7C50B4"/>
    <w:rsid w:val="5A7D0C9E"/>
    <w:rsid w:val="5AA601F5"/>
    <w:rsid w:val="5AAB75B9"/>
    <w:rsid w:val="5AAE2C06"/>
    <w:rsid w:val="5AB26B9A"/>
    <w:rsid w:val="5ABD4C6C"/>
    <w:rsid w:val="5AC73CC7"/>
    <w:rsid w:val="5AC95C92"/>
    <w:rsid w:val="5AC97A40"/>
    <w:rsid w:val="5AD50438"/>
    <w:rsid w:val="5ADA7E9F"/>
    <w:rsid w:val="5ADC7773"/>
    <w:rsid w:val="5AEB20AC"/>
    <w:rsid w:val="5B063C12"/>
    <w:rsid w:val="5B074A31"/>
    <w:rsid w:val="5B1438BC"/>
    <w:rsid w:val="5B1769FD"/>
    <w:rsid w:val="5B23040F"/>
    <w:rsid w:val="5B2B06FA"/>
    <w:rsid w:val="5B2D7FCE"/>
    <w:rsid w:val="5B4D0D61"/>
    <w:rsid w:val="5B5309E2"/>
    <w:rsid w:val="5B5714EF"/>
    <w:rsid w:val="5B601027"/>
    <w:rsid w:val="5B673690"/>
    <w:rsid w:val="5B6F05E7"/>
    <w:rsid w:val="5B70435F"/>
    <w:rsid w:val="5B765E19"/>
    <w:rsid w:val="5B767BC7"/>
    <w:rsid w:val="5BA26E73"/>
    <w:rsid w:val="5BA33419"/>
    <w:rsid w:val="5BB662BF"/>
    <w:rsid w:val="5BC87CF7"/>
    <w:rsid w:val="5BDB5C7C"/>
    <w:rsid w:val="5BE32D83"/>
    <w:rsid w:val="5BF64864"/>
    <w:rsid w:val="5BF705DC"/>
    <w:rsid w:val="5C013209"/>
    <w:rsid w:val="5C03381B"/>
    <w:rsid w:val="5C043425"/>
    <w:rsid w:val="5C0667B6"/>
    <w:rsid w:val="5C0E6052"/>
    <w:rsid w:val="5C114BA7"/>
    <w:rsid w:val="5C277114"/>
    <w:rsid w:val="5C391924"/>
    <w:rsid w:val="5C473312"/>
    <w:rsid w:val="5C5231EF"/>
    <w:rsid w:val="5C581867"/>
    <w:rsid w:val="5C643EC4"/>
    <w:rsid w:val="5C653798"/>
    <w:rsid w:val="5C6D5130"/>
    <w:rsid w:val="5C7D6786"/>
    <w:rsid w:val="5C983B6D"/>
    <w:rsid w:val="5C9C18B0"/>
    <w:rsid w:val="5CA442C0"/>
    <w:rsid w:val="5CBA3AE4"/>
    <w:rsid w:val="5CBD0CC6"/>
    <w:rsid w:val="5CC42BB4"/>
    <w:rsid w:val="5CD31049"/>
    <w:rsid w:val="5CE46DB3"/>
    <w:rsid w:val="5CF77F7E"/>
    <w:rsid w:val="5CFA2BEB"/>
    <w:rsid w:val="5D0D6309"/>
    <w:rsid w:val="5D110251"/>
    <w:rsid w:val="5D113E7C"/>
    <w:rsid w:val="5D1458EA"/>
    <w:rsid w:val="5D1A0A26"/>
    <w:rsid w:val="5D1F428F"/>
    <w:rsid w:val="5D2111D8"/>
    <w:rsid w:val="5D261179"/>
    <w:rsid w:val="5D380EAD"/>
    <w:rsid w:val="5D3E2C47"/>
    <w:rsid w:val="5D46181B"/>
    <w:rsid w:val="5D4806FF"/>
    <w:rsid w:val="5D5A78D3"/>
    <w:rsid w:val="5D665A1A"/>
    <w:rsid w:val="5D6A3E66"/>
    <w:rsid w:val="5D7875A6"/>
    <w:rsid w:val="5DA56542"/>
    <w:rsid w:val="5DD0013F"/>
    <w:rsid w:val="5DD04BD2"/>
    <w:rsid w:val="5DD92690"/>
    <w:rsid w:val="5DE32AA5"/>
    <w:rsid w:val="5DEF3C61"/>
    <w:rsid w:val="5E0771FD"/>
    <w:rsid w:val="5E086AD1"/>
    <w:rsid w:val="5E134B24"/>
    <w:rsid w:val="5E2C6C63"/>
    <w:rsid w:val="5E337FF2"/>
    <w:rsid w:val="5E391380"/>
    <w:rsid w:val="5E3B2A02"/>
    <w:rsid w:val="5E3F3967"/>
    <w:rsid w:val="5E4F4700"/>
    <w:rsid w:val="5E6048BB"/>
    <w:rsid w:val="5E622BAC"/>
    <w:rsid w:val="5E693A13"/>
    <w:rsid w:val="5E6C52B2"/>
    <w:rsid w:val="5E747880"/>
    <w:rsid w:val="5E90377B"/>
    <w:rsid w:val="5E9A0A2B"/>
    <w:rsid w:val="5E9D3F29"/>
    <w:rsid w:val="5E9D546B"/>
    <w:rsid w:val="5E9E5ED4"/>
    <w:rsid w:val="5E9F5687"/>
    <w:rsid w:val="5EA44A4C"/>
    <w:rsid w:val="5EA507C4"/>
    <w:rsid w:val="5EA92586"/>
    <w:rsid w:val="5EAD2C70"/>
    <w:rsid w:val="5EB153BA"/>
    <w:rsid w:val="5EB72812"/>
    <w:rsid w:val="5EB90D2E"/>
    <w:rsid w:val="5EBE4690"/>
    <w:rsid w:val="5EBE53E1"/>
    <w:rsid w:val="5ED66BCF"/>
    <w:rsid w:val="5EDA66BF"/>
    <w:rsid w:val="5EDA6A91"/>
    <w:rsid w:val="5EE9582C"/>
    <w:rsid w:val="5EEF1CDA"/>
    <w:rsid w:val="5EF77271"/>
    <w:rsid w:val="5F0D0182"/>
    <w:rsid w:val="5F126002"/>
    <w:rsid w:val="5F1F2324"/>
    <w:rsid w:val="5F1F565E"/>
    <w:rsid w:val="5F217E4A"/>
    <w:rsid w:val="5F4673A3"/>
    <w:rsid w:val="5F5555D5"/>
    <w:rsid w:val="5F623641"/>
    <w:rsid w:val="5F6661A5"/>
    <w:rsid w:val="5F69359F"/>
    <w:rsid w:val="5F702B80"/>
    <w:rsid w:val="5F7F7267"/>
    <w:rsid w:val="5F817F7B"/>
    <w:rsid w:val="5F9D5A5D"/>
    <w:rsid w:val="5F9F5213"/>
    <w:rsid w:val="5FB17ABC"/>
    <w:rsid w:val="5FC133DB"/>
    <w:rsid w:val="5FC8476A"/>
    <w:rsid w:val="5FD27396"/>
    <w:rsid w:val="5FD274EE"/>
    <w:rsid w:val="5FDD7FD1"/>
    <w:rsid w:val="5FE80DAB"/>
    <w:rsid w:val="5FF67529"/>
    <w:rsid w:val="60160085"/>
    <w:rsid w:val="60194FC5"/>
    <w:rsid w:val="603218A9"/>
    <w:rsid w:val="60367925"/>
    <w:rsid w:val="603E2C7E"/>
    <w:rsid w:val="60490780"/>
    <w:rsid w:val="6062696C"/>
    <w:rsid w:val="60787F3E"/>
    <w:rsid w:val="608B7F65"/>
    <w:rsid w:val="60934D78"/>
    <w:rsid w:val="60A76A75"/>
    <w:rsid w:val="60BB748E"/>
    <w:rsid w:val="60D056F4"/>
    <w:rsid w:val="60D94755"/>
    <w:rsid w:val="60F1342B"/>
    <w:rsid w:val="610709AB"/>
    <w:rsid w:val="61152DC7"/>
    <w:rsid w:val="61283090"/>
    <w:rsid w:val="613A51F3"/>
    <w:rsid w:val="614E0FA6"/>
    <w:rsid w:val="615362B5"/>
    <w:rsid w:val="61581B1D"/>
    <w:rsid w:val="6171237D"/>
    <w:rsid w:val="6171498D"/>
    <w:rsid w:val="61730D44"/>
    <w:rsid w:val="61923281"/>
    <w:rsid w:val="619D5782"/>
    <w:rsid w:val="619F6EA3"/>
    <w:rsid w:val="61B15F77"/>
    <w:rsid w:val="61BB78FB"/>
    <w:rsid w:val="61BC20AC"/>
    <w:rsid w:val="61D2367E"/>
    <w:rsid w:val="61D513C0"/>
    <w:rsid w:val="61E810F3"/>
    <w:rsid w:val="61F00415"/>
    <w:rsid w:val="61F45CEA"/>
    <w:rsid w:val="61FC4B9F"/>
    <w:rsid w:val="61FC5B21"/>
    <w:rsid w:val="62092E18"/>
    <w:rsid w:val="621427D7"/>
    <w:rsid w:val="621A5025"/>
    <w:rsid w:val="623B56C7"/>
    <w:rsid w:val="6247406C"/>
    <w:rsid w:val="62685D90"/>
    <w:rsid w:val="626D33A6"/>
    <w:rsid w:val="62917095"/>
    <w:rsid w:val="6293321D"/>
    <w:rsid w:val="62A25746"/>
    <w:rsid w:val="62A85F07"/>
    <w:rsid w:val="62A9226E"/>
    <w:rsid w:val="62B17737"/>
    <w:rsid w:val="62C16EF1"/>
    <w:rsid w:val="62CE062A"/>
    <w:rsid w:val="62DB6486"/>
    <w:rsid w:val="62E10E21"/>
    <w:rsid w:val="62E736C8"/>
    <w:rsid w:val="62F43095"/>
    <w:rsid w:val="62F87114"/>
    <w:rsid w:val="63147CC6"/>
    <w:rsid w:val="632E0D88"/>
    <w:rsid w:val="632E2B36"/>
    <w:rsid w:val="63332788"/>
    <w:rsid w:val="63422A85"/>
    <w:rsid w:val="63536A40"/>
    <w:rsid w:val="636B3D8A"/>
    <w:rsid w:val="638C3D00"/>
    <w:rsid w:val="63BC2837"/>
    <w:rsid w:val="63F06720"/>
    <w:rsid w:val="63F21DB5"/>
    <w:rsid w:val="63F55C10"/>
    <w:rsid w:val="63FE69AC"/>
    <w:rsid w:val="64013800"/>
    <w:rsid w:val="64155AA4"/>
    <w:rsid w:val="641644E4"/>
    <w:rsid w:val="64294449"/>
    <w:rsid w:val="642E63A7"/>
    <w:rsid w:val="64370110"/>
    <w:rsid w:val="64432611"/>
    <w:rsid w:val="6445580E"/>
    <w:rsid w:val="644764EB"/>
    <w:rsid w:val="644C3BBB"/>
    <w:rsid w:val="644F0FB6"/>
    <w:rsid w:val="648869AC"/>
    <w:rsid w:val="649E1F3D"/>
    <w:rsid w:val="64A31301"/>
    <w:rsid w:val="64A32714"/>
    <w:rsid w:val="64C32BF9"/>
    <w:rsid w:val="64C73242"/>
    <w:rsid w:val="64CD1105"/>
    <w:rsid w:val="64D016E2"/>
    <w:rsid w:val="64D4595F"/>
    <w:rsid w:val="64D70FAB"/>
    <w:rsid w:val="65024493"/>
    <w:rsid w:val="650B1684"/>
    <w:rsid w:val="6511270F"/>
    <w:rsid w:val="65167D25"/>
    <w:rsid w:val="651F72E3"/>
    <w:rsid w:val="652266CA"/>
    <w:rsid w:val="652D6F8B"/>
    <w:rsid w:val="653B3C30"/>
    <w:rsid w:val="655D5D62"/>
    <w:rsid w:val="65903416"/>
    <w:rsid w:val="65AD3D80"/>
    <w:rsid w:val="65B37C6A"/>
    <w:rsid w:val="65BD4645"/>
    <w:rsid w:val="65DF280D"/>
    <w:rsid w:val="65F91B21"/>
    <w:rsid w:val="660D2ED6"/>
    <w:rsid w:val="66151390"/>
    <w:rsid w:val="66154481"/>
    <w:rsid w:val="66157FDD"/>
    <w:rsid w:val="66214BD4"/>
    <w:rsid w:val="66304E17"/>
    <w:rsid w:val="66536C8E"/>
    <w:rsid w:val="66544FA9"/>
    <w:rsid w:val="665A1E94"/>
    <w:rsid w:val="665A7958"/>
    <w:rsid w:val="665F74AA"/>
    <w:rsid w:val="667A54D2"/>
    <w:rsid w:val="667F0B62"/>
    <w:rsid w:val="66827145"/>
    <w:rsid w:val="66AB2855"/>
    <w:rsid w:val="66BE68C6"/>
    <w:rsid w:val="66D87988"/>
    <w:rsid w:val="66DC0AFB"/>
    <w:rsid w:val="66E96069"/>
    <w:rsid w:val="66F24337"/>
    <w:rsid w:val="66F9345B"/>
    <w:rsid w:val="66FC0AB7"/>
    <w:rsid w:val="67167EA1"/>
    <w:rsid w:val="6719576B"/>
    <w:rsid w:val="672524A2"/>
    <w:rsid w:val="6729270E"/>
    <w:rsid w:val="672F50CE"/>
    <w:rsid w:val="67340937"/>
    <w:rsid w:val="674A094A"/>
    <w:rsid w:val="6759039D"/>
    <w:rsid w:val="67635F5D"/>
    <w:rsid w:val="67642FCA"/>
    <w:rsid w:val="677F7E04"/>
    <w:rsid w:val="679F4002"/>
    <w:rsid w:val="67A43B02"/>
    <w:rsid w:val="67AF51CF"/>
    <w:rsid w:val="67B11F87"/>
    <w:rsid w:val="67BC2E06"/>
    <w:rsid w:val="67BD2A93"/>
    <w:rsid w:val="67C43A69"/>
    <w:rsid w:val="67CC7EE1"/>
    <w:rsid w:val="67D0240D"/>
    <w:rsid w:val="67D7684F"/>
    <w:rsid w:val="67E81E4D"/>
    <w:rsid w:val="67EB5499"/>
    <w:rsid w:val="67F0485E"/>
    <w:rsid w:val="67F508D2"/>
    <w:rsid w:val="680447AD"/>
    <w:rsid w:val="680C2E0D"/>
    <w:rsid w:val="680E1188"/>
    <w:rsid w:val="68112A26"/>
    <w:rsid w:val="682540A2"/>
    <w:rsid w:val="683F78EE"/>
    <w:rsid w:val="68600CBA"/>
    <w:rsid w:val="68615288"/>
    <w:rsid w:val="68721717"/>
    <w:rsid w:val="68757459"/>
    <w:rsid w:val="688106AF"/>
    <w:rsid w:val="688A2F04"/>
    <w:rsid w:val="689273C2"/>
    <w:rsid w:val="68A13644"/>
    <w:rsid w:val="68B97345"/>
    <w:rsid w:val="68BA4779"/>
    <w:rsid w:val="68BC5088"/>
    <w:rsid w:val="68D51363"/>
    <w:rsid w:val="68D73C6F"/>
    <w:rsid w:val="68D75A1D"/>
    <w:rsid w:val="68D93544"/>
    <w:rsid w:val="68DE6DAC"/>
    <w:rsid w:val="68F22857"/>
    <w:rsid w:val="690F3409"/>
    <w:rsid w:val="69121984"/>
    <w:rsid w:val="691926A0"/>
    <w:rsid w:val="691E7FBD"/>
    <w:rsid w:val="69205616"/>
    <w:rsid w:val="69431305"/>
    <w:rsid w:val="697274F4"/>
    <w:rsid w:val="69747710"/>
    <w:rsid w:val="697919C0"/>
    <w:rsid w:val="697B45FB"/>
    <w:rsid w:val="699737B3"/>
    <w:rsid w:val="699B6A4B"/>
    <w:rsid w:val="69A521C6"/>
    <w:rsid w:val="69AA3132"/>
    <w:rsid w:val="69C04704"/>
    <w:rsid w:val="69C21D45"/>
    <w:rsid w:val="69C25A0D"/>
    <w:rsid w:val="69CF67F1"/>
    <w:rsid w:val="69D81A4D"/>
    <w:rsid w:val="69E421A0"/>
    <w:rsid w:val="69EC0E79"/>
    <w:rsid w:val="69F521CD"/>
    <w:rsid w:val="69F66F81"/>
    <w:rsid w:val="69FB0F56"/>
    <w:rsid w:val="6A050368"/>
    <w:rsid w:val="6A060CA6"/>
    <w:rsid w:val="6A0942FC"/>
    <w:rsid w:val="6A303637"/>
    <w:rsid w:val="6A320BDA"/>
    <w:rsid w:val="6A7259FE"/>
    <w:rsid w:val="6A7D43A3"/>
    <w:rsid w:val="6A8076B2"/>
    <w:rsid w:val="6A995680"/>
    <w:rsid w:val="6AAE3844"/>
    <w:rsid w:val="6AB44A88"/>
    <w:rsid w:val="6AB94C23"/>
    <w:rsid w:val="6ABA1153"/>
    <w:rsid w:val="6ABC1B13"/>
    <w:rsid w:val="6AD40467"/>
    <w:rsid w:val="6AE25F2E"/>
    <w:rsid w:val="6AE34B4E"/>
    <w:rsid w:val="6AF26B3F"/>
    <w:rsid w:val="6AF87D93"/>
    <w:rsid w:val="6AF92B4D"/>
    <w:rsid w:val="6AFB3C45"/>
    <w:rsid w:val="6AFE7291"/>
    <w:rsid w:val="6B0574A6"/>
    <w:rsid w:val="6B2D7B77"/>
    <w:rsid w:val="6B323269"/>
    <w:rsid w:val="6B3929BF"/>
    <w:rsid w:val="6B4849B1"/>
    <w:rsid w:val="6B4F70C5"/>
    <w:rsid w:val="6B5275DD"/>
    <w:rsid w:val="6B5578A2"/>
    <w:rsid w:val="6B5A42D3"/>
    <w:rsid w:val="6B7B70C7"/>
    <w:rsid w:val="6B905A67"/>
    <w:rsid w:val="6B99345E"/>
    <w:rsid w:val="6BA60212"/>
    <w:rsid w:val="6BA8793F"/>
    <w:rsid w:val="6BA918F3"/>
    <w:rsid w:val="6BAD32AD"/>
    <w:rsid w:val="6BB54465"/>
    <w:rsid w:val="6BBB0C69"/>
    <w:rsid w:val="6BC06C3D"/>
    <w:rsid w:val="6BCC35DE"/>
    <w:rsid w:val="6BD9385B"/>
    <w:rsid w:val="6BE97F42"/>
    <w:rsid w:val="6BED04AF"/>
    <w:rsid w:val="6BF834D4"/>
    <w:rsid w:val="6BF87FC1"/>
    <w:rsid w:val="6BFD3031"/>
    <w:rsid w:val="6C2A6608"/>
    <w:rsid w:val="6C3003AB"/>
    <w:rsid w:val="6C335661"/>
    <w:rsid w:val="6C3C2767"/>
    <w:rsid w:val="6C3D203B"/>
    <w:rsid w:val="6C50283A"/>
    <w:rsid w:val="6C506213"/>
    <w:rsid w:val="6C5555D7"/>
    <w:rsid w:val="6C5C6966"/>
    <w:rsid w:val="6C5E0930"/>
    <w:rsid w:val="6C6D2BF0"/>
    <w:rsid w:val="6C6E6699"/>
    <w:rsid w:val="6C895281"/>
    <w:rsid w:val="6C8B0FF9"/>
    <w:rsid w:val="6C8B31EC"/>
    <w:rsid w:val="6C8F2CD6"/>
    <w:rsid w:val="6C9003BD"/>
    <w:rsid w:val="6CA51091"/>
    <w:rsid w:val="6CAB169B"/>
    <w:rsid w:val="6CAB6FB3"/>
    <w:rsid w:val="6CAD5413"/>
    <w:rsid w:val="6CB0280D"/>
    <w:rsid w:val="6CBD17B5"/>
    <w:rsid w:val="6CBE317C"/>
    <w:rsid w:val="6CD52274"/>
    <w:rsid w:val="6CE47472"/>
    <w:rsid w:val="6CE626D3"/>
    <w:rsid w:val="6CED5810"/>
    <w:rsid w:val="6CFA17F1"/>
    <w:rsid w:val="6D12171A"/>
    <w:rsid w:val="6D1574AE"/>
    <w:rsid w:val="6D3C0545"/>
    <w:rsid w:val="6D3C6797"/>
    <w:rsid w:val="6D4058B3"/>
    <w:rsid w:val="6D4318D3"/>
    <w:rsid w:val="6D451B85"/>
    <w:rsid w:val="6D480C98"/>
    <w:rsid w:val="6D4C4C2C"/>
    <w:rsid w:val="6D5238C5"/>
    <w:rsid w:val="6D723F67"/>
    <w:rsid w:val="6D7B2E1B"/>
    <w:rsid w:val="6D811C41"/>
    <w:rsid w:val="6D9B170F"/>
    <w:rsid w:val="6D9D6113"/>
    <w:rsid w:val="6DA46816"/>
    <w:rsid w:val="6DA57FE0"/>
    <w:rsid w:val="6DAC1227"/>
    <w:rsid w:val="6DB94274"/>
    <w:rsid w:val="6DD62748"/>
    <w:rsid w:val="6DE36C13"/>
    <w:rsid w:val="6DEF55B7"/>
    <w:rsid w:val="6E041063"/>
    <w:rsid w:val="6E045376"/>
    <w:rsid w:val="6E0E0133"/>
    <w:rsid w:val="6E0E5A3E"/>
    <w:rsid w:val="6E166FE8"/>
    <w:rsid w:val="6E510BD5"/>
    <w:rsid w:val="6E53758B"/>
    <w:rsid w:val="6E57633D"/>
    <w:rsid w:val="6E6111A1"/>
    <w:rsid w:val="6E645FA5"/>
    <w:rsid w:val="6E700CB5"/>
    <w:rsid w:val="6E865F1C"/>
    <w:rsid w:val="6E8A4D48"/>
    <w:rsid w:val="6E8C2E06"/>
    <w:rsid w:val="6E9D29F3"/>
    <w:rsid w:val="6EBD1212"/>
    <w:rsid w:val="6EC66318"/>
    <w:rsid w:val="6ECD58F9"/>
    <w:rsid w:val="6ED402F5"/>
    <w:rsid w:val="6EF20B58"/>
    <w:rsid w:val="6EFD36FC"/>
    <w:rsid w:val="6F06455E"/>
    <w:rsid w:val="6F0D2199"/>
    <w:rsid w:val="6F0E5640"/>
    <w:rsid w:val="6F1055D1"/>
    <w:rsid w:val="6F1468E1"/>
    <w:rsid w:val="6F667AFB"/>
    <w:rsid w:val="6F697F09"/>
    <w:rsid w:val="6F6B6EC0"/>
    <w:rsid w:val="6F6C5073"/>
    <w:rsid w:val="6F7B5355"/>
    <w:rsid w:val="6F871F4B"/>
    <w:rsid w:val="6F903864"/>
    <w:rsid w:val="6FA24722"/>
    <w:rsid w:val="6FA81EC2"/>
    <w:rsid w:val="6FA83C70"/>
    <w:rsid w:val="6FAC3760"/>
    <w:rsid w:val="6FB1521A"/>
    <w:rsid w:val="6FC24183"/>
    <w:rsid w:val="6FCF56A0"/>
    <w:rsid w:val="6FD21B14"/>
    <w:rsid w:val="6FE078AE"/>
    <w:rsid w:val="6FE729EA"/>
    <w:rsid w:val="6FED4224"/>
    <w:rsid w:val="70002AD7"/>
    <w:rsid w:val="70161521"/>
    <w:rsid w:val="70205EFC"/>
    <w:rsid w:val="702773D1"/>
    <w:rsid w:val="702E7B49"/>
    <w:rsid w:val="7036571F"/>
    <w:rsid w:val="70452BBF"/>
    <w:rsid w:val="704E1BE5"/>
    <w:rsid w:val="705515DB"/>
    <w:rsid w:val="705878A5"/>
    <w:rsid w:val="706933FF"/>
    <w:rsid w:val="708E10B8"/>
    <w:rsid w:val="709223F1"/>
    <w:rsid w:val="709D0E0C"/>
    <w:rsid w:val="70B035B2"/>
    <w:rsid w:val="70C1323B"/>
    <w:rsid w:val="70C20C31"/>
    <w:rsid w:val="70CE3BAA"/>
    <w:rsid w:val="70DE477E"/>
    <w:rsid w:val="70E84C6C"/>
    <w:rsid w:val="70E926D2"/>
    <w:rsid w:val="70EB3EFD"/>
    <w:rsid w:val="70EF6902"/>
    <w:rsid w:val="710B51AC"/>
    <w:rsid w:val="710C4285"/>
    <w:rsid w:val="71165DAF"/>
    <w:rsid w:val="71184E25"/>
    <w:rsid w:val="71193077"/>
    <w:rsid w:val="711C4915"/>
    <w:rsid w:val="71237A52"/>
    <w:rsid w:val="71325EE7"/>
    <w:rsid w:val="713779A1"/>
    <w:rsid w:val="714B51FB"/>
    <w:rsid w:val="716E5733"/>
    <w:rsid w:val="71770B36"/>
    <w:rsid w:val="71836742"/>
    <w:rsid w:val="71990C6C"/>
    <w:rsid w:val="71997D14"/>
    <w:rsid w:val="71AC3EEB"/>
    <w:rsid w:val="71AD1A11"/>
    <w:rsid w:val="71C23AFD"/>
    <w:rsid w:val="71C27838"/>
    <w:rsid w:val="71C8684B"/>
    <w:rsid w:val="71CE33FE"/>
    <w:rsid w:val="71CF7BDA"/>
    <w:rsid w:val="71E75101"/>
    <w:rsid w:val="71E75C0D"/>
    <w:rsid w:val="71FB452B"/>
    <w:rsid w:val="720E0702"/>
    <w:rsid w:val="721852C6"/>
    <w:rsid w:val="722B014F"/>
    <w:rsid w:val="72395053"/>
    <w:rsid w:val="723F54AE"/>
    <w:rsid w:val="7242215A"/>
    <w:rsid w:val="72496B0C"/>
    <w:rsid w:val="724D68CC"/>
    <w:rsid w:val="72627969"/>
    <w:rsid w:val="72693B8A"/>
    <w:rsid w:val="727F515C"/>
    <w:rsid w:val="7285473C"/>
    <w:rsid w:val="728C0E2B"/>
    <w:rsid w:val="72991C1F"/>
    <w:rsid w:val="72A72A4C"/>
    <w:rsid w:val="72B33057"/>
    <w:rsid w:val="72B50B7E"/>
    <w:rsid w:val="72BD7A32"/>
    <w:rsid w:val="72E95260"/>
    <w:rsid w:val="72FE2BB8"/>
    <w:rsid w:val="73025F26"/>
    <w:rsid w:val="731D6723"/>
    <w:rsid w:val="73207868"/>
    <w:rsid w:val="73246DDB"/>
    <w:rsid w:val="732B0737"/>
    <w:rsid w:val="734463A5"/>
    <w:rsid w:val="73492E90"/>
    <w:rsid w:val="734E4B2E"/>
    <w:rsid w:val="7355231E"/>
    <w:rsid w:val="73683E42"/>
    <w:rsid w:val="7379401F"/>
    <w:rsid w:val="737A5923"/>
    <w:rsid w:val="737B5F85"/>
    <w:rsid w:val="738D1AFA"/>
    <w:rsid w:val="739915E2"/>
    <w:rsid w:val="73CF4676"/>
    <w:rsid w:val="73D02B91"/>
    <w:rsid w:val="73D1523C"/>
    <w:rsid w:val="73D72D76"/>
    <w:rsid w:val="73EB24A3"/>
    <w:rsid w:val="73F26870"/>
    <w:rsid w:val="74094463"/>
    <w:rsid w:val="74201DB5"/>
    <w:rsid w:val="74316401"/>
    <w:rsid w:val="74373814"/>
    <w:rsid w:val="743C0E2B"/>
    <w:rsid w:val="745D6DE4"/>
    <w:rsid w:val="745E5F99"/>
    <w:rsid w:val="74620891"/>
    <w:rsid w:val="74962C31"/>
    <w:rsid w:val="74A94712"/>
    <w:rsid w:val="74AC7D5E"/>
    <w:rsid w:val="74BB4445"/>
    <w:rsid w:val="74CF694D"/>
    <w:rsid w:val="74D15A17"/>
    <w:rsid w:val="74D55507"/>
    <w:rsid w:val="74DD0860"/>
    <w:rsid w:val="74E03EAC"/>
    <w:rsid w:val="74E14BB1"/>
    <w:rsid w:val="74F15DD4"/>
    <w:rsid w:val="74F52D8D"/>
    <w:rsid w:val="750D2EF3"/>
    <w:rsid w:val="75233F46"/>
    <w:rsid w:val="75297256"/>
    <w:rsid w:val="752B15CB"/>
    <w:rsid w:val="752C70F1"/>
    <w:rsid w:val="75345FBE"/>
    <w:rsid w:val="75355FA6"/>
    <w:rsid w:val="753F6E24"/>
    <w:rsid w:val="75412B9C"/>
    <w:rsid w:val="75497CA3"/>
    <w:rsid w:val="755A1EB0"/>
    <w:rsid w:val="757A7E5C"/>
    <w:rsid w:val="758B02BC"/>
    <w:rsid w:val="759D5183"/>
    <w:rsid w:val="75A41155"/>
    <w:rsid w:val="75A924F0"/>
    <w:rsid w:val="75AD1FE0"/>
    <w:rsid w:val="75B07F87"/>
    <w:rsid w:val="75B6111A"/>
    <w:rsid w:val="75BF40A3"/>
    <w:rsid w:val="75CB06B8"/>
    <w:rsid w:val="75CB2646"/>
    <w:rsid w:val="75CD2682"/>
    <w:rsid w:val="75D4756D"/>
    <w:rsid w:val="75EB0D5A"/>
    <w:rsid w:val="75F53987"/>
    <w:rsid w:val="76124539"/>
    <w:rsid w:val="76143E0D"/>
    <w:rsid w:val="761A4999"/>
    <w:rsid w:val="764C7A4B"/>
    <w:rsid w:val="764D5571"/>
    <w:rsid w:val="765154F8"/>
    <w:rsid w:val="7658171F"/>
    <w:rsid w:val="76636B42"/>
    <w:rsid w:val="76650B0D"/>
    <w:rsid w:val="766D3B19"/>
    <w:rsid w:val="766E5C13"/>
    <w:rsid w:val="76780840"/>
    <w:rsid w:val="767B0330"/>
    <w:rsid w:val="767E1BCE"/>
    <w:rsid w:val="76867A1D"/>
    <w:rsid w:val="7696369C"/>
    <w:rsid w:val="769907B6"/>
    <w:rsid w:val="76A74C81"/>
    <w:rsid w:val="76BA70E6"/>
    <w:rsid w:val="76C05D43"/>
    <w:rsid w:val="76C07AF1"/>
    <w:rsid w:val="76C8536C"/>
    <w:rsid w:val="76CE0460"/>
    <w:rsid w:val="76E41B79"/>
    <w:rsid w:val="76EE28B0"/>
    <w:rsid w:val="76F0487A"/>
    <w:rsid w:val="77043E82"/>
    <w:rsid w:val="770E6B82"/>
    <w:rsid w:val="771953D0"/>
    <w:rsid w:val="77536BB7"/>
    <w:rsid w:val="77550039"/>
    <w:rsid w:val="775B7C2B"/>
    <w:rsid w:val="775E5C88"/>
    <w:rsid w:val="77657E74"/>
    <w:rsid w:val="77690189"/>
    <w:rsid w:val="776B50D2"/>
    <w:rsid w:val="7791148D"/>
    <w:rsid w:val="77933457"/>
    <w:rsid w:val="77972F48"/>
    <w:rsid w:val="77996839"/>
    <w:rsid w:val="779D6084"/>
    <w:rsid w:val="77C655DB"/>
    <w:rsid w:val="77C817B1"/>
    <w:rsid w:val="77CA4662"/>
    <w:rsid w:val="77E10287"/>
    <w:rsid w:val="77F04406"/>
    <w:rsid w:val="77F5255B"/>
    <w:rsid w:val="77FE2FC7"/>
    <w:rsid w:val="78034139"/>
    <w:rsid w:val="780600CD"/>
    <w:rsid w:val="78197E01"/>
    <w:rsid w:val="78351D3F"/>
    <w:rsid w:val="784D1858"/>
    <w:rsid w:val="78526E6F"/>
    <w:rsid w:val="786077DD"/>
    <w:rsid w:val="78827754"/>
    <w:rsid w:val="78864B48"/>
    <w:rsid w:val="788B412F"/>
    <w:rsid w:val="788E0495"/>
    <w:rsid w:val="78A039B3"/>
    <w:rsid w:val="78B35B5F"/>
    <w:rsid w:val="78B611AB"/>
    <w:rsid w:val="78BF79F2"/>
    <w:rsid w:val="78E421BD"/>
    <w:rsid w:val="78E62D85"/>
    <w:rsid w:val="78FB1F24"/>
    <w:rsid w:val="78FD50B1"/>
    <w:rsid w:val="791329C6"/>
    <w:rsid w:val="791D122B"/>
    <w:rsid w:val="792425B9"/>
    <w:rsid w:val="792641C2"/>
    <w:rsid w:val="79333A86"/>
    <w:rsid w:val="79382508"/>
    <w:rsid w:val="794443B3"/>
    <w:rsid w:val="79464C25"/>
    <w:rsid w:val="794A1863"/>
    <w:rsid w:val="794B223C"/>
    <w:rsid w:val="7967201E"/>
    <w:rsid w:val="79690914"/>
    <w:rsid w:val="797057FE"/>
    <w:rsid w:val="79764DDF"/>
    <w:rsid w:val="798474FC"/>
    <w:rsid w:val="79865022"/>
    <w:rsid w:val="799A6FA8"/>
    <w:rsid w:val="799D236B"/>
    <w:rsid w:val="79AC0800"/>
    <w:rsid w:val="79B06543"/>
    <w:rsid w:val="79B17BC5"/>
    <w:rsid w:val="79C25B9E"/>
    <w:rsid w:val="79C76953"/>
    <w:rsid w:val="79D10450"/>
    <w:rsid w:val="79D8590D"/>
    <w:rsid w:val="79F0454F"/>
    <w:rsid w:val="79F5251F"/>
    <w:rsid w:val="7A0B19CB"/>
    <w:rsid w:val="7A1133DF"/>
    <w:rsid w:val="7A1302FC"/>
    <w:rsid w:val="7A1712DC"/>
    <w:rsid w:val="7A4776A6"/>
    <w:rsid w:val="7A480529"/>
    <w:rsid w:val="7A552C46"/>
    <w:rsid w:val="7A5D252C"/>
    <w:rsid w:val="7A5E1AFB"/>
    <w:rsid w:val="7A6E11E0"/>
    <w:rsid w:val="7A777060"/>
    <w:rsid w:val="7A7C01D3"/>
    <w:rsid w:val="7A7C6425"/>
    <w:rsid w:val="7A80470C"/>
    <w:rsid w:val="7A854972"/>
    <w:rsid w:val="7A885D79"/>
    <w:rsid w:val="7A89746F"/>
    <w:rsid w:val="7A8B1EC4"/>
    <w:rsid w:val="7A8D418E"/>
    <w:rsid w:val="7AA02113"/>
    <w:rsid w:val="7AA34A13"/>
    <w:rsid w:val="7AA37E55"/>
    <w:rsid w:val="7AA53BCD"/>
    <w:rsid w:val="7AA816BE"/>
    <w:rsid w:val="7AC5090D"/>
    <w:rsid w:val="7AD251AF"/>
    <w:rsid w:val="7AE61CC6"/>
    <w:rsid w:val="7AEF309B"/>
    <w:rsid w:val="7AF97A75"/>
    <w:rsid w:val="7B3D3E06"/>
    <w:rsid w:val="7B427F3E"/>
    <w:rsid w:val="7B44692F"/>
    <w:rsid w:val="7B5E0F76"/>
    <w:rsid w:val="7B672C31"/>
    <w:rsid w:val="7B697C1A"/>
    <w:rsid w:val="7B712054"/>
    <w:rsid w:val="7B713AB0"/>
    <w:rsid w:val="7B7C4A1E"/>
    <w:rsid w:val="7B8A4AB6"/>
    <w:rsid w:val="7B8B2DC3"/>
    <w:rsid w:val="7B9003DA"/>
    <w:rsid w:val="7BA94019"/>
    <w:rsid w:val="7BAE0860"/>
    <w:rsid w:val="7C014E34"/>
    <w:rsid w:val="7C180B2E"/>
    <w:rsid w:val="7C266648"/>
    <w:rsid w:val="7C270D7A"/>
    <w:rsid w:val="7C306240"/>
    <w:rsid w:val="7C367925"/>
    <w:rsid w:val="7C5E5DE2"/>
    <w:rsid w:val="7C5F1227"/>
    <w:rsid w:val="7C63164A"/>
    <w:rsid w:val="7C6F7FEF"/>
    <w:rsid w:val="7C943EFA"/>
    <w:rsid w:val="7C9C690A"/>
    <w:rsid w:val="7CA51C63"/>
    <w:rsid w:val="7CAA5FA9"/>
    <w:rsid w:val="7CB4634A"/>
    <w:rsid w:val="7CCE5050"/>
    <w:rsid w:val="7CE04A49"/>
    <w:rsid w:val="7CE0713F"/>
    <w:rsid w:val="7CFB7AD5"/>
    <w:rsid w:val="7D036989"/>
    <w:rsid w:val="7D07647A"/>
    <w:rsid w:val="7D0821F2"/>
    <w:rsid w:val="7D1C7A4B"/>
    <w:rsid w:val="7D1D6237"/>
    <w:rsid w:val="7D2A6F6E"/>
    <w:rsid w:val="7D33726F"/>
    <w:rsid w:val="7D38D119"/>
    <w:rsid w:val="7D3B1113"/>
    <w:rsid w:val="7D4C6582"/>
    <w:rsid w:val="7D71679B"/>
    <w:rsid w:val="7D7A0E04"/>
    <w:rsid w:val="7D904A45"/>
    <w:rsid w:val="7D9817C8"/>
    <w:rsid w:val="7D983576"/>
    <w:rsid w:val="7DA13F3E"/>
    <w:rsid w:val="7DA51208"/>
    <w:rsid w:val="7DBD03D9"/>
    <w:rsid w:val="7DD905C4"/>
    <w:rsid w:val="7DFA4230"/>
    <w:rsid w:val="7E064983"/>
    <w:rsid w:val="7E0B5B3E"/>
    <w:rsid w:val="7E0E3838"/>
    <w:rsid w:val="7E253138"/>
    <w:rsid w:val="7E2B5CD8"/>
    <w:rsid w:val="7E3178F8"/>
    <w:rsid w:val="7E3314F0"/>
    <w:rsid w:val="7E397793"/>
    <w:rsid w:val="7E3A287F"/>
    <w:rsid w:val="7E490D14"/>
    <w:rsid w:val="7E496C1E"/>
    <w:rsid w:val="7E4A66C5"/>
    <w:rsid w:val="7E5847C3"/>
    <w:rsid w:val="7E6973DE"/>
    <w:rsid w:val="7E7A11D0"/>
    <w:rsid w:val="7E856D33"/>
    <w:rsid w:val="7E971182"/>
    <w:rsid w:val="7E971A7F"/>
    <w:rsid w:val="7E9A2D7C"/>
    <w:rsid w:val="7EBA5A62"/>
    <w:rsid w:val="7EC53B99"/>
    <w:rsid w:val="7ECD36F3"/>
    <w:rsid w:val="7EE66563"/>
    <w:rsid w:val="7EF173E1"/>
    <w:rsid w:val="7EF722B8"/>
    <w:rsid w:val="7EFD0314"/>
    <w:rsid w:val="7F0C3488"/>
    <w:rsid w:val="7F160FB2"/>
    <w:rsid w:val="7F192331"/>
    <w:rsid w:val="7F1B5B78"/>
    <w:rsid w:val="7F201A75"/>
    <w:rsid w:val="7F2D79A7"/>
    <w:rsid w:val="7F2F3DF2"/>
    <w:rsid w:val="7F3C6183"/>
    <w:rsid w:val="7F434F8F"/>
    <w:rsid w:val="7F475253"/>
    <w:rsid w:val="7F6000C3"/>
    <w:rsid w:val="7F6D27E0"/>
    <w:rsid w:val="7F743B6E"/>
    <w:rsid w:val="7F765B38"/>
    <w:rsid w:val="7FA77AA0"/>
    <w:rsid w:val="7FC23090"/>
    <w:rsid w:val="7FC76394"/>
    <w:rsid w:val="7FF67C58"/>
    <w:rsid w:val="7FFB603E"/>
    <w:rsid w:val="FEFCAD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04"/>
    <w:qFormat/>
    <w:uiPriority w:val="0"/>
    <w:pPr>
      <w:keepNext/>
      <w:spacing w:before="240" w:after="60"/>
      <w:outlineLvl w:val="1"/>
    </w:pPr>
    <w:rPr>
      <w:rFonts w:ascii="Cambria" w:hAnsi="Cambria"/>
      <w:b/>
      <w:bCs/>
      <w:i/>
      <w:iCs/>
      <w:sz w:val="28"/>
      <w:szCs w:val="28"/>
    </w:rPr>
  </w:style>
  <w:style w:type="paragraph" w:styleId="5">
    <w:name w:val="heading 3"/>
    <w:basedOn w:val="1"/>
    <w:next w:val="1"/>
    <w:link w:val="105"/>
    <w:qFormat/>
    <w:uiPriority w:val="0"/>
    <w:pPr>
      <w:keepNext/>
      <w:spacing w:before="240" w:after="60"/>
      <w:outlineLvl w:val="2"/>
    </w:pPr>
    <w:rPr>
      <w:rFonts w:ascii="Cambria" w:hAnsi="Cambria"/>
      <w:b/>
      <w:bCs/>
      <w:sz w:val="26"/>
      <w:szCs w:val="26"/>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qFormat/>
    <w:uiPriority w:val="9"/>
    <w:pPr>
      <w:spacing w:before="240" w:after="60"/>
      <w:outlineLvl w:val="4"/>
    </w:pPr>
    <w:rPr>
      <w:b/>
      <w:bCs/>
      <w:i/>
      <w:iCs/>
      <w:sz w:val="26"/>
      <w:szCs w:val="26"/>
    </w:rPr>
  </w:style>
  <w:style w:type="paragraph" w:styleId="8">
    <w:name w:val="heading 6"/>
    <w:basedOn w:val="1"/>
    <w:next w:val="1"/>
    <w:semiHidden/>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9">
    <w:name w:val="Document Map"/>
    <w:basedOn w:val="1"/>
    <w:link w:val="44"/>
    <w:semiHidden/>
    <w:unhideWhenUsed/>
    <w:qFormat/>
    <w:uiPriority w:val="99"/>
    <w:rPr>
      <w:rFonts w:ascii="宋体"/>
      <w:sz w:val="18"/>
      <w:szCs w:val="18"/>
    </w:rPr>
  </w:style>
  <w:style w:type="paragraph" w:styleId="10">
    <w:name w:val="annotation text"/>
    <w:basedOn w:val="1"/>
    <w:link w:val="72"/>
    <w:semiHidden/>
    <w:qFormat/>
    <w:uiPriority w:val="0"/>
    <w:pPr>
      <w:jc w:val="left"/>
    </w:pPr>
    <w:rPr>
      <w:rFonts w:asciiTheme="minorHAnsi" w:hAnsiTheme="minorHAnsi" w:cstheme="minorBidi"/>
    </w:rPr>
  </w:style>
  <w:style w:type="paragraph" w:styleId="11">
    <w:name w:val="Body Text"/>
    <w:basedOn w:val="1"/>
    <w:link w:val="63"/>
    <w:qFormat/>
    <w:uiPriority w:val="0"/>
    <w:rPr>
      <w:rFonts w:eastAsia="楷体_GB2312"/>
      <w:sz w:val="28"/>
      <w:szCs w:val="20"/>
    </w:rPr>
  </w:style>
  <w:style w:type="paragraph" w:styleId="12">
    <w:name w:val="Body Text Indent"/>
    <w:basedOn w:val="1"/>
    <w:next w:val="1"/>
    <w:link w:val="67"/>
    <w:qFormat/>
    <w:uiPriority w:val="0"/>
    <w:pPr>
      <w:spacing w:after="120"/>
      <w:ind w:left="420" w:leftChars="200"/>
    </w:pPr>
  </w:style>
  <w:style w:type="paragraph" w:styleId="13">
    <w:name w:val="toc 5"/>
    <w:basedOn w:val="1"/>
    <w:next w:val="1"/>
    <w:qFormat/>
    <w:uiPriority w:val="0"/>
    <w:pPr>
      <w:tabs>
        <w:tab w:val="right" w:leader="dot" w:pos="8296"/>
      </w:tabs>
      <w:ind w:left="1050" w:leftChars="500"/>
    </w:pPr>
  </w:style>
  <w:style w:type="paragraph" w:styleId="14">
    <w:name w:val="toc 3"/>
    <w:basedOn w:val="1"/>
    <w:next w:val="1"/>
    <w:qFormat/>
    <w:uiPriority w:val="39"/>
    <w:pPr>
      <w:ind w:left="840" w:leftChars="400"/>
    </w:pPr>
  </w:style>
  <w:style w:type="paragraph" w:styleId="15">
    <w:name w:val="Balloon Text"/>
    <w:basedOn w:val="1"/>
    <w:link w:val="43"/>
    <w:semiHidden/>
    <w:unhideWhenUsed/>
    <w:qFormat/>
    <w:uiPriority w:val="99"/>
    <w:rPr>
      <w:sz w:val="18"/>
      <w:szCs w:val="18"/>
    </w:rPr>
  </w:style>
  <w:style w:type="paragraph" w:styleId="16">
    <w:name w:val="footer"/>
    <w:basedOn w:val="1"/>
    <w:link w:val="46"/>
    <w:unhideWhenUsed/>
    <w:qFormat/>
    <w:uiPriority w:val="99"/>
    <w:pPr>
      <w:tabs>
        <w:tab w:val="center" w:pos="4153"/>
        <w:tab w:val="right" w:pos="8306"/>
      </w:tabs>
      <w:snapToGrid w:val="0"/>
      <w:jc w:val="left"/>
    </w:pPr>
    <w:rPr>
      <w:sz w:val="18"/>
      <w:szCs w:val="18"/>
    </w:rPr>
  </w:style>
  <w:style w:type="paragraph" w:styleId="17">
    <w:name w:val="header"/>
    <w:basedOn w:val="1"/>
    <w:link w:val="4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9629"/>
      </w:tabs>
    </w:pPr>
    <w:rPr>
      <w:b/>
    </w:rPr>
  </w:style>
  <w:style w:type="paragraph" w:styleId="19">
    <w:name w:val="toc 4"/>
    <w:basedOn w:val="1"/>
    <w:next w:val="1"/>
    <w:qFormat/>
    <w:uiPriority w:val="0"/>
    <w:pPr>
      <w:tabs>
        <w:tab w:val="left" w:pos="1890"/>
        <w:tab w:val="right" w:leader="dot" w:pos="8296"/>
      </w:tabs>
      <w:ind w:left="630" w:leftChars="300"/>
    </w:pPr>
  </w:style>
  <w:style w:type="paragraph" w:styleId="20">
    <w:name w:val="footnote text"/>
    <w:basedOn w:val="1"/>
    <w:next w:val="17"/>
    <w:qFormat/>
    <w:uiPriority w:val="0"/>
    <w:pPr>
      <w:snapToGrid w:val="0"/>
      <w:jc w:val="left"/>
    </w:pPr>
  </w:style>
  <w:style w:type="paragraph" w:styleId="21">
    <w:name w:val="toc 2"/>
    <w:basedOn w:val="1"/>
    <w:next w:val="1"/>
    <w:qFormat/>
    <w:uiPriority w:val="39"/>
    <w:pPr>
      <w:tabs>
        <w:tab w:val="right" w:leader="dot" w:pos="9629"/>
      </w:tabs>
      <w:ind w:left="480" w:leftChars="200"/>
    </w:pPr>
    <w:rPr>
      <w:b/>
    </w:rPr>
  </w:style>
  <w:style w:type="paragraph" w:styleId="22">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3">
    <w:name w:val="annotation subject"/>
    <w:basedOn w:val="10"/>
    <w:next w:val="10"/>
    <w:link w:val="48"/>
    <w:semiHidden/>
    <w:unhideWhenUsed/>
    <w:qFormat/>
    <w:uiPriority w:val="99"/>
    <w:rPr>
      <w:rFonts w:ascii="Times New Roman" w:hAnsi="Times New Roman" w:cs="Times New Roman"/>
      <w:b/>
      <w:bCs/>
    </w:rPr>
  </w:style>
  <w:style w:type="paragraph" w:styleId="24">
    <w:name w:val="Body Text First Indent"/>
    <w:basedOn w:val="11"/>
    <w:link w:val="64"/>
    <w:semiHidden/>
    <w:unhideWhenUsed/>
    <w:qFormat/>
    <w:uiPriority w:val="99"/>
    <w:pPr>
      <w:ind w:firstLine="420" w:firstLineChars="100"/>
    </w:pPr>
  </w:style>
  <w:style w:type="paragraph" w:styleId="25">
    <w:name w:val="Body Text First Indent 2"/>
    <w:basedOn w:val="12"/>
    <w:next w:val="21"/>
    <w:link w:val="68"/>
    <w:qFormat/>
    <w:uiPriority w:val="0"/>
    <w:pPr>
      <w:spacing w:line="276" w:lineRule="auto"/>
      <w:ind w:left="200" w:firstLine="200" w:firstLineChars="200"/>
      <w:jc w:val="left"/>
    </w:p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bCs/>
    </w:rPr>
  </w:style>
  <w:style w:type="character" w:styleId="30">
    <w:name w:val="FollowedHyperlink"/>
    <w:basedOn w:val="28"/>
    <w:semiHidden/>
    <w:unhideWhenUsed/>
    <w:qFormat/>
    <w:uiPriority w:val="99"/>
    <w:rPr>
      <w:color w:val="4D7AD8"/>
      <w:u w:val="none"/>
    </w:rPr>
  </w:style>
  <w:style w:type="character" w:styleId="31">
    <w:name w:val="Emphasis"/>
    <w:qFormat/>
    <w:uiPriority w:val="0"/>
    <w:rPr>
      <w:rFonts w:cs="Times New Roman"/>
      <w:color w:val="auto"/>
      <w:lang w:bidi="ar-SA"/>
    </w:rPr>
  </w:style>
  <w:style w:type="character" w:styleId="32">
    <w:name w:val="HTML Definition"/>
    <w:basedOn w:val="28"/>
    <w:semiHidden/>
    <w:unhideWhenUsed/>
    <w:qFormat/>
    <w:uiPriority w:val="99"/>
    <w:rPr>
      <w:i/>
      <w:iCs/>
    </w:rPr>
  </w:style>
  <w:style w:type="character" w:styleId="33">
    <w:name w:val="Hyperlink"/>
    <w:basedOn w:val="28"/>
    <w:qFormat/>
    <w:uiPriority w:val="99"/>
    <w:rPr>
      <w:rFonts w:eastAsia="宋体"/>
      <w:color w:val="0000FF"/>
      <w:sz w:val="24"/>
      <w:u w:val="single"/>
    </w:rPr>
  </w:style>
  <w:style w:type="character" w:styleId="34">
    <w:name w:val="HTML Code"/>
    <w:basedOn w:val="28"/>
    <w:semiHidden/>
    <w:unhideWhenUsed/>
    <w:qFormat/>
    <w:uiPriority w:val="99"/>
    <w:rPr>
      <w:rFonts w:hint="default" w:ascii="Consolas" w:hAnsi="Consolas" w:eastAsia="Consolas" w:cs="Consolas"/>
      <w:sz w:val="21"/>
      <w:szCs w:val="21"/>
      <w:shd w:val="clear" w:color="auto" w:fill="F8F8F8"/>
    </w:rPr>
  </w:style>
  <w:style w:type="character" w:styleId="35">
    <w:name w:val="annotation reference"/>
    <w:basedOn w:val="28"/>
    <w:qFormat/>
    <w:uiPriority w:val="0"/>
    <w:rPr>
      <w:sz w:val="21"/>
      <w:szCs w:val="21"/>
    </w:rPr>
  </w:style>
  <w:style w:type="character" w:styleId="36">
    <w:name w:val="HTML Keyboard"/>
    <w:basedOn w:val="28"/>
    <w:semiHidden/>
    <w:unhideWhenUsed/>
    <w:qFormat/>
    <w:uiPriority w:val="99"/>
    <w:rPr>
      <w:rFonts w:hint="default" w:ascii="Consolas" w:hAnsi="Consolas" w:eastAsia="Consolas" w:cs="Consolas"/>
      <w:sz w:val="21"/>
      <w:szCs w:val="21"/>
    </w:rPr>
  </w:style>
  <w:style w:type="character" w:styleId="37">
    <w:name w:val="HTML Sample"/>
    <w:basedOn w:val="28"/>
    <w:semiHidden/>
    <w:unhideWhenUsed/>
    <w:qFormat/>
    <w:uiPriority w:val="99"/>
    <w:rPr>
      <w:rFonts w:ascii="Consolas" w:hAnsi="Consolas" w:eastAsia="Consolas" w:cs="Consolas"/>
      <w:sz w:val="21"/>
      <w:szCs w:val="21"/>
    </w:rPr>
  </w:style>
  <w:style w:type="paragraph" w:customStyle="1" w:styleId="38">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9">
    <w:name w:val="列出段落1"/>
    <w:basedOn w:val="1"/>
    <w:unhideWhenUsed/>
    <w:qFormat/>
    <w:uiPriority w:val="34"/>
    <w:pPr>
      <w:ind w:firstLine="420" w:firstLineChars="200"/>
    </w:pPr>
    <w:rPr>
      <w:rFonts w:hint="eastAsia"/>
    </w:rPr>
  </w:style>
  <w:style w:type="character" w:customStyle="1" w:styleId="40">
    <w:name w:val="标题 1 字符"/>
    <w:basedOn w:val="28"/>
    <w:link w:val="3"/>
    <w:qFormat/>
    <w:uiPriority w:val="0"/>
    <w:rPr>
      <w:rFonts w:ascii="Times New Roman" w:hAnsi="Times New Roman" w:eastAsia="宋体" w:cs="Times New Roman"/>
      <w:b/>
      <w:bCs/>
      <w:kern w:val="44"/>
      <w:sz w:val="44"/>
      <w:szCs w:val="44"/>
    </w:rPr>
  </w:style>
  <w:style w:type="character" w:customStyle="1" w:styleId="41">
    <w:name w:val="批注文字 字符"/>
    <w:semiHidden/>
    <w:qFormat/>
    <w:uiPriority w:val="0"/>
    <w:rPr>
      <w:rFonts w:eastAsia="宋体"/>
      <w:szCs w:val="24"/>
    </w:rPr>
  </w:style>
  <w:style w:type="character" w:customStyle="1" w:styleId="42">
    <w:name w:val="批注文字 Char1"/>
    <w:basedOn w:val="28"/>
    <w:semiHidden/>
    <w:qFormat/>
    <w:uiPriority w:val="99"/>
    <w:rPr>
      <w:rFonts w:ascii="Times New Roman" w:hAnsi="Times New Roman" w:eastAsia="宋体" w:cs="Times New Roman"/>
      <w:szCs w:val="24"/>
    </w:rPr>
  </w:style>
  <w:style w:type="character" w:customStyle="1" w:styleId="43">
    <w:name w:val="批注框文本 字符"/>
    <w:basedOn w:val="28"/>
    <w:link w:val="15"/>
    <w:semiHidden/>
    <w:qFormat/>
    <w:uiPriority w:val="99"/>
    <w:rPr>
      <w:rFonts w:ascii="Times New Roman" w:hAnsi="Times New Roman" w:eastAsia="宋体" w:cs="Times New Roman"/>
      <w:sz w:val="18"/>
      <w:szCs w:val="18"/>
    </w:rPr>
  </w:style>
  <w:style w:type="character" w:customStyle="1" w:styleId="44">
    <w:name w:val="文档结构图 字符"/>
    <w:basedOn w:val="28"/>
    <w:link w:val="9"/>
    <w:semiHidden/>
    <w:qFormat/>
    <w:uiPriority w:val="99"/>
    <w:rPr>
      <w:rFonts w:ascii="宋体" w:hAnsi="Times New Roman" w:eastAsia="宋体" w:cs="Times New Roman"/>
      <w:sz w:val="18"/>
      <w:szCs w:val="18"/>
    </w:rPr>
  </w:style>
  <w:style w:type="character" w:customStyle="1" w:styleId="45">
    <w:name w:val="页眉 字符"/>
    <w:basedOn w:val="28"/>
    <w:link w:val="17"/>
    <w:qFormat/>
    <w:uiPriority w:val="99"/>
    <w:rPr>
      <w:rFonts w:ascii="Times New Roman" w:hAnsi="Times New Roman" w:eastAsia="宋体" w:cs="Times New Roman"/>
      <w:sz w:val="18"/>
      <w:szCs w:val="18"/>
    </w:rPr>
  </w:style>
  <w:style w:type="character" w:customStyle="1" w:styleId="46">
    <w:name w:val="页脚 字符"/>
    <w:basedOn w:val="28"/>
    <w:link w:val="16"/>
    <w:qFormat/>
    <w:uiPriority w:val="99"/>
    <w:rPr>
      <w:rFonts w:ascii="Times New Roman" w:hAnsi="Times New Roman" w:eastAsia="宋体" w:cs="Times New Roman"/>
      <w:sz w:val="18"/>
      <w:szCs w:val="18"/>
    </w:rPr>
  </w:style>
  <w:style w:type="character" w:customStyle="1" w:styleId="47">
    <w:name w:val="NormalCharacter"/>
    <w:qFormat/>
    <w:uiPriority w:val="0"/>
  </w:style>
  <w:style w:type="character" w:customStyle="1" w:styleId="48">
    <w:name w:val="批注主题 字符"/>
    <w:basedOn w:val="41"/>
    <w:link w:val="23"/>
    <w:semiHidden/>
    <w:qFormat/>
    <w:uiPriority w:val="99"/>
    <w:rPr>
      <w:rFonts w:eastAsia="宋体"/>
      <w:b/>
      <w:bCs/>
      <w:kern w:val="2"/>
      <w:sz w:val="21"/>
      <w:szCs w:val="24"/>
    </w:rPr>
  </w:style>
  <w:style w:type="paragraph" w:customStyle="1" w:styleId="49">
    <w:name w:val="BodyText3"/>
    <w:basedOn w:val="1"/>
    <w:qFormat/>
    <w:uiPriority w:val="0"/>
    <w:pPr>
      <w:spacing w:after="120"/>
    </w:pPr>
    <w:rPr>
      <w:sz w:val="16"/>
      <w:szCs w:val="16"/>
    </w:rPr>
  </w:style>
  <w:style w:type="paragraph" w:customStyle="1" w:styleId="50">
    <w:name w:val="UserStyle_92"/>
    <w:basedOn w:val="1"/>
    <w:qFormat/>
    <w:uiPriority w:val="0"/>
    <w:rPr>
      <w:szCs w:val="21"/>
    </w:rPr>
  </w:style>
  <w:style w:type="paragraph" w:customStyle="1" w:styleId="51">
    <w:name w:val="UserStyle_95"/>
    <w:basedOn w:val="52"/>
    <w:qFormat/>
    <w:uiPriority w:val="0"/>
  </w:style>
  <w:style w:type="paragraph" w:customStyle="1" w:styleId="52">
    <w:name w:val="Heading4"/>
    <w:basedOn w:val="1"/>
    <w:next w:val="1"/>
    <w:qFormat/>
    <w:uiPriority w:val="0"/>
    <w:pPr>
      <w:keepNext/>
      <w:spacing w:before="240" w:after="60"/>
    </w:pPr>
    <w:rPr>
      <w:b/>
      <w:bCs/>
      <w:sz w:val="28"/>
      <w:szCs w:val="28"/>
    </w:rPr>
  </w:style>
  <w:style w:type="paragraph" w:customStyle="1" w:styleId="53">
    <w:name w:val="Heading2"/>
    <w:basedOn w:val="1"/>
    <w:next w:val="1"/>
    <w:qFormat/>
    <w:uiPriority w:val="0"/>
    <w:pPr>
      <w:keepNext/>
      <w:spacing w:before="240" w:after="60"/>
    </w:pPr>
    <w:rPr>
      <w:rFonts w:ascii="Cambria" w:hAnsi="Cambria"/>
      <w:b/>
      <w:bCs/>
      <w:i/>
      <w:iCs/>
      <w:sz w:val="28"/>
      <w:szCs w:val="28"/>
    </w:rPr>
  </w:style>
  <w:style w:type="paragraph" w:customStyle="1" w:styleId="54">
    <w:name w:val="BodyTextIndent"/>
    <w:basedOn w:val="1"/>
    <w:qFormat/>
    <w:uiPriority w:val="0"/>
    <w:pPr>
      <w:spacing w:after="120"/>
      <w:ind w:left="420" w:leftChars="200"/>
    </w:pPr>
    <w:rPr>
      <w:sz w:val="20"/>
    </w:rPr>
  </w:style>
  <w:style w:type="paragraph" w:customStyle="1" w:styleId="55">
    <w:name w:val="Heading3"/>
    <w:basedOn w:val="1"/>
    <w:next w:val="1"/>
    <w:qFormat/>
    <w:uiPriority w:val="0"/>
    <w:pPr>
      <w:keepNext/>
      <w:spacing w:before="240" w:after="60"/>
    </w:pPr>
    <w:rPr>
      <w:rFonts w:ascii="Cambria" w:hAnsi="Cambria"/>
      <w:b/>
      <w:bCs/>
      <w:sz w:val="26"/>
      <w:szCs w:val="26"/>
    </w:rPr>
  </w:style>
  <w:style w:type="paragraph" w:styleId="56">
    <w:name w:val="List Paragraph"/>
    <w:basedOn w:val="1"/>
    <w:unhideWhenUsed/>
    <w:qFormat/>
    <w:uiPriority w:val="34"/>
    <w:pPr>
      <w:ind w:firstLine="420" w:firstLineChars="200"/>
    </w:pPr>
  </w:style>
  <w:style w:type="character" w:customStyle="1" w:styleId="57">
    <w:name w:val="font101"/>
    <w:basedOn w:val="28"/>
    <w:qFormat/>
    <w:uiPriority w:val="0"/>
    <w:rPr>
      <w:rFonts w:hint="eastAsia" w:ascii="仿宋" w:hAnsi="仿宋" w:eastAsia="仿宋" w:cs="仿宋"/>
      <w:color w:val="000000"/>
      <w:sz w:val="28"/>
      <w:szCs w:val="28"/>
      <w:u w:val="none"/>
    </w:rPr>
  </w:style>
  <w:style w:type="paragraph" w:customStyle="1" w:styleId="58">
    <w:name w:val="标题4"/>
    <w:basedOn w:val="6"/>
    <w:qFormat/>
    <w:uiPriority w:val="0"/>
  </w:style>
  <w:style w:type="character" w:customStyle="1" w:styleId="59">
    <w:name w:val="font81"/>
    <w:basedOn w:val="28"/>
    <w:qFormat/>
    <w:uiPriority w:val="0"/>
    <w:rPr>
      <w:rFonts w:hint="eastAsia" w:ascii="仿宋" w:hAnsi="仿宋" w:eastAsia="仿宋" w:cs="仿宋"/>
      <w:color w:val="000000"/>
      <w:sz w:val="24"/>
      <w:szCs w:val="24"/>
      <w:u w:val="none"/>
    </w:rPr>
  </w:style>
  <w:style w:type="character" w:customStyle="1" w:styleId="60">
    <w:name w:val="font11"/>
    <w:basedOn w:val="28"/>
    <w:qFormat/>
    <w:uiPriority w:val="0"/>
    <w:rPr>
      <w:rFonts w:hint="eastAsia" w:ascii="仿宋" w:hAnsi="仿宋" w:eastAsia="仿宋" w:cs="仿宋"/>
      <w:color w:val="000000"/>
      <w:sz w:val="24"/>
      <w:szCs w:val="24"/>
      <w:u w:val="none"/>
    </w:rPr>
  </w:style>
  <w:style w:type="character" w:customStyle="1" w:styleId="61">
    <w:name w:val="font01"/>
    <w:basedOn w:val="28"/>
    <w:qFormat/>
    <w:uiPriority w:val="0"/>
    <w:rPr>
      <w:rFonts w:ascii="Arial" w:hAnsi="Arial" w:cs="Arial"/>
      <w:color w:val="000000"/>
      <w:sz w:val="24"/>
      <w:szCs w:val="24"/>
      <w:u w:val="none"/>
    </w:rPr>
  </w:style>
  <w:style w:type="character" w:customStyle="1" w:styleId="62">
    <w:name w:val="font31"/>
    <w:basedOn w:val="28"/>
    <w:qFormat/>
    <w:uiPriority w:val="0"/>
    <w:rPr>
      <w:rFonts w:hint="eastAsia" w:ascii="仿宋" w:hAnsi="仿宋" w:eastAsia="仿宋" w:cs="仿宋"/>
      <w:color w:val="000000"/>
      <w:sz w:val="28"/>
      <w:szCs w:val="28"/>
      <w:u w:val="none"/>
    </w:rPr>
  </w:style>
  <w:style w:type="character" w:customStyle="1" w:styleId="63">
    <w:name w:val="正文文本 字符"/>
    <w:basedOn w:val="28"/>
    <w:link w:val="11"/>
    <w:qFormat/>
    <w:uiPriority w:val="0"/>
    <w:rPr>
      <w:kern w:val="2"/>
      <w:sz w:val="21"/>
      <w:szCs w:val="24"/>
    </w:rPr>
  </w:style>
  <w:style w:type="character" w:customStyle="1" w:styleId="64">
    <w:name w:val="正文文本首行缩进 字符"/>
    <w:link w:val="24"/>
    <w:qFormat/>
    <w:uiPriority w:val="0"/>
    <w:rPr>
      <w:sz w:val="21"/>
      <w:szCs w:val="21"/>
    </w:rPr>
  </w:style>
  <w:style w:type="character" w:customStyle="1" w:styleId="65">
    <w:name w:val="正文文本缩进 字符"/>
    <w:basedOn w:val="28"/>
    <w:qFormat/>
    <w:uiPriority w:val="0"/>
    <w:rPr>
      <w:sz w:val="21"/>
      <w:szCs w:val="21"/>
    </w:rPr>
  </w:style>
  <w:style w:type="character" w:customStyle="1" w:styleId="66">
    <w:name w:val="正文首行缩进 2 字符"/>
    <w:basedOn w:val="65"/>
    <w:qFormat/>
    <w:uiPriority w:val="0"/>
    <w:rPr>
      <w:sz w:val="21"/>
      <w:szCs w:val="21"/>
    </w:rPr>
  </w:style>
  <w:style w:type="character" w:customStyle="1" w:styleId="67">
    <w:name w:val="正文文本缩进 字符1"/>
    <w:basedOn w:val="28"/>
    <w:link w:val="12"/>
    <w:qFormat/>
    <w:uiPriority w:val="0"/>
    <w:rPr>
      <w:kern w:val="2"/>
      <w:sz w:val="21"/>
      <w:szCs w:val="21"/>
    </w:rPr>
  </w:style>
  <w:style w:type="character" w:customStyle="1" w:styleId="68">
    <w:name w:val="正文文本首行缩进 2 字符"/>
    <w:basedOn w:val="67"/>
    <w:link w:val="25"/>
    <w:qFormat/>
    <w:uiPriority w:val="0"/>
    <w:rPr>
      <w:kern w:val="2"/>
      <w:sz w:val="21"/>
      <w:szCs w:val="21"/>
    </w:rPr>
  </w:style>
  <w:style w:type="paragraph" w:customStyle="1" w:styleId="69">
    <w:name w:val="TOC 标题1"/>
    <w:basedOn w:val="3"/>
    <w:next w:val="1"/>
    <w:qFormat/>
    <w:uiPriority w:val="0"/>
    <w:pPr>
      <w:outlineLvl w:val="9"/>
    </w:pPr>
  </w:style>
  <w:style w:type="paragraph" w:customStyle="1" w:styleId="7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71">
    <w:name w:val="_Style 6"/>
    <w:basedOn w:val="3"/>
    <w:next w:val="1"/>
    <w:qFormat/>
    <w:uiPriority w:val="0"/>
    <w:pPr>
      <w:outlineLvl w:val="9"/>
    </w:pPr>
  </w:style>
  <w:style w:type="character" w:customStyle="1" w:styleId="72">
    <w:name w:val="批注文字 字符1"/>
    <w:basedOn w:val="28"/>
    <w:link w:val="10"/>
    <w:qFormat/>
    <w:uiPriority w:val="0"/>
    <w:rPr>
      <w:rFonts w:hint="default" w:ascii="Times New Roman" w:hAnsi="Times New Roman" w:cs="Times New Roman"/>
      <w:kern w:val="2"/>
      <w:sz w:val="21"/>
      <w:szCs w:val="24"/>
    </w:rPr>
  </w:style>
  <w:style w:type="character" w:customStyle="1" w:styleId="73">
    <w:name w:val="cke_path_empty2"/>
    <w:basedOn w:val="28"/>
    <w:qFormat/>
    <w:uiPriority w:val="0"/>
    <w:rPr>
      <w:b/>
      <w:bCs/>
      <w:color w:val="484848"/>
      <w:sz w:val="16"/>
      <w:szCs w:val="16"/>
      <w:u w:val="none"/>
    </w:rPr>
  </w:style>
  <w:style w:type="character" w:customStyle="1" w:styleId="74">
    <w:name w:val="isrevision"/>
    <w:basedOn w:val="28"/>
    <w:qFormat/>
    <w:uiPriority w:val="0"/>
    <w:rPr>
      <w:color w:val="000000"/>
      <w:sz w:val="18"/>
      <w:szCs w:val="18"/>
      <w:bdr w:val="single" w:color="E9E9E9" w:sz="6" w:space="0"/>
      <w:shd w:val="clear" w:color="auto" w:fill="FFFFFF"/>
    </w:rPr>
  </w:style>
  <w:style w:type="character" w:customStyle="1" w:styleId="75">
    <w:name w:val="ant-tree-iconele"/>
    <w:basedOn w:val="28"/>
    <w:qFormat/>
    <w:uiPriority w:val="0"/>
  </w:style>
  <w:style w:type="character" w:customStyle="1" w:styleId="76">
    <w:name w:val="cke_colorbox"/>
    <w:basedOn w:val="28"/>
    <w:qFormat/>
    <w:uiPriority w:val="0"/>
    <w:rPr>
      <w:bdr w:val="single" w:color="808080" w:sz="6" w:space="0"/>
    </w:rPr>
  </w:style>
  <w:style w:type="character" w:customStyle="1" w:styleId="77">
    <w:name w:val="cke_colorbox1"/>
    <w:basedOn w:val="28"/>
    <w:qFormat/>
    <w:uiPriority w:val="0"/>
  </w:style>
  <w:style w:type="character" w:customStyle="1" w:styleId="78">
    <w:name w:val="cke_colorbox2"/>
    <w:basedOn w:val="28"/>
    <w:qFormat/>
    <w:uiPriority w:val="0"/>
  </w:style>
  <w:style w:type="character" w:customStyle="1" w:styleId="79">
    <w:name w:val="cke_colorbox3"/>
    <w:basedOn w:val="28"/>
    <w:qFormat/>
    <w:uiPriority w:val="0"/>
  </w:style>
  <w:style w:type="character" w:customStyle="1" w:styleId="80">
    <w:name w:val="button"/>
    <w:basedOn w:val="28"/>
    <w:qFormat/>
    <w:uiPriority w:val="0"/>
  </w:style>
  <w:style w:type="character" w:customStyle="1" w:styleId="81">
    <w:name w:val="button1"/>
    <w:basedOn w:val="28"/>
    <w:qFormat/>
    <w:uiPriority w:val="0"/>
  </w:style>
  <w:style w:type="character" w:customStyle="1" w:styleId="82">
    <w:name w:val="ant-radio+*"/>
    <w:basedOn w:val="28"/>
    <w:qFormat/>
    <w:uiPriority w:val="0"/>
  </w:style>
  <w:style w:type="character" w:customStyle="1" w:styleId="83">
    <w:name w:val="tmpztreemove_arrow"/>
    <w:basedOn w:val="28"/>
    <w:qFormat/>
    <w:uiPriority w:val="0"/>
  </w:style>
  <w:style w:type="character" w:customStyle="1" w:styleId="84">
    <w:name w:val="cke_dialog_ui_button"/>
    <w:basedOn w:val="28"/>
    <w:qFormat/>
    <w:uiPriority w:val="0"/>
  </w:style>
  <w:style w:type="character" w:customStyle="1" w:styleId="85">
    <w:name w:val="first-of-type"/>
    <w:basedOn w:val="28"/>
    <w:qFormat/>
    <w:uiPriority w:val="0"/>
    <w:rPr>
      <w:color w:val="FF0000"/>
    </w:rPr>
  </w:style>
  <w:style w:type="character" w:customStyle="1" w:styleId="86">
    <w:name w:val="first-of-type1"/>
    <w:basedOn w:val="28"/>
    <w:qFormat/>
    <w:uiPriority w:val="0"/>
    <w:rPr>
      <w:color w:val="FF0000"/>
    </w:rPr>
  </w:style>
  <w:style w:type="character" w:customStyle="1" w:styleId="87">
    <w:name w:val="not-pass-node"/>
    <w:basedOn w:val="28"/>
    <w:qFormat/>
    <w:uiPriority w:val="0"/>
    <w:rPr>
      <w:bdr w:val="single" w:color="5ABD6B" w:sz="6" w:space="0"/>
      <w:shd w:val="clear" w:color="auto" w:fill="BFF3C3"/>
    </w:rPr>
  </w:style>
  <w:style w:type="character" w:customStyle="1" w:styleId="88">
    <w:name w:val="wea-dropdown-triangle2"/>
    <w:basedOn w:val="28"/>
    <w:qFormat/>
    <w:uiPriority w:val="0"/>
  </w:style>
  <w:style w:type="character" w:customStyle="1" w:styleId="89">
    <w:name w:val="current-node"/>
    <w:basedOn w:val="28"/>
    <w:qFormat/>
    <w:uiPriority w:val="0"/>
    <w:rPr>
      <w:bdr w:val="single" w:color="F5B87B" w:sz="6" w:space="0"/>
      <w:shd w:val="clear" w:color="auto" w:fill="FFE8CC"/>
    </w:rPr>
  </w:style>
  <w:style w:type="character" w:customStyle="1" w:styleId="90">
    <w:name w:val="passed-node"/>
    <w:basedOn w:val="28"/>
    <w:qFormat/>
    <w:uiPriority w:val="0"/>
    <w:rPr>
      <w:bdr w:val="single" w:color="49A8D4" w:sz="6" w:space="0"/>
      <w:shd w:val="clear" w:color="auto" w:fill="A9E3FF"/>
    </w:rPr>
  </w:style>
  <w:style w:type="character" w:customStyle="1" w:styleId="91">
    <w:name w:val="auto-pass-node"/>
    <w:basedOn w:val="28"/>
    <w:qFormat/>
    <w:uiPriority w:val="0"/>
    <w:rPr>
      <w:bdr w:val="single" w:color="DC4446" w:sz="6" w:space="0"/>
      <w:shd w:val="clear" w:color="auto" w:fill="A9E2FF"/>
    </w:rPr>
  </w:style>
  <w:style w:type="character" w:customStyle="1" w:styleId="92">
    <w:name w:val="hover34"/>
    <w:basedOn w:val="28"/>
    <w:qFormat/>
    <w:uiPriority w:val="0"/>
    <w:rPr>
      <w:color w:val="009DFF"/>
    </w:rPr>
  </w:style>
  <w:style w:type="character" w:customStyle="1" w:styleId="93">
    <w:name w:val="hover35"/>
    <w:basedOn w:val="28"/>
    <w:qFormat/>
    <w:uiPriority w:val="0"/>
    <w:rPr>
      <w:color w:val="009DFF"/>
    </w:rPr>
  </w:style>
  <w:style w:type="character" w:customStyle="1" w:styleId="94">
    <w:name w:val="disabled"/>
    <w:basedOn w:val="28"/>
    <w:qFormat/>
    <w:uiPriority w:val="0"/>
    <w:rPr>
      <w:color w:val="AAAAAA"/>
      <w:shd w:val="clear" w:color="auto" w:fill="F7F7F7"/>
    </w:rPr>
  </w:style>
  <w:style w:type="character" w:customStyle="1" w:styleId="95">
    <w:name w:val="ant-select-tree-checkbox"/>
    <w:basedOn w:val="28"/>
    <w:qFormat/>
    <w:uiPriority w:val="0"/>
  </w:style>
  <w:style w:type="character" w:customStyle="1" w:styleId="96">
    <w:name w:val="ant-select-tree-iconele"/>
    <w:basedOn w:val="28"/>
    <w:qFormat/>
    <w:uiPriority w:val="0"/>
  </w:style>
  <w:style w:type="character" w:customStyle="1" w:styleId="97">
    <w:name w:val="ant-select-tree-switcher"/>
    <w:basedOn w:val="28"/>
    <w:qFormat/>
    <w:uiPriority w:val="0"/>
  </w:style>
  <w:style w:type="character" w:customStyle="1" w:styleId="98">
    <w:name w:val="ant-tree-checkbox8"/>
    <w:basedOn w:val="28"/>
    <w:qFormat/>
    <w:uiPriority w:val="0"/>
  </w:style>
  <w:style w:type="character" w:customStyle="1" w:styleId="99">
    <w:name w:val="ant-tree-switcher10"/>
    <w:basedOn w:val="28"/>
    <w:qFormat/>
    <w:uiPriority w:val="0"/>
  </w:style>
  <w:style w:type="character" w:customStyle="1" w:styleId="100">
    <w:name w:val="wea-thumbnails-doc-content-subtitle"/>
    <w:basedOn w:val="28"/>
    <w:qFormat/>
    <w:uiPriority w:val="0"/>
    <w:rPr>
      <w:color w:val="9A9A9A"/>
    </w:rPr>
  </w:style>
  <w:style w:type="character" w:customStyle="1" w:styleId="101">
    <w:name w:val="cke_notification_progress"/>
    <w:basedOn w:val="28"/>
    <w:qFormat/>
    <w:uiPriority w:val="0"/>
    <w:rPr>
      <w:shd w:val="clear" w:color="auto" w:fill="0F74A8"/>
    </w:rPr>
  </w:style>
  <w:style w:type="character" w:customStyle="1" w:styleId="102">
    <w:name w:val="ant-table-row-expand-icon4"/>
    <w:basedOn w:val="28"/>
    <w:qFormat/>
    <w:uiPriority w:val="0"/>
    <w:rPr>
      <w:vanish/>
    </w:rPr>
  </w:style>
  <w:style w:type="paragraph" w:customStyle="1" w:styleId="103">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104">
    <w:name w:val="标题 2 字符"/>
    <w:link w:val="4"/>
    <w:qFormat/>
    <w:uiPriority w:val="0"/>
    <w:rPr>
      <w:rFonts w:ascii="Cambria" w:hAnsi="Cambria"/>
      <w:b/>
      <w:bCs/>
      <w:i/>
      <w:iCs/>
      <w:kern w:val="2"/>
      <w:sz w:val="28"/>
      <w:szCs w:val="28"/>
    </w:rPr>
  </w:style>
  <w:style w:type="character" w:customStyle="1" w:styleId="105">
    <w:name w:val="标题 3 字符"/>
    <w:basedOn w:val="28"/>
    <w:link w:val="5"/>
    <w:qFormat/>
    <w:uiPriority w:val="0"/>
    <w:rPr>
      <w:rFonts w:ascii="Cambria" w:hAnsi="Cambria"/>
      <w:b/>
      <w:bCs/>
      <w:kern w:val="2"/>
      <w:sz w:val="26"/>
      <w:szCs w:val="26"/>
    </w:rPr>
  </w:style>
  <w:style w:type="paragraph" w:customStyle="1" w:styleId="106">
    <w:name w:val="A1-普通段落字体"/>
    <w:basedOn w:val="1"/>
    <w:qFormat/>
    <w:uiPriority w:val="0"/>
    <w:pPr>
      <w:spacing w:line="400" w:lineRule="exact"/>
      <w:ind w:firstLine="747" w:firstLineChars="200"/>
    </w:pPr>
    <w:rPr>
      <w:rFonts w:eastAsia="仿宋" w:cstheme="minorBidi"/>
      <w:color w:val="000000" w:themeColor="text1"/>
      <w:sz w:val="24"/>
      <w14:textFill>
        <w14:solidFill>
          <w14:schemeClr w14:val="tx1"/>
        </w14:solidFill>
      </w14:textFill>
    </w:rPr>
  </w:style>
  <w:style w:type="table" w:customStyle="1" w:styleId="107">
    <w:name w:val="Table Normal"/>
    <w:semiHidden/>
    <w:unhideWhenUsed/>
    <w:qFormat/>
    <w:uiPriority w:val="0"/>
    <w:tblPr>
      <w:tblCellMar>
        <w:top w:w="0" w:type="dxa"/>
        <w:left w:w="0" w:type="dxa"/>
        <w:bottom w:w="0" w:type="dxa"/>
        <w:right w:w="0" w:type="dxa"/>
      </w:tblCellMar>
    </w:tblPr>
  </w:style>
  <w:style w:type="paragraph" w:customStyle="1" w:styleId="108">
    <w:name w:val="Table Text"/>
    <w:basedOn w:val="1"/>
    <w:semiHidden/>
    <w:qFormat/>
    <w:uiPriority w:val="0"/>
    <w:rPr>
      <w:rFonts w:ascii="宋体" w:hAnsi="宋体" w:cs="宋体"/>
      <w:sz w:val="25"/>
      <w:szCs w:val="25"/>
      <w:lang w:eastAsia="en-US"/>
    </w:rPr>
  </w:style>
  <w:style w:type="paragraph" w:customStyle="1" w:styleId="109">
    <w:name w:val="paragraph"/>
    <w:basedOn w:val="1"/>
    <w:semiHidden/>
    <w:qFormat/>
    <w:uiPriority w:val="0"/>
    <w:pPr>
      <w:widowControl/>
      <w:spacing w:before="100" w:beforeAutospacing="1" w:after="100" w:afterAutospacing="1"/>
    </w:pPr>
    <w:rPr>
      <w:rFonts w:ascii="等线" w:hAnsi="等线" w:eastAsia="等线" w:cs="Times New Roman"/>
      <w:kern w:val="0"/>
    </w:rPr>
  </w:style>
  <w:style w:type="character" w:customStyle="1" w:styleId="110">
    <w:name w:val="font21"/>
    <w:basedOn w:val="28"/>
    <w:qFormat/>
    <w:uiPriority w:val="0"/>
    <w:rPr>
      <w:rFonts w:hint="eastAsia" w:ascii="仿宋" w:hAnsi="仿宋" w:eastAsia="仿宋" w:cs="仿宋"/>
      <w:color w:val="000000"/>
      <w:sz w:val="24"/>
      <w:szCs w:val="24"/>
      <w:u w:val="none"/>
    </w:rPr>
  </w:style>
  <w:style w:type="paragraph" w:customStyle="1" w:styleId="111">
    <w:name w:val="标书正文"/>
    <w:basedOn w:val="2"/>
    <w:qFormat/>
    <w:uiPriority w:val="9"/>
    <w:pPr>
      <w:spacing w:line="440" w:lineRule="exact"/>
      <w:ind w:firstLine="960" w:firstLineChars="200"/>
      <w:jc w:val="left"/>
    </w:pPr>
    <w:rPr>
      <w:rFonts w:ascii="宋体" w:hAnsi="宋体" w:eastAsia="宋体"/>
    </w:rPr>
  </w:style>
  <w:style w:type="paragraph" w:customStyle="1" w:styleId="112">
    <w:name w:val="一级标题"/>
    <w:basedOn w:val="2"/>
    <w:qFormat/>
    <w:uiPriority w:val="1"/>
    <w:pPr>
      <w:numPr>
        <w:ilvl w:val="0"/>
        <w:numId w:val="1"/>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emf"/><Relationship Id="rId22" Type="http://schemas.openxmlformats.org/officeDocument/2006/relationships/oleObject" Target="embeddings/oleObject2.bin"/><Relationship Id="rId21" Type="http://schemas.openxmlformats.org/officeDocument/2006/relationships/image" Target="media/image2.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98</Pages>
  <Words>15572</Words>
  <Characters>16492</Characters>
  <Lines>384</Lines>
  <Paragraphs>108</Paragraphs>
  <TotalTime>2</TotalTime>
  <ScaleCrop>false</ScaleCrop>
  <LinksUpToDate>false</LinksUpToDate>
  <CharactersWithSpaces>16745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2021-07-02T23:15:00Z</dcterms:created>
  <dc:creator>Windows 用户</dc:creator>
  <cp:lastModifiedBy>0174L</cp:lastModifiedBy>
  <cp:lastPrinted>2022-03-12T22:20:00Z</cp:lastPrinted>
  <dcterms:modified xsi:type="dcterms:W3CDTF">2025-11-04T06:37:07Z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FA811138C5F247B0BDC185A640F2E522_13</vt:lpwstr>
  </property>
  <property fmtid="{D5CDD505-2E9C-101B-9397-08002B2CF9AE}" pid="4" name="KSOTemplateDocerSaveRecord">
    <vt:lpwstr>eyJoZGlkIjoiZDZiY2E3MTk3OWVkMDZmNDgwYmUwNDViMmIxMTA0OGYiLCJ1c2VySWQiOiIxMTQwNDY2NTAwIn0=</vt:lpwstr>
  </property>
</Properties>
</file>