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lang w:val="en-US" w:eastAsia="zh-CN"/>
        </w:rPr>
        <w:t>风机维修和动平衡检测项目</w:t>
      </w: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FSCZB2025100180</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10月</w:t>
      </w:r>
    </w:p>
    <w:p w14:paraId="7EAA2A1F">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11</w:t>
          </w:r>
          <w:r>
            <w:fldChar w:fldCharType="end"/>
          </w:r>
          <w:r>
            <w:rPr>
              <w:rFonts w:hint="eastAsia" w:ascii="Calibri" w:hAnsi="Calibri" w:eastAsia="宋体" w:cs="Times New Roman"/>
              <w:bCs/>
              <w:kern w:val="44"/>
              <w:szCs w:val="44"/>
            </w:rPr>
            <w:fldChar w:fldCharType="end"/>
          </w:r>
        </w:p>
        <w:p w14:paraId="4C8160F4">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13</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284D5C22">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23927"/>
      <w:bookmarkStart w:id="1" w:name="_Toc47976595"/>
      <w:r>
        <w:rPr>
          <w:rFonts w:hint="eastAsia"/>
        </w:rPr>
        <w:t>第一部分  投标人须知</w:t>
      </w:r>
      <w:bookmarkEnd w:id="0"/>
      <w:bookmarkEnd w:id="1"/>
    </w:p>
    <w:p w14:paraId="418340FC">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bookmarkStart w:id="2" w:name="_Toc47976596"/>
      <w:r>
        <w:rPr>
          <w:rFonts w:hint="eastAsia" w:ascii="黑体" w:hAnsi="黑体" w:eastAsia="黑体" w:cs="Times New Roman"/>
          <w:b/>
          <w:bCs/>
          <w:kern w:val="2"/>
          <w:sz w:val="28"/>
          <w:szCs w:val="28"/>
          <w:highlight w:val="none"/>
          <w:lang w:val="en-US" w:eastAsia="zh-CN" w:bidi="ar-SA"/>
        </w:rPr>
        <w:t>一、</w:t>
      </w:r>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项目名称</w:t>
      </w:r>
      <w:r>
        <w:rPr>
          <w:rFonts w:hint="eastAsia"/>
          <w:highlight w:val="none"/>
        </w:rPr>
        <w:t>：</w:t>
      </w:r>
      <w:r>
        <w:rPr>
          <w:rFonts w:hint="eastAsia"/>
          <w:highlight w:val="none"/>
          <w:lang w:val="en-US" w:eastAsia="zh-CN"/>
        </w:rPr>
        <w:t>风机维修和动平衡检测项目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FSCZB2025100180</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lang w:val="en-US" w:eastAsia="zh-CN"/>
        </w:rPr>
        <w:t>项目概况：该项目包含风机拆检、动平衡调整、更换轴承、风机轴修复等方面，通过本次招标保证风机设备的完好。</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none"/>
          <w:lang w:val="en-US" w:eastAsia="zh-CN"/>
        </w:rPr>
      </w:pPr>
      <w:r>
        <w:rPr>
          <w:rFonts w:hint="eastAsia"/>
          <w:highlight w:val="none"/>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47.4</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w:t>
      </w:r>
      <w:r>
        <w:rPr>
          <w:rFonts w:hint="eastAsia" w:ascii="Times New Roman" w:hAnsi="Times New Roman" w:cs="Times New Roman"/>
          <w:color w:val="000000"/>
          <w:sz w:val="24"/>
          <w:szCs w:val="24"/>
          <w:highlight w:val="none"/>
          <w:lang w:val="en-US" w:eastAsia="zh-CN"/>
        </w:rPr>
        <w:t>可</w:t>
      </w:r>
      <w:r>
        <w:rPr>
          <w:rFonts w:hint="default" w:ascii="Times New Roman" w:hAnsi="Times New Roman" w:eastAsia="宋体" w:cs="Times New Roman"/>
          <w:color w:val="000000"/>
          <w:sz w:val="24"/>
          <w:szCs w:val="24"/>
          <w:highlight w:val="none"/>
        </w:rPr>
        <w:t>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招标人名称：中国重汽集团济南动力有限公司</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Fonts w:hint="eastAsia" w:ascii="宋体" w:hAnsi="Courier New" w:cs="Times New Roman"/>
          <w:color w:val="auto"/>
          <w:kern w:val="2"/>
          <w:sz w:val="21"/>
          <w:highlight w:val="none"/>
          <w:lang w:val="en-US" w:eastAsia="zh-CN" w:bidi="ar-SA"/>
        </w:rPr>
        <w:t>wangxuan1</w:t>
      </w:r>
      <w:r>
        <w:rPr>
          <w:rStyle w:val="38"/>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kern w:val="2"/>
          <w:sz w:val="21"/>
          <w:highlight w:val="none"/>
          <w:lang w:val="en-US" w:eastAsia="zh-CN" w:bidi="ar-SA"/>
        </w:rPr>
        <w:t>李新堂</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15863162103</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lixintang@sinotruk.com</w:t>
      </w:r>
    </w:p>
    <w:bookmarkEnd w:id="3"/>
    <w:p w14:paraId="50DC6C75">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bookmarkStart w:id="4" w:name="_Toc47976598"/>
      <w:r>
        <w:rPr>
          <w:rFonts w:hint="eastAsia" w:ascii="黑体" w:hAnsi="黑体" w:eastAsia="黑体" w:cs="Times New Roman"/>
          <w:b/>
          <w:bCs/>
          <w:kern w:val="2"/>
          <w:sz w:val="28"/>
          <w:szCs w:val="28"/>
          <w:highlight w:val="none"/>
          <w:lang w:val="en-US" w:eastAsia="zh-CN" w:bidi="ar-SA"/>
        </w:rPr>
        <w:t>二、</w:t>
      </w:r>
      <w:r>
        <w:rPr>
          <w:rFonts w:hint="eastAsia"/>
        </w:rPr>
        <w:t>合格的投标人</w:t>
      </w:r>
      <w:bookmarkEnd w:id="4"/>
    </w:p>
    <w:p w14:paraId="73D5FF52">
      <w:pPr>
        <w:pStyle w:val="15"/>
        <w:spacing w:line="360" w:lineRule="auto"/>
        <w:ind w:firstLine="420" w:firstLineChars="200"/>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2F9DF972">
      <w:pPr>
        <w:pStyle w:val="15"/>
        <w:spacing w:line="360" w:lineRule="auto"/>
        <w:ind w:firstLine="422" w:firstLineChars="200"/>
        <w:rPr>
          <w:b/>
          <w:bCs/>
        </w:rPr>
      </w:pPr>
      <w:r>
        <w:rPr>
          <w:rFonts w:hint="eastAsia" w:hAnsi="宋体"/>
          <w:b/>
          <w:bCs/>
          <w:color w:val="FF0000"/>
        </w:rPr>
        <w:t>*</w:t>
      </w:r>
      <w:r>
        <w:rPr>
          <w:rFonts w:hint="eastAsia" w:hAnsi="宋体"/>
          <w:b/>
          <w:bCs/>
        </w:rPr>
        <w:t>⑵</w:t>
      </w:r>
      <w:r>
        <w:rPr>
          <w:rFonts w:hint="eastAsia"/>
          <w:b/>
          <w:bCs/>
        </w:rPr>
        <w:t>公司成立</w:t>
      </w:r>
      <w:r>
        <w:rPr>
          <w:rFonts w:hint="eastAsia"/>
          <w:b/>
          <w:bCs/>
          <w:lang w:val="en-US" w:eastAsia="zh-CN"/>
        </w:rPr>
        <w:t>三</w:t>
      </w:r>
      <w:r>
        <w:rPr>
          <w:rFonts w:hint="eastAsia"/>
          <w:b/>
          <w:bCs/>
        </w:rPr>
        <w:t>年以上（以营业执照成立日期到开标当日满三年为准）；注册资金不少</w:t>
      </w:r>
      <w:r>
        <w:rPr>
          <w:rFonts w:hint="eastAsia"/>
          <w:b/>
          <w:bCs/>
          <w:color w:val="000000" w:themeColor="text1"/>
          <w14:textFill>
            <w14:solidFill>
              <w14:schemeClr w14:val="tx1"/>
            </w14:solidFill>
          </w14:textFill>
        </w:rPr>
        <w:t>于200万</w:t>
      </w:r>
      <w:r>
        <w:rPr>
          <w:rFonts w:hint="eastAsia"/>
          <w:b/>
          <w:bCs/>
        </w:rPr>
        <w:t>元</w:t>
      </w:r>
      <w:r>
        <w:rPr>
          <w:rFonts w:hint="eastAsia" w:hAnsi="宋体"/>
          <w:b/>
          <w:bCs/>
          <w:sz w:val="24"/>
        </w:rPr>
        <w:t>；</w:t>
      </w:r>
      <w:r>
        <w:rPr>
          <w:rFonts w:hint="eastAsia"/>
          <w:b/>
          <w:bCs/>
        </w:rPr>
        <w:t>经营范围满足招标项目需求；</w:t>
      </w:r>
    </w:p>
    <w:p w14:paraId="4109EEE1">
      <w:pPr>
        <w:pStyle w:val="15"/>
        <w:spacing w:line="360" w:lineRule="auto"/>
        <w:ind w:firstLine="422" w:firstLineChars="200"/>
        <w:rPr>
          <w:b/>
          <w:bCs/>
        </w:rPr>
      </w:pPr>
      <w:r>
        <w:rPr>
          <w:rFonts w:hint="eastAsia" w:hAnsi="宋体"/>
          <w:b/>
          <w:bCs/>
          <w:color w:val="FF0000"/>
        </w:rPr>
        <w:t>*</w:t>
      </w:r>
      <w:r>
        <w:rPr>
          <w:rFonts w:hint="eastAsia"/>
          <w:b/>
          <w:bCs/>
        </w:rPr>
        <w:t>⑶投标人须提供具有统一社会信用代码的新版营业执照副本原件及（或）复印件（加盖公章）；</w:t>
      </w:r>
    </w:p>
    <w:p w14:paraId="00A1D431">
      <w:pPr>
        <w:pStyle w:val="15"/>
        <w:spacing w:line="360" w:lineRule="auto"/>
        <w:ind w:firstLine="420" w:firstLineChars="200"/>
        <w:rPr>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具有良好的商业信誉，在国家企业信用信息公示系统中无与本项目有关的行政处罚、列入经营异常名录和列入严重违法失信企业名单（黑名单）信息但上述信息已被移除的可参与投标；</w:t>
      </w:r>
    </w:p>
    <w:p w14:paraId="6120F05E">
      <w:pPr>
        <w:pStyle w:val="15"/>
        <w:spacing w:line="360" w:lineRule="auto"/>
        <w:ind w:firstLine="420" w:firstLineChars="200"/>
      </w:pPr>
      <w:r>
        <w:rPr>
          <w:rFonts w:hint="eastAsia" w:hAnsi="宋体"/>
        </w:rPr>
        <w:t>⑸</w:t>
      </w:r>
      <w:r>
        <w:rPr>
          <w:rFonts w:hint="eastAsia"/>
        </w:rPr>
        <w:t>投标人近三年内在经营活动中无与本项目有关的违法及重大违规情况；</w:t>
      </w:r>
    </w:p>
    <w:p w14:paraId="0E1E6F2A">
      <w:pPr>
        <w:pStyle w:val="15"/>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r>
        <w:rPr>
          <w:rFonts w:hint="eastAsia"/>
          <w:color w:val="FF0000"/>
        </w:rPr>
        <w:t>；</w:t>
      </w:r>
    </w:p>
    <w:p w14:paraId="4F03BAA2">
      <w:pPr>
        <w:pStyle w:val="15"/>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48827FD1">
      <w:pPr>
        <w:autoSpaceDE w:val="0"/>
        <w:autoSpaceDN w:val="0"/>
        <w:adjustRightInd w:val="0"/>
        <w:spacing w:line="360" w:lineRule="auto"/>
        <w:ind w:firstLine="422" w:firstLineChars="200"/>
        <w:jc w:val="left"/>
        <w:rPr>
          <w:rFonts w:ascii="宋体" w:hAnsi="Courier New"/>
          <w:b/>
          <w:bCs/>
        </w:rPr>
      </w:pPr>
      <w:r>
        <w:rPr>
          <w:rFonts w:hint="eastAsia" w:ascii="宋体" w:hAnsi="Courier New"/>
          <w:b/>
          <w:bCs/>
          <w:color w:val="FF0000"/>
        </w:rPr>
        <w:t>*</w:t>
      </w:r>
      <w:r>
        <w:rPr>
          <w:rFonts w:hint="eastAsia" w:ascii="宋体" w:hAnsi="Courier New"/>
          <w:b/>
          <w:bCs/>
        </w:rPr>
        <w:t>⑻投标人须提供经会计师事务所审计且出具无保留意见的近三年(2020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BF883A8">
      <w:pPr>
        <w:spacing w:line="360" w:lineRule="auto"/>
        <w:ind w:firstLine="422" w:firstLineChars="200"/>
        <w:rPr>
          <w:rFonts w:ascii="宋体" w:hAnsi="Courier New"/>
          <w:b/>
          <w:bCs/>
        </w:rPr>
      </w:pPr>
      <w:r>
        <w:rPr>
          <w:rFonts w:hint="eastAsia" w:hAnsi="宋体"/>
          <w:b/>
          <w:bCs/>
          <w:color w:val="FF0000"/>
        </w:rPr>
        <w:t>*</w:t>
      </w:r>
      <w:r>
        <w:rPr>
          <w:rFonts w:hint="eastAsia" w:ascii="宋体" w:hAns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p>
    <w:p w14:paraId="6328211C">
      <w:pPr>
        <w:pStyle w:val="15"/>
        <w:spacing w:line="360" w:lineRule="auto"/>
        <w:ind w:firstLine="422" w:firstLineChars="200"/>
        <w:rPr>
          <w:b/>
          <w:bCs/>
        </w:rPr>
      </w:pPr>
      <w:r>
        <w:rPr>
          <w:rFonts w:hint="eastAsia" w:ascii="宋体" w:hAnsi="Courier New"/>
          <w:b/>
          <w:bCs/>
          <w:color w:val="FF0000"/>
        </w:rPr>
        <w:t>*</w:t>
      </w:r>
      <w:r>
        <w:rPr>
          <w:rFonts w:hint="eastAsia" w:hAnsi="宋体"/>
          <w:b/>
          <w:bCs/>
        </w:rPr>
        <w:t>⑽</w:t>
      </w:r>
      <w:r>
        <w:rPr>
          <w:rFonts w:hint="eastAsia"/>
          <w:b/>
          <w:bCs/>
        </w:rPr>
        <w:t>投标人须具有履行合同所必须的设备、财务、技术、服务等方面的资质和能力，具有与本项目相关的证明资料成功的类似工程案例并提供近三年（以开标时间为准）证明；</w:t>
      </w:r>
    </w:p>
    <w:p w14:paraId="57EAA494">
      <w:pPr>
        <w:pStyle w:val="15"/>
        <w:spacing w:line="360" w:lineRule="auto"/>
        <w:ind w:firstLine="420" w:firstLineChars="200"/>
      </w:pPr>
      <w:r>
        <w:rPr>
          <w:rFonts w:hint="eastAsia" w:hAnsi="宋体"/>
        </w:rPr>
        <w:t>⑾</w:t>
      </w:r>
      <w:r>
        <w:rPr>
          <w:rFonts w:hint="eastAsia"/>
        </w:rPr>
        <w:t>投标人须具有完全履行招标文件的所有要求的能力；</w:t>
      </w:r>
    </w:p>
    <w:p w14:paraId="1C75BA32">
      <w:pPr>
        <w:pStyle w:val="15"/>
        <w:spacing w:line="360" w:lineRule="auto"/>
        <w:ind w:firstLine="420" w:firstLineChars="200"/>
      </w:pPr>
      <w:r>
        <w:rPr>
          <w:rFonts w:hint="eastAsia" w:hAnsi="宋体"/>
        </w:rPr>
        <w:t>⑿</w:t>
      </w:r>
      <w:r>
        <w:rPr>
          <w:rFonts w:hint="eastAsia"/>
        </w:rPr>
        <w:t>投标人须负责提供合理的便于运输的包装物，并承担相关费用；</w:t>
      </w:r>
    </w:p>
    <w:p w14:paraId="23641614">
      <w:pPr>
        <w:pStyle w:val="15"/>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5784E515">
      <w:pPr>
        <w:pStyle w:val="15"/>
        <w:spacing w:line="360" w:lineRule="auto"/>
        <w:ind w:firstLine="420" w:firstLineChars="200"/>
      </w:pPr>
      <w:r>
        <w:rPr>
          <w:rFonts w:hint="eastAsia" w:hAnsi="宋体"/>
        </w:rPr>
        <w:t>⒁</w:t>
      </w:r>
      <w:r>
        <w:rPr>
          <w:rFonts w:hint="eastAsia"/>
        </w:rPr>
        <w:t>投标人须认可招标人终止合同后3个月退还履约保证金的招标要求；</w:t>
      </w:r>
    </w:p>
    <w:p w14:paraId="5018B22A">
      <w:pPr>
        <w:pStyle w:val="15"/>
        <w:spacing w:line="360" w:lineRule="auto"/>
        <w:ind w:firstLine="422" w:firstLineChars="200"/>
        <w:rPr>
          <w:b/>
          <w:bCs/>
        </w:rPr>
      </w:pPr>
      <w:r>
        <w:rPr>
          <w:rFonts w:hint="eastAsia" w:hAnsi="宋体"/>
          <w:b/>
          <w:bCs/>
          <w:color w:val="FF0000"/>
        </w:rPr>
        <w:t>*</w:t>
      </w:r>
      <w:r>
        <w:rPr>
          <w:rFonts w:hint="eastAsia" w:hAnsi="宋体"/>
          <w:b/>
          <w:bCs/>
        </w:rPr>
        <w:t>⒂</w:t>
      </w:r>
      <w:r>
        <w:rPr>
          <w:rFonts w:hint="eastAsia"/>
          <w:b/>
          <w:bCs/>
        </w:rPr>
        <w:t>投标人必须是最终投标、签订合同的单位，不得以任何理由将已中标项目以任何形式转包给其他单位；</w:t>
      </w:r>
    </w:p>
    <w:p w14:paraId="7408579B">
      <w:pPr>
        <w:pStyle w:val="15"/>
        <w:spacing w:line="360" w:lineRule="auto"/>
        <w:ind w:firstLine="422" w:firstLineChars="200"/>
        <w:rPr>
          <w:b/>
          <w:bCs/>
        </w:rPr>
      </w:pPr>
      <w:r>
        <w:rPr>
          <w:rFonts w:hint="eastAsia" w:hAnsi="宋体"/>
          <w:b/>
          <w:bCs/>
          <w:color w:val="FF0000"/>
        </w:rPr>
        <w:t>*</w:t>
      </w:r>
      <w:r>
        <w:rPr>
          <w:rFonts w:hint="eastAsia" w:hAnsi="宋体"/>
          <w:b/>
          <w:bCs/>
        </w:rPr>
        <w:t>⒃</w:t>
      </w:r>
      <w:r>
        <w:rPr>
          <w:rFonts w:hint="eastAsia"/>
          <w:b/>
          <w:bCs/>
        </w:rPr>
        <w:t>本次招标项目不接受联合体投标；</w:t>
      </w:r>
    </w:p>
    <w:p w14:paraId="338F62EC">
      <w:pPr>
        <w:spacing w:line="360" w:lineRule="auto"/>
        <w:ind w:firstLine="422" w:firstLineChars="200"/>
        <w:rPr>
          <w:rFonts w:ascii="宋体" w:hAnsi="宋体"/>
          <w:b/>
          <w:bCs/>
        </w:rPr>
      </w:pPr>
      <w:r>
        <w:rPr>
          <w:rFonts w:hint="eastAsia" w:hAnsi="宋体"/>
          <w:b/>
          <w:bCs/>
          <w:color w:val="FF0000"/>
        </w:rPr>
        <w:t>*</w:t>
      </w:r>
      <w:r>
        <w:rPr>
          <w:rFonts w:hint="eastAsia" w:ascii="宋体" w:hAnsi="宋体"/>
          <w:b/>
          <w:bCs/>
        </w:rPr>
        <w:t>⒄投标人在向招标人出示《投标保证金缴纳凭证》后方可进行投标；</w:t>
      </w:r>
    </w:p>
    <w:p w14:paraId="48EF3318">
      <w:pPr>
        <w:spacing w:line="360" w:lineRule="auto"/>
        <w:ind w:firstLine="420" w:firstLineChars="200"/>
        <w:rPr>
          <w:rFonts w:hAnsi="宋体"/>
        </w:rPr>
      </w:pPr>
      <w:r>
        <w:rPr>
          <w:rFonts w:hint="eastAsia" w:hAnsi="宋体"/>
        </w:rPr>
        <w:t>⒅如为代理商投标，需获得生产厂家正式授权原件并具备售后服务承诺原件。</w:t>
      </w:r>
    </w:p>
    <w:p w14:paraId="6D6DBA84">
      <w:pPr>
        <w:pStyle w:val="15"/>
        <w:spacing w:line="360" w:lineRule="auto"/>
        <w:ind w:firstLine="420" w:firstLineChars="200"/>
        <w:rPr>
          <w:rFonts w:hAnsi="宋体"/>
        </w:rPr>
      </w:pPr>
      <w:r>
        <w:rPr>
          <w:rFonts w:hint="eastAsia" w:ascii="Times New Roman" w:hAnsi="宋体" w:cs="Times New Roman"/>
          <w:szCs w:val="20"/>
        </w:rPr>
        <w:t>⒆</w:t>
      </w:r>
      <w:r>
        <w:rPr>
          <w:rFonts w:hint="eastAsia" w:hAnsi="宋体"/>
        </w:rPr>
        <w:t>供方的直接或间接股东、法定代表人、董事、监事、高管非重汽员工及其亲属。</w:t>
      </w:r>
    </w:p>
    <w:p w14:paraId="45238D37">
      <w:pPr>
        <w:pStyle w:val="15"/>
        <w:spacing w:line="360" w:lineRule="auto"/>
        <w:ind w:firstLine="422" w:firstLineChars="200"/>
        <w:rPr>
          <w:b/>
        </w:rPr>
      </w:pPr>
      <w:r>
        <w:rPr>
          <w:rFonts w:hint="eastAsia"/>
          <w:b/>
          <w:bCs/>
        </w:rPr>
        <w:t>注：上述带“</w:t>
      </w:r>
      <w:r>
        <w:rPr>
          <w:rFonts w:hint="eastAsia" w:hAnsi="宋体"/>
          <w:b/>
          <w:bCs/>
          <w:color w:val="FF0000"/>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31CA8C38">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rPr>
          <w:rFonts w:hint="eastAsia" w:hAnsi="Courier New" w:cs="Times New Roman"/>
          <w:highlight w:val="none"/>
        </w:rPr>
      </w:pPr>
      <w:r>
        <w:rPr>
          <w:rFonts w:hint="eastAsia" w:ascii="黑体" w:hAnsi="黑体" w:eastAsia="黑体" w:cs="Times New Roman"/>
          <w:b/>
          <w:bCs/>
          <w:kern w:val="2"/>
          <w:sz w:val="28"/>
          <w:szCs w:val="28"/>
          <w:highlight w:val="none"/>
          <w:lang w:val="en-US" w:eastAsia="zh-CN" w:bidi="ar-SA"/>
        </w:rPr>
        <w:t>三、</w:t>
      </w: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27</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11</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13</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11月13日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rPr>
          <w:rFonts w:hint="eastAsia" w:ascii="宋体" w:hAnsi="Courier New" w:eastAsia="宋体" w:cs="Times New Roman"/>
          <w:highlight w:val="none"/>
          <w:lang w:val="en-US" w:eastAsia="zh-CN"/>
        </w:rPr>
      </w:pPr>
      <w:r>
        <w:rPr>
          <w:rFonts w:hint="eastAsia" w:ascii="黑体" w:hAnsi="黑体" w:eastAsia="黑体" w:cs="Times New Roman"/>
          <w:b/>
          <w:bCs/>
          <w:kern w:val="2"/>
          <w:sz w:val="28"/>
          <w:szCs w:val="28"/>
          <w:highlight w:val="none"/>
          <w:lang w:val="en-US" w:eastAsia="zh-CN" w:bidi="ar-SA"/>
        </w:rPr>
        <w:t>四、</w:t>
      </w: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sz w:val="21"/>
          <w:szCs w:val="21"/>
          <w:lang w:val="en-US" w:eastAsia="zh-CN"/>
        </w:rPr>
      </w:pPr>
      <w:r>
        <w:rPr>
          <w:rFonts w:hint="eastAsia" w:cs="Times New Roman"/>
          <w:sz w:val="21"/>
          <w:szCs w:val="21"/>
          <w:lang w:val="en-US" w:eastAsia="zh-CN"/>
        </w:rPr>
        <w:t>本项目投标文件为</w:t>
      </w:r>
      <w:r>
        <w:rPr>
          <w:rFonts w:hint="eastAsia" w:ascii="Times New Roman" w:hAnsi="Times New Roman" w:cs="Times New Roman"/>
          <w:color w:val="auto"/>
          <w:sz w:val="21"/>
          <w:szCs w:val="21"/>
          <w:lang w:val="en-US" w:eastAsia="zh-CN"/>
        </w:rPr>
        <w:t>盖章扫描</w:t>
      </w:r>
      <w:r>
        <w:rPr>
          <w:rFonts w:hint="eastAsia" w:cs="Times New Roman"/>
          <w:sz w:val="21"/>
          <w:szCs w:val="21"/>
          <w:lang w:val="en-US" w:eastAsia="zh-CN"/>
        </w:rPr>
        <w:t>电子版投标文件。</w:t>
      </w:r>
      <w:r>
        <w:rPr>
          <w:rFonts w:hint="eastAsia"/>
          <w:sz w:val="21"/>
          <w:szCs w:val="21"/>
          <w:lang w:val="en-US" w:eastAsia="zh-CN"/>
        </w:rPr>
        <w:t>投标人编写的投标文件由《投标文件（资质标）》、《投标文件（技术标）》(若有）、《投标文件（商务标）》（开标一览表）文件组成，共计3个文件。</w:t>
      </w:r>
    </w:p>
    <w:p w14:paraId="4922C7C3">
      <w:pPr>
        <w:pStyle w:val="15"/>
        <w:spacing w:line="360" w:lineRule="auto"/>
        <w:ind w:firstLine="422" w:firstLineChars="200"/>
        <w:rPr>
          <w:b/>
          <w:sz w:val="21"/>
          <w:szCs w:val="21"/>
        </w:rPr>
      </w:pPr>
      <w:bookmarkStart w:id="5" w:name="_Toc47976601"/>
      <w:r>
        <w:rPr>
          <w:rFonts w:hint="eastAsia"/>
          <w:b/>
          <w:sz w:val="21"/>
          <w:szCs w:val="21"/>
        </w:rPr>
        <w:t>2.投标文件格式</w:t>
      </w:r>
    </w:p>
    <w:p w14:paraId="285FC2C1">
      <w:pPr>
        <w:pStyle w:val="15"/>
        <w:spacing w:line="360" w:lineRule="auto"/>
        <w:ind w:firstLine="422" w:firstLineChars="200"/>
        <w:rPr>
          <w:b/>
          <w:sz w:val="21"/>
          <w:szCs w:val="21"/>
        </w:rPr>
      </w:pPr>
      <w:r>
        <w:rPr>
          <w:rFonts w:hint="eastAsia"/>
          <w:b/>
          <w:sz w:val="21"/>
          <w:szCs w:val="21"/>
        </w:rPr>
        <w:t>2.1资质文件：</w:t>
      </w:r>
    </w:p>
    <w:p w14:paraId="0AFA9B14">
      <w:pPr>
        <w:pStyle w:val="15"/>
        <w:spacing w:line="360" w:lineRule="auto"/>
        <w:ind w:firstLine="420" w:firstLineChars="200"/>
        <w:rPr>
          <w:b w:val="0"/>
          <w:bCs/>
          <w:sz w:val="21"/>
          <w:szCs w:val="21"/>
        </w:rPr>
      </w:pPr>
      <w:r>
        <w:rPr>
          <w:rFonts w:hint="eastAsia"/>
          <w:b w:val="0"/>
          <w:bCs/>
          <w:sz w:val="21"/>
          <w:szCs w:val="21"/>
        </w:rPr>
        <w:t>2.1.1</w:t>
      </w:r>
      <w:r>
        <w:rPr>
          <w:rFonts w:hint="eastAsia"/>
          <w:b w:val="0"/>
          <w:bCs/>
          <w:sz w:val="21"/>
          <w:szCs w:val="21"/>
        </w:rPr>
        <w:tab/>
      </w:r>
      <w:r>
        <w:rPr>
          <w:rFonts w:hint="eastAsia"/>
          <w:b w:val="0"/>
          <w:bCs/>
          <w:sz w:val="21"/>
          <w:szCs w:val="21"/>
        </w:rPr>
        <w:t>法定代表人身份证明；</w:t>
      </w:r>
    </w:p>
    <w:p w14:paraId="6CB54EFE">
      <w:pPr>
        <w:pStyle w:val="15"/>
        <w:spacing w:line="360" w:lineRule="auto"/>
        <w:ind w:firstLine="420" w:firstLineChars="200"/>
        <w:rPr>
          <w:b w:val="0"/>
          <w:bCs/>
          <w:sz w:val="21"/>
          <w:szCs w:val="21"/>
        </w:rPr>
      </w:pPr>
      <w:r>
        <w:rPr>
          <w:rFonts w:hint="eastAsia"/>
          <w:b w:val="0"/>
          <w:bCs/>
          <w:sz w:val="21"/>
          <w:szCs w:val="21"/>
        </w:rPr>
        <w:t>2.1.2</w:t>
      </w:r>
      <w:r>
        <w:rPr>
          <w:rFonts w:hint="eastAsia"/>
          <w:b w:val="0"/>
          <w:bCs/>
          <w:sz w:val="21"/>
          <w:szCs w:val="21"/>
        </w:rPr>
        <w:tab/>
      </w:r>
      <w:r>
        <w:rPr>
          <w:rFonts w:hint="eastAsia"/>
          <w:b w:val="0"/>
          <w:bCs/>
          <w:sz w:val="21"/>
          <w:szCs w:val="21"/>
        </w:rPr>
        <w:t>法人授权委托书及身份证复印件；</w:t>
      </w:r>
    </w:p>
    <w:p w14:paraId="5DCC0168">
      <w:pPr>
        <w:pStyle w:val="15"/>
        <w:spacing w:line="360" w:lineRule="auto"/>
        <w:ind w:firstLine="420" w:firstLineChars="200"/>
        <w:rPr>
          <w:b w:val="0"/>
          <w:bCs/>
          <w:sz w:val="21"/>
          <w:szCs w:val="21"/>
        </w:rPr>
      </w:pPr>
      <w:r>
        <w:rPr>
          <w:rFonts w:hint="eastAsia"/>
          <w:b w:val="0"/>
          <w:bCs/>
          <w:sz w:val="21"/>
          <w:szCs w:val="21"/>
        </w:rPr>
        <w:t>2.1.3</w:t>
      </w:r>
      <w:r>
        <w:rPr>
          <w:rFonts w:hint="eastAsia"/>
          <w:b w:val="0"/>
          <w:bCs/>
          <w:sz w:val="21"/>
          <w:szCs w:val="21"/>
        </w:rPr>
        <w:tab/>
      </w:r>
      <w:r>
        <w:rPr>
          <w:rFonts w:hint="eastAsia"/>
          <w:b w:val="0"/>
          <w:bCs/>
          <w:sz w:val="21"/>
          <w:szCs w:val="21"/>
        </w:rPr>
        <w:t>营业执照副本复印件；</w:t>
      </w:r>
    </w:p>
    <w:p w14:paraId="19100F6A">
      <w:pPr>
        <w:pStyle w:val="15"/>
        <w:spacing w:line="360" w:lineRule="auto"/>
        <w:ind w:firstLine="420" w:firstLineChars="200"/>
        <w:rPr>
          <w:b w:val="0"/>
          <w:bCs/>
          <w:sz w:val="21"/>
          <w:szCs w:val="21"/>
        </w:rPr>
      </w:pPr>
      <w:r>
        <w:rPr>
          <w:rFonts w:hint="eastAsia"/>
          <w:b w:val="0"/>
          <w:bCs/>
          <w:sz w:val="21"/>
          <w:szCs w:val="21"/>
        </w:rPr>
        <w:t>2.1.4</w:t>
      </w:r>
      <w:r>
        <w:rPr>
          <w:rFonts w:hint="eastAsia"/>
          <w:b w:val="0"/>
          <w:bCs/>
          <w:sz w:val="21"/>
          <w:szCs w:val="21"/>
        </w:rPr>
        <w:tab/>
      </w:r>
      <w:r>
        <w:rPr>
          <w:rFonts w:hint="eastAsia"/>
          <w:b w:val="0"/>
          <w:bCs/>
          <w:sz w:val="21"/>
          <w:szCs w:val="21"/>
        </w:rPr>
        <w:t>投标人应具有相应生产证明，若为代理商需具备厂家授权；</w:t>
      </w:r>
    </w:p>
    <w:p w14:paraId="72DFB75C">
      <w:pPr>
        <w:pStyle w:val="15"/>
        <w:spacing w:line="360" w:lineRule="auto"/>
        <w:ind w:firstLine="420" w:firstLineChars="200"/>
        <w:rPr>
          <w:b w:val="0"/>
          <w:bCs/>
          <w:sz w:val="21"/>
          <w:szCs w:val="21"/>
        </w:rPr>
      </w:pPr>
      <w:r>
        <w:rPr>
          <w:rFonts w:hint="eastAsia"/>
          <w:b w:val="0"/>
          <w:bCs/>
          <w:sz w:val="21"/>
          <w:szCs w:val="21"/>
        </w:rPr>
        <w:t>2.1.5</w:t>
      </w:r>
      <w:r>
        <w:rPr>
          <w:rFonts w:hint="eastAsia"/>
          <w:b w:val="0"/>
          <w:bCs/>
          <w:sz w:val="21"/>
          <w:szCs w:val="21"/>
        </w:rPr>
        <w:tab/>
      </w:r>
      <w:r>
        <w:rPr>
          <w:rFonts w:hint="eastAsia"/>
          <w:b w:val="0"/>
          <w:bCs/>
          <w:sz w:val="21"/>
          <w:szCs w:val="21"/>
        </w:rPr>
        <w:t>证明投标人满足投标资料表中列出的业绩要求的文件：近三年类似项目业绩及合同复印件（加盖公章，须有客户联系方式及联系人以供招标人核实确认）；</w:t>
      </w:r>
    </w:p>
    <w:p w14:paraId="49B523AE">
      <w:pPr>
        <w:pStyle w:val="15"/>
        <w:spacing w:line="360" w:lineRule="auto"/>
        <w:ind w:firstLine="420" w:firstLineChars="200"/>
        <w:rPr>
          <w:rFonts w:hint="eastAsia"/>
          <w:b w:val="0"/>
          <w:bCs/>
          <w:sz w:val="21"/>
          <w:szCs w:val="21"/>
        </w:rPr>
      </w:pPr>
      <w:r>
        <w:rPr>
          <w:rFonts w:hint="eastAsia"/>
          <w:b w:val="0"/>
          <w:bCs/>
          <w:sz w:val="21"/>
          <w:szCs w:val="21"/>
        </w:rPr>
        <w:t>2.1.6</w:t>
      </w:r>
      <w:r>
        <w:rPr>
          <w:rFonts w:hint="eastAsia"/>
          <w:b w:val="0"/>
          <w:bCs/>
          <w:sz w:val="21"/>
          <w:szCs w:val="21"/>
        </w:rPr>
        <w:tab/>
      </w:r>
      <w:r>
        <w:rPr>
          <w:rFonts w:hint="eastAsia"/>
          <w:b w:val="0"/>
          <w:bCs/>
          <w:sz w:val="21"/>
          <w:szCs w:val="21"/>
        </w:rPr>
        <w:t>加盖公章的近三年中文版本经审计的财务审计报告或财务报表；</w:t>
      </w:r>
    </w:p>
    <w:p w14:paraId="427BB578">
      <w:pPr>
        <w:pStyle w:val="15"/>
        <w:spacing w:line="360" w:lineRule="auto"/>
        <w:ind w:firstLine="420" w:firstLineChars="200"/>
        <w:rPr>
          <w:rFonts w:hint="eastAsia"/>
          <w:b w:val="0"/>
          <w:bCs/>
          <w:sz w:val="21"/>
          <w:szCs w:val="21"/>
        </w:rPr>
      </w:pPr>
      <w:r>
        <w:rPr>
          <w:rFonts w:hint="eastAsia"/>
          <w:sz w:val="21"/>
          <w:szCs w:val="21"/>
          <w:highlight w:val="none"/>
          <w:lang w:val="en-US" w:eastAsia="zh-CN"/>
        </w:rPr>
        <w:t>2.1.7</w:t>
      </w:r>
      <w:r>
        <w:rPr>
          <w:rFonts w:hint="eastAsia"/>
          <w:sz w:val="21"/>
          <w:szCs w:val="21"/>
          <w:highlight w:val="none"/>
        </w:rPr>
        <w:t>技术规格偏离表；</w:t>
      </w:r>
    </w:p>
    <w:p w14:paraId="311B738F">
      <w:pPr>
        <w:pStyle w:val="15"/>
        <w:spacing w:line="360" w:lineRule="auto"/>
        <w:ind w:firstLine="420" w:firstLineChars="200"/>
        <w:rPr>
          <w:rFonts w:hint="eastAsia"/>
          <w:b w:val="0"/>
          <w:bCs/>
          <w:sz w:val="21"/>
          <w:szCs w:val="21"/>
        </w:rPr>
      </w:pPr>
      <w:r>
        <w:rPr>
          <w:rFonts w:hint="eastAsia"/>
          <w:b w:val="0"/>
          <w:bCs/>
          <w:sz w:val="21"/>
          <w:szCs w:val="21"/>
        </w:rPr>
        <w:t>2.1.</w:t>
      </w:r>
      <w:r>
        <w:rPr>
          <w:rFonts w:hint="eastAsia"/>
          <w:b w:val="0"/>
          <w:bCs/>
          <w:sz w:val="21"/>
          <w:szCs w:val="21"/>
          <w:lang w:val="en-US" w:eastAsia="zh-CN"/>
        </w:rPr>
        <w:t>8</w:t>
      </w:r>
      <w:r>
        <w:rPr>
          <w:rFonts w:hint="eastAsia"/>
          <w:b w:val="0"/>
          <w:bCs/>
          <w:sz w:val="21"/>
          <w:szCs w:val="21"/>
        </w:rPr>
        <w:tab/>
      </w:r>
      <w:r>
        <w:rPr>
          <w:rFonts w:hint="eastAsia"/>
          <w:b w:val="0"/>
          <w:bCs/>
          <w:sz w:val="21"/>
          <w:szCs w:val="21"/>
        </w:rPr>
        <w:t>招标文件中要求的其他资格证明文件。</w:t>
      </w:r>
    </w:p>
    <w:p w14:paraId="119ED1DC">
      <w:pPr>
        <w:pStyle w:val="15"/>
        <w:spacing w:line="360" w:lineRule="auto"/>
        <w:ind w:firstLine="420" w:firstLineChars="200"/>
        <w:rPr>
          <w:rFonts w:hint="eastAsia"/>
          <w:b w:val="0"/>
          <w:bCs/>
          <w:sz w:val="21"/>
          <w:szCs w:val="21"/>
          <w:lang w:eastAsia="zh-CN"/>
        </w:rPr>
      </w:pPr>
      <w:r>
        <w:rPr>
          <w:rFonts w:hint="eastAsia"/>
          <w:b w:val="0"/>
          <w:bCs/>
          <w:sz w:val="21"/>
          <w:szCs w:val="21"/>
        </w:rPr>
        <w:t>2.1.</w:t>
      </w:r>
      <w:r>
        <w:rPr>
          <w:rFonts w:hint="eastAsia"/>
          <w:b w:val="0"/>
          <w:bCs/>
          <w:sz w:val="21"/>
          <w:szCs w:val="21"/>
          <w:lang w:val="en-US" w:eastAsia="zh-CN"/>
        </w:rPr>
        <w:t>9</w:t>
      </w:r>
      <w:r>
        <w:rPr>
          <w:rFonts w:hint="eastAsia"/>
          <w:b w:val="0"/>
          <w:bCs/>
          <w:sz w:val="21"/>
          <w:szCs w:val="21"/>
        </w:rPr>
        <w:t xml:space="preserve">   备品备件工具材料明细表</w:t>
      </w:r>
      <w:r>
        <w:rPr>
          <w:rFonts w:hint="eastAsia"/>
          <w:b w:val="0"/>
          <w:bCs/>
          <w:sz w:val="21"/>
          <w:szCs w:val="21"/>
          <w:lang w:eastAsia="zh-CN"/>
        </w:rPr>
        <w:t>，</w:t>
      </w:r>
      <w:r>
        <w:rPr>
          <w:rFonts w:hint="eastAsia"/>
          <w:b w:val="0"/>
          <w:bCs/>
          <w:sz w:val="21"/>
          <w:szCs w:val="21"/>
        </w:rPr>
        <w:t>货物从招标人验收后开始使用至投标资料表中规定的周期内正常、连续地使用所必须的备件和专用工具清单，包括备件和专用工具的货源及现行价格；</w:t>
      </w:r>
    </w:p>
    <w:p w14:paraId="5291A369">
      <w:pPr>
        <w:pStyle w:val="15"/>
        <w:spacing w:line="360" w:lineRule="auto"/>
        <w:ind w:firstLine="420" w:firstLineChars="200"/>
        <w:rPr>
          <w:rFonts w:hint="eastAsia"/>
          <w:b w:val="0"/>
          <w:bCs/>
          <w:sz w:val="21"/>
          <w:szCs w:val="21"/>
        </w:rPr>
      </w:pPr>
      <w:r>
        <w:rPr>
          <w:rFonts w:hint="eastAsia"/>
          <w:b w:val="0"/>
          <w:bCs/>
          <w:sz w:val="21"/>
          <w:szCs w:val="21"/>
        </w:rPr>
        <w:t>2.1.</w:t>
      </w:r>
      <w:r>
        <w:rPr>
          <w:rFonts w:hint="eastAsia"/>
          <w:b w:val="0"/>
          <w:bCs/>
          <w:sz w:val="21"/>
          <w:szCs w:val="21"/>
          <w:lang w:val="en-US" w:eastAsia="zh-CN"/>
        </w:rPr>
        <w:t>10</w:t>
      </w:r>
      <w:r>
        <w:rPr>
          <w:rFonts w:hint="eastAsia"/>
          <w:b w:val="0"/>
          <w:bCs/>
          <w:sz w:val="21"/>
          <w:szCs w:val="21"/>
        </w:rPr>
        <w:t xml:space="preserve"> </w:t>
      </w:r>
      <w:r>
        <w:rPr>
          <w:rFonts w:hint="eastAsia"/>
          <w:b w:val="0"/>
          <w:bCs/>
          <w:sz w:val="21"/>
          <w:szCs w:val="21"/>
          <w:lang w:val="en-US" w:eastAsia="zh-CN"/>
        </w:rPr>
        <w:t xml:space="preserve"> </w:t>
      </w:r>
      <w:r>
        <w:rPr>
          <w:rFonts w:hint="eastAsia"/>
          <w:b w:val="0"/>
          <w:bCs/>
          <w:sz w:val="21"/>
          <w:szCs w:val="21"/>
        </w:rPr>
        <w:t>设备技术性能、参数的描述；证明货物和服务与招标文件的要求相一致的文件，可以是文字资料、图纸和数据，它包括：</w:t>
      </w:r>
    </w:p>
    <w:p w14:paraId="07A291A2">
      <w:pPr>
        <w:pStyle w:val="15"/>
        <w:spacing w:line="360" w:lineRule="auto"/>
        <w:ind w:firstLine="420" w:firstLineChars="200"/>
        <w:rPr>
          <w:rFonts w:hint="eastAsia"/>
          <w:b w:val="0"/>
          <w:bCs/>
          <w:sz w:val="21"/>
          <w:szCs w:val="21"/>
        </w:rPr>
      </w:pPr>
      <w:r>
        <w:rPr>
          <w:rFonts w:hint="eastAsia"/>
          <w:b w:val="0"/>
          <w:bCs/>
          <w:sz w:val="21"/>
          <w:szCs w:val="21"/>
        </w:rPr>
        <w:t>（1）货物主要技术指标和性能的详细说明；</w:t>
      </w:r>
    </w:p>
    <w:p w14:paraId="3065CE27">
      <w:pPr>
        <w:pStyle w:val="15"/>
        <w:spacing w:line="360" w:lineRule="auto"/>
        <w:ind w:firstLine="420" w:firstLineChars="200"/>
        <w:rPr>
          <w:rFonts w:hint="eastAsia"/>
          <w:b w:val="0"/>
          <w:bCs/>
          <w:sz w:val="21"/>
          <w:szCs w:val="21"/>
        </w:rPr>
      </w:pPr>
      <w:r>
        <w:rPr>
          <w:rFonts w:hint="eastAsia"/>
          <w:b w:val="0"/>
          <w:bCs/>
          <w:sz w:val="21"/>
          <w:szCs w:val="21"/>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FBBD222">
      <w:pPr>
        <w:pStyle w:val="15"/>
        <w:spacing w:line="360" w:lineRule="auto"/>
        <w:ind w:firstLine="420" w:firstLineChars="200"/>
        <w:rPr>
          <w:rFonts w:hint="eastAsia"/>
          <w:b w:val="0"/>
          <w:bCs/>
          <w:sz w:val="21"/>
          <w:szCs w:val="21"/>
        </w:rPr>
      </w:pPr>
      <w:r>
        <w:rPr>
          <w:rFonts w:hint="eastAsia"/>
          <w:b w:val="0"/>
          <w:bCs/>
          <w:sz w:val="21"/>
          <w:szCs w:val="21"/>
        </w:rPr>
        <w:t>（3）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4396C6F7">
      <w:pPr>
        <w:pStyle w:val="15"/>
        <w:spacing w:line="360" w:lineRule="auto"/>
        <w:ind w:firstLine="422" w:firstLineChars="200"/>
        <w:rPr>
          <w:b/>
          <w:sz w:val="21"/>
          <w:szCs w:val="21"/>
        </w:rPr>
      </w:pPr>
      <w:r>
        <w:rPr>
          <w:rFonts w:hint="eastAsia"/>
          <w:b/>
          <w:sz w:val="21"/>
          <w:szCs w:val="21"/>
        </w:rPr>
        <w:t>2.2 商务标：</w:t>
      </w:r>
    </w:p>
    <w:p w14:paraId="5D1CEC74">
      <w:pPr>
        <w:pStyle w:val="15"/>
        <w:spacing w:line="360" w:lineRule="auto"/>
        <w:ind w:firstLine="420" w:firstLineChars="200"/>
        <w:rPr>
          <w:b w:val="0"/>
          <w:bCs/>
          <w:sz w:val="21"/>
          <w:szCs w:val="21"/>
        </w:rPr>
      </w:pPr>
      <w:r>
        <w:rPr>
          <w:rFonts w:hint="eastAsia"/>
          <w:b w:val="0"/>
          <w:bCs/>
          <w:sz w:val="21"/>
          <w:szCs w:val="21"/>
        </w:rPr>
        <w:t>2.2.1</w:t>
      </w:r>
      <w:r>
        <w:rPr>
          <w:rFonts w:hint="eastAsia"/>
          <w:b w:val="0"/>
          <w:bCs/>
          <w:sz w:val="21"/>
          <w:szCs w:val="21"/>
        </w:rPr>
        <w:tab/>
      </w:r>
      <w:r>
        <w:rPr>
          <w:rFonts w:hint="eastAsia"/>
          <w:b w:val="0"/>
          <w:bCs/>
          <w:sz w:val="21"/>
          <w:szCs w:val="21"/>
        </w:rPr>
        <w:t>投标函；</w:t>
      </w:r>
    </w:p>
    <w:p w14:paraId="2AA1C507">
      <w:pPr>
        <w:pStyle w:val="15"/>
        <w:spacing w:line="360" w:lineRule="auto"/>
        <w:ind w:firstLine="420" w:firstLineChars="200"/>
        <w:rPr>
          <w:b w:val="0"/>
          <w:bCs/>
          <w:sz w:val="21"/>
          <w:szCs w:val="21"/>
        </w:rPr>
      </w:pPr>
      <w:r>
        <w:rPr>
          <w:rFonts w:hint="eastAsia"/>
          <w:b w:val="0"/>
          <w:bCs/>
          <w:sz w:val="21"/>
          <w:szCs w:val="21"/>
        </w:rPr>
        <w:t>2.2.2</w:t>
      </w:r>
      <w:r>
        <w:rPr>
          <w:rFonts w:hint="eastAsia"/>
          <w:b w:val="0"/>
          <w:bCs/>
          <w:sz w:val="21"/>
          <w:szCs w:val="21"/>
        </w:rPr>
        <w:tab/>
      </w:r>
      <w:r>
        <w:rPr>
          <w:rFonts w:hint="eastAsia"/>
          <w:b w:val="0"/>
          <w:bCs/>
          <w:sz w:val="21"/>
          <w:szCs w:val="21"/>
        </w:rPr>
        <w:t>开标一览表、分项报价表</w:t>
      </w:r>
      <w:r>
        <w:rPr>
          <w:rFonts w:hint="eastAsia"/>
          <w:b w:val="0"/>
          <w:bCs/>
          <w:sz w:val="21"/>
          <w:szCs w:val="21"/>
          <w:lang w:eastAsia="zh-CN"/>
        </w:rPr>
        <w:t>（</w:t>
      </w:r>
      <w:r>
        <w:rPr>
          <w:rFonts w:hint="eastAsia"/>
          <w:b w:val="0"/>
          <w:bCs/>
          <w:sz w:val="21"/>
          <w:szCs w:val="21"/>
          <w:lang w:val="en-US" w:eastAsia="zh-CN"/>
        </w:rPr>
        <w:t>一份</w:t>
      </w:r>
      <w:r>
        <w:rPr>
          <w:rFonts w:hint="eastAsia"/>
          <w:b w:val="0"/>
          <w:bCs/>
          <w:sz w:val="21"/>
          <w:szCs w:val="21"/>
          <w:lang w:eastAsia="zh-CN"/>
        </w:rPr>
        <w:t>）</w:t>
      </w:r>
      <w:r>
        <w:rPr>
          <w:rFonts w:hint="eastAsia"/>
          <w:b w:val="0"/>
          <w:bCs/>
          <w:sz w:val="21"/>
          <w:szCs w:val="21"/>
        </w:rPr>
        <w:t>；</w:t>
      </w:r>
    </w:p>
    <w:p w14:paraId="5EAF71F6">
      <w:pPr>
        <w:pStyle w:val="15"/>
        <w:spacing w:line="360" w:lineRule="auto"/>
        <w:ind w:firstLine="420" w:firstLineChars="200"/>
        <w:rPr>
          <w:b w:val="0"/>
          <w:bCs/>
          <w:sz w:val="21"/>
          <w:szCs w:val="21"/>
        </w:rPr>
      </w:pPr>
      <w:r>
        <w:rPr>
          <w:rFonts w:hint="eastAsia"/>
          <w:b w:val="0"/>
          <w:bCs/>
          <w:sz w:val="21"/>
          <w:szCs w:val="21"/>
        </w:rPr>
        <w:t>2.2.3</w:t>
      </w:r>
      <w:r>
        <w:rPr>
          <w:rFonts w:hint="eastAsia"/>
          <w:b w:val="0"/>
          <w:bCs/>
          <w:sz w:val="21"/>
          <w:szCs w:val="21"/>
        </w:rPr>
        <w:tab/>
      </w:r>
      <w:r>
        <w:rPr>
          <w:rFonts w:hint="eastAsia"/>
          <w:b w:val="0"/>
          <w:bCs/>
          <w:sz w:val="21"/>
          <w:szCs w:val="21"/>
        </w:rPr>
        <w:t>服务承诺函、质量承诺函；</w:t>
      </w:r>
    </w:p>
    <w:p w14:paraId="44309997">
      <w:pPr>
        <w:pStyle w:val="15"/>
        <w:spacing w:line="360" w:lineRule="auto"/>
        <w:ind w:firstLine="420" w:firstLineChars="200"/>
        <w:rPr>
          <w:b w:val="0"/>
          <w:bCs/>
          <w:sz w:val="21"/>
          <w:szCs w:val="21"/>
        </w:rPr>
      </w:pPr>
      <w:r>
        <w:rPr>
          <w:rFonts w:hint="eastAsia"/>
          <w:b w:val="0"/>
          <w:bCs/>
          <w:sz w:val="21"/>
          <w:szCs w:val="21"/>
        </w:rPr>
        <w:t>2.2.4</w:t>
      </w:r>
      <w:r>
        <w:rPr>
          <w:rFonts w:hint="eastAsia"/>
          <w:b w:val="0"/>
          <w:bCs/>
          <w:sz w:val="21"/>
          <w:szCs w:val="21"/>
        </w:rPr>
        <w:tab/>
      </w:r>
      <w:r>
        <w:rPr>
          <w:rFonts w:hint="eastAsia"/>
          <w:b w:val="0"/>
          <w:bCs/>
          <w:sz w:val="21"/>
          <w:szCs w:val="21"/>
        </w:rPr>
        <w:t>商务条款偏离表；详见本招标文件</w:t>
      </w:r>
      <w:r>
        <w:rPr>
          <w:rFonts w:hint="eastAsia"/>
          <w:b w:val="0"/>
          <w:bCs/>
          <w:sz w:val="21"/>
          <w:szCs w:val="21"/>
          <w:lang w:val="en-US" w:eastAsia="zh-CN"/>
        </w:rPr>
        <w:t>附件</w:t>
      </w:r>
      <w:r>
        <w:rPr>
          <w:rFonts w:hint="eastAsia"/>
          <w:b w:val="0"/>
          <w:bCs/>
          <w:sz w:val="21"/>
          <w:szCs w:val="21"/>
        </w:rPr>
        <w:t>，请投标人按格式要求进行填写。</w:t>
      </w:r>
    </w:p>
    <w:p w14:paraId="0C2F35B7">
      <w:pPr>
        <w:pStyle w:val="15"/>
        <w:spacing w:line="360" w:lineRule="auto"/>
        <w:ind w:firstLine="420" w:firstLineChars="200"/>
        <w:rPr>
          <w:rFonts w:hint="eastAsia"/>
          <w:b w:val="0"/>
          <w:bCs/>
          <w:sz w:val="21"/>
          <w:szCs w:val="21"/>
        </w:rPr>
      </w:pPr>
      <w:r>
        <w:rPr>
          <w:rFonts w:hint="eastAsia"/>
          <w:b w:val="0"/>
          <w:bCs/>
          <w:sz w:val="21"/>
          <w:szCs w:val="21"/>
        </w:rPr>
        <w:t>2.3 所有投标文件需进行正规封装、胶装，不接受活页、散装等方式的投标文资料。所有投标文件均需提供电子版文件（不加密）统一存储在一个独立封装的U盘内（电子版要求详见第二章投标文件格式）。</w:t>
      </w:r>
    </w:p>
    <w:p w14:paraId="5DF4D985">
      <w:pPr>
        <w:pStyle w:val="72"/>
        <w:keepNext w:val="0"/>
        <w:keepLines w:val="0"/>
        <w:pageBreakBefore w:val="0"/>
        <w:widowControl w:val="0"/>
        <w:numPr>
          <w:numId w:val="0"/>
        </w:numPr>
        <w:kinsoku/>
        <w:wordWrap/>
        <w:overflowPunct/>
        <w:topLinePunct w:val="0"/>
        <w:autoSpaceDE/>
        <w:autoSpaceDN/>
        <w:bidi w:val="0"/>
        <w:adjustRightInd/>
        <w:snapToGrid/>
        <w:spacing w:before="157" w:beforeLines="50" w:after="157" w:afterLines="50" w:line="440" w:lineRule="exact"/>
        <w:ind w:left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numId w:val="0"/>
        </w:numPr>
        <w:kinsoku/>
        <w:wordWrap/>
        <w:overflowPunct/>
        <w:topLinePunct w:val="0"/>
        <w:autoSpaceDE/>
        <w:autoSpaceDN/>
        <w:bidi w:val="0"/>
        <w:adjustRightInd/>
        <w:snapToGrid/>
        <w:spacing w:line="440" w:lineRule="exact"/>
        <w:ind w:left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bookmarkStart w:id="24" w:name="_GoBack"/>
      <w:bookmarkEnd w:id="24"/>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w:t>
      </w:r>
      <w:r>
        <w:rPr>
          <w:rFonts w:hint="eastAsia"/>
          <w:highlight w:val="none"/>
          <w:u w:val="single"/>
          <w:lang w:val="en-US" w:eastAsia="zh-CN"/>
        </w:rPr>
        <w:t>年11月17日9:00</w:t>
      </w:r>
      <w:r>
        <w:rPr>
          <w:rFonts w:hint="eastAsia"/>
          <w:u w:val="single"/>
          <w:lang w:val="en-US" w:eastAsia="zh-CN"/>
        </w:rPr>
        <w:t>:00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39E895D2">
      <w:pPr>
        <w:pStyle w:val="15"/>
        <w:spacing w:line="360" w:lineRule="auto"/>
        <w:ind w:firstLine="420" w:firstLineChars="200"/>
        <w:rPr>
          <w:rFonts w:hint="eastAsia"/>
          <w:b w:val="0"/>
          <w:bCs/>
          <w:sz w:val="21"/>
          <w:szCs w:val="21"/>
        </w:rPr>
      </w:pPr>
    </w:p>
    <w:p w14:paraId="3E834638">
      <w:pPr>
        <w:pStyle w:val="15"/>
        <w:spacing w:line="360" w:lineRule="auto"/>
        <w:ind w:firstLine="422" w:firstLineChars="200"/>
        <w:rPr>
          <w:b/>
          <w:sz w:val="21"/>
          <w:szCs w:val="21"/>
        </w:rPr>
      </w:pPr>
      <w:r>
        <w:rPr>
          <w:rFonts w:hint="eastAsia"/>
          <w:b/>
          <w:sz w:val="21"/>
          <w:szCs w:val="21"/>
        </w:rPr>
        <w:t>3.报价：</w:t>
      </w:r>
    </w:p>
    <w:p w14:paraId="57B56D28">
      <w:pPr>
        <w:pStyle w:val="15"/>
        <w:spacing w:line="360" w:lineRule="auto"/>
        <w:ind w:left="630" w:leftChars="200" w:hanging="210" w:hangingChars="100"/>
        <w:rPr>
          <w:sz w:val="21"/>
          <w:szCs w:val="21"/>
        </w:rPr>
      </w:pPr>
      <w:r>
        <w:rPr>
          <w:rFonts w:hint="eastAsia" w:hAnsi="宋体"/>
          <w:sz w:val="21"/>
          <w:szCs w:val="21"/>
        </w:rPr>
        <w:t>⑴</w:t>
      </w:r>
      <w:r>
        <w:rPr>
          <w:rFonts w:hint="eastAsia"/>
          <w:sz w:val="21"/>
          <w:szCs w:val="21"/>
        </w:rPr>
        <w:t>本次招标为公开招标，报价应为：投标方与招标人或其指派的答疑人员充分沟通确认基础</w:t>
      </w:r>
    </w:p>
    <w:p w14:paraId="0745723F">
      <w:pPr>
        <w:pStyle w:val="15"/>
        <w:spacing w:line="360" w:lineRule="auto"/>
        <w:ind w:left="210" w:hanging="210" w:hangingChars="100"/>
        <w:rPr>
          <w:sz w:val="21"/>
          <w:szCs w:val="21"/>
        </w:rPr>
      </w:pPr>
      <w:r>
        <w:rPr>
          <w:rFonts w:hint="eastAsia"/>
          <w:sz w:val="21"/>
          <w:szCs w:val="21"/>
        </w:rPr>
        <w:t>由投标人在满足招标人所提出的、与本项目所有相关环节有关的所有费用；</w:t>
      </w:r>
    </w:p>
    <w:p w14:paraId="3EBBDC7C">
      <w:pPr>
        <w:autoSpaceDE w:val="0"/>
        <w:autoSpaceDN w:val="0"/>
        <w:adjustRightInd w:val="0"/>
        <w:spacing w:line="360" w:lineRule="auto"/>
        <w:ind w:firstLine="420" w:firstLineChars="200"/>
        <w:jc w:val="left"/>
        <w:rPr>
          <w:rFonts w:ascii="宋体" w:hAnsi="Courier New"/>
          <w:sz w:val="21"/>
          <w:szCs w:val="21"/>
        </w:rPr>
      </w:pPr>
      <w:r>
        <w:rPr>
          <w:rFonts w:hint="eastAsia" w:ascii="宋体" w:hAnsi="Courier New"/>
          <w:sz w:val="21"/>
          <w:szCs w:val="21"/>
        </w:rPr>
        <w:t>⑵所有报价应包括：不含税金额：元（人民币）、税率13%、价税合计金额：元（人民币）；</w:t>
      </w:r>
      <w:r>
        <w:rPr>
          <w:rFonts w:ascii="宋体" w:hAnsi="Courier New"/>
          <w:sz w:val="21"/>
          <w:szCs w:val="21"/>
        </w:rPr>
        <w:t xml:space="preserve"> </w:t>
      </w:r>
    </w:p>
    <w:p w14:paraId="5817ECB6">
      <w:pPr>
        <w:pStyle w:val="15"/>
        <w:spacing w:line="360" w:lineRule="auto"/>
        <w:ind w:firstLine="422" w:firstLineChars="200"/>
        <w:rPr>
          <w:b/>
          <w:sz w:val="21"/>
          <w:szCs w:val="21"/>
        </w:rPr>
      </w:pPr>
      <w:r>
        <w:rPr>
          <w:rFonts w:hint="eastAsia"/>
          <w:b/>
          <w:sz w:val="21"/>
          <w:szCs w:val="21"/>
        </w:rPr>
        <w:t>4、付款方式：半年期商业汇票，预付款0%，到货款0%，验收款90%，质保金10%。</w:t>
      </w:r>
      <w:r>
        <w:rPr>
          <w:rFonts w:hint="eastAsia" w:hAnsi="宋体" w:cs="宋体"/>
          <w:sz w:val="21"/>
          <w:szCs w:val="21"/>
        </w:rPr>
        <w:t>付款账期3个月，</w:t>
      </w:r>
      <w:r>
        <w:rPr>
          <w:rFonts w:hint="eastAsia" w:ascii="Calibri" w:hAnsi="Calibri"/>
          <w:sz w:val="21"/>
          <w:szCs w:val="21"/>
          <w:u w:val="single"/>
        </w:rPr>
        <w:t>半年期商用承兑汇票。</w:t>
      </w:r>
      <w:r>
        <w:rPr>
          <w:rFonts w:hint="eastAsia"/>
          <w:b/>
          <w:sz w:val="21"/>
          <w:szCs w:val="21"/>
        </w:rPr>
        <w:t>具体以双方最终签署的合同为准。</w:t>
      </w:r>
    </w:p>
    <w:p w14:paraId="4FC690E4">
      <w:pPr>
        <w:pStyle w:val="15"/>
        <w:spacing w:line="360" w:lineRule="auto"/>
        <w:ind w:firstLine="420" w:firstLineChars="200"/>
        <w:rPr>
          <w:sz w:val="21"/>
          <w:szCs w:val="21"/>
        </w:rPr>
      </w:pPr>
      <w:r>
        <w:rPr>
          <w:rFonts w:hint="eastAsia"/>
          <w:sz w:val="21"/>
          <w:szCs w:val="21"/>
        </w:rPr>
        <w:t>（1）维修完毕，经安装、调试最终经甲方验收合格后，甲方出具书面验收单，乙方提交金额为合同价款100%全额增值税专用发票，并附带该套合同的验收单原件，经买方依照财务制度审核无误后3个月支付验收款。</w:t>
      </w:r>
    </w:p>
    <w:p w14:paraId="7A5DB80F">
      <w:pPr>
        <w:spacing w:line="540" w:lineRule="exact"/>
        <w:ind w:firstLine="420" w:firstLineChars="200"/>
        <w:rPr>
          <w:rFonts w:hint="eastAsia" w:ascii="宋体" w:hAnsi="Courier New"/>
          <w:sz w:val="21"/>
          <w:szCs w:val="21"/>
        </w:rPr>
      </w:pPr>
      <w:r>
        <w:rPr>
          <w:rFonts w:hint="eastAsia" w:ascii="宋体" w:hAnsi="Courier New"/>
          <w:sz w:val="21"/>
          <w:szCs w:val="21"/>
        </w:rPr>
        <w:t>（2）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1CD404CE">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pPr>
      <w:r>
        <w:rPr>
          <w:rFonts w:hint="eastAsia" w:cs="Times New Roman"/>
          <w:b w:val="0"/>
          <w:bCs/>
          <w:i w:val="0"/>
          <w:iCs w:val="0"/>
          <w:color w:val="auto"/>
          <w:highlight w:val="red"/>
          <w:u w:val="single"/>
          <w:lang w:val="en-US" w:eastAsia="zh-CN"/>
        </w:rPr>
        <w:t>付款方式及比例不允许偏离。</w:t>
      </w:r>
    </w:p>
    <w:p w14:paraId="7F8B0AD0">
      <w:pPr>
        <w:pStyle w:val="15"/>
        <w:spacing w:line="360" w:lineRule="auto"/>
        <w:ind w:firstLine="422" w:firstLineChars="200"/>
        <w:rPr>
          <w:b/>
          <w:sz w:val="21"/>
          <w:szCs w:val="21"/>
        </w:rPr>
      </w:pPr>
      <w:r>
        <w:rPr>
          <w:rFonts w:hint="eastAsia"/>
          <w:b/>
          <w:sz w:val="21"/>
          <w:szCs w:val="21"/>
        </w:rPr>
        <w:t>5.技术规范及服务</w:t>
      </w:r>
    </w:p>
    <w:p w14:paraId="37F7F868">
      <w:pPr>
        <w:pStyle w:val="15"/>
        <w:spacing w:line="360" w:lineRule="auto"/>
        <w:ind w:firstLine="420" w:firstLineChars="200"/>
        <w:rPr>
          <w:sz w:val="21"/>
          <w:szCs w:val="21"/>
        </w:rPr>
      </w:pPr>
      <w:r>
        <w:rPr>
          <w:rFonts w:hint="eastAsia"/>
          <w:sz w:val="21"/>
          <w:szCs w:val="21"/>
        </w:rPr>
        <w:t>⑴投标人应与招标人指派的答疑人员充分沟通，理解认可并接受相关技术规范及服务要求；</w:t>
      </w:r>
    </w:p>
    <w:p w14:paraId="55DD18F0">
      <w:pPr>
        <w:pStyle w:val="15"/>
        <w:spacing w:line="360" w:lineRule="auto"/>
        <w:ind w:firstLine="420" w:firstLineChars="200"/>
        <w:rPr>
          <w:sz w:val="21"/>
          <w:szCs w:val="21"/>
        </w:rPr>
      </w:pPr>
      <w:r>
        <w:rPr>
          <w:rFonts w:hint="eastAsia"/>
          <w:sz w:val="21"/>
          <w:szCs w:val="21"/>
        </w:rPr>
        <w:t>⑵投标人可免费提供的、包含但不限于招标人所要求的其他相关服务内容，按本招标书“投标文件编制”要求，在其“开标一览表”中一并说明。</w:t>
      </w:r>
    </w:p>
    <w:p w14:paraId="13CAE84E">
      <w:pPr>
        <w:pStyle w:val="15"/>
        <w:spacing w:line="360" w:lineRule="auto"/>
        <w:ind w:firstLine="422" w:firstLineChars="200"/>
        <w:rPr>
          <w:b/>
          <w:sz w:val="21"/>
          <w:szCs w:val="21"/>
        </w:rPr>
      </w:pPr>
      <w:r>
        <w:rPr>
          <w:rFonts w:hint="eastAsia"/>
          <w:b/>
          <w:sz w:val="21"/>
          <w:szCs w:val="21"/>
        </w:rPr>
        <w:t>6.其他</w:t>
      </w:r>
    </w:p>
    <w:p w14:paraId="1D8EC814">
      <w:pPr>
        <w:pStyle w:val="15"/>
        <w:spacing w:line="360" w:lineRule="auto"/>
        <w:ind w:firstLine="420" w:firstLineChars="200"/>
        <w:rPr>
          <w:sz w:val="21"/>
          <w:szCs w:val="21"/>
        </w:rPr>
      </w:pPr>
      <w:r>
        <w:rPr>
          <w:rFonts w:hint="eastAsia"/>
          <w:sz w:val="21"/>
          <w:szCs w:val="21"/>
        </w:rPr>
        <w:t>投标人须认可招标人由于招标人上级集团公司政策变化引起的合同签订前终止项目的要求。如投标人不认可、不接受，则投标人在本招标书“相关条款偏离表（含商务偏离及技术偏离）”中注明“不接受”字。</w:t>
      </w:r>
    </w:p>
    <w:p w14:paraId="5D0C8BFB">
      <w:pPr>
        <w:pStyle w:val="15"/>
        <w:spacing w:line="360" w:lineRule="auto"/>
        <w:ind w:firstLine="420" w:firstLineChars="200"/>
        <w:rPr>
          <w:sz w:val="21"/>
          <w:szCs w:val="21"/>
        </w:rPr>
      </w:pPr>
      <w:r>
        <w:rPr>
          <w:rFonts w:hint="eastAsia"/>
          <w:sz w:val="21"/>
          <w:szCs w:val="21"/>
        </w:rPr>
        <w:t>其余未尽事宜，均按合同约定。</w:t>
      </w:r>
    </w:p>
    <w:p w14:paraId="05284C9E">
      <w:pPr>
        <w:pStyle w:val="15"/>
        <w:spacing w:line="360" w:lineRule="auto"/>
        <w:ind w:firstLine="422" w:firstLineChars="200"/>
        <w:rPr>
          <w:b/>
          <w:sz w:val="21"/>
          <w:szCs w:val="21"/>
        </w:rPr>
      </w:pPr>
      <w:r>
        <w:rPr>
          <w:rFonts w:hint="eastAsia"/>
          <w:b/>
          <w:sz w:val="21"/>
          <w:szCs w:val="21"/>
        </w:rPr>
        <w:t>7.要求招标人或相关合同签订单位提供的配合，在标书文件中说明。</w:t>
      </w:r>
    </w:p>
    <w:p w14:paraId="3D24E702">
      <w:pPr>
        <w:pStyle w:val="15"/>
        <w:spacing w:line="360" w:lineRule="auto"/>
        <w:rPr>
          <w:rFonts w:ascii="黑体" w:eastAsia="黑体"/>
          <w:b/>
          <w:bCs/>
          <w:sz w:val="28"/>
          <w:szCs w:val="28"/>
        </w:rPr>
      </w:pPr>
      <w:r>
        <w:rPr>
          <w:rFonts w:hint="eastAsia" w:ascii="黑体" w:eastAsia="黑体"/>
          <w:b/>
          <w:bCs/>
          <w:sz w:val="28"/>
          <w:szCs w:val="28"/>
          <w:lang w:val="en-US" w:eastAsia="zh-CN"/>
        </w:rPr>
        <w:t>五、</w:t>
      </w:r>
      <w:r>
        <w:rPr>
          <w:rFonts w:hint="eastAsia" w:ascii="黑体" w:eastAsia="黑体"/>
          <w:b/>
          <w:bCs/>
          <w:sz w:val="28"/>
          <w:szCs w:val="28"/>
        </w:rPr>
        <w:t>投标、开标、评标</w:t>
      </w:r>
    </w:p>
    <w:p w14:paraId="2580B9CF">
      <w:pPr>
        <w:spacing w:line="360" w:lineRule="auto"/>
        <w:ind w:firstLine="420" w:firstLineChars="200"/>
        <w:rPr>
          <w:rFonts w:ascii="宋体" w:hAnsi="Courier New"/>
          <w:sz w:val="21"/>
          <w:szCs w:val="21"/>
        </w:rPr>
      </w:pPr>
      <w:r>
        <w:rPr>
          <w:rFonts w:hint="eastAsia" w:ascii="宋体" w:hAnsi="Courier New"/>
          <w:sz w:val="21"/>
          <w:szCs w:val="21"/>
        </w:rPr>
        <w:t>1</w:t>
      </w:r>
      <w:r>
        <w:rPr>
          <w:rFonts w:hint="eastAsia" w:ascii="宋体" w:hAnsi="Courier New"/>
          <w:sz w:val="21"/>
          <w:szCs w:val="21"/>
          <w:lang w:eastAsia="zh-CN"/>
        </w:rPr>
        <w:t>、</w:t>
      </w:r>
      <w:r>
        <w:rPr>
          <w:rFonts w:hint="eastAsia" w:ascii="宋体" w:hAnsi="Courier New"/>
          <w:sz w:val="21"/>
          <w:szCs w:val="21"/>
        </w:rPr>
        <w:t>投标保证金：</w:t>
      </w:r>
    </w:p>
    <w:p w14:paraId="2B47BB8C">
      <w:pPr>
        <w:spacing w:line="360" w:lineRule="auto"/>
        <w:ind w:firstLine="420" w:firstLineChars="200"/>
        <w:rPr>
          <w:rFonts w:ascii="宋体" w:hAnsi="Courier New"/>
          <w:sz w:val="21"/>
          <w:szCs w:val="21"/>
        </w:rPr>
      </w:pPr>
      <w:r>
        <w:rPr>
          <w:rFonts w:hint="eastAsia" w:ascii="宋体" w:hAnsi="宋体"/>
          <w:sz w:val="21"/>
          <w:szCs w:val="21"/>
        </w:rPr>
        <w:t>⑴</w:t>
      </w:r>
      <w:r>
        <w:rPr>
          <w:rFonts w:hint="eastAsia" w:ascii="宋体" w:hAnsi="Courier New"/>
          <w:sz w:val="21"/>
          <w:szCs w:val="21"/>
        </w:rPr>
        <w:t>投标人向招标人财务部门缴纳</w:t>
      </w:r>
      <w:r>
        <w:rPr>
          <w:rFonts w:hint="eastAsia" w:ascii="宋体" w:hAnsi="Courier New"/>
          <w:sz w:val="21"/>
          <w:szCs w:val="21"/>
          <w:u w:val="single"/>
          <w:lang w:val="en-US" w:eastAsia="zh-CN"/>
        </w:rPr>
        <w:t>5000</w:t>
      </w:r>
      <w:r>
        <w:rPr>
          <w:rFonts w:hint="eastAsia" w:ascii="宋体" w:hAnsi="Courier New"/>
          <w:sz w:val="21"/>
          <w:szCs w:val="21"/>
          <w:u w:val="single"/>
        </w:rPr>
        <w:t>元</w:t>
      </w:r>
      <w:r>
        <w:rPr>
          <w:rFonts w:hint="eastAsia" w:ascii="宋体" w:hAnsi="Courier New"/>
          <w:sz w:val="21"/>
          <w:szCs w:val="21"/>
        </w:rPr>
        <w:t>（人民币），作为投标人本次投标的保证金。</w:t>
      </w:r>
    </w:p>
    <w:p w14:paraId="50D756E9">
      <w:pPr>
        <w:spacing w:line="360" w:lineRule="auto"/>
        <w:ind w:firstLine="420" w:firstLineChars="200"/>
        <w:rPr>
          <w:rFonts w:hint="eastAsia"/>
          <w:sz w:val="21"/>
          <w:szCs w:val="21"/>
        </w:rPr>
      </w:pPr>
      <w:r>
        <w:rPr>
          <w:rFonts w:hint="eastAsia"/>
          <w:sz w:val="21"/>
          <w:szCs w:val="21"/>
        </w:rPr>
        <w:t>⑵缴纳方式：电汇或网银，投标保证金应从基本账户转入，需备注“中国重汽集团风机维修和动平衡检测项目”。</w:t>
      </w:r>
    </w:p>
    <w:p w14:paraId="1BC75C03">
      <w:pPr>
        <w:spacing w:line="360" w:lineRule="auto"/>
        <w:ind w:firstLine="420" w:firstLineChars="200"/>
        <w:rPr>
          <w:rFonts w:ascii="宋体" w:hAnsi="Courier New"/>
          <w:sz w:val="21"/>
          <w:szCs w:val="21"/>
        </w:rPr>
      </w:pPr>
      <w:r>
        <w:rPr>
          <w:rFonts w:hint="eastAsia" w:ascii="宋体" w:hAnsi="宋体"/>
          <w:sz w:val="21"/>
          <w:szCs w:val="21"/>
        </w:rPr>
        <w:t>⑶</w:t>
      </w:r>
      <w:r>
        <w:rPr>
          <w:rFonts w:hint="eastAsia" w:ascii="宋体" w:hAnsi="Courier New"/>
          <w:sz w:val="21"/>
          <w:szCs w:val="21"/>
        </w:rPr>
        <w:t>接收单位：中国重型汽车集团有限公司</w:t>
      </w:r>
    </w:p>
    <w:p w14:paraId="1B813E27">
      <w:pPr>
        <w:spacing w:line="360" w:lineRule="auto"/>
        <w:ind w:firstLine="420" w:firstLineChars="200"/>
        <w:rPr>
          <w:rFonts w:ascii="宋体" w:hAnsi="Courier New"/>
          <w:sz w:val="21"/>
          <w:szCs w:val="21"/>
        </w:rPr>
      </w:pPr>
      <w:r>
        <w:rPr>
          <w:rFonts w:hint="eastAsia" w:ascii="宋体" w:hAnsi="宋体"/>
          <w:sz w:val="21"/>
          <w:szCs w:val="21"/>
        </w:rPr>
        <w:t>⑷</w:t>
      </w:r>
      <w:r>
        <w:rPr>
          <w:rFonts w:hint="eastAsia" w:ascii="宋体" w:hAnsi="Courier New"/>
          <w:sz w:val="21"/>
          <w:szCs w:val="21"/>
        </w:rPr>
        <w:t>转账信息：</w:t>
      </w:r>
    </w:p>
    <w:tbl>
      <w:tblPr>
        <w:tblStyle w:val="31"/>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8F9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5C8F8D2E">
            <w:pPr>
              <w:pStyle w:val="15"/>
              <w:ind w:firstLine="420" w:firstLineChars="200"/>
              <w:rPr>
                <w:sz w:val="21"/>
                <w:szCs w:val="21"/>
              </w:rPr>
            </w:pPr>
            <w:r>
              <w:rPr>
                <w:rFonts w:hint="eastAsia"/>
                <w:sz w:val="21"/>
                <w:szCs w:val="21"/>
              </w:rPr>
              <w:t>开户银行：</w:t>
            </w:r>
            <w:r>
              <w:rPr>
                <w:sz w:val="21"/>
                <w:szCs w:val="21"/>
              </w:rPr>
              <w:t>中国</w:t>
            </w:r>
            <w:r>
              <w:rPr>
                <w:rFonts w:hint="eastAsia"/>
                <w:sz w:val="21"/>
                <w:szCs w:val="21"/>
              </w:rPr>
              <w:t>工商</w:t>
            </w:r>
            <w:r>
              <w:rPr>
                <w:sz w:val="21"/>
                <w:szCs w:val="21"/>
              </w:rPr>
              <w:t>银行济南天桥支行</w:t>
            </w:r>
          </w:p>
        </w:tc>
      </w:tr>
      <w:tr w14:paraId="74B3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205B0F1">
            <w:pPr>
              <w:pStyle w:val="15"/>
              <w:ind w:firstLine="420" w:firstLineChars="200"/>
              <w:rPr>
                <w:sz w:val="21"/>
                <w:szCs w:val="21"/>
              </w:rPr>
            </w:pPr>
            <w:r>
              <w:rPr>
                <w:rFonts w:hint="eastAsia"/>
                <w:sz w:val="21"/>
                <w:szCs w:val="21"/>
              </w:rPr>
              <w:t>户名：中国重型汽车集团有限公司</w:t>
            </w:r>
          </w:p>
        </w:tc>
      </w:tr>
      <w:tr w14:paraId="77CE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34E9EB5A">
            <w:pPr>
              <w:pStyle w:val="15"/>
              <w:ind w:firstLine="420" w:firstLineChars="200"/>
              <w:rPr>
                <w:sz w:val="21"/>
                <w:szCs w:val="21"/>
              </w:rPr>
            </w:pPr>
            <w:r>
              <w:rPr>
                <w:rFonts w:hint="eastAsia"/>
                <w:sz w:val="21"/>
                <w:szCs w:val="21"/>
              </w:rPr>
              <w:t>账号：</w:t>
            </w:r>
            <w:r>
              <w:rPr>
                <w:rFonts w:hint="eastAsia"/>
                <w:sz w:val="21"/>
                <w:szCs w:val="21"/>
                <w:lang w:val="en-US" w:eastAsia="zh-CN"/>
              </w:rPr>
              <w:t>37001616508050150300</w:t>
            </w:r>
          </w:p>
        </w:tc>
      </w:tr>
      <w:tr w14:paraId="015D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404AC36D">
            <w:pPr>
              <w:pStyle w:val="15"/>
              <w:ind w:firstLine="420" w:firstLineChars="200"/>
              <w:rPr>
                <w:sz w:val="21"/>
                <w:szCs w:val="21"/>
              </w:rPr>
            </w:pPr>
            <w:r>
              <w:rPr>
                <w:rFonts w:hint="eastAsia"/>
                <w:sz w:val="21"/>
                <w:szCs w:val="21"/>
              </w:rPr>
              <w:t>纳税人识别号：</w:t>
            </w:r>
            <w:r>
              <w:rPr>
                <w:rFonts w:hint="eastAsia"/>
                <w:color w:val="auto"/>
                <w:sz w:val="21"/>
                <w:szCs w:val="21"/>
              </w:rPr>
              <w:t>91370100787411873C</w:t>
            </w:r>
          </w:p>
        </w:tc>
      </w:tr>
    </w:tbl>
    <w:p w14:paraId="608F3A1F">
      <w:pPr>
        <w:spacing w:line="360" w:lineRule="auto"/>
        <w:ind w:firstLine="420" w:firstLineChars="200"/>
        <w:rPr>
          <w:rFonts w:hint="eastAsia" w:ascii="宋体" w:hAnsi="Courier New" w:eastAsia="宋体"/>
          <w:sz w:val="21"/>
          <w:szCs w:val="21"/>
          <w:lang w:eastAsia="zh-CN"/>
        </w:rPr>
      </w:pPr>
      <w:r>
        <w:rPr>
          <w:rFonts w:hint="eastAsia" w:ascii="宋体" w:hAnsi="Courier New"/>
          <w:sz w:val="21"/>
          <w:szCs w:val="21"/>
        </w:rPr>
        <w:t>⑸保证金截止时</w:t>
      </w:r>
      <w:r>
        <w:rPr>
          <w:rFonts w:hint="eastAsia" w:ascii="宋体" w:hAnsi="Courier New"/>
          <w:sz w:val="21"/>
          <w:szCs w:val="21"/>
          <w:highlight w:val="none"/>
        </w:rPr>
        <w:t>间：202</w:t>
      </w:r>
      <w:r>
        <w:rPr>
          <w:rFonts w:hint="eastAsia" w:ascii="宋体" w:hAnsi="Courier New"/>
          <w:sz w:val="21"/>
          <w:szCs w:val="21"/>
          <w:highlight w:val="none"/>
          <w:lang w:val="en-US" w:eastAsia="zh-CN"/>
        </w:rPr>
        <w:t>5</w:t>
      </w:r>
      <w:r>
        <w:rPr>
          <w:rFonts w:hint="eastAsia" w:ascii="宋体" w:hAnsi="Courier New"/>
          <w:sz w:val="21"/>
          <w:szCs w:val="21"/>
          <w:highlight w:val="none"/>
        </w:rPr>
        <w:t>年</w:t>
      </w:r>
      <w:r>
        <w:rPr>
          <w:rFonts w:hint="eastAsia" w:ascii="宋体" w:hAnsi="Courier New"/>
          <w:sz w:val="21"/>
          <w:szCs w:val="21"/>
          <w:highlight w:val="none"/>
          <w:lang w:val="en-US" w:eastAsia="zh-CN"/>
        </w:rPr>
        <w:t>11</w:t>
      </w:r>
      <w:r>
        <w:rPr>
          <w:rFonts w:hint="eastAsia" w:ascii="宋体" w:hAnsi="Courier New"/>
          <w:sz w:val="21"/>
          <w:szCs w:val="21"/>
          <w:highlight w:val="none"/>
        </w:rPr>
        <w:t>月</w:t>
      </w:r>
      <w:r>
        <w:rPr>
          <w:rFonts w:hint="eastAsia" w:ascii="宋体" w:hAnsi="Courier New"/>
          <w:sz w:val="21"/>
          <w:szCs w:val="21"/>
          <w:highlight w:val="none"/>
          <w:lang w:val="en-US" w:eastAsia="zh-CN"/>
        </w:rPr>
        <w:t>16</w:t>
      </w:r>
      <w:r>
        <w:rPr>
          <w:rFonts w:hint="eastAsia" w:ascii="宋体" w:hAnsi="Courier New"/>
          <w:sz w:val="21"/>
          <w:szCs w:val="21"/>
          <w:highlight w:val="none"/>
        </w:rPr>
        <w:t>日24时0分前</w:t>
      </w:r>
      <w:r>
        <w:rPr>
          <w:rFonts w:hint="eastAsia" w:ascii="宋体" w:hAnsi="Courier New"/>
          <w:sz w:val="21"/>
          <w:szCs w:val="21"/>
          <w:lang w:eastAsia="zh-CN"/>
        </w:rPr>
        <w:t>（</w:t>
      </w:r>
      <w:r>
        <w:rPr>
          <w:rFonts w:hint="eastAsia" w:ascii="宋体" w:hAnsi="Courier New"/>
          <w:sz w:val="21"/>
          <w:szCs w:val="21"/>
          <w:lang w:val="en-US" w:eastAsia="zh-CN"/>
        </w:rPr>
        <w:t>具体时间按照投标截止时间为准</w:t>
      </w:r>
      <w:r>
        <w:rPr>
          <w:rFonts w:hint="eastAsia" w:ascii="宋体" w:hAnsi="Courier New"/>
          <w:sz w:val="21"/>
          <w:szCs w:val="21"/>
          <w:lang w:eastAsia="zh-CN"/>
        </w:rPr>
        <w:t>）</w:t>
      </w:r>
    </w:p>
    <w:p w14:paraId="481AE780">
      <w:pPr>
        <w:spacing w:line="360" w:lineRule="auto"/>
        <w:ind w:firstLine="420" w:firstLineChars="200"/>
        <w:rPr>
          <w:rFonts w:ascii="宋体" w:hAnsi="Courier New"/>
          <w:sz w:val="21"/>
          <w:szCs w:val="21"/>
        </w:rPr>
      </w:pPr>
      <w:r>
        <w:rPr>
          <w:rFonts w:hint="eastAsia" w:ascii="宋体" w:hAnsi="Courier New"/>
          <w:sz w:val="21"/>
          <w:szCs w:val="21"/>
        </w:rPr>
        <w:t>⑹说明：</w:t>
      </w:r>
    </w:p>
    <w:p w14:paraId="328F2599">
      <w:pPr>
        <w:spacing w:line="360" w:lineRule="auto"/>
        <w:ind w:firstLine="420" w:firstLineChars="200"/>
        <w:rPr>
          <w:rFonts w:ascii="宋体" w:hAnsi="Courier New"/>
          <w:sz w:val="21"/>
          <w:szCs w:val="21"/>
          <w:highlight w:val="yellow"/>
        </w:rPr>
      </w:pPr>
      <w:r>
        <w:rPr>
          <w:rFonts w:hint="eastAsia" w:ascii="宋体" w:hAnsi="Courier New"/>
          <w:sz w:val="21"/>
          <w:szCs w:val="21"/>
        </w:rPr>
        <w:t>(a)无正当理由随意放弃投标、</w:t>
      </w:r>
      <w:r>
        <w:rPr>
          <w:rFonts w:ascii="宋体" w:hAnsi="Courier New"/>
          <w:sz w:val="21"/>
          <w:szCs w:val="21"/>
        </w:rPr>
        <w:t>撤销投标文件</w:t>
      </w:r>
      <w:r>
        <w:rPr>
          <w:rFonts w:hint="eastAsia" w:ascii="宋体" w:hAnsi="Courier New"/>
          <w:sz w:val="21"/>
          <w:szCs w:val="21"/>
        </w:rPr>
        <w:t>、</w:t>
      </w:r>
      <w:r>
        <w:rPr>
          <w:rFonts w:ascii="宋体" w:hAnsi="Courier New"/>
          <w:sz w:val="21"/>
          <w:szCs w:val="21"/>
        </w:rPr>
        <w:t>中标后</w:t>
      </w:r>
      <w:r>
        <w:rPr>
          <w:rFonts w:hint="eastAsia" w:ascii="宋体" w:hAnsi="Courier New"/>
          <w:sz w:val="21"/>
          <w:szCs w:val="21"/>
        </w:rPr>
        <w:t>无</w:t>
      </w:r>
      <w:r>
        <w:rPr>
          <w:rFonts w:ascii="宋体" w:hAnsi="Courier New"/>
          <w:sz w:val="21"/>
          <w:szCs w:val="21"/>
        </w:rPr>
        <w:t>正当理由</w:t>
      </w:r>
      <w:r>
        <w:rPr>
          <w:rFonts w:hint="eastAsia" w:ascii="宋体" w:hAnsi="Courier New"/>
          <w:sz w:val="21"/>
          <w:szCs w:val="21"/>
        </w:rPr>
        <w:t>拒签</w:t>
      </w:r>
      <w:r>
        <w:rPr>
          <w:rFonts w:ascii="宋体" w:hAnsi="Courier New"/>
          <w:sz w:val="21"/>
          <w:szCs w:val="21"/>
        </w:rPr>
        <w:t>合同</w:t>
      </w:r>
      <w:r>
        <w:rPr>
          <w:rFonts w:hint="eastAsia" w:ascii="宋体" w:hAnsi="Courier New"/>
          <w:sz w:val="21"/>
          <w:szCs w:val="21"/>
        </w:rPr>
        <w:t>、</w:t>
      </w:r>
      <w:r>
        <w:rPr>
          <w:rFonts w:ascii="宋体" w:hAnsi="Courier New"/>
          <w:sz w:val="21"/>
          <w:szCs w:val="21"/>
        </w:rPr>
        <w:t>在签订合同时向招标人</w:t>
      </w:r>
      <w:r>
        <w:rPr>
          <w:rFonts w:hint="eastAsia" w:ascii="宋体" w:hAnsi="Courier New"/>
          <w:sz w:val="21"/>
          <w:szCs w:val="21"/>
        </w:rPr>
        <w:t>或合同签订单位</w:t>
      </w:r>
      <w:r>
        <w:rPr>
          <w:rFonts w:ascii="宋体" w:hAnsi="Courier New"/>
          <w:sz w:val="21"/>
          <w:szCs w:val="21"/>
        </w:rPr>
        <w:t>提出</w:t>
      </w:r>
      <w:r>
        <w:rPr>
          <w:rFonts w:hint="eastAsia" w:ascii="宋体" w:hAnsi="Courier New"/>
          <w:sz w:val="21"/>
          <w:szCs w:val="21"/>
        </w:rPr>
        <w:t>无理</w:t>
      </w:r>
      <w:r>
        <w:rPr>
          <w:rFonts w:ascii="宋体" w:hAnsi="Courier New"/>
          <w:sz w:val="21"/>
          <w:szCs w:val="21"/>
        </w:rPr>
        <w:t>附加条件</w:t>
      </w:r>
      <w:r>
        <w:rPr>
          <w:rFonts w:hint="eastAsia" w:ascii="宋体" w:hAnsi="Courier New"/>
          <w:sz w:val="21"/>
          <w:szCs w:val="21"/>
        </w:rPr>
        <w:t>的，</w:t>
      </w:r>
      <w:r>
        <w:rPr>
          <w:rFonts w:ascii="宋体" w:hAnsi="Courier New"/>
          <w:sz w:val="21"/>
          <w:szCs w:val="21"/>
        </w:rPr>
        <w:t>投标保证金不予返还</w:t>
      </w:r>
      <w:r>
        <w:rPr>
          <w:rFonts w:hint="eastAsia" w:ascii="宋体" w:hAnsi="Courier New"/>
          <w:sz w:val="21"/>
          <w:szCs w:val="21"/>
        </w:rPr>
        <w:t>，该投标人2</w:t>
      </w:r>
      <w:r>
        <w:rPr>
          <w:rFonts w:ascii="宋体" w:hAnsi="Courier New"/>
          <w:sz w:val="21"/>
          <w:szCs w:val="21"/>
        </w:rPr>
        <w:t>年</w:t>
      </w:r>
      <w:r>
        <w:rPr>
          <w:rFonts w:hint="eastAsia" w:ascii="宋体" w:hAnsi="Courier New"/>
          <w:sz w:val="21"/>
          <w:szCs w:val="21"/>
        </w:rPr>
        <w:t>不得参与招标人组织的招投标项目。不存在以上违规情况的投标人，</w:t>
      </w:r>
      <w:r>
        <w:rPr>
          <w:rFonts w:ascii="宋体" w:hAnsi="Courier New"/>
          <w:sz w:val="21"/>
          <w:szCs w:val="21"/>
        </w:rPr>
        <w:t>招标人</w:t>
      </w:r>
      <w:r>
        <w:rPr>
          <w:rFonts w:hint="eastAsia" w:ascii="宋体" w:hAnsi="Courier New"/>
          <w:sz w:val="21"/>
          <w:szCs w:val="21"/>
        </w:rPr>
        <w:t>按照退款程序，按投标人（除中标人外）所提供的</w:t>
      </w:r>
      <w:r>
        <w:rPr>
          <w:rFonts w:hint="eastAsia" w:ascii="宋体" w:hAnsi="宋体"/>
          <w:sz w:val="21"/>
          <w:szCs w:val="21"/>
        </w:rPr>
        <w:t>投标保证金退付表</w:t>
      </w:r>
      <w:r>
        <w:rPr>
          <w:rFonts w:hint="eastAsia" w:ascii="宋体" w:hAnsi="Courier New"/>
          <w:sz w:val="21"/>
          <w:szCs w:val="21"/>
        </w:rPr>
        <w:t>退还</w:t>
      </w:r>
      <w:r>
        <w:rPr>
          <w:rFonts w:ascii="宋体" w:hAnsi="Courier New"/>
          <w:sz w:val="21"/>
          <w:szCs w:val="21"/>
        </w:rPr>
        <w:t>投标保证金</w:t>
      </w:r>
      <w:r>
        <w:rPr>
          <w:rFonts w:hint="eastAsia" w:ascii="宋体" w:hAnsi="Courier New"/>
          <w:sz w:val="21"/>
          <w:szCs w:val="21"/>
        </w:rPr>
        <w:t>（本金，不计息）。</w:t>
      </w:r>
    </w:p>
    <w:p w14:paraId="17DF64F6">
      <w:pPr>
        <w:spacing w:line="360" w:lineRule="auto"/>
        <w:ind w:firstLine="420" w:firstLineChars="200"/>
        <w:rPr>
          <w:rFonts w:ascii="宋体" w:hAnsi="Courier New"/>
          <w:sz w:val="21"/>
          <w:szCs w:val="21"/>
        </w:rPr>
      </w:pPr>
      <w:r>
        <w:rPr>
          <w:rFonts w:hint="eastAsia" w:ascii="宋体" w:hAnsi="Courier New"/>
          <w:sz w:val="21"/>
          <w:szCs w:val="21"/>
        </w:rPr>
        <w:t>(b)投标人在向招标人出示《投标保证金缴纳凭证》后方可进行投标。</w:t>
      </w:r>
    </w:p>
    <w:p w14:paraId="28B2D7E2">
      <w:pPr>
        <w:spacing w:line="360" w:lineRule="auto"/>
        <w:ind w:firstLine="420" w:firstLineChars="200"/>
        <w:rPr>
          <w:rFonts w:ascii="宋体" w:hAnsi="Courier New"/>
          <w:sz w:val="21"/>
          <w:szCs w:val="21"/>
        </w:rPr>
      </w:pPr>
      <w:r>
        <w:rPr>
          <w:rFonts w:hint="eastAsia" w:ascii="宋体" w:hAnsi="Courier New"/>
          <w:sz w:val="21"/>
          <w:szCs w:val="21"/>
        </w:rPr>
        <w:t>(c)发生以下情况时，项目实施单位有权没收保证金：</w:t>
      </w:r>
    </w:p>
    <w:p w14:paraId="0D93C6B3">
      <w:pPr>
        <w:spacing w:line="360" w:lineRule="auto"/>
        <w:ind w:left="1260" w:leftChars="400" w:hanging="420" w:hangingChars="200"/>
        <w:rPr>
          <w:rFonts w:ascii="宋体" w:hAnsi="Courier New"/>
          <w:sz w:val="21"/>
          <w:szCs w:val="21"/>
        </w:rPr>
      </w:pPr>
      <w:r>
        <w:rPr>
          <w:rFonts w:hint="eastAsia" w:ascii="宋体" w:hAnsi="Courier New"/>
          <w:sz w:val="21"/>
          <w:szCs w:val="21"/>
        </w:rPr>
        <w:t>a）截至开标前3天，投标人无正当理由且未以书面形式递交说明而在投标截止日不来投标的；</w:t>
      </w:r>
    </w:p>
    <w:p w14:paraId="7CDEDC3C">
      <w:pPr>
        <w:spacing w:line="360" w:lineRule="auto"/>
        <w:ind w:left="420" w:leftChars="200" w:firstLine="420" w:firstLineChars="200"/>
        <w:rPr>
          <w:rFonts w:ascii="宋体" w:hAnsi="Courier New"/>
          <w:sz w:val="21"/>
          <w:szCs w:val="21"/>
        </w:rPr>
      </w:pPr>
      <w:r>
        <w:rPr>
          <w:rFonts w:hint="eastAsia" w:ascii="宋体" w:hAnsi="Courier New"/>
          <w:sz w:val="21"/>
          <w:szCs w:val="21"/>
        </w:rPr>
        <w:t>b）投标人递送投标文件后，无正当理由放弃投标的；</w:t>
      </w:r>
    </w:p>
    <w:p w14:paraId="7CA8ECCA">
      <w:pPr>
        <w:spacing w:line="360" w:lineRule="auto"/>
        <w:ind w:left="420" w:leftChars="200" w:firstLine="420" w:firstLineChars="200"/>
        <w:rPr>
          <w:rFonts w:ascii="宋体" w:hAnsi="Courier New"/>
          <w:sz w:val="21"/>
          <w:szCs w:val="21"/>
        </w:rPr>
      </w:pPr>
      <w:r>
        <w:rPr>
          <w:rFonts w:hint="eastAsia" w:ascii="宋体" w:hAnsi="Courier New"/>
          <w:sz w:val="21"/>
          <w:szCs w:val="21"/>
        </w:rPr>
        <w:t>c）自中标通知书发出之日起30日内，中标人无正当理由不签订合同的；</w:t>
      </w:r>
    </w:p>
    <w:p w14:paraId="449154C7">
      <w:pPr>
        <w:spacing w:line="360" w:lineRule="auto"/>
        <w:ind w:left="420" w:leftChars="200" w:firstLine="420" w:firstLineChars="200"/>
        <w:rPr>
          <w:rFonts w:ascii="宋体" w:hAnsi="Courier New"/>
          <w:sz w:val="21"/>
          <w:szCs w:val="21"/>
        </w:rPr>
      </w:pPr>
      <w:r>
        <w:rPr>
          <w:rFonts w:hint="eastAsia" w:ascii="宋体" w:hAnsi="Courier New"/>
          <w:sz w:val="21"/>
          <w:szCs w:val="21"/>
        </w:rPr>
        <w:t>d）投标人在投标过程中被查实有串标、围标、陪标等违规违纪行为的；</w:t>
      </w:r>
    </w:p>
    <w:p w14:paraId="05297082">
      <w:pPr>
        <w:spacing w:line="360" w:lineRule="auto"/>
        <w:ind w:left="1050" w:leftChars="400" w:hanging="210" w:hangingChars="100"/>
        <w:rPr>
          <w:rFonts w:ascii="宋体" w:hAnsi="Courier New"/>
          <w:sz w:val="21"/>
          <w:szCs w:val="21"/>
        </w:rPr>
      </w:pPr>
      <w:r>
        <w:rPr>
          <w:rFonts w:hint="eastAsia" w:ascii="宋体" w:hAnsi="Courier New"/>
          <w:sz w:val="21"/>
          <w:szCs w:val="21"/>
        </w:rPr>
        <w:t>e）投标人有违约违规行为或被投诉、举报的，在调查处理期间，保证金暂不退还，待调查处理结束后按有关规定处理。</w:t>
      </w:r>
    </w:p>
    <w:p w14:paraId="59578F8A">
      <w:pPr>
        <w:spacing w:line="360" w:lineRule="auto"/>
        <w:ind w:firstLine="420" w:firstLineChars="200"/>
        <w:rPr>
          <w:rFonts w:ascii="宋体" w:hAnsi="Courier New"/>
          <w:sz w:val="21"/>
          <w:szCs w:val="21"/>
        </w:rPr>
      </w:pPr>
      <w:r>
        <w:rPr>
          <w:rFonts w:hint="eastAsia" w:ascii="宋体" w:hAnsi="Courier New"/>
          <w:sz w:val="21"/>
          <w:szCs w:val="21"/>
        </w:rPr>
        <w:t>2</w:t>
      </w:r>
      <w:r>
        <w:rPr>
          <w:rFonts w:hint="eastAsia" w:ascii="宋体" w:hAnsi="Courier New"/>
          <w:sz w:val="21"/>
          <w:szCs w:val="21"/>
          <w:lang w:eastAsia="zh-CN"/>
        </w:rPr>
        <w:t>、</w:t>
      </w:r>
      <w:r>
        <w:rPr>
          <w:rFonts w:hint="eastAsia" w:ascii="宋体" w:hAnsi="Courier New"/>
          <w:sz w:val="21"/>
          <w:szCs w:val="21"/>
        </w:rPr>
        <w:t>开标</w:t>
      </w:r>
    </w:p>
    <w:p w14:paraId="554D2156">
      <w:pPr>
        <w:pStyle w:val="15"/>
        <w:spacing w:line="360" w:lineRule="auto"/>
        <w:ind w:firstLine="420" w:firstLineChars="200"/>
        <w:rPr>
          <w:rFonts w:hint="eastAsia"/>
          <w:sz w:val="21"/>
          <w:szCs w:val="21"/>
        </w:rPr>
      </w:pPr>
      <w:r>
        <w:rPr>
          <w:rFonts w:hint="eastAsia"/>
          <w:sz w:val="21"/>
          <w:szCs w:val="21"/>
        </w:rPr>
        <w:t>1.本次招标的开标、评标由招标人依法组织实施。</w:t>
      </w:r>
    </w:p>
    <w:p w14:paraId="4632F8AE">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2025年11</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17</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0B21353F">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szCs w:val="21"/>
          <w:lang w:val="en-US" w:eastAsia="zh-CN" w:bidi="ar-SA"/>
        </w:rPr>
        <w:t>山东省济南市历城区华奥路777号中国重汽科技大厦三楼会议室</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p>
    <w:p w14:paraId="5B131797">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54982A91">
      <w:pPr>
        <w:pStyle w:val="75"/>
        <w:keepNext w:val="0"/>
        <w:keepLines w:val="0"/>
        <w:pageBreakBefore w:val="0"/>
        <w:widowControl w:val="0"/>
        <w:numPr>
          <w:ilvl w:val="0"/>
          <w:numId w:val="18"/>
        </w:numPr>
        <w:kinsoku/>
        <w:wordWrap/>
        <w:overflowPunct/>
        <w:topLinePunct w:val="0"/>
        <w:autoSpaceDE/>
        <w:autoSpaceDN/>
        <w:bidi w:val="0"/>
        <w:adjustRightInd/>
        <w:snapToGrid/>
        <w:ind w:left="420" w:leftChars="0" w:hanging="420" w:firstLineChars="0"/>
        <w:textAlignment w:val="auto"/>
        <w:outlineLvl w:val="9"/>
        <w:rPr>
          <w:rFonts w:hint="eastAsia"/>
          <w:sz w:val="21"/>
          <w:szCs w:val="21"/>
        </w:rPr>
      </w:pPr>
      <w:r>
        <w:rPr>
          <w:rFonts w:hint="eastAsia" w:cs="Times New Roman"/>
          <w:b/>
          <w:bCs w:val="0"/>
          <w:color w:val="FF0000"/>
          <w:sz w:val="21"/>
          <w:szCs w:val="21"/>
          <w:highlight w:val="none"/>
          <w:u w:val="single"/>
          <w:lang w:val="en-US" w:eastAsia="zh-CN"/>
        </w:rPr>
        <w:t>现场</w:t>
      </w:r>
      <w:r>
        <w:rPr>
          <w:rFonts w:hint="eastAsia" w:ascii="宋体" w:hAnsi="Courier New" w:eastAsia="宋体" w:cs="Times New Roman"/>
          <w:b/>
          <w:bCs w:val="0"/>
          <w:color w:val="FF0000"/>
          <w:kern w:val="2"/>
          <w:sz w:val="21"/>
          <w:szCs w:val="21"/>
          <w:highlight w:val="none"/>
          <w:u w:val="single"/>
          <w:lang w:val="en-US" w:eastAsia="zh-CN" w:bidi="ar-SA"/>
        </w:rPr>
        <w:t>招标：</w:t>
      </w:r>
      <w:r>
        <w:rPr>
          <w:rFonts w:hint="eastAsia" w:ascii="宋体" w:hAnsi="宋体" w:eastAsia="宋体" w:cs="宋体"/>
          <w:color w:val="000000"/>
          <w:sz w:val="21"/>
          <w:szCs w:val="21"/>
          <w:highlight w:val="none"/>
          <w:u w:val="single"/>
        </w:rPr>
        <w:t>原则上来现场参与开标。如因特殊情况无法现场参与，需在开标前三日，通知招标人，由招标人创建视频链接，并在报名结束后统一通知。</w:t>
      </w:r>
    </w:p>
    <w:p w14:paraId="1F1112A3">
      <w:pPr>
        <w:pStyle w:val="15"/>
        <w:spacing w:line="360" w:lineRule="auto"/>
        <w:ind w:firstLine="420" w:firstLineChars="200"/>
        <w:rPr>
          <w:sz w:val="21"/>
          <w:szCs w:val="21"/>
        </w:rPr>
      </w:pPr>
      <w:r>
        <w:rPr>
          <w:rFonts w:hint="eastAsia"/>
          <w:sz w:val="21"/>
          <w:szCs w:val="21"/>
        </w:rPr>
        <w:t>2.开标会议由招标人组织并主持。招标人邀请各投标人派员参加开标会议。</w:t>
      </w:r>
    </w:p>
    <w:p w14:paraId="621AEAD7">
      <w:pPr>
        <w:pStyle w:val="15"/>
        <w:spacing w:line="360" w:lineRule="auto"/>
        <w:ind w:firstLine="420" w:firstLineChars="200"/>
        <w:rPr>
          <w:sz w:val="21"/>
          <w:szCs w:val="21"/>
        </w:rPr>
      </w:pPr>
      <w:r>
        <w:rPr>
          <w:rFonts w:hint="eastAsia"/>
          <w:sz w:val="21"/>
          <w:szCs w:val="21"/>
        </w:rPr>
        <w:t>3</w:t>
      </w:r>
      <w:r>
        <w:rPr>
          <w:rFonts w:hint="eastAsia"/>
          <w:sz w:val="21"/>
          <w:szCs w:val="21"/>
          <w:lang w:eastAsia="zh-CN"/>
        </w:rPr>
        <w:t>、</w:t>
      </w:r>
      <w:r>
        <w:rPr>
          <w:rFonts w:hint="eastAsia"/>
          <w:sz w:val="21"/>
          <w:szCs w:val="21"/>
        </w:rPr>
        <w:t>开标程序</w:t>
      </w:r>
    </w:p>
    <w:p w14:paraId="448D3EDA">
      <w:pPr>
        <w:pStyle w:val="15"/>
        <w:spacing w:line="360" w:lineRule="auto"/>
        <w:ind w:firstLine="420" w:firstLineChars="200"/>
        <w:rPr>
          <w:sz w:val="21"/>
          <w:szCs w:val="21"/>
        </w:rPr>
      </w:pPr>
      <w:r>
        <w:rPr>
          <w:rFonts w:hint="eastAsia"/>
          <w:sz w:val="21"/>
          <w:szCs w:val="21"/>
        </w:rPr>
        <w:t>（1）宣布开标会议开始并宣读开标纪律。</w:t>
      </w:r>
    </w:p>
    <w:p w14:paraId="7618D209">
      <w:pPr>
        <w:pStyle w:val="15"/>
        <w:spacing w:line="360" w:lineRule="auto"/>
        <w:ind w:firstLine="420" w:firstLineChars="200"/>
        <w:rPr>
          <w:sz w:val="21"/>
          <w:szCs w:val="21"/>
        </w:rPr>
      </w:pPr>
      <w:r>
        <w:rPr>
          <w:rFonts w:hint="eastAsia"/>
          <w:sz w:val="21"/>
          <w:szCs w:val="21"/>
        </w:rPr>
        <w:t>（2）介绍与会人员。</w:t>
      </w:r>
    </w:p>
    <w:p w14:paraId="091940A1">
      <w:pPr>
        <w:pStyle w:val="15"/>
        <w:spacing w:line="360" w:lineRule="auto"/>
        <w:ind w:firstLine="420" w:firstLineChars="200"/>
        <w:rPr>
          <w:sz w:val="21"/>
          <w:szCs w:val="21"/>
        </w:rPr>
      </w:pPr>
      <w:r>
        <w:rPr>
          <w:rFonts w:hint="eastAsia"/>
          <w:sz w:val="21"/>
          <w:szCs w:val="21"/>
        </w:rPr>
        <w:t>（3）核验投标人资格证件。</w:t>
      </w:r>
    </w:p>
    <w:p w14:paraId="79ED2364">
      <w:pPr>
        <w:pStyle w:val="15"/>
        <w:spacing w:line="360" w:lineRule="auto"/>
        <w:ind w:firstLine="420" w:firstLineChars="200"/>
        <w:rPr>
          <w:sz w:val="21"/>
          <w:szCs w:val="21"/>
        </w:rPr>
      </w:pPr>
      <w:r>
        <w:rPr>
          <w:rFonts w:hint="eastAsia"/>
          <w:sz w:val="21"/>
          <w:szCs w:val="21"/>
        </w:rPr>
        <w:t>（4）投标人或投标人推选的代表对投标文件密封情况进行检查。</w:t>
      </w:r>
    </w:p>
    <w:p w14:paraId="4E36FDE4">
      <w:pPr>
        <w:pStyle w:val="15"/>
        <w:spacing w:line="360" w:lineRule="auto"/>
        <w:ind w:firstLine="420" w:firstLineChars="200"/>
        <w:rPr>
          <w:sz w:val="21"/>
          <w:szCs w:val="21"/>
        </w:rPr>
      </w:pPr>
      <w:r>
        <w:rPr>
          <w:rFonts w:hint="eastAsia"/>
          <w:sz w:val="21"/>
          <w:szCs w:val="21"/>
        </w:rPr>
        <w:t>（5）经确认无误后，由工作人员当众拆封入围商务标投标方的开标一览表和商务标书，宣读投标人名称、投标价格和投标文件的其他主要内容，投标人授权代表现场确认。</w:t>
      </w:r>
    </w:p>
    <w:p w14:paraId="2FAD40FA">
      <w:pPr>
        <w:pStyle w:val="15"/>
        <w:spacing w:line="360" w:lineRule="auto"/>
        <w:ind w:firstLine="420" w:firstLineChars="200"/>
        <w:rPr>
          <w:sz w:val="21"/>
          <w:szCs w:val="21"/>
        </w:rPr>
      </w:pPr>
      <w:r>
        <w:rPr>
          <w:rFonts w:hint="eastAsia"/>
          <w:sz w:val="21"/>
          <w:szCs w:val="21"/>
        </w:rPr>
        <w:t>注：标书文件需要加盖骑缝章</w:t>
      </w:r>
    </w:p>
    <w:p w14:paraId="48C5D145">
      <w:pPr>
        <w:pStyle w:val="15"/>
        <w:spacing w:line="360" w:lineRule="auto"/>
        <w:ind w:firstLine="420" w:firstLineChars="200"/>
        <w:rPr>
          <w:sz w:val="21"/>
          <w:szCs w:val="21"/>
        </w:rPr>
      </w:pPr>
      <w:r>
        <w:rPr>
          <w:rFonts w:hint="eastAsia"/>
          <w:sz w:val="21"/>
          <w:szCs w:val="21"/>
        </w:rPr>
        <w:t>（6）进行商务标的评标及商务标的评分，招标人有权根据项目情况，采取多级评标模式，最终根据商务标的总得分确定各投标人排序。</w:t>
      </w:r>
    </w:p>
    <w:p w14:paraId="6BBAC3CE">
      <w:pPr>
        <w:pStyle w:val="15"/>
        <w:numPr>
          <w:ilvl w:val="255"/>
          <w:numId w:val="0"/>
        </w:numPr>
        <w:spacing w:line="360" w:lineRule="auto"/>
        <w:ind w:left="420"/>
        <w:rPr>
          <w:sz w:val="21"/>
          <w:szCs w:val="21"/>
        </w:rPr>
      </w:pPr>
      <w:r>
        <w:rPr>
          <w:rFonts w:hint="eastAsia"/>
          <w:sz w:val="21"/>
          <w:szCs w:val="21"/>
        </w:rPr>
        <w:t>（7）所有报价货币单位均为：</w:t>
      </w:r>
      <w:r>
        <w:rPr>
          <w:rFonts w:hint="eastAsia"/>
          <w:sz w:val="21"/>
          <w:szCs w:val="21"/>
          <w:u w:val="single"/>
        </w:rPr>
        <w:t xml:space="preserve">       </w:t>
      </w:r>
      <w:r>
        <w:rPr>
          <w:rFonts w:hint="eastAsia"/>
          <w:sz w:val="21"/>
          <w:szCs w:val="21"/>
        </w:rPr>
        <w:t>元（人民币，含税。税率：</w:t>
      </w:r>
      <w:r>
        <w:rPr>
          <w:rFonts w:hint="eastAsia"/>
          <w:sz w:val="21"/>
          <w:szCs w:val="21"/>
          <w:u w:val="single"/>
          <w:lang w:val="en-US" w:eastAsia="zh-CN"/>
        </w:rPr>
        <w:t>13</w:t>
      </w:r>
      <w:r>
        <w:rPr>
          <w:rFonts w:hint="eastAsia"/>
          <w:sz w:val="21"/>
          <w:szCs w:val="21"/>
          <w:u w:val="single"/>
        </w:rPr>
        <w:t>%</w:t>
      </w:r>
      <w:r>
        <w:rPr>
          <w:rFonts w:hint="eastAsia"/>
          <w:sz w:val="21"/>
          <w:szCs w:val="21"/>
        </w:rPr>
        <w:t>）。</w:t>
      </w:r>
      <w:r>
        <w:rPr>
          <w:rFonts w:hint="eastAsia"/>
          <w:sz w:val="21"/>
          <w:szCs w:val="21"/>
          <w:highlight w:val="red"/>
          <w:lang w:eastAsia="zh-CN"/>
        </w:rPr>
        <w:t>所有项目单价在招标基价基础上同比例调整。</w:t>
      </w:r>
    </w:p>
    <w:p w14:paraId="4022195D">
      <w:pPr>
        <w:pStyle w:val="15"/>
        <w:spacing w:line="360" w:lineRule="auto"/>
        <w:ind w:firstLine="420" w:firstLineChars="200"/>
        <w:rPr>
          <w:sz w:val="21"/>
          <w:szCs w:val="21"/>
        </w:rPr>
      </w:pPr>
      <w:r>
        <w:rPr>
          <w:rFonts w:hint="eastAsia"/>
          <w:sz w:val="21"/>
          <w:szCs w:val="21"/>
        </w:rPr>
        <w:t>（8）投标文件的澄清，为有助于对投标文件的审查、评价和比较，招标人要求投标人于开标现场对其投标文件进行澄清，投标人应按照招标人要求的格式答疑和澄清。澄清函应作为投标内容的一部分。</w:t>
      </w:r>
    </w:p>
    <w:p w14:paraId="5D4B27D7">
      <w:pPr>
        <w:spacing w:line="360" w:lineRule="auto"/>
        <w:ind w:firstLine="420" w:firstLineChars="200"/>
        <w:rPr>
          <w:rFonts w:ascii="宋体" w:hAnsi="Courier New"/>
          <w:sz w:val="21"/>
          <w:szCs w:val="21"/>
        </w:rPr>
      </w:pPr>
      <w:r>
        <w:rPr>
          <w:rFonts w:hint="eastAsia" w:ascii="宋体" w:hAnsi="Courier New"/>
          <w:sz w:val="21"/>
          <w:szCs w:val="21"/>
        </w:rPr>
        <w:t>3</w:t>
      </w:r>
      <w:r>
        <w:rPr>
          <w:rFonts w:hint="eastAsia" w:ascii="宋体" w:hAnsi="Courier New"/>
          <w:sz w:val="21"/>
          <w:szCs w:val="21"/>
          <w:lang w:eastAsia="zh-CN"/>
        </w:rPr>
        <w:t>、</w:t>
      </w:r>
      <w:r>
        <w:rPr>
          <w:rFonts w:hint="eastAsia" w:ascii="宋体" w:hAnsi="Courier New"/>
          <w:sz w:val="21"/>
          <w:szCs w:val="21"/>
        </w:rPr>
        <w:t>评标</w:t>
      </w:r>
    </w:p>
    <w:p w14:paraId="437C8464">
      <w:pPr>
        <w:spacing w:line="360" w:lineRule="auto"/>
        <w:ind w:right="2" w:firstLine="420" w:firstLineChars="200"/>
        <w:rPr>
          <w:sz w:val="21"/>
          <w:szCs w:val="21"/>
        </w:rPr>
      </w:pPr>
      <w:r>
        <w:rPr>
          <w:rFonts w:hint="eastAsia" w:ascii="宋体" w:hAnsi="Courier New"/>
          <w:sz w:val="21"/>
          <w:szCs w:val="21"/>
        </w:rPr>
        <w:t>评标由依照有关法律、法规组建的评标委员会负责。评标委员会由招标人或其委托的招标代理机构熟悉相关业务的代表，以及有关技术、经济等方面的专家组成。评标委员会成员人数为</w:t>
      </w:r>
      <w:r>
        <w:rPr>
          <w:rFonts w:hint="eastAsia" w:ascii="宋体" w:hAnsi="Courier New"/>
          <w:sz w:val="21"/>
          <w:szCs w:val="21"/>
          <w:lang w:val="en-US" w:eastAsia="zh-CN"/>
        </w:rPr>
        <w:t>三</w:t>
      </w:r>
      <w:r>
        <w:rPr>
          <w:rFonts w:hint="eastAsia" w:ascii="宋体" w:hAnsi="Courier New"/>
          <w:sz w:val="21"/>
          <w:szCs w:val="21"/>
        </w:rPr>
        <w:t>人以上单数。其中，技术、经济等方面的专家不少于成员总数的三分之二。评标专家小组负责参照评分标准，按照国家招投标有关规定，本着公平、公正、公开、有序的原则，在最大限度地满足招标文件实质性要求的前提下，</w:t>
      </w:r>
      <w:r>
        <w:rPr>
          <w:rFonts w:hint="eastAsia"/>
          <w:sz w:val="21"/>
          <w:szCs w:val="21"/>
        </w:rPr>
        <w:t>按照合理最低价的原则选择中标厂家</w:t>
      </w:r>
      <w:r>
        <w:rPr>
          <w:rFonts w:hint="eastAsia" w:ascii="宋体" w:hAnsi="Courier New"/>
          <w:sz w:val="21"/>
          <w:szCs w:val="21"/>
        </w:rPr>
        <w:t>。</w:t>
      </w:r>
    </w:p>
    <w:p w14:paraId="7D961E21">
      <w:pPr>
        <w:numPr>
          <w:ilvl w:val="0"/>
          <w:numId w:val="19"/>
        </w:numPr>
        <w:spacing w:line="360" w:lineRule="auto"/>
        <w:ind w:firstLine="420" w:firstLineChars="200"/>
        <w:rPr>
          <w:rFonts w:hint="eastAsia" w:ascii="宋体" w:hAnsi="Courier New" w:eastAsia="宋体" w:cs="Times New Roman"/>
          <w:sz w:val="21"/>
          <w:szCs w:val="21"/>
        </w:rPr>
      </w:pPr>
      <w:r>
        <w:rPr>
          <w:rFonts w:hint="eastAsia" w:ascii="宋体" w:hAnsi="Courier New" w:eastAsia="宋体" w:cs="Times New Roman"/>
          <w:sz w:val="21"/>
          <w:szCs w:val="21"/>
        </w:rPr>
        <w:t>评分标准</w:t>
      </w:r>
    </w:p>
    <w:tbl>
      <w:tblPr>
        <w:tblStyle w:val="31"/>
        <w:tblW w:w="5023" w:type="pct"/>
        <w:jc w:val="center"/>
        <w:tblLayout w:type="fixed"/>
        <w:tblCellMar>
          <w:top w:w="0" w:type="dxa"/>
          <w:left w:w="0" w:type="dxa"/>
          <w:bottom w:w="0" w:type="dxa"/>
          <w:right w:w="0" w:type="dxa"/>
        </w:tblCellMar>
      </w:tblPr>
      <w:tblGrid>
        <w:gridCol w:w="611"/>
        <w:gridCol w:w="495"/>
        <w:gridCol w:w="810"/>
        <w:gridCol w:w="566"/>
        <w:gridCol w:w="6654"/>
      </w:tblGrid>
      <w:tr w14:paraId="7587708E">
        <w:tblPrEx>
          <w:tblCellMar>
            <w:top w:w="0" w:type="dxa"/>
            <w:left w:w="0" w:type="dxa"/>
            <w:bottom w:w="0" w:type="dxa"/>
            <w:right w:w="0" w:type="dxa"/>
          </w:tblCellMar>
        </w:tblPrEx>
        <w:trPr>
          <w:cantSplit/>
          <w:trHeight w:val="643"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AB29E54">
            <w:pPr>
              <w:widowControl/>
              <w:jc w:val="center"/>
              <w:textAlignment w:val="center"/>
              <w:rPr>
                <w:rFonts w:ascii="宋体" w:cs="宋体"/>
                <w:kern w:val="0"/>
                <w:sz w:val="21"/>
                <w:szCs w:val="21"/>
              </w:rPr>
            </w:pPr>
            <w:r>
              <w:rPr>
                <w:rFonts w:hint="eastAsia" w:ascii="宋体" w:cs="宋体"/>
                <w:kern w:val="0"/>
                <w:sz w:val="21"/>
                <w:szCs w:val="21"/>
              </w:rPr>
              <w:t>评标</w:t>
            </w:r>
          </w:p>
          <w:p w14:paraId="47395A01">
            <w:pPr>
              <w:widowControl/>
              <w:jc w:val="center"/>
              <w:textAlignment w:val="center"/>
              <w:rPr>
                <w:rFonts w:ascii="宋体" w:cs="宋体"/>
                <w:sz w:val="21"/>
                <w:szCs w:val="21"/>
              </w:rPr>
            </w:pPr>
            <w:r>
              <w:rPr>
                <w:rFonts w:hint="eastAsia" w:ascii="宋体" w:cs="宋体"/>
                <w:kern w:val="0"/>
                <w:sz w:val="21"/>
                <w:szCs w:val="21"/>
              </w:rPr>
              <w:t>因素</w:t>
            </w:r>
          </w:p>
        </w:tc>
        <w:tc>
          <w:tcPr>
            <w:tcW w:w="270"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443058B5">
            <w:pPr>
              <w:widowControl/>
              <w:jc w:val="center"/>
              <w:textAlignment w:val="center"/>
              <w:rPr>
                <w:rFonts w:ascii="宋体" w:cs="宋体"/>
                <w:sz w:val="21"/>
                <w:szCs w:val="21"/>
              </w:rPr>
            </w:pPr>
            <w:r>
              <w:rPr>
                <w:rFonts w:hint="eastAsia" w:ascii="宋体" w:cs="宋体"/>
                <w:kern w:val="0"/>
                <w:sz w:val="21"/>
                <w:szCs w:val="21"/>
              </w:rPr>
              <w:t>总分</w:t>
            </w:r>
          </w:p>
        </w:tc>
        <w:tc>
          <w:tcPr>
            <w:tcW w:w="44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0333E61">
            <w:pPr>
              <w:widowControl/>
              <w:jc w:val="center"/>
              <w:textAlignment w:val="center"/>
              <w:rPr>
                <w:rFonts w:ascii="宋体" w:cs="宋体"/>
                <w:sz w:val="21"/>
                <w:szCs w:val="21"/>
              </w:rPr>
            </w:pPr>
            <w:r>
              <w:rPr>
                <w:rFonts w:hint="eastAsia" w:ascii="宋体" w:cs="宋体"/>
                <w:kern w:val="0"/>
                <w:sz w:val="21"/>
                <w:szCs w:val="21"/>
              </w:rPr>
              <w:t>评价内容</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F960B0">
            <w:pPr>
              <w:widowControl/>
              <w:jc w:val="center"/>
              <w:textAlignment w:val="center"/>
              <w:rPr>
                <w:rFonts w:ascii="宋体" w:cs="宋体"/>
                <w:kern w:val="0"/>
                <w:sz w:val="21"/>
                <w:szCs w:val="21"/>
              </w:rPr>
            </w:pPr>
            <w:r>
              <w:rPr>
                <w:rFonts w:hint="eastAsia" w:ascii="宋体" w:cs="宋体"/>
                <w:kern w:val="0"/>
                <w:sz w:val="21"/>
                <w:szCs w:val="21"/>
              </w:rPr>
              <w:t>最高</w:t>
            </w:r>
          </w:p>
          <w:p w14:paraId="34D15AD7">
            <w:pPr>
              <w:widowControl/>
              <w:jc w:val="center"/>
              <w:textAlignment w:val="center"/>
              <w:rPr>
                <w:rFonts w:ascii="宋体" w:cs="宋体"/>
                <w:sz w:val="21"/>
                <w:szCs w:val="21"/>
              </w:rPr>
            </w:pPr>
            <w:r>
              <w:rPr>
                <w:rFonts w:hint="eastAsia" w:ascii="宋体" w:cs="宋体"/>
                <w:kern w:val="0"/>
                <w:sz w:val="21"/>
                <w:szCs w:val="21"/>
              </w:rPr>
              <w:t>得分</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95EC196">
            <w:pPr>
              <w:widowControl/>
              <w:jc w:val="center"/>
              <w:textAlignment w:val="center"/>
              <w:rPr>
                <w:rFonts w:ascii="宋体" w:cs="宋体"/>
                <w:sz w:val="21"/>
                <w:szCs w:val="21"/>
              </w:rPr>
            </w:pPr>
            <w:r>
              <w:rPr>
                <w:rFonts w:hint="eastAsia" w:ascii="宋体" w:cs="宋体"/>
                <w:kern w:val="0"/>
                <w:sz w:val="21"/>
                <w:szCs w:val="21"/>
              </w:rPr>
              <w:t>评分标准</w:t>
            </w:r>
          </w:p>
        </w:tc>
      </w:tr>
      <w:tr w14:paraId="6AA5906D">
        <w:tblPrEx>
          <w:tblCellMar>
            <w:top w:w="0" w:type="dxa"/>
            <w:left w:w="0" w:type="dxa"/>
            <w:bottom w:w="0" w:type="dxa"/>
            <w:right w:w="0" w:type="dxa"/>
          </w:tblCellMar>
        </w:tblPrEx>
        <w:trPr>
          <w:cantSplit/>
          <w:trHeight w:val="1871" w:hRule="atLeast"/>
          <w:jc w:val="center"/>
        </w:trPr>
        <w:tc>
          <w:tcPr>
            <w:tcW w:w="334"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6D28648F">
            <w:pPr>
              <w:widowControl/>
              <w:jc w:val="center"/>
              <w:textAlignment w:val="center"/>
              <w:rPr>
                <w:rFonts w:ascii="宋体" w:cs="宋体"/>
                <w:sz w:val="21"/>
                <w:szCs w:val="21"/>
              </w:rPr>
            </w:pPr>
            <w:r>
              <w:rPr>
                <w:rFonts w:hint="eastAsia" w:ascii="宋体" w:cs="宋体"/>
                <w:kern w:val="0"/>
                <w:sz w:val="21"/>
                <w:szCs w:val="21"/>
              </w:rPr>
              <w:t>商务标</w:t>
            </w:r>
          </w:p>
        </w:tc>
        <w:tc>
          <w:tcPr>
            <w:tcW w:w="1023" w:type="pct"/>
            <w:gridSpan w:val="3"/>
            <w:tcBorders>
              <w:top w:val="single" w:color="auto" w:sz="4" w:space="0"/>
              <w:left w:val="single" w:color="000000" w:sz="4" w:space="0"/>
              <w:right w:val="single" w:color="000000" w:sz="4" w:space="0"/>
            </w:tcBorders>
            <w:noWrap/>
            <w:tcMar>
              <w:top w:w="12" w:type="dxa"/>
              <w:left w:w="12" w:type="dxa"/>
              <w:right w:w="12" w:type="dxa"/>
            </w:tcMar>
            <w:vAlign w:val="center"/>
          </w:tcPr>
          <w:p w14:paraId="2D036776">
            <w:pPr>
              <w:jc w:val="center"/>
              <w:rPr>
                <w:rFonts w:hint="default" w:ascii="宋体" w:eastAsia="宋体" w:cs="宋体"/>
                <w:sz w:val="21"/>
                <w:szCs w:val="21"/>
                <w:lang w:val="en-US" w:eastAsia="zh-CN"/>
              </w:rPr>
            </w:pPr>
            <w:r>
              <w:rPr>
                <w:rFonts w:hint="eastAsia" w:ascii="宋体" w:cs="宋体"/>
                <w:sz w:val="21"/>
                <w:szCs w:val="21"/>
                <w:lang w:val="en-US" w:eastAsia="zh-CN"/>
              </w:rPr>
              <w:t>投标报价</w:t>
            </w:r>
          </w:p>
        </w:tc>
        <w:tc>
          <w:tcPr>
            <w:tcW w:w="364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1AA8E233">
            <w:pPr>
              <w:jc w:val="left"/>
              <w:textAlignment w:val="center"/>
              <w:rPr>
                <w:rFonts w:ascii="宋体" w:cs="宋体"/>
                <w:sz w:val="21"/>
                <w:szCs w:val="21"/>
              </w:rPr>
            </w:pPr>
            <w:r>
              <w:rPr>
                <w:rFonts w:hint="eastAsia" w:ascii="宋体" w:hAnsi="宋体" w:eastAsia="宋体" w:cs="宋体"/>
                <w:i w:val="0"/>
                <w:color w:val="000000"/>
                <w:kern w:val="0"/>
                <w:sz w:val="21"/>
                <w:szCs w:val="21"/>
                <w:highlight w:val="none"/>
                <w:u w:val="none"/>
                <w:lang w:val="en-US" w:eastAsia="zh-CN" w:bidi="ar"/>
              </w:rPr>
              <w:t>1.经初审合格的投标文件其投标报价为有效报价。</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2.</w:t>
            </w:r>
            <w:r>
              <w:rPr>
                <w:rFonts w:hint="eastAsia" w:ascii="宋体" w:hAnsi="宋体" w:cs="宋体"/>
                <w:color w:val="000000"/>
                <w:kern w:val="0"/>
                <w:sz w:val="21"/>
                <w:szCs w:val="21"/>
                <w:lang w:bidi="ar"/>
              </w:rPr>
              <w:t>按照投标价格高低排名；</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3</w:t>
            </w:r>
            <w:r>
              <w:rPr>
                <w:rFonts w:hint="eastAsia" w:ascii="宋体" w:hAnsi="宋体" w:eastAsia="宋体" w:cs="宋体"/>
                <w:i w:val="0"/>
                <w:color w:val="000000"/>
                <w:kern w:val="0"/>
                <w:sz w:val="21"/>
                <w:szCs w:val="21"/>
                <w:highlight w:val="none"/>
                <w:u w:val="none"/>
                <w:lang w:val="en-US" w:eastAsia="zh-CN" w:bidi="ar"/>
              </w:rPr>
              <w:t>.评标价格均以元（RMB）为单位计算，百分率、得分值小数点后保留两位，第三位四舍五入。</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4</w:t>
            </w:r>
            <w:r>
              <w:rPr>
                <w:rFonts w:hint="eastAsia" w:ascii="宋体" w:hAnsi="宋体" w:eastAsia="宋体" w:cs="宋体"/>
                <w:i w:val="0"/>
                <w:color w:val="000000"/>
                <w:kern w:val="0"/>
                <w:sz w:val="21"/>
                <w:szCs w:val="21"/>
                <w:highlight w:val="none"/>
                <w:u w:val="none"/>
                <w:lang w:val="en-US" w:eastAsia="zh-CN" w:bidi="ar"/>
              </w:rPr>
              <w:t>.评标委员会二分之一以上人员认为某投标总报价有低于成本价嫌疑的，视为无效报价，不进入下一步评审。</w:t>
            </w:r>
          </w:p>
        </w:tc>
      </w:tr>
      <w:tr w14:paraId="5329BB2A">
        <w:tblPrEx>
          <w:tblCellMar>
            <w:top w:w="0" w:type="dxa"/>
            <w:left w:w="0" w:type="dxa"/>
            <w:bottom w:w="0" w:type="dxa"/>
            <w:right w:w="0" w:type="dxa"/>
          </w:tblCellMar>
        </w:tblPrEx>
        <w:trPr>
          <w:cantSplit/>
          <w:trHeight w:val="2957"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3D2DC5">
            <w:pPr>
              <w:widowControl/>
              <w:jc w:val="left"/>
              <w:rPr>
                <w:sz w:val="21"/>
                <w:szCs w:val="21"/>
              </w:rPr>
            </w:pPr>
            <w:r>
              <w:rPr>
                <w:rFonts w:hint="eastAsia"/>
                <w:sz w:val="21"/>
                <w:szCs w:val="21"/>
              </w:rPr>
              <w:t>备注：</w:t>
            </w:r>
          </w:p>
          <w:p w14:paraId="7D645A65">
            <w:pPr>
              <w:widowControl/>
              <w:jc w:val="left"/>
              <w:rPr>
                <w:rFonts w:hint="eastAsia"/>
                <w:sz w:val="21"/>
                <w:szCs w:val="21"/>
                <w:highlight w:val="none"/>
              </w:rPr>
            </w:pPr>
            <w:r>
              <w:rPr>
                <w:rFonts w:hint="eastAsia"/>
                <w:sz w:val="21"/>
                <w:szCs w:val="21"/>
                <w:highlight w:val="none"/>
                <w:lang w:val="en-US" w:eastAsia="zh-CN"/>
              </w:rPr>
              <w:t>1、</w:t>
            </w:r>
            <w:r>
              <w:rPr>
                <w:rFonts w:hint="eastAsia"/>
                <w:sz w:val="21"/>
                <w:szCs w:val="21"/>
                <w:highlight w:val="none"/>
              </w:rPr>
              <w:t>商务分相同的，则由全体评委成员无记名投票，得票高者排序在前。</w:t>
            </w:r>
          </w:p>
          <w:p w14:paraId="6286BC0E">
            <w:pPr>
              <w:widowControl/>
              <w:jc w:val="left"/>
              <w:rPr>
                <w:sz w:val="21"/>
                <w:szCs w:val="21"/>
                <w:highlight w:val="none"/>
              </w:rPr>
            </w:pPr>
            <w:r>
              <w:rPr>
                <w:rFonts w:hint="eastAsia"/>
                <w:sz w:val="21"/>
                <w:szCs w:val="21"/>
                <w:highlight w:val="none"/>
                <w:lang w:val="en-US" w:eastAsia="zh-CN"/>
              </w:rPr>
              <w:t>2</w:t>
            </w:r>
            <w:r>
              <w:rPr>
                <w:rFonts w:hint="eastAsia"/>
                <w:sz w:val="21"/>
                <w:szCs w:val="21"/>
                <w:highlight w:val="none"/>
              </w:rPr>
              <w:t>、评委打分不得超过得分界限。</w:t>
            </w:r>
          </w:p>
          <w:p w14:paraId="6F35B0AA">
            <w:pPr>
              <w:widowControl/>
              <w:jc w:val="left"/>
              <w:rPr>
                <w:sz w:val="21"/>
                <w:szCs w:val="21"/>
                <w:highlight w:val="none"/>
              </w:rPr>
            </w:pPr>
            <w:r>
              <w:rPr>
                <w:rFonts w:hint="eastAsia"/>
                <w:sz w:val="21"/>
                <w:szCs w:val="21"/>
                <w:highlight w:val="none"/>
                <w:lang w:val="en-US" w:eastAsia="zh-CN"/>
              </w:rPr>
              <w:t>3</w:t>
            </w:r>
            <w:r>
              <w:rPr>
                <w:rFonts w:hint="eastAsia"/>
                <w:sz w:val="21"/>
                <w:szCs w:val="21"/>
                <w:highlight w:val="none"/>
              </w:rPr>
              <w:t>、投标方提交的投标文件和资料必须真实有效。合同签订前，招标方有权组织联合小组（财务、技术、设备、质量等）到中标候选人实地审核，如发现投标文件和资料有弄虚作假，招标方有权取消其中标候选人资格。</w:t>
            </w:r>
          </w:p>
          <w:p w14:paraId="4C70E4C6">
            <w:pPr>
              <w:widowControl/>
              <w:spacing w:line="240" w:lineRule="auto"/>
              <w:jc w:val="left"/>
              <w:rPr>
                <w:rFonts w:hint="eastAsia"/>
                <w:sz w:val="21"/>
                <w:szCs w:val="21"/>
                <w:highlight w:val="none"/>
              </w:rPr>
            </w:pPr>
            <w:r>
              <w:rPr>
                <w:rFonts w:hint="eastAsia"/>
                <w:sz w:val="21"/>
                <w:szCs w:val="21"/>
                <w:highlight w:val="none"/>
                <w:lang w:val="en-US" w:eastAsia="zh-CN"/>
              </w:rPr>
              <w:t>4</w:t>
            </w:r>
            <w:r>
              <w:rPr>
                <w:rFonts w:hint="eastAsia"/>
                <w:sz w:val="21"/>
                <w:szCs w:val="21"/>
                <w:highlight w:val="none"/>
              </w:rPr>
              <w:t>、交货期为一票否决项，无法满足交货期所有项得0分。</w:t>
            </w:r>
          </w:p>
          <w:p w14:paraId="3CE6F038">
            <w:pPr>
              <w:pStyle w:val="11"/>
              <w:rPr>
                <w:rFonts w:hint="default"/>
                <w:sz w:val="21"/>
                <w:szCs w:val="21"/>
                <w:lang w:val="en-US" w:eastAsia="zh-CN"/>
              </w:rPr>
            </w:pPr>
            <w:r>
              <w:rPr>
                <w:rFonts w:hint="eastAsia" w:ascii="Times New Roman" w:hAnsi="Times New Roman" w:eastAsia="宋体" w:cs="Times New Roman"/>
                <w:b/>
                <w:bCs/>
                <w:color w:val="FF0000"/>
                <w:kern w:val="2"/>
                <w:sz w:val="21"/>
                <w:szCs w:val="21"/>
                <w:highlight w:val="none"/>
                <w:lang w:val="en-US" w:eastAsia="zh-CN" w:bidi="ar-SA"/>
              </w:rPr>
              <w:t>5、本项目原则</w:t>
            </w:r>
            <w:r>
              <w:rPr>
                <w:rFonts w:hint="eastAsia" w:ascii="Times New Roman" w:eastAsia="宋体" w:cs="Times New Roman"/>
                <w:b/>
                <w:bCs/>
                <w:color w:val="FF0000"/>
                <w:kern w:val="2"/>
                <w:sz w:val="21"/>
                <w:szCs w:val="21"/>
                <w:highlight w:val="none"/>
                <w:lang w:val="en-US" w:eastAsia="zh-CN" w:bidi="ar-SA"/>
              </w:rPr>
              <w:t>只保留1家中标单位</w:t>
            </w:r>
            <w:r>
              <w:rPr>
                <w:rFonts w:hint="eastAsia" w:ascii="Times New Roman" w:hAnsi="Times New Roman" w:eastAsia="宋体" w:cs="Times New Roman"/>
                <w:b/>
                <w:bCs/>
                <w:color w:val="FF0000"/>
                <w:kern w:val="2"/>
                <w:sz w:val="21"/>
                <w:szCs w:val="21"/>
                <w:highlight w:val="none"/>
                <w:lang w:val="en-US" w:eastAsia="zh-CN" w:bidi="ar-SA"/>
              </w:rPr>
              <w:t>。</w:t>
            </w:r>
          </w:p>
        </w:tc>
      </w:tr>
    </w:tbl>
    <w:p w14:paraId="140308B4">
      <w:pPr>
        <w:pStyle w:val="15"/>
        <w:spacing w:line="360" w:lineRule="auto"/>
      </w:pPr>
    </w:p>
    <w:p w14:paraId="271EC8CF">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Chars="0"/>
        <w:textAlignment w:val="auto"/>
        <w:rPr>
          <w:rFonts w:hint="eastAsia" w:ascii="宋体" w:hAnsi="宋体" w:eastAsia="仿宋_GB2312" w:cs="宋体"/>
          <w:b w:val="0"/>
          <w:bCs w:val="0"/>
          <w:szCs w:val="24"/>
          <w:highlight w:val="none"/>
          <w:lang w:val="en-US" w:eastAsia="zh-CN"/>
        </w:rPr>
      </w:pPr>
      <w:r>
        <w:rPr>
          <w:rFonts w:hint="eastAsia"/>
          <w:b/>
          <w:bCs/>
          <w:color w:val="FF0000"/>
          <w:sz w:val="28"/>
          <w:szCs w:val="28"/>
          <w:lang w:val="en-US" w:eastAsia="zh-CN"/>
        </w:rPr>
        <w:t>该项目价格有效期为2026年1月1日-2026年12月31日</w:t>
      </w:r>
    </w:p>
    <w:bookmarkEnd w:id="5"/>
    <w:p w14:paraId="7C0A112D">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r>
        <w:rPr>
          <w:rFonts w:hint="eastAsia" w:hAnsi="黑体" w:cs="Times New Roman"/>
          <w:b/>
          <w:bCs/>
          <w:kern w:val="2"/>
          <w:sz w:val="28"/>
          <w:szCs w:val="28"/>
          <w:highlight w:val="none"/>
          <w:lang w:val="en-US" w:eastAsia="zh-CN" w:bidi="ar-SA"/>
        </w:rPr>
        <w:t>六</w:t>
      </w:r>
      <w:r>
        <w:rPr>
          <w:rFonts w:hint="eastAsia" w:ascii="黑体" w:hAnsi="黑体" w:eastAsia="黑体" w:cs="Times New Roman"/>
          <w:b/>
          <w:bCs/>
          <w:kern w:val="2"/>
          <w:sz w:val="28"/>
          <w:szCs w:val="28"/>
          <w:highlight w:val="none"/>
          <w:lang w:val="en-US" w:eastAsia="zh-CN" w:bidi="ar-SA"/>
        </w:rPr>
        <w:t>、</w:t>
      </w: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w:t>
      </w:r>
      <w:r>
        <w:rPr>
          <w:rFonts w:hint="eastAsia"/>
          <w:highlight w:val="none"/>
        </w:rPr>
        <w:t>产生</w:t>
      </w:r>
      <w:r>
        <w:rPr>
          <w:rFonts w:hint="eastAsia"/>
          <w:highlight w:val="none"/>
          <w:u w:val="single"/>
          <w:lang w:val="en-US" w:eastAsia="zh-CN"/>
        </w:rPr>
        <w:t>1</w:t>
      </w:r>
      <w:r>
        <w:rPr>
          <w:rFonts w:hint="eastAsia"/>
          <w:highlight w:val="none"/>
        </w:rPr>
        <w:t>个中</w:t>
      </w:r>
      <w:r>
        <w:rPr>
          <w:rFonts w:hint="eastAsia"/>
        </w:rPr>
        <w:t>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r>
        <w:rPr>
          <w:rFonts w:hint="eastAsia" w:hAnsi="黑体" w:cs="Times New Roman"/>
          <w:b/>
          <w:bCs/>
          <w:kern w:val="2"/>
          <w:sz w:val="28"/>
          <w:szCs w:val="28"/>
          <w:highlight w:val="none"/>
          <w:lang w:val="en-US" w:eastAsia="zh-CN" w:bidi="ar-SA"/>
        </w:rPr>
        <w:t>七</w:t>
      </w:r>
      <w:r>
        <w:rPr>
          <w:rFonts w:hint="eastAsia" w:ascii="黑体" w:hAnsi="黑体" w:eastAsia="黑体" w:cs="Times New Roman"/>
          <w:b/>
          <w:bCs/>
          <w:kern w:val="2"/>
          <w:sz w:val="28"/>
          <w:szCs w:val="28"/>
          <w:highlight w:val="none"/>
          <w:lang w:val="en-US" w:eastAsia="zh-CN" w:bidi="ar-SA"/>
        </w:rPr>
        <w:t>、</w:t>
      </w:r>
      <w:r>
        <w:rPr>
          <w:rFonts w:hint="eastAsia"/>
          <w:lang w:val="en-US" w:eastAsia="zh-CN"/>
        </w:rPr>
        <w:t>废标及终止招标</w:t>
      </w:r>
    </w:p>
    <w:p w14:paraId="0C3179D2">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28E1C79">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77AD151A">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2A8706D">
      <w:pPr>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8"/>
      <w:bookmarkStart w:id="7" w:name="OLE_LINK27"/>
      <w:bookmarkStart w:id="8" w:name="OLE_LINK26"/>
      <w:bookmarkStart w:id="9" w:name="OLE_LINK25"/>
      <w:bookmarkStart w:id="10" w:name="OLE_LINK29"/>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r>
        <w:rPr>
          <w:rFonts w:hint="eastAsia" w:hAnsi="黑体" w:cs="Times New Roman"/>
          <w:b/>
          <w:bCs/>
          <w:kern w:val="2"/>
          <w:sz w:val="28"/>
          <w:szCs w:val="28"/>
          <w:highlight w:val="none"/>
          <w:lang w:val="en-US" w:eastAsia="zh-CN" w:bidi="ar-SA"/>
        </w:rPr>
        <w:t>八</w:t>
      </w:r>
      <w:r>
        <w:rPr>
          <w:rFonts w:hint="eastAsia" w:ascii="黑体" w:hAnsi="黑体" w:eastAsia="黑体" w:cs="Times New Roman"/>
          <w:b/>
          <w:bCs/>
          <w:kern w:val="2"/>
          <w:sz w:val="28"/>
          <w:szCs w:val="28"/>
          <w:highlight w:val="none"/>
          <w:lang w:val="en-US" w:eastAsia="zh-CN" w:bidi="ar-SA"/>
        </w:rPr>
        <w:t>、</w:t>
      </w: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6B5BB0C7">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ascii="宋体" w:hAnsi="宋体" w:cs="宋体"/>
          <w:b w:val="0"/>
          <w:bCs/>
          <w:sz w:val="21"/>
          <w:szCs w:val="21"/>
        </w:rPr>
        <w:t>合同以双方最终签署的版本为准。</w:t>
      </w:r>
    </w:p>
    <w:p w14:paraId="6E0D74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hAnsi="黑体" w:cs="Times New Roman"/>
          <w:b/>
          <w:bCs/>
          <w:kern w:val="2"/>
          <w:sz w:val="28"/>
          <w:szCs w:val="28"/>
          <w:highlight w:val="none"/>
          <w:lang w:val="en-US" w:eastAsia="zh-CN" w:bidi="ar-SA"/>
        </w:rPr>
        <w:t>九</w:t>
      </w:r>
      <w:r>
        <w:rPr>
          <w:rFonts w:hint="eastAsia" w:ascii="黑体" w:hAnsi="黑体" w:eastAsia="黑体" w:cs="Times New Roman"/>
          <w:b/>
          <w:bCs/>
          <w:kern w:val="2"/>
          <w:sz w:val="28"/>
          <w:szCs w:val="28"/>
          <w:highlight w:val="none"/>
          <w:lang w:val="en-US" w:eastAsia="zh-CN" w:bidi="ar-SA"/>
        </w:rPr>
        <w:t>、</w:t>
      </w:r>
      <w:r>
        <w:rPr>
          <w:rFonts w:hint="eastAsia"/>
          <w:b/>
          <w:bCs/>
          <w:sz w:val="21"/>
          <w:szCs w:val="21"/>
          <w:lang w:val="en-US" w:eastAsia="zh-CN"/>
        </w:rPr>
        <w:t>本次招标最终解释权归中国</w:t>
      </w:r>
      <w:r>
        <w:rPr>
          <w:rFonts w:hint="eastAsia" w:cs="Times New Roman"/>
          <w:b/>
          <w:bCs/>
          <w:sz w:val="21"/>
          <w:szCs w:val="21"/>
          <w:lang w:val="en-US" w:eastAsia="zh-CN"/>
        </w:rPr>
        <w:t>重汽集团济南动力有限</w:t>
      </w:r>
      <w:r>
        <w:rPr>
          <w:rFonts w:hint="eastAsia"/>
          <w:b/>
          <w:bCs/>
          <w:sz w:val="21"/>
          <w:szCs w:val="21"/>
          <w:lang w:val="en-US" w:eastAsia="zh-CN"/>
        </w:rPr>
        <w:t>公司。</w:t>
      </w:r>
    </w:p>
    <w:p w14:paraId="66BCACD8">
      <w:pPr>
        <w:pStyle w:val="76"/>
        <w:bidi w:val="0"/>
      </w:pPr>
    </w:p>
    <w:p w14:paraId="1FB6CA61">
      <w:pPr>
        <w:pStyle w:val="71"/>
        <w:jc w:val="center"/>
        <w:rPr>
          <w:rFonts w:hint="default" w:eastAsia="黑体"/>
          <w:lang w:val="en-US" w:eastAsia="zh-CN"/>
        </w:rPr>
      </w:pPr>
      <w:bookmarkStart w:id="11" w:name="_Toc47976607"/>
      <w:bookmarkStart w:id="12" w:name="_Toc16839"/>
      <w:r>
        <w:rPr>
          <w:rFonts w:hint="eastAsia"/>
        </w:rPr>
        <w:t>第二部分　</w:t>
      </w:r>
      <w:bookmarkEnd w:id="11"/>
      <w:r>
        <w:rPr>
          <w:rFonts w:hint="eastAsia"/>
          <w:lang w:val="en-US" w:eastAsia="zh-CN"/>
        </w:rPr>
        <w:t>技术标书</w:t>
      </w:r>
      <w:bookmarkEnd w:id="12"/>
    </w:p>
    <w:p w14:paraId="33AAFFD7">
      <w:pPr>
        <w:spacing w:line="360" w:lineRule="auto"/>
        <w:ind w:left="480"/>
        <w:jc w:val="center"/>
        <w:rPr>
          <w:rFonts w:hint="eastAsia" w:ascii="黑体" w:eastAsia="黑体"/>
          <w:b/>
          <w:bCs/>
          <w:sz w:val="36"/>
          <w:szCs w:val="36"/>
          <w:lang w:val="en-US" w:eastAsia="zh-CN"/>
        </w:rPr>
      </w:pPr>
      <w:r>
        <w:rPr>
          <w:rFonts w:ascii="黑体" w:eastAsia="黑体"/>
          <w:b/>
          <w:bCs/>
          <w:sz w:val="36"/>
          <w:szCs w:val="36"/>
        </w:rPr>
        <w:t>技术</w:t>
      </w:r>
      <w:r>
        <w:rPr>
          <w:rFonts w:hint="eastAsia" w:ascii="黑体" w:eastAsia="黑体"/>
          <w:b/>
          <w:bCs/>
          <w:sz w:val="36"/>
          <w:szCs w:val="36"/>
          <w:lang w:val="en-US" w:eastAsia="zh-CN"/>
        </w:rPr>
        <w:t>要求</w:t>
      </w:r>
    </w:p>
    <w:p w14:paraId="087146C2">
      <w:pPr>
        <w:numPr>
          <w:ilvl w:val="0"/>
          <w:numId w:val="23"/>
        </w:numPr>
        <w:spacing w:line="360" w:lineRule="auto"/>
        <w:rPr>
          <w:rFonts w:ascii="宋体"/>
          <w:sz w:val="24"/>
        </w:rPr>
      </w:pPr>
      <w:r>
        <w:rPr>
          <w:rFonts w:hint="eastAsia" w:ascii="宋体"/>
          <w:b/>
          <w:sz w:val="30"/>
          <w:szCs w:val="30"/>
        </w:rPr>
        <w:t>项目名称：</w:t>
      </w:r>
      <w:r>
        <w:rPr>
          <w:rFonts w:hint="eastAsia" w:ascii="宋体" w:hAnsi="宋体"/>
          <w:sz w:val="24"/>
        </w:rPr>
        <w:t>中国重汽集团风机维修和动平衡检测项目</w:t>
      </w:r>
    </w:p>
    <w:p w14:paraId="2DF2901F">
      <w:pPr>
        <w:numPr>
          <w:ilvl w:val="0"/>
          <w:numId w:val="23"/>
        </w:numPr>
        <w:spacing w:line="360" w:lineRule="auto"/>
      </w:pPr>
      <w:r>
        <w:rPr>
          <w:rFonts w:hint="eastAsia" w:ascii="宋体"/>
          <w:b/>
          <w:sz w:val="30"/>
          <w:szCs w:val="30"/>
          <w:lang w:val="en-US" w:eastAsia="zh-CN"/>
        </w:rPr>
        <w:t>主要技术</w:t>
      </w:r>
      <w:r>
        <w:rPr>
          <w:rFonts w:hint="eastAsia" w:ascii="宋体"/>
          <w:b/>
          <w:sz w:val="30"/>
          <w:szCs w:val="30"/>
        </w:rPr>
        <w:t>要求：</w:t>
      </w:r>
    </w:p>
    <w:p w14:paraId="378AD4FE">
      <w:pPr>
        <w:pStyle w:val="15"/>
        <w:numPr>
          <w:ilvl w:val="0"/>
          <w:numId w:val="24"/>
        </w:numPr>
        <w:spacing w:line="360" w:lineRule="auto"/>
        <w:rPr>
          <w:rFonts w:hint="eastAsia" w:hAnsi="宋体" w:cs="Times New Roman"/>
          <w:szCs w:val="21"/>
          <w:lang w:val="en-US" w:eastAsia="zh-CN"/>
        </w:rPr>
      </w:pPr>
      <w:r>
        <w:rPr>
          <w:rFonts w:hint="eastAsia" w:hAnsi="宋体" w:cs="Times New Roman"/>
          <w:szCs w:val="21"/>
          <w:lang w:val="en-US" w:eastAsia="zh-CN"/>
        </w:rPr>
        <w:t>项目实施过程中需更换的备件，原则上要求与原品牌一致，若为非标定制备件，所提供备件必须满足当前技术参数及要求，并提供全尺寸图纸。</w:t>
      </w:r>
    </w:p>
    <w:p w14:paraId="2F89C77A">
      <w:pPr>
        <w:pStyle w:val="15"/>
        <w:numPr>
          <w:ilvl w:val="0"/>
          <w:numId w:val="24"/>
        </w:numPr>
        <w:spacing w:line="360" w:lineRule="auto"/>
        <w:ind w:left="0" w:leftChars="0" w:firstLine="0" w:firstLineChars="0"/>
        <w:rPr>
          <w:rFonts w:hint="eastAsia" w:hAnsi="宋体" w:cs="Times New Roman"/>
          <w:szCs w:val="21"/>
          <w:lang w:val="en-US" w:eastAsia="zh-CN"/>
        </w:rPr>
      </w:pPr>
      <w:r>
        <w:rPr>
          <w:rFonts w:hint="eastAsia" w:hAnsi="宋体" w:cs="Times New Roman"/>
          <w:szCs w:val="21"/>
          <w:lang w:val="en-US" w:eastAsia="zh-CN"/>
        </w:rPr>
        <w:t>中标方根据现场要求制定维修方案，施工前做好人员的安全教育，及时做好安全防护措施，防止违规作业，造成人员伤害。</w:t>
      </w:r>
    </w:p>
    <w:p w14:paraId="7C06B6F1">
      <w:pPr>
        <w:pStyle w:val="15"/>
        <w:numPr>
          <w:ilvl w:val="0"/>
          <w:numId w:val="24"/>
        </w:numPr>
        <w:spacing w:line="360" w:lineRule="auto"/>
        <w:ind w:left="0" w:leftChars="0" w:firstLine="0" w:firstLineChars="0"/>
        <w:rPr>
          <w:rFonts w:hint="eastAsia" w:ascii="宋体" w:hAnsi="宋体"/>
          <w:kern w:val="0"/>
          <w:sz w:val="24"/>
          <w:szCs w:val="24"/>
          <w:highlight w:val="none"/>
        </w:rPr>
      </w:pPr>
      <w:r>
        <w:rPr>
          <w:rFonts w:hint="eastAsia" w:hAnsi="宋体" w:cs="Times New Roman"/>
          <w:szCs w:val="21"/>
          <w:lang w:val="en-US" w:eastAsia="zh-CN"/>
        </w:rPr>
        <w:t>维修时保证现场环境，避免对其他工作产生影响。</w:t>
      </w:r>
    </w:p>
    <w:p w14:paraId="4CC8DB6A">
      <w:pPr>
        <w:pStyle w:val="15"/>
        <w:numPr>
          <w:ilvl w:val="0"/>
          <w:numId w:val="24"/>
        </w:numPr>
        <w:spacing w:line="360" w:lineRule="auto"/>
        <w:ind w:left="0" w:leftChars="0" w:firstLine="0" w:firstLineChars="0"/>
        <w:rPr>
          <w:rFonts w:hint="default" w:hAnsi="宋体" w:cs="Times New Roman"/>
          <w:sz w:val="21"/>
          <w:szCs w:val="21"/>
          <w:lang w:val="en-US" w:eastAsia="zh-CN"/>
        </w:rPr>
      </w:pPr>
      <w:r>
        <w:rPr>
          <w:rFonts w:hint="eastAsia" w:ascii="宋体" w:hAnsi="宋体"/>
          <w:kern w:val="0"/>
          <w:sz w:val="21"/>
          <w:szCs w:val="21"/>
          <w:highlight w:val="none"/>
        </w:rPr>
        <w:t>维修完成后，风机风量不得低于额定风量</w:t>
      </w:r>
      <w:r>
        <w:rPr>
          <w:rFonts w:hint="eastAsia" w:ascii="宋体" w:hAnsi="宋体"/>
          <w:kern w:val="0"/>
          <w:sz w:val="21"/>
          <w:szCs w:val="21"/>
          <w:highlight w:val="none"/>
          <w:lang w:eastAsia="zh-CN"/>
        </w:rPr>
        <w:t>，</w:t>
      </w:r>
      <w:r>
        <w:rPr>
          <w:rFonts w:hint="eastAsia" w:ascii="宋体" w:hAnsi="宋体"/>
          <w:kern w:val="0"/>
          <w:sz w:val="21"/>
          <w:szCs w:val="21"/>
          <w:highlight w:val="none"/>
        </w:rPr>
        <w:t>风机运转正常，无异响震动，各部分转动机构润滑正常并加注足量润滑油；设备维修完成后，达到国家规定的设备安全要求</w:t>
      </w:r>
      <w:r>
        <w:rPr>
          <w:rFonts w:hint="eastAsia" w:ascii="宋体" w:hAnsi="宋体"/>
          <w:kern w:val="0"/>
          <w:sz w:val="21"/>
          <w:szCs w:val="21"/>
          <w:highlight w:val="none"/>
          <w:lang w:eastAsia="zh-CN"/>
        </w:rPr>
        <w:t>。</w:t>
      </w:r>
    </w:p>
    <w:p w14:paraId="1648BD48">
      <w:pPr>
        <w:numPr>
          <w:ilvl w:val="0"/>
          <w:numId w:val="23"/>
        </w:numPr>
        <w:spacing w:before="120" w:after="120" w:line="300" w:lineRule="auto"/>
        <w:rPr>
          <w:rFonts w:ascii="宋体"/>
          <w:b/>
          <w:sz w:val="30"/>
          <w:szCs w:val="30"/>
        </w:rPr>
      </w:pPr>
      <w:bookmarkStart w:id="13" w:name="_Toc78546335"/>
      <w:r>
        <w:rPr>
          <w:rFonts w:hint="eastAsia" w:ascii="宋体"/>
          <w:b/>
          <w:sz w:val="30"/>
          <w:szCs w:val="30"/>
        </w:rPr>
        <w:t>项目</w:t>
      </w:r>
      <w:r>
        <w:rPr>
          <w:rFonts w:hint="eastAsia" w:ascii="宋体"/>
          <w:b/>
          <w:sz w:val="30"/>
          <w:szCs w:val="30"/>
          <w:lang w:val="en-US" w:eastAsia="zh-CN"/>
        </w:rPr>
        <w:t>实施</w:t>
      </w:r>
      <w:r>
        <w:rPr>
          <w:rFonts w:hint="eastAsia" w:ascii="宋体"/>
          <w:b/>
          <w:sz w:val="30"/>
          <w:szCs w:val="30"/>
        </w:rPr>
        <w:t>周期：</w:t>
      </w:r>
    </w:p>
    <w:p w14:paraId="7A63D6C5">
      <w:pPr>
        <w:numPr>
          <w:ilvl w:val="0"/>
          <w:numId w:val="25"/>
        </w:numPr>
        <w:tabs>
          <w:tab w:val="left" w:pos="513"/>
        </w:tabs>
        <w:spacing w:line="36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维修项目实施时间由双方协商确定。</w:t>
      </w:r>
    </w:p>
    <w:p w14:paraId="4B201853">
      <w:pPr>
        <w:pStyle w:val="11"/>
        <w:numPr>
          <w:ilvl w:val="0"/>
          <w:numId w:val="23"/>
        </w:numPr>
        <w:ind w:left="630" w:leftChars="0" w:hanging="630" w:firstLineChars="0"/>
        <w:rPr>
          <w:rFonts w:hint="eastAsia"/>
          <w:b/>
          <w:bCs/>
          <w:sz w:val="32"/>
          <w:szCs w:val="32"/>
          <w:lang w:val="en-US" w:eastAsia="zh-CN"/>
        </w:rPr>
      </w:pPr>
      <w:r>
        <w:rPr>
          <w:rFonts w:hint="eastAsia"/>
          <w:b/>
          <w:bCs/>
          <w:sz w:val="32"/>
          <w:szCs w:val="32"/>
          <w:lang w:val="en-US" w:eastAsia="zh-CN"/>
        </w:rPr>
        <w:t>项目验收：</w:t>
      </w:r>
    </w:p>
    <w:p w14:paraId="1586D5AE">
      <w:pPr>
        <w:numPr>
          <w:ilvl w:val="0"/>
          <w:numId w:val="26"/>
        </w:numPr>
        <w:adjustRightInd w:val="0"/>
        <w:snapToGrid w:val="0"/>
        <w:spacing w:line="460" w:lineRule="exact"/>
        <w:rPr>
          <w:rFonts w:ascii="宋体" w:hAnsi="宋体"/>
          <w:highlight w:val="none"/>
        </w:rPr>
      </w:pPr>
      <w:r>
        <w:rPr>
          <w:rFonts w:hint="eastAsia" w:ascii="宋体" w:hAnsi="宋体"/>
          <w:highlight w:val="none"/>
        </w:rPr>
        <w:t>项目实施完毕情况下，一般连续运行</w:t>
      </w:r>
      <w:r>
        <w:rPr>
          <w:rFonts w:hint="eastAsia" w:ascii="宋体" w:hAnsi="宋体"/>
          <w:highlight w:val="none"/>
          <w:u w:val="single"/>
          <w:shd w:val="pct10" w:color="auto" w:fill="FFFFFF"/>
        </w:rPr>
        <w:t>30</w:t>
      </w:r>
      <w:r>
        <w:rPr>
          <w:rFonts w:hint="eastAsia" w:ascii="宋体" w:hAnsi="宋体"/>
          <w:highlight w:val="none"/>
        </w:rPr>
        <w:t>天，每天至少连续</w:t>
      </w:r>
      <w:r>
        <w:rPr>
          <w:rFonts w:hint="eastAsia" w:ascii="宋体" w:hAnsi="宋体"/>
          <w:highlight w:val="none"/>
          <w:u w:val="single"/>
          <w:shd w:val="pct10" w:color="auto" w:fill="FFFFFF"/>
        </w:rPr>
        <w:t xml:space="preserve"> 6 </w:t>
      </w:r>
      <w:r>
        <w:rPr>
          <w:rFonts w:hint="eastAsia" w:ascii="宋体" w:hAnsi="宋体"/>
          <w:highlight w:val="none"/>
        </w:rPr>
        <w:t>小时，除用户方面因素外，必须达到以下要求：</w:t>
      </w:r>
    </w:p>
    <w:p w14:paraId="1796FCFD">
      <w:pPr>
        <w:numPr>
          <w:ilvl w:val="0"/>
          <w:numId w:val="27"/>
        </w:numPr>
        <w:adjustRightInd w:val="0"/>
        <w:snapToGrid w:val="0"/>
        <w:spacing w:line="460" w:lineRule="exact"/>
        <w:ind w:firstLine="420" w:firstLineChars="200"/>
        <w:rPr>
          <w:rFonts w:ascii="宋体" w:hAnsi="宋体"/>
          <w:highlight w:val="none"/>
        </w:rPr>
      </w:pPr>
      <w:r>
        <w:rPr>
          <w:rFonts w:hint="eastAsia" w:ascii="宋体" w:hAnsi="宋体"/>
          <w:highlight w:val="none"/>
        </w:rPr>
        <w:t>在整个验收过程中没有维修、更换零部件或元件行为；</w:t>
      </w:r>
    </w:p>
    <w:p w14:paraId="6BB153A0">
      <w:pPr>
        <w:adjustRightInd w:val="0"/>
        <w:snapToGrid w:val="0"/>
        <w:spacing w:line="460" w:lineRule="exact"/>
        <w:ind w:firstLine="420" w:firstLineChars="200"/>
        <w:rPr>
          <w:rFonts w:ascii="宋体" w:hAnsi="宋体"/>
          <w:highlight w:val="none"/>
        </w:rPr>
      </w:pPr>
      <w:r>
        <w:rPr>
          <w:rFonts w:hint="eastAsia" w:ascii="宋体" w:hAnsi="宋体"/>
          <w:highlight w:val="none"/>
        </w:rPr>
        <w:t>b)</w:t>
      </w:r>
      <w:r>
        <w:rPr>
          <w:rFonts w:hint="eastAsia" w:ascii="宋体" w:hAnsi="宋体"/>
          <w:highlight w:val="none"/>
          <w:lang w:val="en-US" w:eastAsia="zh-CN"/>
        </w:rPr>
        <w:t xml:space="preserve"> </w:t>
      </w:r>
      <w:r>
        <w:rPr>
          <w:rFonts w:hint="eastAsia" w:ascii="宋体" w:hAnsi="宋体"/>
          <w:highlight w:val="none"/>
        </w:rPr>
        <w:t>验收原则上要求一次完成</w:t>
      </w:r>
      <w:r>
        <w:rPr>
          <w:rFonts w:hint="eastAsia" w:ascii="宋体" w:hAnsi="宋体"/>
          <w:highlight w:val="none"/>
          <w:lang w:eastAsia="zh-CN"/>
        </w:rPr>
        <w:t>，</w:t>
      </w:r>
      <w:r>
        <w:rPr>
          <w:rFonts w:hint="eastAsia" w:ascii="宋体" w:hAnsi="宋体"/>
          <w:highlight w:val="none"/>
        </w:rPr>
        <w:t>若一次验收不成功，最多允许两次；</w:t>
      </w:r>
    </w:p>
    <w:p w14:paraId="047326EC">
      <w:pPr>
        <w:adjustRightInd w:val="0"/>
        <w:snapToGrid w:val="0"/>
        <w:spacing w:line="460" w:lineRule="exact"/>
        <w:ind w:firstLine="420" w:firstLineChars="200"/>
        <w:rPr>
          <w:rFonts w:hint="default"/>
          <w:lang w:val="en-US" w:eastAsia="zh-CN"/>
        </w:rPr>
      </w:pPr>
      <w:r>
        <w:rPr>
          <w:rFonts w:hint="eastAsia" w:ascii="宋体" w:hAnsi="宋体"/>
          <w:highlight w:val="none"/>
        </w:rPr>
        <w:t>C</w:t>
      </w:r>
      <w:r>
        <w:rPr>
          <w:rFonts w:hint="eastAsia" w:ascii="宋体" w:hAnsi="宋体"/>
          <w:highlight w:val="none"/>
          <w:lang w:eastAsia="zh-CN"/>
        </w:rPr>
        <w:t>）</w:t>
      </w:r>
      <w:r>
        <w:rPr>
          <w:rFonts w:hint="eastAsia" w:ascii="宋体" w:hAnsi="宋体"/>
          <w:highlight w:val="none"/>
        </w:rPr>
        <w:t>验收通过后买卖双方共同签署终验收报告。</w:t>
      </w:r>
    </w:p>
    <w:p w14:paraId="55025B86">
      <w:pPr>
        <w:numPr>
          <w:ilvl w:val="0"/>
          <w:numId w:val="23"/>
        </w:numPr>
        <w:spacing w:before="120" w:after="120" w:line="300" w:lineRule="auto"/>
        <w:rPr>
          <w:rFonts w:ascii="宋体"/>
          <w:b/>
          <w:sz w:val="30"/>
          <w:szCs w:val="30"/>
        </w:rPr>
      </w:pPr>
      <w:r>
        <w:rPr>
          <w:rFonts w:hint="eastAsia" w:ascii="宋体"/>
          <w:b/>
          <w:sz w:val="30"/>
          <w:szCs w:val="30"/>
        </w:rPr>
        <w:t>售中、售后和质保：</w:t>
      </w:r>
    </w:p>
    <w:p w14:paraId="6E3022E0">
      <w:pPr>
        <w:pStyle w:val="15"/>
        <w:spacing w:line="360" w:lineRule="auto"/>
        <w:rPr>
          <w:rFonts w:hAnsi="宋体" w:cs="Times New Roman"/>
          <w:szCs w:val="21"/>
        </w:rPr>
      </w:pPr>
      <w:r>
        <w:rPr>
          <w:rFonts w:hint="eastAsia" w:hAnsi="宋体" w:cs="Times New Roman"/>
          <w:szCs w:val="21"/>
        </w:rPr>
        <w:t>1.中标方承诺对参与该项目所获得的与招标人产品相关的所有信息都予以保密，并承担与此相关的所有法律责任；</w:t>
      </w:r>
    </w:p>
    <w:p w14:paraId="5C2F1257">
      <w:pPr>
        <w:adjustRightInd w:val="0"/>
        <w:snapToGrid w:val="0"/>
        <w:spacing w:line="460" w:lineRule="exact"/>
        <w:rPr>
          <w:rFonts w:hint="eastAsia" w:hAnsi="宋体" w:eastAsia="宋体" w:cs="Times New Roman"/>
          <w:szCs w:val="21"/>
          <w:lang w:val="en-US" w:eastAsia="zh-CN"/>
        </w:rPr>
      </w:pPr>
      <w:r>
        <w:rPr>
          <w:rFonts w:hint="eastAsia" w:ascii="宋体" w:hAnsi="宋体" w:eastAsia="宋体" w:cs="Times New Roman"/>
          <w:kern w:val="2"/>
          <w:sz w:val="21"/>
          <w:szCs w:val="21"/>
          <w:lang w:val="en-US" w:eastAsia="zh-CN" w:bidi="ar-SA"/>
        </w:rPr>
        <w:t xml:space="preserve">2. </w:t>
      </w:r>
      <w:r>
        <w:rPr>
          <w:rFonts w:hint="eastAsia" w:hAnsi="宋体" w:cs="Times New Roman"/>
          <w:szCs w:val="21"/>
          <w:lang w:val="en-US" w:eastAsia="zh-CN"/>
        </w:rPr>
        <w:t>原则上质保期为1年，质保期内，</w:t>
      </w:r>
      <w:r>
        <w:rPr>
          <w:rFonts w:hint="eastAsia" w:hAnsi="宋体" w:cs="Times New Roman"/>
          <w:szCs w:val="21"/>
        </w:rPr>
        <w:t>在运行</w:t>
      </w:r>
      <w:r>
        <w:rPr>
          <w:rFonts w:hint="eastAsia" w:hAnsi="宋体" w:cs="Times New Roman"/>
          <w:szCs w:val="21"/>
          <w:lang w:val="en-US" w:eastAsia="zh-CN"/>
        </w:rPr>
        <w:t>过程中</w:t>
      </w:r>
      <w:r>
        <w:rPr>
          <w:rFonts w:hint="eastAsia" w:hAnsi="宋体" w:cs="Times New Roman"/>
          <w:szCs w:val="21"/>
        </w:rPr>
        <w:t>所维修内容或更换备件出现故障，</w:t>
      </w:r>
      <w:r>
        <w:rPr>
          <w:rFonts w:hint="eastAsia" w:ascii="宋体" w:hAnsi="宋体"/>
        </w:rPr>
        <w:t xml:space="preserve">需要投标方配合解决时，投标方须在接到通知后市内 </w:t>
      </w:r>
      <w:r>
        <w:rPr>
          <w:rFonts w:hint="eastAsia" w:ascii="宋体" w:hAnsi="宋体"/>
          <w:u w:val="single"/>
          <w:shd w:val="pct10" w:color="auto" w:fill="FFFFFF"/>
        </w:rPr>
        <w:t>2</w:t>
      </w:r>
      <w:r>
        <w:rPr>
          <w:rFonts w:hint="eastAsia" w:ascii="宋体" w:hAnsi="宋体"/>
          <w:u w:val="single"/>
          <w:shd w:val="pct10" w:color="auto" w:fill="FFFFFF"/>
          <w:lang w:val="en-US" w:eastAsia="zh-CN"/>
        </w:rPr>
        <w:t>小时</w:t>
      </w:r>
      <w:r>
        <w:rPr>
          <w:rFonts w:hint="eastAsia" w:ascii="宋体" w:hAnsi="宋体"/>
        </w:rPr>
        <w:t>、省</w:t>
      </w:r>
      <w:r>
        <w:rPr>
          <w:rFonts w:hint="eastAsia" w:ascii="宋体" w:hAnsi="宋体"/>
          <w:lang w:val="en-US" w:eastAsia="zh-CN"/>
        </w:rPr>
        <w:t>内</w:t>
      </w:r>
      <w:r>
        <w:rPr>
          <w:rFonts w:hint="eastAsia" w:ascii="宋体" w:hAnsi="宋体"/>
          <w:u w:val="single"/>
          <w:shd w:val="pct10" w:color="auto" w:fill="FFFFFF"/>
        </w:rPr>
        <w:t>8</w:t>
      </w:r>
      <w:r>
        <w:rPr>
          <w:rFonts w:hint="eastAsia" w:ascii="宋体" w:hAnsi="宋体"/>
          <w:u w:val="single"/>
          <w:shd w:val="pct10" w:color="auto" w:fill="FFFFFF"/>
          <w:lang w:val="en-US" w:eastAsia="zh-CN"/>
        </w:rPr>
        <w:t>小时</w:t>
      </w:r>
      <w:r>
        <w:rPr>
          <w:rFonts w:hint="eastAsia" w:ascii="宋体" w:hAnsi="宋体"/>
        </w:rPr>
        <w:t>、省外</w:t>
      </w:r>
      <w:r>
        <w:rPr>
          <w:rFonts w:hint="eastAsia" w:ascii="宋体" w:hAnsi="宋体"/>
          <w:u w:val="single"/>
          <w:shd w:val="pct10" w:color="auto" w:fill="FFFFFF"/>
        </w:rPr>
        <w:t>24</w:t>
      </w:r>
      <w:r>
        <w:rPr>
          <w:rFonts w:hint="eastAsia" w:ascii="宋体" w:hAnsi="宋体"/>
        </w:rPr>
        <w:t>小时内派有关人员到达现场，协助委托方解决问题；</w:t>
      </w:r>
    </w:p>
    <w:p w14:paraId="4C58338A">
      <w:pPr>
        <w:pStyle w:val="15"/>
        <w:spacing w:line="360" w:lineRule="auto"/>
        <w:rPr>
          <w:rFonts w:hAnsi="宋体" w:cs="Times New Roman"/>
          <w:szCs w:val="21"/>
        </w:rPr>
      </w:pPr>
      <w:r>
        <w:rPr>
          <w:rFonts w:hint="eastAsia" w:hAnsi="宋体" w:cs="Times New Roman"/>
          <w:szCs w:val="21"/>
        </w:rPr>
        <w:t>3.其余未尽事宜，投标人应与招标人指派的答疑人员充分沟通，理解认可并接受相关技术规范及服务要求；</w:t>
      </w:r>
    </w:p>
    <w:p w14:paraId="2D48F11D">
      <w:pPr>
        <w:pStyle w:val="15"/>
        <w:spacing w:line="360" w:lineRule="auto"/>
        <w:rPr>
          <w:rFonts w:hAnsi="宋体" w:cs="Times New Roman"/>
          <w:szCs w:val="21"/>
        </w:rPr>
      </w:pPr>
      <w:r>
        <w:rPr>
          <w:rFonts w:hint="eastAsia" w:hAnsi="宋体" w:cs="Times New Roman"/>
          <w:szCs w:val="21"/>
        </w:rPr>
        <w:t>4.中标方需自备交通工具、各种设备及食宿等必需品；</w:t>
      </w:r>
    </w:p>
    <w:p w14:paraId="4F901E85">
      <w:pPr>
        <w:spacing w:line="360" w:lineRule="auto"/>
        <w:jc w:val="left"/>
        <w:rPr>
          <w:rFonts w:hint="eastAsia" w:ascii="宋体" w:hAnsi="宋体"/>
          <w:szCs w:val="21"/>
        </w:rPr>
      </w:pPr>
      <w:r>
        <w:rPr>
          <w:rFonts w:hint="eastAsia" w:ascii="宋体" w:hAnsi="宋体"/>
          <w:szCs w:val="21"/>
        </w:rPr>
        <w:t>5.中标方需对招标人提供的数据及企业资料进行保密，并不得向第三方扩散，因泄密对招标人造成的损失由中标方承担相应全部责任。</w:t>
      </w:r>
      <w:bookmarkEnd w:id="13"/>
      <w:bookmarkStart w:id="14" w:name="_Toc78546342"/>
      <w:bookmarkStart w:id="15" w:name="_Toc66279265"/>
    </w:p>
    <w:p w14:paraId="61F3ABB4">
      <w:pPr>
        <w:pStyle w:val="11"/>
        <w:rPr>
          <w:rFonts w:hint="eastAsia" w:ascii="宋体" w:hAnsi="宋体"/>
          <w:b/>
          <w:bCs/>
          <w:szCs w:val="21"/>
          <w:lang w:val="en-US" w:eastAsia="zh-CN"/>
        </w:rPr>
      </w:pPr>
      <w:r>
        <w:rPr>
          <w:rFonts w:hint="eastAsia" w:ascii="宋体" w:hAnsi="宋体"/>
          <w:b/>
          <w:bCs/>
          <w:szCs w:val="21"/>
          <w:lang w:val="en-US" w:eastAsia="zh-CN"/>
        </w:rPr>
        <w:t>六、运输服务</w:t>
      </w:r>
    </w:p>
    <w:p w14:paraId="2235195D">
      <w:pPr>
        <w:spacing w:line="360" w:lineRule="auto"/>
        <w:jc w:val="left"/>
        <w:rPr>
          <w:rFonts w:hint="default"/>
          <w:lang w:val="en-US" w:eastAsia="zh-CN"/>
        </w:rPr>
      </w:pPr>
      <w:r>
        <w:rPr>
          <w:rFonts w:hint="eastAsia" w:ascii="宋体" w:hAnsi="宋体"/>
          <w:szCs w:val="21"/>
        </w:rPr>
        <w:t>乙方应负责将设备安装所需配件运到目的地，并必须做到标的物在任何运输过程中不受损坏和遗失。</w:t>
      </w:r>
    </w:p>
    <w:p w14:paraId="24DC7473">
      <w:pPr>
        <w:numPr>
          <w:ilvl w:val="0"/>
          <w:numId w:val="0"/>
        </w:numPr>
        <w:spacing w:before="120" w:after="120" w:line="300" w:lineRule="auto"/>
        <w:ind w:leftChars="0"/>
        <w:rPr>
          <w:rFonts w:ascii="宋体"/>
          <w:b/>
          <w:sz w:val="30"/>
          <w:szCs w:val="30"/>
        </w:rPr>
      </w:pPr>
      <w:r>
        <w:rPr>
          <w:rFonts w:hint="eastAsia" w:ascii="宋体"/>
          <w:b/>
          <w:sz w:val="30"/>
          <w:szCs w:val="30"/>
          <w:lang w:val="en-US" w:eastAsia="zh-CN"/>
        </w:rPr>
        <w:t>七、</w:t>
      </w:r>
      <w:r>
        <w:rPr>
          <w:rFonts w:hint="eastAsia" w:ascii="宋体"/>
          <w:b/>
          <w:sz w:val="30"/>
          <w:szCs w:val="30"/>
        </w:rPr>
        <w:t>安全环保</w:t>
      </w:r>
      <w:bookmarkEnd w:id="14"/>
      <w:bookmarkEnd w:id="15"/>
      <w:r>
        <w:rPr>
          <w:rFonts w:hint="eastAsia" w:ascii="宋体"/>
          <w:b/>
          <w:sz w:val="30"/>
          <w:szCs w:val="30"/>
        </w:rPr>
        <w:t>：</w:t>
      </w:r>
    </w:p>
    <w:p w14:paraId="7CB7D28D">
      <w:pPr>
        <w:pStyle w:val="15"/>
        <w:spacing w:line="360" w:lineRule="auto"/>
        <w:rPr>
          <w:rFonts w:hAnsi="宋体" w:cs="Times New Roman"/>
          <w:szCs w:val="21"/>
        </w:rPr>
      </w:pPr>
      <w:bookmarkStart w:id="16" w:name="_Toc62482962"/>
      <w:r>
        <w:rPr>
          <w:rFonts w:hint="eastAsia" w:hAnsi="宋体" w:cs="Times New Roman"/>
          <w:szCs w:val="21"/>
        </w:rPr>
        <w:t>1.一般性要求：对人的安全、防护、辐射等劳动保护条款符合国国家的行业相关标准，并且不得与招标方国家的行业标准相冲突。</w:t>
      </w:r>
    </w:p>
    <w:p w14:paraId="4B7D9756">
      <w:pPr>
        <w:pStyle w:val="15"/>
        <w:spacing w:line="360" w:lineRule="auto"/>
        <w:rPr>
          <w:rFonts w:hAnsi="宋体" w:cs="Times New Roman"/>
          <w:szCs w:val="21"/>
        </w:rPr>
      </w:pPr>
      <w:r>
        <w:rPr>
          <w:rFonts w:hint="eastAsia" w:hAnsi="宋体" w:cs="Times New Roman"/>
          <w:szCs w:val="21"/>
        </w:rPr>
        <w:t>2.使用专业升降机械进行拆卸、维修作业，升降机使用前进行点检，不得使用存在问题的机械。</w:t>
      </w:r>
    </w:p>
    <w:p w14:paraId="38E41C6C">
      <w:pPr>
        <w:pStyle w:val="15"/>
        <w:spacing w:line="360" w:lineRule="auto"/>
        <w:rPr>
          <w:rFonts w:hAnsi="宋体" w:cs="Times New Roman"/>
          <w:szCs w:val="21"/>
        </w:rPr>
      </w:pPr>
      <w:r>
        <w:rPr>
          <w:rFonts w:hint="eastAsia" w:hAnsi="宋体" w:cs="Times New Roman"/>
          <w:szCs w:val="21"/>
        </w:rPr>
        <w:t>3.材料搬运，需根据材料的体积、重量，组织适当的劳动力；</w:t>
      </w:r>
    </w:p>
    <w:p w14:paraId="5243C4F8">
      <w:pPr>
        <w:pStyle w:val="15"/>
        <w:spacing w:line="360" w:lineRule="auto"/>
        <w:rPr>
          <w:rFonts w:hAnsi="宋体" w:cs="Times New Roman"/>
          <w:szCs w:val="21"/>
        </w:rPr>
      </w:pPr>
      <w:r>
        <w:rPr>
          <w:rFonts w:hint="eastAsia" w:hAnsi="宋体" w:cs="Times New Roman"/>
          <w:szCs w:val="21"/>
        </w:rPr>
        <w:t>4.现场作业人员应具有相关行业作业证书。电焊作业人员必须具有在有效期内的焊接作业证书、电工作业人员必须具有在有效期内的低压电工作业证书、登高作业人员必须具有在有效期内的登高作业证书。</w:t>
      </w:r>
    </w:p>
    <w:p w14:paraId="1206465F">
      <w:pPr>
        <w:pStyle w:val="76"/>
        <w:rPr>
          <w:b w:val="0"/>
          <w:bCs w:val="0"/>
        </w:rPr>
      </w:pPr>
      <w:r>
        <w:rPr>
          <w:rFonts w:hint="eastAsia" w:hAnsi="宋体" w:cs="Times New Roman"/>
          <w:szCs w:val="21"/>
        </w:rPr>
        <w:t>5.现场作业人员进入现场必须穿劳保鞋、登高作业佩戴安全帽，维修作业前办理相关施工手续。</w:t>
      </w:r>
      <w:bookmarkEnd w:id="16"/>
    </w:p>
    <w:p w14:paraId="41362990">
      <w:pPr>
        <w:pStyle w:val="76"/>
        <w:rPr>
          <w:b/>
          <w:bCs/>
        </w:rPr>
      </w:pPr>
    </w:p>
    <w:p w14:paraId="56105630">
      <w:pPr>
        <w:rPr>
          <w:rFonts w:ascii="宋体" w:hAnsi="宋体"/>
          <w:b/>
          <w:sz w:val="28"/>
          <w:szCs w:val="28"/>
        </w:rPr>
      </w:pPr>
    </w:p>
    <w:p w14:paraId="71B3C43D">
      <w:pPr>
        <w:rPr>
          <w:rFonts w:hint="eastAsia"/>
        </w:rPr>
      </w:pPr>
      <w:bookmarkStart w:id="17" w:name="_Toc47976615"/>
    </w:p>
    <w:p w14:paraId="1A67A1AE">
      <w:pPr>
        <w:rPr>
          <w:rFonts w:hint="eastAsia"/>
        </w:rPr>
      </w:pPr>
      <w:r>
        <w:rPr>
          <w:rFonts w:hint="eastAsia"/>
        </w:rPr>
        <w:br w:type="page"/>
      </w:r>
    </w:p>
    <w:p w14:paraId="50D9D845">
      <w:pPr>
        <w:pStyle w:val="71"/>
        <w:rPr>
          <w:rFonts w:ascii="黑体" w:hAnsi="Calibri" w:eastAsia="黑体" w:cs="Times New Roman"/>
          <w:color w:val="000000"/>
          <w:sz w:val="24"/>
          <w:szCs w:val="24"/>
        </w:rPr>
      </w:pPr>
      <w:bookmarkStart w:id="18" w:name="_Toc16500"/>
      <w:r>
        <w:rPr>
          <w:rFonts w:hint="eastAsia"/>
        </w:rPr>
        <w:t>第</w:t>
      </w:r>
      <w:r>
        <w:rPr>
          <w:rFonts w:hint="eastAsia"/>
          <w:lang w:val="en-US" w:eastAsia="zh-CN"/>
        </w:rPr>
        <w:t>三</w:t>
      </w:r>
      <w:r>
        <w:rPr>
          <w:rFonts w:hint="eastAsia"/>
        </w:rPr>
        <w:t>部分　</w:t>
      </w:r>
      <w:bookmarkEnd w:id="17"/>
      <w:r>
        <w:rPr>
          <w:rFonts w:hint="eastAsia"/>
          <w:lang w:val="en-US" w:eastAsia="zh-CN"/>
        </w:rPr>
        <w:t>投标文件附件</w:t>
      </w:r>
      <w:bookmarkEnd w:id="18"/>
    </w:p>
    <w:p w14:paraId="32681108">
      <w:pPr>
        <w:jc w:val="both"/>
        <w:rPr>
          <w:rFonts w:ascii="宋体"/>
          <w:b/>
          <w:color w:val="000000"/>
          <w:szCs w:val="24"/>
        </w:rPr>
      </w:pPr>
    </w:p>
    <w:p w14:paraId="6220DDA8">
      <w:pPr>
        <w:pStyle w:val="15"/>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19" w:name="_Toc47976618"/>
      <w:bookmarkStart w:id="20" w:name="_Toc29366865"/>
      <w:bookmarkStart w:id="21" w:name="_Toc29366869"/>
      <w:r>
        <w:rPr>
          <w:rFonts w:hint="eastAsia" w:ascii="宋体" w:hAnsi="宋体" w:eastAsia="宋体" w:cs="宋体"/>
          <w:sz w:val="32"/>
          <w:szCs w:val="32"/>
          <w:highlight w:val="none"/>
          <w:lang w:val="en-US" w:eastAsia="zh-CN"/>
        </w:rPr>
        <w:t>附件1 法定代表人授权委托书</w:t>
      </w:r>
    </w:p>
    <w:bookmarkEnd w:id="19"/>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风机维修和动平衡检测项目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06B09607">
      <w:pPr>
        <w:pStyle w:val="15"/>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5"/>
        <w:rPr>
          <w:rFonts w:ascii="Times New Roman" w:hAnsi="Times New Roman" w:eastAsia="宋体" w:cs="Times New Roman"/>
          <w:b/>
          <w:bCs/>
          <w:color w:val="000000"/>
          <w:sz w:val="24"/>
          <w:szCs w:val="24"/>
        </w:rPr>
      </w:pPr>
    </w:p>
    <w:p w14:paraId="37100778">
      <w:pPr>
        <w:pStyle w:val="15"/>
        <w:rPr>
          <w:rFonts w:ascii="Times New Roman" w:hAnsi="Times New Roman" w:eastAsia="宋体" w:cs="Times New Roman"/>
          <w:b/>
          <w:bCs/>
          <w:color w:val="000000"/>
          <w:sz w:val="24"/>
          <w:szCs w:val="24"/>
        </w:rPr>
      </w:pPr>
    </w:p>
    <w:p w14:paraId="39756F36">
      <w:pPr>
        <w:pStyle w:val="15"/>
        <w:rPr>
          <w:rFonts w:ascii="Times New Roman" w:hAnsi="Times New Roman" w:eastAsia="宋体" w:cs="Times New Roman"/>
          <w:b/>
          <w:bCs/>
          <w:color w:val="000000"/>
          <w:sz w:val="24"/>
          <w:szCs w:val="24"/>
        </w:rPr>
      </w:pPr>
    </w:p>
    <w:p w14:paraId="527F4C72">
      <w:pPr>
        <w:pStyle w:val="15"/>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B3EF1A8">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cyan"/>
          <w:u w:val="single"/>
          <w:lang w:val="en-US" w:eastAsia="zh-CN"/>
        </w:rPr>
        <w:t>风机维修和动平衡检测项目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0"/>
    <w:bookmarkEnd w:id="21"/>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风机维修和动平衡检测项目  </w:t>
      </w:r>
      <w:r>
        <w:rPr>
          <w:rFonts w:ascii="宋体" w:hAnsi="宋体" w:eastAsia="宋体" w:cs="Times New Roman"/>
          <w:color w:val="000000"/>
          <w:sz w:val="24"/>
          <w:szCs w:val="24"/>
        </w:rPr>
        <w:t xml:space="preserve">                                                        </w:t>
      </w:r>
    </w:p>
    <w:tbl>
      <w:tblPr>
        <w:tblStyle w:val="3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cyan"/>
                <w:lang w:val="en-US" w:eastAsia="zh-CN"/>
              </w:rPr>
              <w:t>交货期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22" w:name="_Toc4225"/>
      <w:bookmarkStart w:id="23" w:name="_Toc47976616"/>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2"/>
      <w:bookmarkEnd w:id="23"/>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highlight w:val="cyan"/>
          <w:u w:val="single"/>
          <w:lang w:val="en-US" w:eastAsia="zh-CN"/>
        </w:rPr>
        <w:t>风机维修和动平衡检测项目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cyan"/>
                <w:u w:val="none"/>
                <w:lang w:val="en-US" w:eastAsia="zh-CN"/>
              </w:rPr>
              <w:t>风机维修和动平衡检测项目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2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25C0AD6E">
      <w:pPr>
        <w:pStyle w:val="15"/>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highlight w:val="cyan"/>
        </w:rPr>
        <w:t xml:space="preserve">/ </w:t>
      </w:r>
      <w:r>
        <w:rPr>
          <w:rFonts w:hint="eastAsia"/>
          <w:b/>
          <w:bCs/>
          <w:highlight w:val="cyan"/>
          <w:lang w:val="en-US" w:eastAsia="zh-CN"/>
        </w:rPr>
        <w:t>服务</w:t>
      </w:r>
      <w:r>
        <w:rPr>
          <w:rFonts w:hint="eastAsia"/>
          <w:b/>
          <w:bCs/>
          <w:highlight w:val="cyan"/>
        </w:rPr>
        <w:t xml:space="preserve"> /</w:t>
      </w:r>
      <w:r>
        <w:rPr>
          <w:rFonts w:hint="eastAsia"/>
          <w:b/>
          <w:bCs/>
          <w:highlight w:val="cyan"/>
          <w:lang w:val="en-US" w:eastAsia="zh-CN"/>
        </w:rPr>
        <w:t>设备设施维保</w:t>
      </w:r>
      <w:r>
        <w:rPr>
          <w:rFonts w:hint="eastAsia"/>
          <w:b/>
          <w:bCs/>
        </w:rPr>
        <w:t>”</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8D064878"/>
    <w:multiLevelType w:val="multilevel"/>
    <w:tmpl w:val="8D064878"/>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D4C6742"/>
    <w:multiLevelType w:val="singleLevel"/>
    <w:tmpl w:val="BD4C6742"/>
    <w:lvl w:ilvl="0" w:tentative="0">
      <w:start w:val="1"/>
      <w:numFmt w:val="decimal"/>
      <w:lvlText w:val="%1."/>
      <w:lvlJc w:val="left"/>
      <w:pPr>
        <w:ind w:left="425" w:hanging="425"/>
      </w:pPr>
      <w:rPr>
        <w:rFonts w:hint="default"/>
      </w:rPr>
    </w:lvl>
  </w:abstractNum>
  <w:abstractNum w:abstractNumId="4">
    <w:nsid w:val="C82E2FB8"/>
    <w:multiLevelType w:val="singleLevel"/>
    <w:tmpl w:val="C82E2FB8"/>
    <w:lvl w:ilvl="0" w:tentative="0">
      <w:start w:val="4"/>
      <w:numFmt w:val="decimal"/>
      <w:lvlText w:val="%1."/>
      <w:lvlJc w:val="left"/>
      <w:pPr>
        <w:tabs>
          <w:tab w:val="left" w:pos="312"/>
        </w:tabs>
      </w:p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00000003"/>
    <w:multiLevelType w:val="singleLevel"/>
    <w:tmpl w:val="00000003"/>
    <w:lvl w:ilvl="0" w:tentative="0">
      <w:start w:val="5"/>
      <w:numFmt w:val="decimal"/>
      <w:lvlText w:val="%1."/>
      <w:lvlJc w:val="left"/>
      <w:pPr>
        <w:tabs>
          <w:tab w:val="left" w:pos="312"/>
        </w:tabs>
      </w:pPr>
    </w:lvl>
  </w:abstractNum>
  <w:abstractNum w:abstractNumId="9">
    <w:nsid w:val="03FAD3A8"/>
    <w:multiLevelType w:val="singleLevel"/>
    <w:tmpl w:val="03FAD3A8"/>
    <w:lvl w:ilvl="0" w:tentative="0">
      <w:start w:val="1"/>
      <w:numFmt w:val="lowerLetter"/>
      <w:suff w:val="space"/>
      <w:lvlText w:val="%1)"/>
      <w:lvlJc w:val="left"/>
    </w:lvl>
  </w:abstractNum>
  <w:abstractNum w:abstractNumId="10">
    <w:nsid w:val="0619ECEE"/>
    <w:multiLevelType w:val="singleLevel"/>
    <w:tmpl w:val="0619ECEE"/>
    <w:lvl w:ilvl="0" w:tentative="0">
      <w:start w:val="1"/>
      <w:numFmt w:val="decimal"/>
      <w:suff w:val="space"/>
      <w:lvlText w:val="%1."/>
      <w:lvlJc w:val="left"/>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3">
    <w:nsid w:val="14ECF01C"/>
    <w:multiLevelType w:val="singleLevel"/>
    <w:tmpl w:val="14ECF01C"/>
    <w:lvl w:ilvl="0" w:tentative="0">
      <w:start w:val="1"/>
      <w:numFmt w:val="decimal"/>
      <w:suff w:val="space"/>
      <w:lvlText w:val="%1."/>
      <w:lvlJc w:val="left"/>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7">
    <w:nsid w:val="44CF74F5"/>
    <w:multiLevelType w:val="multilevel"/>
    <w:tmpl w:val="44CF74F5"/>
    <w:lvl w:ilvl="0" w:tentative="0">
      <w:start w:val="1"/>
      <w:numFmt w:val="japaneseCounting"/>
      <w:lvlText w:val="%1、"/>
      <w:lvlJc w:val="left"/>
      <w:pPr>
        <w:ind w:left="630" w:hanging="630"/>
      </w:pPr>
      <w:rPr>
        <w:rFonts w:hint="eastAsia"/>
        <w:b/>
        <w:sz w:val="30"/>
        <w:szCs w:val="3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A6836EF"/>
    <w:multiLevelType w:val="singleLevel"/>
    <w:tmpl w:val="5A6836EF"/>
    <w:lvl w:ilvl="0" w:tentative="0">
      <w:start w:val="1"/>
      <w:numFmt w:val="decimal"/>
      <w:suff w:val="nothing"/>
      <w:lvlText w:val="%1."/>
      <w:lvlJc w:val="left"/>
      <w:pPr>
        <w:ind w:left="0" w:firstLine="0"/>
      </w:pPr>
    </w:lvl>
  </w:abstractNum>
  <w:abstractNum w:abstractNumId="23">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638BFB0E"/>
    <w:multiLevelType w:val="singleLevel"/>
    <w:tmpl w:val="638BFB0E"/>
    <w:lvl w:ilvl="0" w:tentative="0">
      <w:start w:val="1"/>
      <w:numFmt w:val="decimal"/>
      <w:suff w:val="space"/>
      <w:lvlText w:val="%1."/>
      <w:lvlJc w:val="left"/>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8"/>
  </w:num>
  <w:num w:numId="2">
    <w:abstractNumId w:val="25"/>
  </w:num>
  <w:num w:numId="3">
    <w:abstractNumId w:val="21"/>
  </w:num>
  <w:num w:numId="4">
    <w:abstractNumId w:val="19"/>
  </w:num>
  <w:num w:numId="5">
    <w:abstractNumId w:val="11"/>
  </w:num>
  <w:num w:numId="6">
    <w:abstractNumId w:val="14"/>
  </w:num>
  <w:num w:numId="7">
    <w:abstractNumId w:val="15"/>
  </w:num>
  <w:num w:numId="8">
    <w:abstractNumId w:val="20"/>
  </w:num>
  <w:num w:numId="9">
    <w:abstractNumId w:val="3"/>
  </w:num>
  <w:num w:numId="10">
    <w:abstractNumId w:val="12"/>
  </w:num>
  <w:num w:numId="11">
    <w:abstractNumId w:val="7"/>
  </w:num>
  <w:num w:numId="12">
    <w:abstractNumId w:val="26"/>
  </w:num>
  <w:num w:numId="13">
    <w:abstractNumId w:val="0"/>
  </w:num>
  <w:num w:numId="14">
    <w:abstractNumId w:val="5"/>
  </w:num>
  <w:num w:numId="15">
    <w:abstractNumId w:val="6"/>
  </w:num>
  <w:num w:numId="16">
    <w:abstractNumId w:val="1"/>
  </w:num>
  <w:num w:numId="17">
    <w:abstractNumId w:val="23"/>
  </w:num>
  <w:num w:numId="18">
    <w:abstractNumId w:val="27"/>
  </w:num>
  <w:num w:numId="19">
    <w:abstractNumId w:val="4"/>
  </w:num>
  <w:num w:numId="20">
    <w:abstractNumId w:val="2"/>
  </w:num>
  <w:num w:numId="21">
    <w:abstractNumId w:val="16"/>
  </w:num>
  <w:num w:numId="22">
    <w:abstractNumId w:val="22"/>
  </w:num>
  <w:num w:numId="23">
    <w:abstractNumId w:val="17"/>
  </w:num>
  <w:num w:numId="24">
    <w:abstractNumId w:val="10"/>
  </w:num>
  <w:num w:numId="25">
    <w:abstractNumId w:val="24"/>
  </w:num>
  <w:num w:numId="26">
    <w:abstractNumId w:val="13"/>
  </w:num>
  <w:num w:numId="27">
    <w:abstractNumId w:val="9"/>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4185550"/>
    <w:rsid w:val="057C1D39"/>
    <w:rsid w:val="05891259"/>
    <w:rsid w:val="0654565B"/>
    <w:rsid w:val="08633479"/>
    <w:rsid w:val="0A2C507F"/>
    <w:rsid w:val="0A63147A"/>
    <w:rsid w:val="0ADB2EF0"/>
    <w:rsid w:val="0ADD4CBE"/>
    <w:rsid w:val="0C83309C"/>
    <w:rsid w:val="0CB51572"/>
    <w:rsid w:val="0DE73E36"/>
    <w:rsid w:val="0E4D31E3"/>
    <w:rsid w:val="0E530E38"/>
    <w:rsid w:val="103B70B1"/>
    <w:rsid w:val="10DC2AA3"/>
    <w:rsid w:val="10FA7C8C"/>
    <w:rsid w:val="11967DE7"/>
    <w:rsid w:val="12CA2825"/>
    <w:rsid w:val="12F64B6E"/>
    <w:rsid w:val="130B198F"/>
    <w:rsid w:val="13B54178"/>
    <w:rsid w:val="13FA68E0"/>
    <w:rsid w:val="157A6833"/>
    <w:rsid w:val="15BB1367"/>
    <w:rsid w:val="16A918E4"/>
    <w:rsid w:val="17D966D6"/>
    <w:rsid w:val="193B6BC3"/>
    <w:rsid w:val="19517BDA"/>
    <w:rsid w:val="19E33213"/>
    <w:rsid w:val="1A463A67"/>
    <w:rsid w:val="1B481CDF"/>
    <w:rsid w:val="1BA3160C"/>
    <w:rsid w:val="1BC71D3B"/>
    <w:rsid w:val="1BD22B4C"/>
    <w:rsid w:val="1C59115B"/>
    <w:rsid w:val="1CB5279B"/>
    <w:rsid w:val="1D596BD7"/>
    <w:rsid w:val="1E296445"/>
    <w:rsid w:val="1EFD1680"/>
    <w:rsid w:val="1FB23E60"/>
    <w:rsid w:val="1FBA79B4"/>
    <w:rsid w:val="212F23EA"/>
    <w:rsid w:val="21F50ADF"/>
    <w:rsid w:val="226A2E83"/>
    <w:rsid w:val="227640E7"/>
    <w:rsid w:val="227F2CA6"/>
    <w:rsid w:val="22C5630B"/>
    <w:rsid w:val="23567554"/>
    <w:rsid w:val="23EC0BA6"/>
    <w:rsid w:val="24701A48"/>
    <w:rsid w:val="25EC6AF8"/>
    <w:rsid w:val="268B0052"/>
    <w:rsid w:val="26CF6817"/>
    <w:rsid w:val="27743C90"/>
    <w:rsid w:val="27B358EA"/>
    <w:rsid w:val="28B55739"/>
    <w:rsid w:val="29CA2459"/>
    <w:rsid w:val="2B271A58"/>
    <w:rsid w:val="2B6304A7"/>
    <w:rsid w:val="2B77217D"/>
    <w:rsid w:val="2BCB24AC"/>
    <w:rsid w:val="2C642D3E"/>
    <w:rsid w:val="2CB066D1"/>
    <w:rsid w:val="2CF6734C"/>
    <w:rsid w:val="2D4D284A"/>
    <w:rsid w:val="2D663463"/>
    <w:rsid w:val="2E112A52"/>
    <w:rsid w:val="2EF96EE4"/>
    <w:rsid w:val="31E37A09"/>
    <w:rsid w:val="326D41A7"/>
    <w:rsid w:val="32C207BF"/>
    <w:rsid w:val="3380787D"/>
    <w:rsid w:val="33822A0F"/>
    <w:rsid w:val="34F565DC"/>
    <w:rsid w:val="353E1FA7"/>
    <w:rsid w:val="35C64B9E"/>
    <w:rsid w:val="35D271A0"/>
    <w:rsid w:val="36254FE4"/>
    <w:rsid w:val="36AA39B8"/>
    <w:rsid w:val="372F61E0"/>
    <w:rsid w:val="38FE7A29"/>
    <w:rsid w:val="39322FCA"/>
    <w:rsid w:val="395C1BFB"/>
    <w:rsid w:val="3A503E1E"/>
    <w:rsid w:val="3AB90991"/>
    <w:rsid w:val="3ACA7679"/>
    <w:rsid w:val="3B706131"/>
    <w:rsid w:val="3BF833EC"/>
    <w:rsid w:val="3C8E02FC"/>
    <w:rsid w:val="3E6F041E"/>
    <w:rsid w:val="3E846635"/>
    <w:rsid w:val="3ECE2B6B"/>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AB87E07"/>
    <w:rsid w:val="4B592E71"/>
    <w:rsid w:val="4DF75369"/>
    <w:rsid w:val="4EA23B01"/>
    <w:rsid w:val="4EB0217D"/>
    <w:rsid w:val="4F8B220C"/>
    <w:rsid w:val="504F4EAF"/>
    <w:rsid w:val="516C4BAA"/>
    <w:rsid w:val="51D51447"/>
    <w:rsid w:val="52B9239A"/>
    <w:rsid w:val="52D52A7F"/>
    <w:rsid w:val="54BD78FD"/>
    <w:rsid w:val="552A3C28"/>
    <w:rsid w:val="555A2DA3"/>
    <w:rsid w:val="558B15C3"/>
    <w:rsid w:val="5632548A"/>
    <w:rsid w:val="56901A99"/>
    <w:rsid w:val="58A86DDE"/>
    <w:rsid w:val="58EA204C"/>
    <w:rsid w:val="59154AD7"/>
    <w:rsid w:val="5A542AB4"/>
    <w:rsid w:val="5ADF548D"/>
    <w:rsid w:val="5BF95104"/>
    <w:rsid w:val="5C4627AE"/>
    <w:rsid w:val="5C9249CA"/>
    <w:rsid w:val="5D5C60B4"/>
    <w:rsid w:val="5D8073BF"/>
    <w:rsid w:val="60651FB9"/>
    <w:rsid w:val="60B359C4"/>
    <w:rsid w:val="614E12EC"/>
    <w:rsid w:val="616D6769"/>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C1331A3"/>
    <w:rsid w:val="6C765676"/>
    <w:rsid w:val="6CA84BC1"/>
    <w:rsid w:val="6D170ADE"/>
    <w:rsid w:val="6D3E4756"/>
    <w:rsid w:val="6D941291"/>
    <w:rsid w:val="6FC523EB"/>
    <w:rsid w:val="6FE22646"/>
    <w:rsid w:val="70825D63"/>
    <w:rsid w:val="71F00129"/>
    <w:rsid w:val="71FE41EB"/>
    <w:rsid w:val="72895F2E"/>
    <w:rsid w:val="72C02EBE"/>
    <w:rsid w:val="72C507AD"/>
    <w:rsid w:val="72D028D8"/>
    <w:rsid w:val="745D47C3"/>
    <w:rsid w:val="74E76FE8"/>
    <w:rsid w:val="74F20D05"/>
    <w:rsid w:val="751B1584"/>
    <w:rsid w:val="75341FA7"/>
    <w:rsid w:val="75F93477"/>
    <w:rsid w:val="764F7753"/>
    <w:rsid w:val="76AC3757"/>
    <w:rsid w:val="77D4005C"/>
    <w:rsid w:val="78292927"/>
    <w:rsid w:val="7A786194"/>
    <w:rsid w:val="7AD56D7C"/>
    <w:rsid w:val="7B9854E0"/>
    <w:rsid w:val="7C6021A7"/>
    <w:rsid w:val="7CAB4D9F"/>
    <w:rsid w:val="7CB93F8E"/>
    <w:rsid w:val="7CF66B46"/>
    <w:rsid w:val="7D285B67"/>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2"/>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2"/>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8154</Words>
  <Characters>8488</Characters>
  <Lines>127</Lines>
  <Paragraphs>35</Paragraphs>
  <TotalTime>0</TotalTime>
  <ScaleCrop>false</ScaleCrop>
  <LinksUpToDate>false</LinksUpToDate>
  <CharactersWithSpaces>8715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2025-11-03T08:11:48Z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