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highlight w:val="none"/>
        </w:rPr>
      </w:pPr>
      <w:r>
        <w:rPr>
          <w:rFonts w:hint="eastAsia" w:ascii="楷体_GB2312" w:hAnsi="宋体" w:eastAsia="楷体_GB2312"/>
          <w:sz w:val="52"/>
          <w:szCs w:val="52"/>
          <w:highlight w:val="none"/>
          <w:lang w:val="en-US" w:eastAsia="zh-CN"/>
        </w:rPr>
        <w:t>中国重汽集团</w:t>
      </w:r>
      <w:bookmarkStart w:id="34" w:name="_GoBack"/>
      <w:bookmarkEnd w:id="34"/>
      <w:r>
        <w:rPr>
          <w:rFonts w:hint="eastAsia" w:ascii="楷体_GB2312" w:hAnsi="宋体" w:eastAsia="楷体_GB2312"/>
          <w:sz w:val="52"/>
          <w:szCs w:val="52"/>
          <w:highlight w:val="none"/>
          <w:lang w:val="en-US" w:eastAsia="zh-CN"/>
        </w:rPr>
        <w:t>杭发公司安全评价技术服务</w:t>
      </w:r>
      <w:r>
        <w:rPr>
          <w:rFonts w:hint="eastAsia" w:ascii="楷体_GB2312" w:hAnsi="宋体" w:eastAsia="楷体_GB2312"/>
          <w:sz w:val="52"/>
          <w:szCs w:val="52"/>
          <w:highlight w:val="none"/>
        </w:rPr>
        <w:t>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FSCZB2025100261</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highlight w:val="cyan"/>
        </w:rPr>
      </w:pPr>
      <w:r>
        <w:rPr>
          <w:rFonts w:hint="eastAsia" w:ascii="宋体" w:hAnsi="宋体"/>
          <w:sz w:val="28"/>
          <w:szCs w:val="28"/>
        </w:rPr>
        <w:t>招 标 人：</w:t>
      </w:r>
      <w:r>
        <w:rPr>
          <w:rFonts w:hint="eastAsia" w:ascii="宋体" w:hAnsi="宋体"/>
          <w:sz w:val="28"/>
          <w:szCs w:val="28"/>
          <w:highlight w:val="none"/>
        </w:rPr>
        <w:t>中国重汽集团</w:t>
      </w:r>
      <w:r>
        <w:rPr>
          <w:rFonts w:hint="eastAsia" w:ascii="宋体" w:hAnsi="宋体"/>
          <w:sz w:val="28"/>
          <w:szCs w:val="28"/>
          <w:highlight w:val="none"/>
          <w:lang w:val="en-US" w:eastAsia="zh-CN"/>
        </w:rPr>
        <w:t>杭州发动机</w:t>
      </w:r>
      <w:r>
        <w:rPr>
          <w:rFonts w:hint="eastAsia" w:ascii="宋体" w:hAnsi="宋体"/>
          <w:sz w:val="28"/>
          <w:szCs w:val="28"/>
          <w:highlight w:val="none"/>
        </w:rPr>
        <w:t>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673A53A7">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1"/>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1"/>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1"/>
          </w:pPr>
          <w:r>
            <w:rPr>
              <w:rFonts w:hint="eastAsia" w:ascii="Calibri" w:hAnsi="Calibri" w:eastAsia="宋体" w:cs="Times New Roman"/>
              <w:bCs/>
              <w:kern w:val="44"/>
              <w:szCs w:val="44"/>
            </w:rPr>
            <w:fldChar w:fldCharType="end"/>
          </w:r>
        </w:p>
      </w:sdtContent>
    </w:sdt>
    <w:p w14:paraId="582BF911">
      <w:pPr>
        <w:pStyle w:val="16"/>
        <w:tabs>
          <w:tab w:val="left" w:pos="2940"/>
        </w:tabs>
        <w:spacing w:line="360" w:lineRule="auto"/>
      </w:pPr>
      <w:r>
        <w:tab/>
      </w:r>
    </w:p>
    <w:p w14:paraId="29FEE1FC">
      <w:pPr>
        <w:pStyle w:val="16"/>
        <w:spacing w:line="360" w:lineRule="auto"/>
        <w:jc w:val="center"/>
      </w:pPr>
    </w:p>
    <w:p w14:paraId="7E176637">
      <w:pPr>
        <w:pStyle w:val="16"/>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5953C7BF">
      <w:pPr>
        <w:pStyle w:val="71"/>
        <w:rPr>
          <w:rFonts w:hint="eastAsia"/>
          <w:sz w:val="28"/>
        </w:rPr>
      </w:pPr>
      <w:bookmarkStart w:id="2" w:name="_Toc32474"/>
      <w:r>
        <w:rPr>
          <w:rFonts w:hint="eastAsia"/>
          <w:sz w:val="28"/>
          <w:highlight w:val="none"/>
          <w:u w:val="single"/>
          <w:lang w:val="en-US" w:eastAsia="zh-CN"/>
        </w:rPr>
        <w:t>杭发公司安全评价技术服务项目</w:t>
      </w:r>
      <w:r>
        <w:rPr>
          <w:rFonts w:hint="eastAsia"/>
          <w:sz w:val="28"/>
        </w:rPr>
        <w:t>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rPr>
          <w:highlight w:val="none"/>
        </w:rPr>
      </w:pPr>
      <w:r>
        <w:rPr>
          <w:rFonts w:hint="eastAsia"/>
          <w:highlight w:val="none"/>
        </w:rPr>
        <w:t>项目名称：</w:t>
      </w:r>
      <w:r>
        <w:rPr>
          <w:rFonts w:hint="eastAsia"/>
          <w:highlight w:val="none"/>
          <w:lang w:val="en-US" w:eastAsia="zh-CN"/>
        </w:rPr>
        <w:t>杭发公司安全评价技术服务项目</w:t>
      </w:r>
    </w:p>
    <w:p w14:paraId="15020D03">
      <w:pPr>
        <w:pStyle w:val="73"/>
      </w:pPr>
      <w:r>
        <w:rPr>
          <w:rFonts w:hint="eastAsia"/>
        </w:rPr>
        <w:t>项目编号</w:t>
      </w:r>
      <w:r>
        <w:rPr>
          <w:rFonts w:hint="eastAsia"/>
          <w:highlight w:val="none"/>
        </w:rPr>
        <w:t>：</w:t>
      </w:r>
      <w:r>
        <w:rPr>
          <w:rFonts w:hint="eastAsia"/>
          <w:highlight w:val="none"/>
          <w:lang w:val="en-US" w:eastAsia="zh-CN"/>
        </w:rPr>
        <w:t>FSCZB2025100261</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none"/>
          <w:lang w:val="en-US" w:eastAsia="zh-CN"/>
        </w:rPr>
        <w:t>杭发公司安全评价技术服务项目</w:t>
      </w:r>
    </w:p>
    <w:p w14:paraId="4EC58B63">
      <w:pPr>
        <w:pStyle w:val="73"/>
      </w:pPr>
      <w:r>
        <w:rPr>
          <w:rFonts w:hint="eastAsia"/>
        </w:rPr>
        <w:t>招标形式：</w:t>
      </w:r>
      <w:r>
        <w:rPr>
          <w:rFonts w:hint="eastAsia"/>
          <w:highlight w:val="none"/>
          <w:lang w:val="en-US" w:eastAsia="zh-CN"/>
        </w:rPr>
        <w:t>公开招标</w:t>
      </w:r>
    </w:p>
    <w:p w14:paraId="0B813421">
      <w:pPr>
        <w:pStyle w:val="72"/>
        <w:rPr>
          <w:highlight w:val="none"/>
        </w:rPr>
      </w:pPr>
      <w:bookmarkStart w:id="5" w:name="_Toc47976590"/>
      <w:r>
        <w:rPr>
          <w:rFonts w:hint="eastAsia"/>
          <w:highlight w:val="none"/>
        </w:rPr>
        <w:t>投标人资格要求</w:t>
      </w:r>
      <w:bookmarkEnd w:id="5"/>
    </w:p>
    <w:p w14:paraId="41703A27">
      <w:pPr>
        <w:pStyle w:val="73"/>
        <w:numPr>
          <w:ilvl w:val="0"/>
          <w:numId w:val="10"/>
        </w:numPr>
        <w:bidi w:val="0"/>
        <w:rPr>
          <w:rFonts w:hint="eastAsia"/>
          <w:highlight w:val="none"/>
          <w:lang w:val="en-US" w:eastAsia="zh-CN"/>
        </w:rPr>
      </w:pPr>
      <w:r>
        <w:rPr>
          <w:rFonts w:hint="eastAsia"/>
          <w:highlight w:val="none"/>
          <w:lang w:val="en-US" w:eastAsia="zh-CN"/>
        </w:rPr>
        <w:t>投标人条件</w:t>
      </w:r>
    </w:p>
    <w:p w14:paraId="13D99677">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1.1投标人须遵守《中华人民共和国招标投标法》、《中华人民共和国民法典》及其它有关的法律和法规；为中华人民共和国境内注册的独立法人机构，具有独立承担民事责任能力；</w:t>
      </w:r>
    </w:p>
    <w:p w14:paraId="4FAC74F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1.2公司成立三年以上（以营业执照成立日期到开标当日满三年为准）；原则上注册资金不少于50万元或不低于项目标的额，投标人注册资金不符条件但确属优秀的，经项目实施单位和业务主管部门负责人会签后，可接受投标；经营范围满足招标项目需求；并在人员、设备、资金等方面具有承担本项目的能力；投标人具备金属熔炼铸造工艺的安全评价资质。</w:t>
      </w:r>
    </w:p>
    <w:p w14:paraId="1AD486F5">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1.3投标人须提供具有统一社会信用代码的新版营业执照副本复印件（加盖公章）；</w:t>
      </w:r>
    </w:p>
    <w:p w14:paraId="572C1B9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1.4投标人必须是能够提供环保咨询服务业务的机构，对环境保护综合应急管理具有深刻理解，熟悉国家各类环境保护法律法规和标准、技术导则。</w:t>
      </w:r>
    </w:p>
    <w:p w14:paraId="778F4B08">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1.5投标人具有良好的商业信誉，未被列入过经营异常名录和未曾列入严重违法失信企业名单。在“国家企业信用信息公示系统”、“中国执行信息公开网”、“信用中国”、“天眼查”“裁判文书网”等信息平台中，无行政处罚、失信记录及未被列入过经营异常名录等信息；</w:t>
      </w:r>
    </w:p>
    <w:p w14:paraId="5A3ED0EE">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1.6无招标违规、谎报年度报告信息、提供虚假资质资料等行为或其他行政处罚记录；</w:t>
      </w:r>
    </w:p>
    <w:p w14:paraId="60CEBB05">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1.7具有健全的财务会计制度，有依法缴纳税收和社会保障资金的良好记录；投标单位需提供（2022年至今）经会计师事务所或审计机构出具的财务审计报告，保证单位财务状况良好可以进行投标；</w:t>
      </w:r>
    </w:p>
    <w:p w14:paraId="0743F790">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1.8投标人必须是最终投标、签订合同的单位，不得以任何理由将已中标项目以任何形式转包给其他单位；</w:t>
      </w:r>
    </w:p>
    <w:p w14:paraId="33DE7DE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1.9本次招标项目不接受联合体投标。</w:t>
      </w:r>
    </w:p>
    <w:p w14:paraId="18C2291C">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1.10供方的直接或间接股东、法定代表人、董事、监事、高管非重汽员工及其亲属。</w:t>
      </w:r>
    </w:p>
    <w:p w14:paraId="7CB8E970">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1.11投标人须认可招标人的工作指令，包括节假日、夜间能正常开展工作的要求；</w:t>
      </w:r>
    </w:p>
    <w:p w14:paraId="644F3E81">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1.12在资质后审环节，投标单位对以上资质内容弄虚作假的，一经查实，列入集团采购黑名单，永不采用。</w:t>
      </w:r>
    </w:p>
    <w:p w14:paraId="7DD7C317">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1.13中国重汽集团杭州发动机有限公司负责对招标文件进行说明，并解答投标单位提出的问题。</w:t>
      </w:r>
    </w:p>
    <w:p w14:paraId="7E44814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default"/>
          <w:lang w:val="en-US" w:eastAsia="zh-CN"/>
        </w:rPr>
      </w:pPr>
      <w:r>
        <w:rPr>
          <w:rFonts w:hint="eastAsia"/>
          <w:lang w:val="en-US" w:eastAsia="zh-CN"/>
        </w:rPr>
        <w:t>1.14招标文件的修改通知书构成招标文件的一部分，对投标单位具有约束力。</w:t>
      </w:r>
    </w:p>
    <w:p w14:paraId="7A940CFE">
      <w:pPr>
        <w:pStyle w:val="73"/>
        <w:numPr>
          <w:ilvl w:val="0"/>
          <w:numId w:val="10"/>
        </w:numPr>
        <w:bidi w:val="0"/>
        <w:rPr>
          <w:rFonts w:hint="eastAsia"/>
          <w:highlight w:val="none"/>
          <w:lang w:val="en-US" w:eastAsia="zh-CN"/>
        </w:rPr>
      </w:pPr>
      <w:r>
        <w:rPr>
          <w:rFonts w:hint="eastAsia"/>
          <w:highlight w:val="none"/>
          <w:lang w:val="en-US" w:eastAsia="zh-CN"/>
        </w:rPr>
        <w:t>资质文件组成</w:t>
      </w:r>
    </w:p>
    <w:p w14:paraId="3AFB6C4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2.1法定代表人身份证明；</w:t>
      </w:r>
    </w:p>
    <w:p w14:paraId="061AB034">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2.2法定代表人授权委托书（授权人需带身份证原件）；</w:t>
      </w:r>
    </w:p>
    <w:p w14:paraId="4BDE1AFC">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2.3营业执照副本原件或复印件并加盖公章；</w:t>
      </w:r>
    </w:p>
    <w:p w14:paraId="20B9CCE2">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highlight w:val="none"/>
          <w:lang w:val="en-US" w:eastAsia="zh-CN"/>
        </w:rPr>
      </w:pPr>
      <w:r>
        <w:rPr>
          <w:rFonts w:hint="eastAsia"/>
          <w:lang w:val="en-US" w:eastAsia="zh-CN"/>
        </w:rPr>
        <w:t>2.4</w:t>
      </w:r>
      <w:r>
        <w:rPr>
          <w:rFonts w:hint="eastAsia"/>
          <w:highlight w:val="none"/>
          <w:lang w:val="en-US" w:eastAsia="zh-CN"/>
        </w:rPr>
        <w:t>投标人应具有相应生产证明；</w:t>
      </w:r>
    </w:p>
    <w:p w14:paraId="7411B82A">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2.5证明投标人满足投标资料表中列出的业绩要求的文件；</w:t>
      </w:r>
    </w:p>
    <w:p w14:paraId="2FD9F89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2.6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C21CD5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2.7企业最近半年完税证明、信用证明材料（征信报告）；</w:t>
      </w:r>
    </w:p>
    <w:p w14:paraId="0631C3F1">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2.8年度纳税信用评价信息（可从电子税务局查询截图，需加盖公章）；</w:t>
      </w:r>
    </w:p>
    <w:p w14:paraId="1AF1D09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2.9企业对外担保说明（写明贵单位对外有无对外担保和质押业务，需加盖公章）。</w:t>
      </w:r>
    </w:p>
    <w:p w14:paraId="0AE807DC">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2.10信用中国截图或国家企业信用信息公示系统截图；</w:t>
      </w:r>
    </w:p>
    <w:p w14:paraId="018A4B8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2.11招标文件中要求的其它资格证明文件。</w:t>
      </w:r>
    </w:p>
    <w:p w14:paraId="7A818F3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highlight w:val="yellow"/>
          <w:lang w:val="en-US" w:eastAsia="zh-CN"/>
        </w:rPr>
      </w:pPr>
      <w:r>
        <w:rPr>
          <w:rFonts w:hint="eastAsia"/>
          <w:lang w:val="en-US" w:eastAsia="zh-CN"/>
        </w:rPr>
        <w:t>2.12投标保证金缴纳凭证，同时正文描述付款账号、户名、开户行名称、开户行行号、保证金金额。</w:t>
      </w:r>
    </w:p>
    <w:p w14:paraId="76B97D53">
      <w:pPr>
        <w:pStyle w:val="72"/>
        <w:rPr>
          <w:highlight w:val="none"/>
        </w:rPr>
      </w:pPr>
      <w:bookmarkStart w:id="6" w:name="_Toc47976591"/>
      <w:r>
        <w:rPr>
          <w:rFonts w:hint="eastAsia"/>
          <w:highlight w:val="none"/>
        </w:rPr>
        <w:t>报名及招标文件的获取</w:t>
      </w:r>
      <w:bookmarkEnd w:id="6"/>
    </w:p>
    <w:p w14:paraId="485CA7D6">
      <w:pPr>
        <w:pStyle w:val="73"/>
        <w:numPr>
          <w:ilvl w:val="0"/>
          <w:numId w:val="11"/>
        </w:numPr>
        <w:bidi w:val="0"/>
        <w:rPr>
          <w:rFonts w:hint="eastAsia"/>
          <w:lang w:val="en-US" w:eastAsia="zh-CN"/>
        </w:rPr>
      </w:pPr>
      <w:r>
        <w:rPr>
          <w:rFonts w:hint="eastAsia"/>
          <w:lang w:val="en-US" w:eastAsia="zh-CN"/>
        </w:rPr>
        <w:t>应标报名截止时间：</w:t>
      </w:r>
      <w:r>
        <w:rPr>
          <w:rFonts w:hint="eastAsia"/>
          <w:highlight w:val="none"/>
          <w:lang w:val="en-US" w:eastAsia="zh-CN"/>
        </w:rPr>
        <w:t>2025年11月14日17:00</w:t>
      </w:r>
    </w:p>
    <w:p w14:paraId="40DCF92F">
      <w:pPr>
        <w:pStyle w:val="73"/>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14:paraId="04DB969B">
      <w:pPr>
        <w:pStyle w:val="73"/>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，登录重汽e采通平台后进入“供应商应标”，选择对应的项目，点击“应标”后按照招标公告中“投标人资格要求-资质文件”中的</w:t>
      </w:r>
      <w:r>
        <w:rPr>
          <w:rFonts w:hint="eastAsia"/>
          <w:highlight w:val="none"/>
          <w:lang w:val="en-US" w:eastAsia="zh-CN"/>
        </w:rPr>
        <w:t>2.1-2.11</w:t>
      </w:r>
      <w:r>
        <w:rPr>
          <w:rFonts w:hint="eastAsia"/>
          <w:lang w:val="en-US" w:eastAsia="zh-CN"/>
        </w:rPr>
        <w:t>准备资料并上传，资质审查通过即为报名成功；公示期间请尽快报名。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lang w:val="en-US" w:eastAsia="zh-CN"/>
        </w:rPr>
      </w:pPr>
      <w:r>
        <w:rPr>
          <w:rFonts w:hint="eastAsia"/>
          <w:b/>
          <w:bCs/>
          <w:lang w:val="en-US" w:eastAsia="zh-CN"/>
        </w:rPr>
        <w:t>注：请务必在应标截止时间前完成注册及应标操作，注册审核需2-4日，应标截止时间精确到秒，逾期将无法应标。请自行掌握时间，避免无法应标。</w:t>
      </w:r>
    </w:p>
    <w:p w14:paraId="4509C0DA">
      <w:pPr>
        <w:pStyle w:val="72"/>
        <w:rPr>
          <w:highlight w:val="none"/>
        </w:rPr>
      </w:pPr>
      <w:bookmarkStart w:id="7" w:name="_Toc47976592"/>
      <w:r>
        <w:rPr>
          <w:rFonts w:hint="eastAsia"/>
          <w:highlight w:val="none"/>
        </w:rPr>
        <w:t>投标文件的递交</w:t>
      </w:r>
      <w:bookmarkEnd w:id="7"/>
    </w:p>
    <w:p w14:paraId="7FBD455B">
      <w:pPr>
        <w:pStyle w:val="73"/>
        <w:numPr>
          <w:ilvl w:val="0"/>
          <w:numId w:val="12"/>
        </w:numPr>
        <w:bidi w:val="0"/>
        <w:rPr>
          <w:rFonts w:hint="eastAsia"/>
          <w:highlight w:val="none"/>
          <w:lang w:val="en-US" w:eastAsia="zh-CN"/>
        </w:rPr>
      </w:pPr>
      <w:r>
        <w:rPr>
          <w:rFonts w:hint="eastAsia"/>
          <w:lang w:val="en-US" w:eastAsia="zh-CN"/>
        </w:rPr>
        <w:t>投标截止时间：</w:t>
      </w:r>
      <w:r>
        <w:rPr>
          <w:rFonts w:hint="eastAsia"/>
          <w:highlight w:val="none"/>
          <w:lang w:val="en-US" w:eastAsia="zh-CN"/>
        </w:rPr>
        <w:t>2025年11月26日9:00（北京时间）</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注：请务必在投标文件递交截止时间前完成投标操作，截止时间精确到秒，逾期将无法投标。请自行掌握时间，避免无法投标。</w:t>
      </w:r>
    </w:p>
    <w:p w14:paraId="787E4E9B">
      <w:pPr>
        <w:pStyle w:val="73"/>
        <w:bidi w:val="0"/>
        <w:rPr>
          <w:rFonts w:hint="eastAsia"/>
          <w:lang w:val="en-US" w:eastAsia="zh-CN"/>
        </w:rPr>
      </w:pPr>
      <w:r>
        <w:rPr>
          <w:rFonts w:hint="eastAsia"/>
          <w:lang w:val="en-US" w:eastAsia="zh-CN"/>
        </w:rPr>
        <w:t>投标文件的组成：项目投标文件为电子版投标文件（电子版为纸质盖章版的扫描件或加盖电子章，不盖章无效），由</w:t>
      </w:r>
      <w:r>
        <w:rPr>
          <w:rFonts w:hint="eastAsia"/>
          <w:highlight w:val="none"/>
          <w:lang w:val="en-US" w:eastAsia="zh-CN"/>
        </w:rPr>
        <w:t>《投标文件（资质标）》、《投标文件（技术标）》、《投标文件（商务标）》（开标一览表）</w:t>
      </w:r>
      <w:r>
        <w:rPr>
          <w:rFonts w:hint="eastAsia"/>
          <w:lang w:val="en-US" w:eastAsia="zh-CN"/>
        </w:rPr>
        <w:t>文件组成，共计3个文件。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highlight w:val="none"/>
          <w:lang w:val="en-US" w:eastAsia="zh-CN"/>
        </w:rPr>
        <w:t>《投标文件（资质标）》一个文件（里面是全部资质投标书），投标文件（技术标）》一个文件（里面是全部技术投标书）</w:t>
      </w:r>
      <w:r>
        <w:rPr>
          <w:rFonts w:hint="eastAsia"/>
          <w:b/>
          <w:bCs/>
          <w:highlight w:val="none"/>
          <w:lang w:val="en-US" w:eastAsia="zh-CN"/>
        </w:rPr>
        <w:t>，</w:t>
      </w:r>
      <w:r>
        <w:rPr>
          <w:rFonts w:hint="default"/>
          <w:b/>
          <w:bCs/>
          <w:highlight w:val="none"/>
          <w:lang w:val="en-US" w:eastAsia="zh-CN"/>
        </w:rPr>
        <w:t>《投标文件（商务标）》（开标一览表）一个文件（里面是全部商务投标书）</w:t>
      </w:r>
      <w:r>
        <w:rPr>
          <w:rFonts w:hint="default"/>
          <w:b/>
          <w:bCs/>
          <w:lang w:val="en-US" w:eastAsia="zh-CN"/>
        </w:rPr>
        <w:t>，具体组成等详细要求见招标文件</w:t>
      </w:r>
      <w:r>
        <w:rPr>
          <w:rFonts w:hint="default"/>
          <w:b/>
          <w:bCs/>
          <w:highlight w:val="none"/>
          <w:lang w:val="en-US" w:eastAsia="zh-CN"/>
        </w:rPr>
        <w:t>“第一部分投标人须知-投标说明-投标文件的组成”</w:t>
      </w:r>
      <w:r>
        <w:rPr>
          <w:rFonts w:hint="default"/>
          <w:b/>
          <w:bCs/>
          <w:lang w:val="en-US" w:eastAsia="zh-CN"/>
        </w:rPr>
        <w:t>。</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注意不按此要求提供投标文件的，投标文件做无效标处理。以中国重汽e采通系统提交的材料为准。</w:t>
      </w:r>
    </w:p>
    <w:p w14:paraId="4B64074D">
      <w:pPr>
        <w:pStyle w:val="73"/>
        <w:bidi w:val="0"/>
        <w:rPr>
          <w:rFonts w:hint="default"/>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（包含资质标书、技术标书、商务标书）</w:t>
      </w:r>
      <w:r>
        <w:rPr>
          <w:rFonts w:hint="eastAsia"/>
          <w:lang w:val="en-US" w:eastAsia="zh-CN"/>
        </w:rPr>
        <w:t>，若逾期未在中国重汽e采通平台上传电子标书，一律视为无效投标。</w:t>
      </w:r>
    </w:p>
    <w:p w14:paraId="51FD183E">
      <w:pPr>
        <w:pStyle w:val="73"/>
        <w:bidi w:val="0"/>
        <w:rPr>
          <w:rFonts w:hint="default"/>
          <w:highlight w:val="none"/>
          <w:lang w:val="en-US" w:eastAsia="zh-CN"/>
        </w:rPr>
      </w:pPr>
      <w:r>
        <w:rPr>
          <w:rFonts w:hint="eastAsia"/>
          <w:highlight w:val="none"/>
          <w:lang w:val="en-US" w:eastAsia="zh-CN"/>
        </w:rPr>
        <w:t>投标文件有效期：自开标之日起90个日历日。</w:t>
      </w:r>
    </w:p>
    <w:p w14:paraId="27B65ABD">
      <w:pPr>
        <w:pStyle w:val="72"/>
        <w:rPr>
          <w:highlight w:val="none"/>
        </w:rPr>
      </w:pPr>
      <w:r>
        <w:rPr>
          <w:rFonts w:hint="eastAsia"/>
          <w:highlight w:val="none"/>
          <w:lang w:val="en-US" w:eastAsia="zh-CN"/>
        </w:rPr>
        <w:t>开标时间和地点</w:t>
      </w:r>
    </w:p>
    <w:p w14:paraId="114306E8">
      <w:pPr>
        <w:pStyle w:val="73"/>
        <w:numPr>
          <w:ilvl w:val="0"/>
          <w:numId w:val="13"/>
        </w:numPr>
        <w:bidi w:val="0"/>
        <w:rPr>
          <w:rFonts w:hint="default"/>
          <w:highlight w:val="none"/>
          <w:lang w:val="en-US" w:eastAsia="zh-CN"/>
        </w:rPr>
      </w:pPr>
      <w:r>
        <w:rPr>
          <w:rFonts w:hint="eastAsia"/>
          <w:highlight w:val="none"/>
          <w:lang w:val="en-US" w:eastAsia="zh-CN"/>
        </w:rPr>
        <w:t>开标时间：2025年11月26日9:00（北京时间）（若有变动，另行通知）</w:t>
      </w:r>
    </w:p>
    <w:p w14:paraId="1EEA171A">
      <w:pPr>
        <w:pStyle w:val="73"/>
        <w:bidi w:val="0"/>
        <w:rPr>
          <w:rFonts w:hint="default"/>
          <w:lang w:val="en-US" w:eastAsia="zh-CN"/>
        </w:rPr>
      </w:pPr>
      <w:r>
        <w:rPr>
          <w:rFonts w:hint="eastAsia"/>
          <w:lang w:val="en-US" w:eastAsia="zh-CN"/>
        </w:rPr>
        <w:t>开标地点：</w:t>
      </w:r>
      <w:r>
        <w:rPr>
          <w:rFonts w:hint="eastAsia"/>
          <w:highlight w:val="none"/>
          <w:lang w:val="en-US" w:eastAsia="zh-CN"/>
        </w:rPr>
        <w:t>重汽科技大厦（待定）</w:t>
      </w:r>
    </w:p>
    <w:p w14:paraId="22385406">
      <w:pPr>
        <w:pStyle w:val="72"/>
      </w:pPr>
      <w:bookmarkStart w:id="8" w:name="_Toc47976593"/>
      <w:r>
        <w:rPr>
          <w:rFonts w:hint="eastAsia"/>
        </w:rPr>
        <w:t>招标公告发布媒介</w:t>
      </w:r>
      <w:bookmarkEnd w:id="8"/>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本次招标公告同时在</w:t>
      </w:r>
      <w:r>
        <w:rPr>
          <w:rFonts w:hint="eastAsia"/>
          <w:b/>
          <w:bCs/>
          <w:highlight w:val="none"/>
        </w:rPr>
        <w:t>中国重汽官网</w:t>
      </w:r>
      <w:r>
        <w:rPr>
          <w:rFonts w:hint="eastAsia"/>
          <w:b/>
          <w:bCs/>
        </w:rPr>
        <w:t>等公开媒体上发布。</w:t>
      </w:r>
    </w:p>
    <w:p w14:paraId="65FC2213">
      <w:pPr>
        <w:pStyle w:val="72"/>
        <w:rPr>
          <w:highlight w:val="none"/>
        </w:rPr>
      </w:pPr>
      <w:bookmarkStart w:id="9" w:name="_Toc47976594"/>
      <w:r>
        <w:rPr>
          <w:rFonts w:hint="eastAsia"/>
          <w:highlight w:val="none"/>
        </w:rPr>
        <w:t>联系方式</w:t>
      </w:r>
      <w:bookmarkEnd w:id="9"/>
    </w:p>
    <w:p w14:paraId="42E108E9">
      <w:pPr>
        <w:pStyle w:val="73"/>
        <w:numPr>
          <w:ilvl w:val="0"/>
          <w:numId w:val="14"/>
        </w:numPr>
        <w:bidi w:val="0"/>
        <w:rPr>
          <w:rFonts w:hint="default"/>
          <w:lang w:val="en-US" w:eastAsia="zh-CN"/>
        </w:rPr>
      </w:pPr>
      <w:r>
        <w:rPr>
          <w:rFonts w:hint="eastAsia"/>
          <w:lang w:val="en-US" w:eastAsia="zh-CN"/>
        </w:rPr>
        <w:t>招标人名称：</w:t>
      </w:r>
      <w:r>
        <w:rPr>
          <w:rFonts w:hint="eastAsia"/>
          <w:highlight w:val="none"/>
          <w:lang w:val="en-US" w:eastAsia="zh-CN"/>
        </w:rPr>
        <w:t>中国重汽集团杭州发动机有限公司</w:t>
      </w:r>
    </w:p>
    <w:p w14:paraId="6C22F13D">
      <w:pPr>
        <w:pStyle w:val="73"/>
        <w:numPr>
          <w:ilvl w:val="0"/>
          <w:numId w:val="14"/>
        </w:numPr>
        <w:bidi w:val="0"/>
        <w:rPr>
          <w:rFonts w:hint="default"/>
          <w:lang w:val="en-US" w:eastAsia="zh-CN"/>
        </w:rPr>
      </w:pPr>
      <w:r>
        <w:rPr>
          <w:rFonts w:hint="eastAsia"/>
          <w:lang w:val="en-US" w:eastAsia="zh-CN"/>
        </w:rPr>
        <w:t>商务联系人：袁晖/17860605118; 邮箱：yuanhui@sinotruk.com</w:t>
      </w:r>
    </w:p>
    <w:p w14:paraId="67A3FFAC">
      <w:pPr>
        <w:pStyle w:val="73"/>
        <w:numPr>
          <w:ilvl w:val="0"/>
          <w:numId w:val="14"/>
        </w:numPr>
        <w:bidi w:val="0"/>
        <w:rPr>
          <w:rFonts w:hint="default"/>
          <w:highlight w:val="none"/>
          <w:lang w:val="en-US" w:eastAsia="zh-CN"/>
        </w:rPr>
      </w:pPr>
      <w:r>
        <w:rPr>
          <w:rFonts w:hint="eastAsia"/>
          <w:lang w:val="en-US" w:eastAsia="zh-CN"/>
        </w:rPr>
        <w:t>技术联系人：</w:t>
      </w:r>
      <w:r>
        <w:rPr>
          <w:rFonts w:hint="eastAsia"/>
          <w:highlight w:val="none"/>
          <w:lang w:val="en-US" w:eastAsia="zh-CN"/>
        </w:rPr>
        <w:t>谢飞/13656690608； 邮箱：13656690608@163.com</w:t>
      </w:r>
    </w:p>
    <w:p w14:paraId="5F538BD8">
      <w:pPr>
        <w:pStyle w:val="76"/>
      </w:pPr>
    </w:p>
    <w:p w14:paraId="04C96706">
      <w:pPr>
        <w:pStyle w:val="76"/>
      </w:pPr>
    </w:p>
    <w:p w14:paraId="4816EC96">
      <w:pPr>
        <w:pStyle w:val="76"/>
      </w:pPr>
    </w:p>
    <w:p w14:paraId="27E31F57">
      <w:pPr>
        <w:pStyle w:val="76"/>
      </w:pPr>
    </w:p>
    <w:p w14:paraId="23412E92">
      <w:pPr>
        <w:pStyle w:val="76"/>
      </w:pPr>
    </w:p>
    <w:p w14:paraId="4F5FD1F0">
      <w:pPr>
        <w:pStyle w:val="76"/>
      </w:pPr>
    </w:p>
    <w:p w14:paraId="762F79B9">
      <w:pPr>
        <w:pStyle w:val="76"/>
      </w:pPr>
    </w:p>
    <w:p w14:paraId="2C34DADB">
      <w:pPr>
        <w:pStyle w:val="76"/>
      </w:pPr>
    </w:p>
    <w:p w14:paraId="6758B800">
      <w:pPr>
        <w:pStyle w:val="76"/>
      </w:pPr>
    </w:p>
    <w:p w14:paraId="3EF5311E">
      <w:pPr>
        <w:pStyle w:val="76"/>
      </w:pPr>
    </w:p>
    <w:p w14:paraId="18056D48">
      <w:pPr>
        <w:pStyle w:val="76"/>
      </w:pPr>
    </w:p>
    <w:p w14:paraId="26286503">
      <w:pPr>
        <w:pStyle w:val="76"/>
      </w:pPr>
    </w:p>
    <w:p w14:paraId="0FF49054">
      <w:pPr>
        <w:pStyle w:val="76"/>
      </w:pPr>
    </w:p>
    <w:p w14:paraId="2CCEE4DB">
      <w:pPr>
        <w:pStyle w:val="76"/>
      </w:pPr>
    </w:p>
    <w:p w14:paraId="60C29E03">
      <w:pPr>
        <w:pStyle w:val="76"/>
      </w:pPr>
    </w:p>
    <w:p w14:paraId="640F4E3A">
      <w:pPr>
        <w:pStyle w:val="76"/>
      </w:pPr>
    </w:p>
    <w:p w14:paraId="48B6C05D">
      <w:pPr>
        <w:pStyle w:val="76"/>
      </w:pPr>
    </w:p>
    <w:p w14:paraId="76AAC4E6">
      <w:pPr>
        <w:pStyle w:val="76"/>
      </w:pPr>
    </w:p>
    <w:p w14:paraId="4D1F7B5B">
      <w:pPr>
        <w:pStyle w:val="76"/>
      </w:pPr>
    </w:p>
    <w:p w14:paraId="12BCB131">
      <w:pPr>
        <w:pStyle w:val="76"/>
      </w:pPr>
    </w:p>
    <w:p w14:paraId="03A5F420">
      <w:pPr>
        <w:pStyle w:val="76"/>
      </w:pPr>
    </w:p>
    <w:p w14:paraId="51870CDD">
      <w:pPr>
        <w:pStyle w:val="76"/>
      </w:pPr>
    </w:p>
    <w:p w14:paraId="19001563">
      <w:pPr>
        <w:pStyle w:val="76"/>
      </w:pPr>
    </w:p>
    <w:p w14:paraId="3D820EEC">
      <w:pPr>
        <w:pStyle w:val="71"/>
      </w:pPr>
      <w:bookmarkStart w:id="10" w:name="_Toc7753"/>
      <w:bookmarkStart w:id="11" w:name="_Toc47976595"/>
      <w:r>
        <w:rPr>
          <w:rFonts w:hint="eastAsia"/>
        </w:rPr>
        <w:t>第一部分  投标人须知</w:t>
      </w:r>
      <w:bookmarkEnd w:id="10"/>
      <w:bookmarkEnd w:id="11"/>
    </w:p>
    <w:p w14:paraId="418340FC">
      <w:pPr>
        <w:pStyle w:val="72"/>
        <w:numPr>
          <w:ilvl w:val="0"/>
          <w:numId w:val="15"/>
        </w:numPr>
        <w:ind w:left="420"/>
        <w:jc w:val="left"/>
      </w:pPr>
      <w:bookmarkStart w:id="12" w:name="_Toc47976596"/>
      <w:r>
        <w:rPr>
          <w:rFonts w:hint="eastAsia"/>
        </w:rPr>
        <w:t>项目介绍</w:t>
      </w:r>
      <w:bookmarkEnd w:id="12"/>
    </w:p>
    <w:p w14:paraId="6360E7CD">
      <w:pPr>
        <w:pStyle w:val="76"/>
        <w:numPr>
          <w:ilvl w:val="0"/>
          <w:numId w:val="16"/>
        </w:numPr>
        <w:ind w:left="425" w:leftChars="0" w:hanging="425" w:firstLineChars="0"/>
      </w:pPr>
      <w:r>
        <w:rPr>
          <w:rFonts w:hint="eastAsia"/>
        </w:rPr>
        <w:t>项目名称：</w:t>
      </w:r>
      <w:r>
        <w:rPr>
          <w:rFonts w:hint="eastAsia"/>
          <w:highlight w:val="none"/>
          <w:lang w:val="en-US" w:eastAsia="zh-CN"/>
        </w:rPr>
        <w:t>杭发公司安全评价技术服务项目</w:t>
      </w:r>
    </w:p>
    <w:p w14:paraId="17A97EAA">
      <w:pPr>
        <w:pStyle w:val="76"/>
        <w:numPr>
          <w:ilvl w:val="0"/>
          <w:numId w:val="16"/>
        </w:numPr>
        <w:ind w:left="425" w:leftChars="0" w:hanging="425" w:firstLineChars="0"/>
      </w:pPr>
      <w:r>
        <w:rPr>
          <w:rFonts w:hint="eastAsia"/>
        </w:rPr>
        <w:t>项目编号：</w:t>
      </w:r>
      <w:r>
        <w:rPr>
          <w:rFonts w:hint="eastAsia"/>
          <w:highlight w:val="none"/>
          <w:lang w:val="en-US" w:eastAsia="zh-CN"/>
        </w:rPr>
        <w:t>FSCZB2025100261</w:t>
      </w:r>
    </w:p>
    <w:p w14:paraId="5C6CF568">
      <w:pPr>
        <w:pStyle w:val="76"/>
        <w:numPr>
          <w:ilvl w:val="0"/>
          <w:numId w:val="16"/>
        </w:numPr>
        <w:ind w:left="425" w:leftChars="0" w:hanging="425" w:firstLineChars="0"/>
      </w:pPr>
      <w:r>
        <w:rPr>
          <w:rFonts w:hint="eastAsia"/>
        </w:rPr>
        <w:t>招标形式：</w:t>
      </w:r>
      <w:bookmarkStart w:id="13" w:name="_Toc47112482"/>
      <w:r>
        <w:rPr>
          <w:rFonts w:hint="eastAsia"/>
          <w:highlight w:val="none"/>
          <w:lang w:val="en-US" w:eastAsia="zh-CN"/>
        </w:rPr>
        <w:t>公开招标</w:t>
      </w:r>
    </w:p>
    <w:p w14:paraId="742B3A80">
      <w:pPr>
        <w:pStyle w:val="76"/>
        <w:numPr>
          <w:ilvl w:val="0"/>
          <w:numId w:val="16"/>
        </w:numPr>
        <w:ind w:left="425" w:leftChars="0" w:hanging="425" w:firstLineChars="0"/>
        <w:rPr>
          <w:highlight w:val="none"/>
        </w:rPr>
      </w:pPr>
      <w:r>
        <w:rPr>
          <w:rFonts w:hint="eastAsia"/>
          <w:lang w:val="en-US" w:eastAsia="zh-CN"/>
        </w:rPr>
        <w:t>项目概况：</w:t>
      </w:r>
      <w:r>
        <w:rPr>
          <w:rFonts w:hint="eastAsia"/>
          <w:highlight w:val="none"/>
          <w:lang w:val="en-US" w:eastAsia="zh-CN"/>
        </w:rPr>
        <w:t>杭发公司的安全现状评价于2023年1月完成，即将满三年，根据相关法律法规要求，应当委托具备国家规定的资质条件的第三方机构，对本企业的安全生产条件每三年进行一次安全评价，并编制安全评价报告。</w:t>
      </w:r>
    </w:p>
    <w:p w14:paraId="151561C8">
      <w:pPr>
        <w:pStyle w:val="76"/>
        <w:numPr>
          <w:ilvl w:val="0"/>
          <w:numId w:val="16"/>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6"/>
        </w:numPr>
        <w:ind w:left="425" w:leftChars="0" w:hanging="425" w:firstLineChars="0"/>
        <w:rPr>
          <w:rFonts w:hint="default" w:cs="Times New Roman"/>
          <w:u w:val="none"/>
          <w:lang w:val="en-US" w:eastAsia="zh-CN"/>
        </w:rPr>
      </w:pPr>
      <w:r>
        <w:rPr>
          <w:rFonts w:hint="eastAsia"/>
          <w:lang w:val="en-US" w:eastAsia="zh-CN"/>
        </w:rPr>
        <w:t>报价：</w:t>
      </w:r>
    </w:p>
    <w:p w14:paraId="6648D6C5">
      <w:pPr>
        <w:pStyle w:val="76"/>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（1）报价货币：人民币（应同时报含税价和不含税价，写明税率）。</w:t>
      </w:r>
    </w:p>
    <w:p w14:paraId="2BE21298">
      <w:pPr>
        <w:pStyle w:val="76"/>
        <w:numPr>
          <w:ilvl w:val="0"/>
          <w:numId w:val="0"/>
        </w:numPr>
        <w:ind w:leftChars="0"/>
        <w:rPr>
          <w:rFonts w:hint="default"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（2）投标限价：人民币</w:t>
      </w:r>
      <w:r>
        <w:rPr>
          <w:rFonts w:hint="eastAsia" w:cs="Times New Roman"/>
          <w:b/>
          <w:bCs/>
          <w:color w:val="auto"/>
          <w:highlight w:val="none"/>
          <w:u w:val="none"/>
          <w:lang w:val="en-US" w:eastAsia="zh-CN"/>
        </w:rPr>
        <w:t>10.74</w:t>
      </w:r>
      <w:r>
        <w:rPr>
          <w:rFonts w:hint="eastAsia" w:cs="Times New Roman"/>
          <w:b w:val="0"/>
          <w:bCs w:val="0"/>
          <w:color w:val="auto"/>
          <w:highlight w:val="none"/>
          <w:u w:val="none"/>
          <w:lang w:val="en-US" w:eastAsia="zh-CN"/>
        </w:rPr>
        <w:t>万元（含税），超过投标限价无法投标。</w:t>
      </w:r>
    </w:p>
    <w:p w14:paraId="2A2F2260">
      <w:pPr>
        <w:pStyle w:val="76"/>
        <w:numPr>
          <w:ilvl w:val="0"/>
          <w:numId w:val="16"/>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65218C5D">
      <w:pPr>
        <w:pStyle w:val="76"/>
        <w:numPr>
          <w:ilvl w:val="0"/>
          <w:numId w:val="17"/>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招标人名称：中国重汽集团杭州发动机有限公司</w:t>
      </w:r>
    </w:p>
    <w:p w14:paraId="3895460C">
      <w:pPr>
        <w:pStyle w:val="76"/>
        <w:numPr>
          <w:ilvl w:val="0"/>
          <w:numId w:val="17"/>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商务联系人：袁晖/17860605118; 邮箱：yuanhui@sinotruk.com</w:t>
      </w:r>
    </w:p>
    <w:p w14:paraId="4902D5AB">
      <w:pPr>
        <w:pStyle w:val="76"/>
        <w:numPr>
          <w:ilvl w:val="0"/>
          <w:numId w:val="17"/>
        </w:numPr>
        <w:ind w:leftChars="0"/>
        <w:rPr>
          <w:rFonts w:hint="eastAsia" w:cs="Times New Roman"/>
          <w:b w:val="0"/>
          <w:bCs w:val="0"/>
          <w:color w:val="auto"/>
          <w:highlight w:val="none"/>
          <w:lang w:val="en-US" w:eastAsia="zh-CN"/>
        </w:rPr>
      </w:pPr>
      <w:r>
        <w:rPr>
          <w:rFonts w:hint="eastAsia" w:cs="Times New Roman"/>
          <w:b w:val="0"/>
          <w:bCs w:val="0"/>
          <w:color w:val="auto"/>
          <w:highlight w:val="none"/>
          <w:lang w:val="en-US" w:eastAsia="zh-CN"/>
        </w:rPr>
        <w:t>技术联系人：谢飞/13656690608； 邮箱：13656690608@163.com</w:t>
      </w:r>
    </w:p>
    <w:bookmarkEnd w:id="13"/>
    <w:p w14:paraId="50DC6C75">
      <w:pPr>
        <w:pStyle w:val="72"/>
        <w:rPr>
          <w:highlight w:val="none"/>
        </w:rPr>
      </w:pPr>
      <w:bookmarkStart w:id="14" w:name="_Toc47976598"/>
      <w:r>
        <w:rPr>
          <w:rFonts w:hint="eastAsia"/>
          <w:highlight w:val="none"/>
        </w:rPr>
        <w:t>合格的投标人</w:t>
      </w:r>
      <w:bookmarkEnd w:id="14"/>
    </w:p>
    <w:p w14:paraId="498C6269">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投标人须遵守《中华人民共和国招标投标法》、《中华人民共和国民法典》及其它有关的法律和法规；为中华人民共和国境内注册的独立法人机构，具有独立承担民事责任能力；</w:t>
      </w:r>
    </w:p>
    <w:p w14:paraId="462C8F91">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公司成立三年以上（以营业执照成立日期到开标当日满三年为准）；原则上注册资金不少于50万元或不低于项目标的额，投标人注册资金不符条件但确属优秀的，经项目实施单位和业务主管部门负责人会签后，可接受投标；经营范围满足招标项目需求；并在人员、设备、资金等方面具有承担本项目的能力；投标人具备金属熔炼铸造工艺的安全评价资质。</w:t>
      </w:r>
    </w:p>
    <w:p w14:paraId="00A96B25">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投标人须提供具有统一社会信用代码的新版营业执照副本复印件（加盖公章）；</w:t>
      </w:r>
    </w:p>
    <w:p w14:paraId="58B68932">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投标人必须是能够提供环保咨询服务业务的机构，对环境保护综合应急管理具有深刻理解，熟悉国家各类环境保护法律法规和标准、技术导则。</w:t>
      </w:r>
    </w:p>
    <w:p w14:paraId="4CA4315C">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具有良好的商业信誉，未被列入过经营异常名录和未曾列入严重违法失信企业名单。在“国家企业信用信息公示系统”、“中国执行信息公开网”、“信用中国”、“天眼查”“裁判文书网”等信息平台中，无行政处罚、失信记录及未被列入过经营异常名录等信息；</w:t>
      </w:r>
    </w:p>
    <w:p w14:paraId="220505A9">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无招标违规、谎报年度报告信息、提供虚假资质资料等行为或其他行政处罚记录；</w:t>
      </w:r>
    </w:p>
    <w:p w14:paraId="39BEBAF3">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具有健全的财务会计制度，有依法缴纳税收和社会保障资金的良好记录；投标单位需提供（2022年至今）经会计师事务所或审计机构出具的财务审计报告，保证单位财务状况良好可以进行投标；</w:t>
      </w:r>
    </w:p>
    <w:p w14:paraId="4D8B0836">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投标人必须是最终投标、签订合同的单位，不得以任何理由将已中标项目以任何形式转包给其他单位；</w:t>
      </w:r>
    </w:p>
    <w:p w14:paraId="115A6917">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本次招标项目不接受联合体投标。</w:t>
      </w:r>
    </w:p>
    <w:p w14:paraId="394F570F">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供方的直接或间接股东、法定代表人、董事、监事、高管非重汽员工及其亲属。</w:t>
      </w:r>
    </w:p>
    <w:p w14:paraId="4B4A4523">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投标人须认可招标人的工作指令，包括节假日、夜间能正常开展工作的要求；</w:t>
      </w:r>
    </w:p>
    <w:p w14:paraId="3E8336DC">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在资质后审环节，投标单位对以上资质内容弄虚作假的，一经查实，列入集团采购黑名单，永不采用。</w:t>
      </w:r>
    </w:p>
    <w:p w14:paraId="2389B965">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中国重汽集团杭州发动机有限公司负责对招标文件进行说明，并解答投标单位提出的问题。</w:t>
      </w:r>
    </w:p>
    <w:p w14:paraId="3C8DE851">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pPr>
      <w:r>
        <w:rPr>
          <w:rFonts w:hint="eastAsia"/>
        </w:rPr>
        <w:t>招标文件的修改通知书构成招标文件的一部分，对投标单位具有约束力。</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14:paraId="09A92690">
      <w:pPr>
        <w:pStyle w:val="76"/>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4</w:t>
      </w:r>
      <w:r>
        <w:rPr>
          <w:rFonts w:hint="eastAsia" w:ascii="宋体" w:hAnsi="Courier New" w:eastAsia="宋体" w:cs="Times New Roman"/>
          <w:highlight w:val="none"/>
          <w:u w:val="single"/>
          <w:lang w:val="en-US" w:eastAsia="zh-CN"/>
        </w:rPr>
        <w:t>日</w:t>
      </w:r>
    </w:p>
    <w:p w14:paraId="41FDA27A">
      <w:pPr>
        <w:pStyle w:val="76"/>
        <w:numPr>
          <w:ilvl w:val="0"/>
          <w:numId w:val="19"/>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14:paraId="62084E4B">
      <w:pPr>
        <w:pStyle w:val="76"/>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14</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12:00</w:t>
      </w:r>
      <w:r>
        <w:rPr>
          <w:rFonts w:hint="eastAsia" w:ascii="宋体" w:hAnsi="Courier New" w:eastAsia="宋体" w:cs="Times New Roman"/>
          <w:highlight w:val="none"/>
          <w:u w:val="single"/>
          <w:lang w:val="en-US" w:eastAsia="zh-CN"/>
        </w:rPr>
        <w:t>前</w:t>
      </w:r>
    </w:p>
    <w:p w14:paraId="62CB87C4">
      <w:pPr>
        <w:pStyle w:val="76"/>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6"/>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14</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17:00</w:t>
      </w:r>
      <w:r>
        <w:rPr>
          <w:rFonts w:hint="eastAsia" w:ascii="宋体" w:hAnsi="Courier New" w:eastAsia="宋体" w:cs="Times New Roman"/>
          <w:highlight w:val="none"/>
          <w:u w:val="single"/>
          <w:lang w:val="en-US" w:eastAsia="zh-CN"/>
        </w:rPr>
        <w:t>前</w:t>
      </w:r>
    </w:p>
    <w:p w14:paraId="59AC1516">
      <w:pPr>
        <w:pStyle w:val="76"/>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keepNext w:val="0"/>
        <w:keepLines w:val="0"/>
        <w:pageBreakBefore w:val="0"/>
        <w:widowControl w:val="0"/>
        <w:numPr>
          <w:ilvl w:val="0"/>
          <w:numId w:val="19"/>
        </w:numPr>
        <w:kinsoku/>
        <w:wordWrap/>
        <w:overflowPunct/>
        <w:topLinePunct w:val="0"/>
        <w:autoSpaceDE/>
        <w:autoSpaceDN/>
        <w:bidi w:val="0"/>
        <w:adjustRightInd/>
        <w:snapToGrid/>
        <w:ind w:left="0" w:firstLine="0"/>
        <w:textAlignment w:val="auto"/>
        <w:rPr>
          <w:rFonts w:hint="eastAsia"/>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”，登录重汽e采通平台后进入“供应商应标”，选择对应的项目，点击“应标”后按照招标文件中</w:t>
      </w:r>
      <w:r>
        <w:rPr>
          <w:rFonts w:hint="eastAsia"/>
          <w:highlight w:val="none"/>
          <w:lang w:val="en-US" w:eastAsia="zh-CN"/>
        </w:rPr>
        <w:t>“投标说明-投标文件的组成-资质文件”的要求</w:t>
      </w:r>
      <w:r>
        <w:rPr>
          <w:rFonts w:hint="eastAsia"/>
          <w:lang w:val="en-US" w:eastAsia="zh-CN"/>
        </w:rPr>
        <w:t>准备资料，资质审查通过即为报名成功；公示期间请尽快报名，应标报名成功后，</w:t>
      </w:r>
      <w:r>
        <w:rPr>
          <w:rFonts w:hint="eastAsia"/>
          <w:highlight w:val="none"/>
          <w:lang w:val="en-US" w:eastAsia="zh-CN"/>
        </w:rPr>
        <w:t>进入“供应商投标”环节</w:t>
      </w:r>
      <w:r>
        <w:rPr>
          <w:rFonts w:hint="eastAsia"/>
          <w:lang w:val="en-US" w:eastAsia="zh-CN"/>
        </w:rPr>
        <w:t>。</w:t>
      </w:r>
    </w:p>
    <w:p w14:paraId="6DC2B408">
      <w:pPr>
        <w:pStyle w:val="76"/>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cs="Times New Roman"/>
          <w:highlight w:val="none"/>
          <w:u w:val="single"/>
          <w:lang w:val="en-US" w:eastAsia="zh-CN"/>
        </w:rPr>
        <w:t>2025年11月14日17:00</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14:paraId="59493963">
      <w:pPr>
        <w:pStyle w:val="73"/>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投标人编写的投标文件由《投标文件（资质标）》、《投标文件（技术标）》(若有）、《投标文件（商务标）》（开标一览表）文件组成，共计</w:t>
      </w:r>
      <w:r>
        <w:rPr>
          <w:rFonts w:hint="eastAsia"/>
          <w:highlight w:val="none"/>
          <w:u w:val="single"/>
          <w:lang w:val="en-US" w:eastAsia="zh-CN"/>
        </w:rPr>
        <w:t xml:space="preserve"> 3 </w:t>
      </w:r>
      <w:r>
        <w:rPr>
          <w:rFonts w:hint="eastAsia"/>
          <w:lang w:val="en-US" w:eastAsia="zh-CN"/>
        </w:rPr>
        <w:t>个文件。</w:t>
      </w:r>
    </w:p>
    <w:p w14:paraId="2DD7BA97">
      <w:pPr>
        <w:pStyle w:val="74"/>
        <w:numPr>
          <w:ilvl w:val="0"/>
          <w:numId w:val="21"/>
        </w:numPr>
        <w:ind w:left="425" w:leftChars="0" w:hanging="425" w:firstLineChars="0"/>
        <w:rPr>
          <w:b w:val="0"/>
          <w:bCs/>
          <w:highlight w:val="none"/>
        </w:rPr>
      </w:pPr>
      <w:r>
        <w:rPr>
          <w:rFonts w:hint="eastAsia"/>
          <w:b w:val="0"/>
          <w:bCs/>
          <w:highlight w:val="none"/>
        </w:rPr>
        <w:t>资质文件：</w:t>
      </w:r>
    </w:p>
    <w:p w14:paraId="3AB968FF">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法定代表人身份证明；</w:t>
      </w:r>
    </w:p>
    <w:p w14:paraId="38FCE8C3">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shd w:val="clear" w:color="auto" w:fill="auto"/>
        </w:rPr>
      </w:pPr>
      <w:r>
        <w:rPr>
          <w:rFonts w:hint="eastAsia"/>
          <w:shd w:val="clear" w:color="auto" w:fill="auto"/>
        </w:rPr>
        <w:t>法定代表人授权委托书（授权人需带身份证原件）；</w:t>
      </w:r>
    </w:p>
    <w:p w14:paraId="61475670">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shd w:val="clear" w:color="auto" w:fill="auto"/>
        </w:rPr>
      </w:pPr>
      <w:r>
        <w:rPr>
          <w:rFonts w:hint="eastAsia"/>
          <w:shd w:val="clear" w:color="auto" w:fill="auto"/>
        </w:rPr>
        <w:t>营业执照副本原件</w:t>
      </w:r>
      <w:r>
        <w:rPr>
          <w:rFonts w:hint="eastAsia"/>
          <w:shd w:val="clear" w:color="auto" w:fill="auto"/>
          <w:lang w:val="en-US" w:eastAsia="zh-CN"/>
        </w:rPr>
        <w:t>或复印件并加盖公章</w:t>
      </w:r>
      <w:r>
        <w:rPr>
          <w:rFonts w:hint="eastAsia"/>
          <w:shd w:val="clear" w:color="auto" w:fill="auto"/>
        </w:rPr>
        <w:t>；</w:t>
      </w:r>
    </w:p>
    <w:p w14:paraId="36653DE8">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highlight w:val="none"/>
          <w:shd w:val="clear" w:color="auto" w:fill="auto"/>
        </w:rPr>
      </w:pPr>
      <w:r>
        <w:rPr>
          <w:rFonts w:hint="eastAsia"/>
          <w:highlight w:val="none"/>
          <w:shd w:val="clear" w:color="auto" w:fill="auto"/>
        </w:rPr>
        <w:t>投标人应具有相应生产证明；</w:t>
      </w:r>
    </w:p>
    <w:p w14:paraId="5DF83FDE">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shd w:val="clear" w:color="auto" w:fill="auto"/>
        </w:rPr>
      </w:pPr>
      <w:r>
        <w:rPr>
          <w:rFonts w:hint="eastAsia"/>
          <w:shd w:val="clear" w:color="auto" w:fill="auto"/>
        </w:rPr>
        <w:t>证明投标人满足投标资料表中列出的业绩要求的文件</w:t>
      </w:r>
      <w:r>
        <w:rPr>
          <w:rFonts w:hint="eastAsia"/>
          <w:shd w:val="clear" w:color="auto" w:fill="auto"/>
          <w:lang w:eastAsia="zh-CN"/>
        </w:rPr>
        <w:t>；</w:t>
      </w:r>
    </w:p>
    <w:p w14:paraId="60E5176D">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84E8721">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企业最近半年完税证明、信用证明材料（征信报告）；</w:t>
      </w:r>
    </w:p>
    <w:p w14:paraId="126BA795">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年度纳税信用评价信息（可从电子税务局查询截图，需加盖公章）；</w:t>
      </w:r>
    </w:p>
    <w:p w14:paraId="0CC283E4">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shd w:val="clear" w:color="auto" w:fill="auto"/>
        </w:rPr>
      </w:pPr>
      <w:r>
        <w:rPr>
          <w:rFonts w:hint="eastAsia"/>
          <w:shd w:val="clear" w:color="auto" w:fill="auto"/>
        </w:rPr>
        <w:t>企业对外担保说明（写明贵单位对外有无对外担保和质押业务，需加盖公章）。</w:t>
      </w:r>
    </w:p>
    <w:p w14:paraId="68C56D25">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eastAsia="宋体"/>
          <w:lang w:eastAsia="zh-CN"/>
        </w:rPr>
      </w:pPr>
      <w:r>
        <w:rPr>
          <w:rFonts w:hint="eastAsia"/>
          <w:shd w:val="clear" w:color="auto" w:fill="auto"/>
        </w:rPr>
        <w:t>信用中国截图或国家企业信用信息公示系统截图；</w:t>
      </w:r>
    </w:p>
    <w:p w14:paraId="5A12E06C">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lang w:eastAsia="zh-CN"/>
        </w:rPr>
      </w:pPr>
      <w:r>
        <w:rPr>
          <w:rFonts w:hint="eastAsia"/>
          <w:shd w:val="clear" w:color="auto" w:fill="auto"/>
          <w:lang w:eastAsia="zh-CN"/>
        </w:rPr>
        <w:t>投标保证金缴纳凭证，同时正文描述付款账号、户名、开户行名称、开户行行号、保证金金额。</w:t>
      </w:r>
    </w:p>
    <w:p w14:paraId="78419646">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pPr>
      <w:r>
        <w:rPr>
          <w:rFonts w:hint="eastAsia"/>
          <w:shd w:val="clear" w:color="auto" w:fill="auto"/>
        </w:rPr>
        <w:t>招标文件中要求的其它资格证明文件。</w:t>
      </w:r>
    </w:p>
    <w:p w14:paraId="0FCAA68A">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21"/>
        </w:numPr>
        <w:ind w:left="425" w:leftChars="0" w:hanging="425" w:firstLineChars="0"/>
        <w:rPr>
          <w:rFonts w:hint="eastAsia" w:cs="Times New Roman"/>
          <w:b w:val="0"/>
          <w:bCs/>
          <w:highlight w:val="none"/>
        </w:rPr>
      </w:pPr>
      <w:r>
        <w:rPr>
          <w:rFonts w:hint="eastAsia" w:cs="Times New Roman"/>
          <w:b w:val="0"/>
          <w:bCs/>
          <w:highlight w:val="none"/>
        </w:rPr>
        <w:t>技术标：</w:t>
      </w:r>
    </w:p>
    <w:p w14:paraId="0004BFFC">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highlight w:val="none"/>
        </w:rPr>
      </w:pPr>
      <w:r>
        <w:rPr>
          <w:rFonts w:hint="eastAsia"/>
          <w:highlight w:val="none"/>
        </w:rPr>
        <w:t>技术规格偏离表；</w:t>
      </w:r>
    </w:p>
    <w:p w14:paraId="76EEF23B">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highlight w:val="none"/>
        </w:rPr>
      </w:pPr>
      <w:r>
        <w:rPr>
          <w:rFonts w:hint="eastAsia"/>
          <w:highlight w:val="none"/>
        </w:rPr>
        <w:t>技术</w:t>
      </w:r>
      <w:r>
        <w:rPr>
          <w:rFonts w:hint="eastAsia"/>
          <w:highlight w:val="none"/>
          <w:lang w:val="en-US" w:eastAsia="zh-CN"/>
        </w:rPr>
        <w:t>供方认为需要提交的其他文件。</w:t>
      </w:r>
    </w:p>
    <w:p w14:paraId="47175D6D">
      <w:pPr>
        <w:pStyle w:val="74"/>
        <w:numPr>
          <w:ilvl w:val="0"/>
          <w:numId w:val="21"/>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lang w:val="en-US" w:eastAsia="zh-CN"/>
        </w:rPr>
        <w:t>开标一览表；</w:t>
      </w:r>
    </w:p>
    <w:p w14:paraId="0DFA5CBE">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投标函（格式见附件）</w:t>
      </w:r>
      <w:r>
        <w:rPr>
          <w:rFonts w:hint="eastAsia"/>
          <w:highlight w:val="none"/>
          <w:lang w:eastAsia="zh-CN"/>
        </w:rPr>
        <w:t>；</w:t>
      </w:r>
    </w:p>
    <w:p w14:paraId="5C36F232">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商务条款偏离表；</w:t>
      </w:r>
    </w:p>
    <w:p w14:paraId="0BD75519">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rFonts w:hint="eastAsia"/>
          <w:highlight w:val="none"/>
          <w:lang w:val="en-US" w:eastAsia="zh-CN"/>
        </w:rPr>
      </w:pPr>
      <w:r>
        <w:rPr>
          <w:rFonts w:hint="eastAsia"/>
          <w:highlight w:val="none"/>
        </w:rPr>
        <w:t>报价</w:t>
      </w:r>
      <w:r>
        <w:rPr>
          <w:rFonts w:hint="eastAsia"/>
          <w:highlight w:val="none"/>
          <w:lang w:val="en-US" w:eastAsia="zh-CN"/>
        </w:rPr>
        <w:t>明细</w:t>
      </w:r>
      <w:r>
        <w:rPr>
          <w:rFonts w:hint="eastAsia"/>
          <w:highlight w:val="none"/>
        </w:rPr>
        <w:t>表</w:t>
      </w:r>
      <w:r>
        <w:rPr>
          <w:rFonts w:hint="eastAsia"/>
          <w:highlight w:val="none"/>
          <w:lang w:eastAsia="zh-CN"/>
        </w:rPr>
        <w:t>。</w:t>
      </w:r>
    </w:p>
    <w:p w14:paraId="53DECED4">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10.74</w:t>
      </w:r>
      <w:r>
        <w:rPr>
          <w:rFonts w:hint="eastAsia" w:cs="Times New Roman"/>
          <w:b w:val="0"/>
          <w:bCs/>
          <w:highlight w:val="none"/>
        </w:rPr>
        <w:t>万元（含</w:t>
      </w:r>
      <w:r>
        <w:rPr>
          <w:rFonts w:hint="eastAsia" w:cs="Times New Roman"/>
          <w:b w:val="0"/>
          <w:bCs/>
          <w:highlight w:val="yellow"/>
          <w:u w:val="single"/>
          <w:lang w:val="en-US" w:eastAsia="zh-CN"/>
        </w:rPr>
        <w:t xml:space="preserve">6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F3B372B">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（包含资质标书、技术标书、商务标书）</w:t>
      </w:r>
      <w:r>
        <w:rPr>
          <w:rFonts w:hint="eastAsia"/>
          <w:lang w:val="en-US" w:eastAsia="zh-CN"/>
        </w:rPr>
        <w:t>，若逾期未在中国重汽e采通平台上传电子标书，一律视为无效投标。</w:t>
      </w:r>
    </w:p>
    <w:p w14:paraId="4AAA3F9B">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投标文件递交截止时间：</w:t>
      </w:r>
      <w:r>
        <w:rPr>
          <w:rFonts w:hint="eastAsia"/>
          <w:highlight w:val="none"/>
          <w:u w:val="single"/>
          <w:lang w:val="en-US" w:eastAsia="zh-CN"/>
        </w:rPr>
        <w:t>2025年11月26日上午9:00（北京时间）</w:t>
      </w:r>
    </w:p>
    <w:p w14:paraId="25974AAC">
      <w:pPr>
        <w:pStyle w:val="72"/>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投标保证金的缴纳</w:t>
      </w:r>
    </w:p>
    <w:p w14:paraId="021ADB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rPr>
        <w:t>投标保证金</w:t>
      </w:r>
      <w:r>
        <w:rPr>
          <w:rFonts w:hint="eastAsia"/>
          <w:lang w:val="en-US" w:eastAsia="zh-CN"/>
        </w:rPr>
        <w:t>的缴纳</w:t>
      </w:r>
      <w:r>
        <w:rPr>
          <w:rFonts w:hint="eastAsia"/>
        </w:rPr>
        <w:t>形式：</w:t>
      </w:r>
      <w:r>
        <w:rPr>
          <w:rFonts w:hint="eastAsia"/>
          <w:lang w:val="en-US" w:eastAsia="zh-CN"/>
        </w:rPr>
        <w:t>从银行基本账户转账</w:t>
      </w:r>
    </w:p>
    <w:p w14:paraId="04CD31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rPr>
        <w:t>投标保证金的金额：</w:t>
      </w:r>
      <w:r>
        <w:rPr>
          <w:rFonts w:hint="eastAsia"/>
          <w:u w:val="single"/>
        </w:rPr>
        <w:t>人民币</w:t>
      </w:r>
      <w:r>
        <w:rPr>
          <w:rFonts w:hint="eastAsia"/>
          <w:highlight w:val="none"/>
          <w:u w:val="single"/>
          <w:lang w:val="en-US" w:eastAsia="zh-CN"/>
        </w:rPr>
        <w:t>5000</w:t>
      </w:r>
      <w:r>
        <w:rPr>
          <w:rFonts w:hint="eastAsia"/>
          <w:u w:val="single"/>
          <w:lang w:val="en-US" w:eastAsia="zh-CN"/>
        </w:rPr>
        <w:t xml:space="preserve"> </w:t>
      </w:r>
      <w:r>
        <w:rPr>
          <w:rFonts w:hint="eastAsia"/>
          <w:u w:val="single"/>
        </w:rPr>
        <w:t>元</w:t>
      </w:r>
    </w:p>
    <w:p w14:paraId="628790D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highlight w:val="none"/>
          <w:lang w:val="en-US" w:eastAsia="zh-CN"/>
        </w:rPr>
      </w:pPr>
      <w:r>
        <w:rPr>
          <w:rFonts w:hint="eastAsia"/>
          <w:highlight w:val="none"/>
          <w:lang w:val="en-US" w:eastAsia="zh-CN"/>
        </w:rPr>
        <w:t>（3）单</w:t>
      </w:r>
      <w:r>
        <w:rPr>
          <w:rFonts w:hint="eastAsia" w:ascii="宋体" w:hAnsi="宋体" w:eastAsia="宋体" w:cs="宋体"/>
          <w:highlight w:val="none"/>
          <w:lang w:val="en-US" w:eastAsia="zh-CN"/>
        </w:rPr>
        <w:t>位</w:t>
      </w:r>
      <w:r>
        <w:rPr>
          <w:rFonts w:hint="eastAsia" w:ascii="宋体" w:hAnsi="宋体" w:eastAsia="宋体" w:cs="宋体"/>
          <w:highlight w:val="none"/>
        </w:rPr>
        <w:t>名称：</w:t>
      </w:r>
      <w:r>
        <w:rPr>
          <w:rFonts w:hint="eastAsia" w:ascii="宋体" w:hAnsi="宋体" w:cs="宋体"/>
          <w:highlight w:val="none"/>
          <w:u w:val="single"/>
          <w:lang w:val="en-US" w:eastAsia="zh-CN"/>
        </w:rPr>
        <w:t>中国重汽集团杭州发动机有限公司</w:t>
      </w:r>
    </w:p>
    <w:p w14:paraId="0B0EC27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highlight w:val="none"/>
          <w:lang w:val="en-US"/>
        </w:rPr>
      </w:pPr>
      <w:r>
        <w:rPr>
          <w:rFonts w:hint="eastAsia" w:ascii="宋体" w:hAnsi="宋体" w:eastAsia="宋体" w:cs="宋体"/>
          <w:highlight w:val="none"/>
          <w:lang w:val="en-US" w:eastAsia="zh-CN"/>
        </w:rPr>
        <w:t>收款账号</w:t>
      </w:r>
      <w:r>
        <w:rPr>
          <w:rFonts w:hint="eastAsia" w:ascii="宋体" w:hAnsi="宋体" w:eastAsia="宋体" w:cs="宋体"/>
          <w:highlight w:val="none"/>
        </w:rPr>
        <w:t>：</w:t>
      </w:r>
      <w:r>
        <w:rPr>
          <w:rFonts w:hint="eastAsia" w:ascii="宋体" w:hAnsi="宋体" w:cs="宋体"/>
          <w:highlight w:val="none"/>
          <w:u w:val="single"/>
          <w:lang w:val="en-US" w:eastAsia="zh-CN"/>
        </w:rPr>
        <w:t>1202051439900007785</w:t>
      </w:r>
    </w:p>
    <w:p w14:paraId="4074AC1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开户行名称</w:t>
      </w:r>
      <w:r>
        <w:rPr>
          <w:rFonts w:hint="eastAsia" w:ascii="宋体" w:hAnsi="宋体" w:eastAsia="宋体" w:cs="宋体"/>
          <w:highlight w:val="none"/>
        </w:rPr>
        <w:t>：</w:t>
      </w:r>
      <w:r>
        <w:rPr>
          <w:rFonts w:hint="eastAsia" w:ascii="宋体" w:hAnsi="宋体" w:cs="宋体"/>
          <w:highlight w:val="none"/>
          <w:u w:val="single"/>
          <w:lang w:val="en-US" w:eastAsia="zh-CN"/>
        </w:rPr>
        <w:t>工行半道红支行</w:t>
      </w:r>
    </w:p>
    <w:p w14:paraId="5BBFD97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highlight w:val="none"/>
          <w:lang w:val="en-US" w:eastAsia="zh-CN"/>
        </w:rPr>
      </w:pPr>
      <w:r>
        <w:rPr>
          <w:rFonts w:hint="eastAsia" w:ascii="宋体" w:hAnsi="宋体" w:eastAsia="宋体" w:cs="宋体"/>
          <w:highlight w:val="none"/>
        </w:rPr>
        <w:t>开户行</w:t>
      </w:r>
      <w:r>
        <w:rPr>
          <w:rFonts w:hint="eastAsia" w:ascii="宋体" w:hAnsi="宋体" w:eastAsia="宋体" w:cs="宋体"/>
          <w:highlight w:val="none"/>
          <w:lang w:val="en-US" w:eastAsia="zh-CN"/>
        </w:rPr>
        <w:t>行号</w:t>
      </w:r>
      <w:r>
        <w:rPr>
          <w:rFonts w:hint="eastAsia" w:ascii="宋体" w:hAnsi="宋体" w:eastAsia="宋体" w:cs="宋体"/>
          <w:highlight w:val="none"/>
        </w:rPr>
        <w:t>：</w:t>
      </w:r>
      <w:r>
        <w:rPr>
          <w:rFonts w:hint="eastAsia" w:ascii="宋体" w:hAnsi="宋体" w:cs="宋体"/>
          <w:highlight w:val="none"/>
          <w:u w:val="single"/>
          <w:lang w:val="en-US" w:eastAsia="zh-CN"/>
        </w:rPr>
        <w:t>102331005147</w:t>
      </w:r>
    </w:p>
    <w:p w14:paraId="1591D62C">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lang w:eastAsia="zh-CN"/>
        </w:rPr>
        <w:t>（</w:t>
      </w:r>
      <w:r>
        <w:rPr>
          <w:rFonts w:hint="eastAsia" w:ascii="宋体" w:hAnsi="宋体" w:eastAsia="宋体" w:cs="宋体"/>
          <w:lang w:val="en-US" w:eastAsia="zh-CN"/>
        </w:rPr>
        <w:t>4</w:t>
      </w:r>
      <w:r>
        <w:rPr>
          <w:rFonts w:hint="eastAsia" w:ascii="宋体" w:hAnsi="宋体" w:eastAsia="宋体" w:cs="宋体"/>
          <w:lang w:eastAsia="zh-CN"/>
        </w:rPr>
        <w:t>）</w:t>
      </w:r>
      <w:r>
        <w:rPr>
          <w:rFonts w:hint="eastAsia" w:ascii="宋体" w:hAnsi="宋体" w:eastAsia="宋体" w:cs="宋体"/>
        </w:rPr>
        <w:t>保证金缴纳截止时间：</w:t>
      </w:r>
      <w:r>
        <w:rPr>
          <w:rFonts w:hint="eastAsia" w:ascii="宋体" w:hAnsi="宋体" w:eastAsia="宋体" w:cs="宋体"/>
          <w:highlight w:val="none"/>
          <w:u w:val="single"/>
        </w:rPr>
        <w:t>202</w:t>
      </w:r>
      <w:r>
        <w:rPr>
          <w:rFonts w:hint="eastAsia" w:ascii="宋体" w:hAnsi="宋体" w:eastAsia="宋体" w:cs="宋体"/>
          <w:highlight w:val="none"/>
          <w:u w:val="single"/>
          <w:lang w:val="en-US" w:eastAsia="zh-CN"/>
        </w:rPr>
        <w:t>5</w:t>
      </w:r>
      <w:r>
        <w:rPr>
          <w:rFonts w:hint="eastAsia" w:ascii="宋体" w:hAnsi="宋体" w:eastAsia="宋体" w:cs="宋体"/>
          <w:highlight w:val="none"/>
          <w:u w:val="single"/>
        </w:rPr>
        <w:t>年</w:t>
      </w:r>
      <w:r>
        <w:rPr>
          <w:rFonts w:hint="eastAsia" w:ascii="宋体" w:hAnsi="宋体" w:cs="宋体"/>
          <w:highlight w:val="none"/>
          <w:u w:val="single"/>
          <w:lang w:val="en-US" w:eastAsia="zh-CN"/>
        </w:rPr>
        <w:t>11</w:t>
      </w:r>
      <w:r>
        <w:rPr>
          <w:rFonts w:hint="eastAsia" w:ascii="宋体" w:hAnsi="宋体" w:eastAsia="宋体" w:cs="宋体"/>
          <w:highlight w:val="none"/>
          <w:u w:val="single"/>
        </w:rPr>
        <w:t>月</w:t>
      </w:r>
      <w:r>
        <w:rPr>
          <w:rFonts w:hint="eastAsia" w:ascii="宋体" w:hAnsi="宋体" w:cs="宋体"/>
          <w:highlight w:val="none"/>
          <w:u w:val="single"/>
          <w:lang w:val="en-US" w:eastAsia="zh-CN"/>
        </w:rPr>
        <w:t>26</w:t>
      </w:r>
      <w:r>
        <w:rPr>
          <w:rFonts w:hint="eastAsia" w:ascii="宋体" w:hAnsi="宋体" w:eastAsia="宋体" w:cs="宋体"/>
          <w:highlight w:val="none"/>
          <w:u w:val="single"/>
          <w:lang w:val="en-US" w:eastAsia="zh-CN"/>
        </w:rPr>
        <w:t>日9:00</w:t>
      </w:r>
    </w:p>
    <w:p w14:paraId="5306DE77">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rPr>
        <w:t>对于没有中标的</w:t>
      </w:r>
      <w:r>
        <w:rPr>
          <w:rFonts w:hint="eastAsia" w:ascii="宋体" w:hAnsi="宋体" w:eastAsia="宋体" w:cs="宋体"/>
          <w:lang w:eastAsia="zh-CN"/>
        </w:rPr>
        <w:t>投标人</w:t>
      </w:r>
      <w:r>
        <w:rPr>
          <w:rFonts w:hint="eastAsia" w:ascii="宋体" w:hAnsi="宋体" w:eastAsia="宋体" w:cs="宋体"/>
        </w:rPr>
        <w:t>，投标保证金将于招标人内部完成中标人评审并确认最终中标人后在</w:t>
      </w:r>
      <w:r>
        <w:rPr>
          <w:rFonts w:hint="eastAsia" w:ascii="宋体" w:hAnsi="宋体" w:cs="宋体"/>
          <w:highlight w:val="none"/>
          <w:lang w:val="en-US" w:eastAsia="zh-CN"/>
        </w:rPr>
        <w:t>30个工作日</w:t>
      </w:r>
      <w:r>
        <w:rPr>
          <w:rFonts w:hint="eastAsia" w:ascii="宋体" w:hAnsi="宋体" w:eastAsia="宋体" w:cs="宋体"/>
          <w:highlight w:val="none"/>
        </w:rPr>
        <w:t>内</w:t>
      </w:r>
      <w:r>
        <w:rPr>
          <w:rFonts w:hint="eastAsia" w:ascii="宋体" w:hAnsi="宋体" w:eastAsia="宋体" w:cs="宋体"/>
        </w:rPr>
        <w:t>予以原路返还（无息）；对于中标方，投标保证金将在签订合同</w:t>
      </w:r>
      <w:r>
        <w:rPr>
          <w:rFonts w:hint="eastAsia" w:ascii="宋体" w:hAnsi="宋体" w:eastAsia="宋体" w:cs="宋体"/>
          <w:highlight w:val="none"/>
        </w:rPr>
        <w:t>后</w:t>
      </w:r>
      <w:r>
        <w:rPr>
          <w:rFonts w:hint="eastAsia" w:ascii="宋体" w:hAnsi="宋体" w:cs="宋体"/>
          <w:highlight w:val="none"/>
          <w:lang w:val="en-US" w:eastAsia="zh-CN"/>
        </w:rPr>
        <w:t>30</w:t>
      </w:r>
      <w:r>
        <w:rPr>
          <w:rFonts w:hint="eastAsia" w:ascii="宋体" w:hAnsi="宋体" w:eastAsia="宋体" w:cs="宋体"/>
          <w:lang w:val="en-US" w:eastAsia="zh-CN"/>
        </w:rPr>
        <w:t>个</w:t>
      </w:r>
      <w:r>
        <w:rPr>
          <w:rFonts w:hint="eastAsia" w:ascii="宋体" w:hAnsi="宋体" w:eastAsia="宋体" w:cs="宋体"/>
        </w:rPr>
        <w:t>工作日内原路返还（无息）。</w:t>
      </w:r>
    </w:p>
    <w:p w14:paraId="271EC8CF">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ascii="宋体" w:hAnsi="宋体" w:eastAsia="仿宋_GB2312" w:cs="宋体"/>
          <w:b w:val="0"/>
          <w:bCs w:val="0"/>
          <w:szCs w:val="24"/>
          <w:highlight w:val="none"/>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5"/>
    <w:p w14:paraId="368B6990">
      <w:pPr>
        <w:pStyle w:val="72"/>
      </w:pPr>
      <w:r>
        <w:rPr>
          <w:rFonts w:hint="eastAsia"/>
          <w:lang w:val="en-US" w:eastAsia="zh-CN"/>
        </w:rPr>
        <w:t>开评标</w:t>
      </w:r>
    </w:p>
    <w:p w14:paraId="009655B5">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p>
    <w:p w14:paraId="65F6233B">
      <w:pPr>
        <w:keepNext w:val="0"/>
        <w:keepLines w:val="0"/>
        <w:pageBreakBefore w:val="0"/>
        <w:widowControl w:val="0"/>
        <w:numPr>
          <w:ilvl w:val="0"/>
          <w:numId w:val="29"/>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开标时间：</w:t>
      </w:r>
      <w:r>
        <w:rPr>
          <w:rFonts w:hint="eastAsia"/>
          <w:highlight w:val="none"/>
          <w:u w:val="single"/>
          <w:lang w:val="en-US" w:eastAsia="zh-CN"/>
        </w:rPr>
        <w:t>2025年11月26日上午9:00（北京时间），若有变动，另行通知。</w:t>
      </w:r>
    </w:p>
    <w:p w14:paraId="00CC8C95">
      <w:pPr>
        <w:pStyle w:val="16"/>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开标地点：济南市历城区华奥路777号重汽科技大厦（待定）</w:t>
      </w:r>
    </w:p>
    <w:p w14:paraId="377CB7F2">
      <w:pPr>
        <w:pStyle w:val="16"/>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rPr>
          <w:rFonts w:hint="eastAsia"/>
          <w:highlight w:val="none"/>
          <w:lang w:val="en-US" w:eastAsia="zh-CN"/>
        </w:rPr>
        <w:t>开标方式</w:t>
      </w:r>
      <w:r>
        <w:rPr>
          <w:rFonts w:hint="eastAsia"/>
          <w:lang w:val="en-US" w:eastAsia="zh-CN"/>
        </w:rPr>
        <w:t>：</w:t>
      </w:r>
    </w:p>
    <w:p w14:paraId="3EF8D0F8">
      <w:pPr>
        <w:pStyle w:val="72"/>
        <w:keepNext w:val="0"/>
        <w:keepLines w:val="0"/>
        <w:pageBreakBefore w:val="0"/>
        <w:widowControl w:val="0"/>
        <w:numPr>
          <w:ilvl w:val="0"/>
          <w:numId w:val="30"/>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3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7017266F">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w:t>
      </w:r>
      <w:r>
        <w:rPr>
          <w:rFonts w:hint="eastAsia" w:ascii="宋体" w:hAnsi="宋体" w:eastAsia="宋体" w:cs="宋体"/>
          <w:b/>
          <w:bCs/>
          <w:sz w:val="21"/>
          <w:szCs w:val="21"/>
          <w:highlight w:val="none"/>
          <w:lang w:val="en-US" w:eastAsia="zh-CN"/>
        </w:rPr>
        <w:t>合理最低价</w:t>
      </w:r>
      <w:r>
        <w:rPr>
          <w:rFonts w:hint="eastAsia" w:ascii="宋体" w:hAnsi="宋体" w:eastAsia="宋体" w:cs="宋体"/>
          <w:b w:val="0"/>
          <w:bCs w:val="0"/>
          <w:sz w:val="21"/>
          <w:szCs w:val="21"/>
          <w:highlight w:val="none"/>
          <w:lang w:val="en-US" w:eastAsia="zh-CN"/>
        </w:rPr>
        <w:t>中标，对未中标单位不做任何解释</w:t>
      </w:r>
    </w:p>
    <w:p w14:paraId="0B2A8F6D">
      <w:pPr>
        <w:pStyle w:val="72"/>
        <w:keepNext w:val="0"/>
        <w:keepLines w:val="0"/>
        <w:pageBreakBefore w:val="0"/>
        <w:widowControl w:val="0"/>
        <w:numPr>
          <w:ilvl w:val="0"/>
          <w:numId w:val="3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3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default"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9"/>
      <w:bookmarkStart w:id="17" w:name="OLE_LINK28"/>
      <w:bookmarkStart w:id="18" w:name="OLE_LINK27"/>
      <w:bookmarkStart w:id="19" w:name="OLE_LINK26"/>
      <w:bookmarkStart w:id="20" w:name="OLE_LINK25"/>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318E612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lang w:val="en-US" w:eastAsia="zh-CN"/>
        </w:rPr>
      </w:pPr>
      <w:r>
        <w:rPr>
          <w:rFonts w:hint="eastAsia" w:ascii="宋体" w:hAnsi="宋体" w:cs="宋体"/>
          <w:color w:val="000000"/>
          <w:sz w:val="21"/>
          <w:szCs w:val="21"/>
          <w:lang w:val="en-US" w:eastAsia="zh-CN"/>
        </w:rPr>
        <w:t>4</w:t>
      </w:r>
      <w:r>
        <w:rPr>
          <w:rFonts w:hint="eastAsia" w:ascii="宋体" w:hAnsi="宋体" w:cs="宋体"/>
          <w:color w:val="000000"/>
          <w:sz w:val="21"/>
          <w:szCs w:val="21"/>
        </w:rPr>
        <w:t>.招标人有权指定招标人的关联单位作为合同签订人，与中标人签署相关合同，且具体权利义务以中标人与招标人的关联公司最终签署的合同为准</w:t>
      </w:r>
      <w:r>
        <w:rPr>
          <w:rFonts w:hint="eastAsia" w:ascii="宋体" w:hAnsi="宋体" w:cs="宋体"/>
          <w:color w:val="000000"/>
          <w:sz w:val="21"/>
          <w:szCs w:val="21"/>
          <w:lang w:eastAsia="zh-CN"/>
        </w:rPr>
        <w:t>。</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lang w:val="en-US" w:eastAsia="zh-CN"/>
        </w:rPr>
        <w:t>5</w:t>
      </w:r>
      <w:r>
        <w:rPr>
          <w:rFonts w:hint="eastAsia" w:ascii="宋体" w:hAnsi="宋体" w:cs="宋体"/>
          <w:b/>
          <w:sz w:val="21"/>
          <w:szCs w:val="21"/>
        </w:rPr>
        <w:t>.中标人由于履行义务的能力或信用有严重缺陷，招标人有权取消其中标资格，招标人将从中标候选单位中依序重新确定中标人，或重新组织招标；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lang w:val="en-US" w:eastAsia="zh-CN"/>
        </w:rPr>
        <w:t>6</w:t>
      </w:r>
      <w:r>
        <w:rPr>
          <w:rFonts w:hint="eastAsia" w:ascii="宋体" w:hAnsi="宋体" w:cs="宋体"/>
          <w:b/>
          <w:sz w:val="21"/>
          <w:szCs w:val="21"/>
        </w:rPr>
        <w:t>.合同以双方最终签署的版本为准。</w:t>
      </w:r>
    </w:p>
    <w:p w14:paraId="610E8BB3">
      <w:pPr>
        <w:pStyle w:val="72"/>
        <w:rPr>
          <w:highlight w:val="none"/>
        </w:rPr>
      </w:pPr>
      <w:r>
        <w:rPr>
          <w:rFonts w:hint="eastAsia"/>
          <w:highlight w:val="none"/>
          <w:lang w:val="en-US" w:eastAsia="zh-CN"/>
        </w:rPr>
        <w:t>交货及付款</w:t>
      </w:r>
    </w:p>
    <w:p w14:paraId="6C8560A2">
      <w:pPr>
        <w:pStyle w:val="72"/>
        <w:numPr>
          <w:ilvl w:val="0"/>
          <w:numId w:val="33"/>
        </w:numPr>
        <w:ind w:left="425" w:leftChars="0" w:hanging="425" w:firstLineChars="0"/>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none"/>
          <w:lang w:val="en-US" w:eastAsia="zh-CN"/>
        </w:rPr>
        <w:t>交货地点：中国重汽集团杭州发动机有限公司（浙江省杭州市萧山经济技术开发区红泰六路699号）</w:t>
      </w:r>
    </w:p>
    <w:p w14:paraId="1494B402">
      <w:pPr>
        <w:pStyle w:val="72"/>
        <w:numPr>
          <w:ilvl w:val="0"/>
          <w:numId w:val="33"/>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银行转账</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kern w:val="2"/>
          <w:sz w:val="21"/>
          <w:szCs w:val="21"/>
          <w:highlight w:val="none"/>
          <w:lang w:val="en-US" w:eastAsia="zh-CN" w:bidi="ar-SA"/>
        </w:rPr>
        <w:t>3</w:t>
      </w:r>
      <w:r>
        <w:rPr>
          <w:rFonts w:hint="default" w:ascii="宋体" w:hAnsi="宋体" w:eastAsia="宋体" w:cs="宋体"/>
          <w:b w:val="0"/>
          <w:bCs w:val="0"/>
          <w:kern w:val="2"/>
          <w:sz w:val="21"/>
          <w:szCs w:val="21"/>
          <w:highlight w:val="none"/>
          <w:lang w:val="en-US" w:eastAsia="zh-CN" w:bidi="ar-SA"/>
        </w:rPr>
        <w:t>.</w:t>
      </w:r>
      <w:r>
        <w:rPr>
          <w:rFonts w:hint="eastAsia" w:ascii="宋体" w:hAnsi="宋体" w:eastAsia="宋体" w:cs="宋体"/>
          <w:b w:val="0"/>
          <w:bCs w:val="0"/>
          <w:sz w:val="21"/>
          <w:szCs w:val="21"/>
          <w:highlight w:val="none"/>
          <w:lang w:val="en-US" w:eastAsia="zh-CN"/>
        </w:rPr>
        <w:t>付款节点：</w:t>
      </w:r>
    </w:p>
    <w:p w14:paraId="142DB7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75A2CF7B">
      <w:pPr>
        <w:pStyle w:val="16"/>
        <w:spacing w:line="360" w:lineRule="auto"/>
        <w:ind w:firstLine="420" w:firstLineChars="200"/>
        <w:rPr>
          <w:rFonts w:hAnsi="宋体" w:cs="宋体"/>
          <w:szCs w:val="21"/>
          <w:highlight w:val="none"/>
        </w:rPr>
      </w:pPr>
      <w:r>
        <w:rPr>
          <w:rFonts w:hint="eastAsia" w:hAnsi="宋体" w:cs="宋体"/>
          <w:szCs w:val="21"/>
          <w:highlight w:val="none"/>
        </w:rPr>
        <w:t>完成安全评价并编写报告后，</w:t>
      </w:r>
      <w:r>
        <w:rPr>
          <w:rFonts w:hint="eastAsia" w:ascii="Calibri" w:hAnsi="Calibri"/>
          <w:highlight w:val="none"/>
        </w:rPr>
        <w:t>乙方开具6%增值税专用发票</w:t>
      </w:r>
      <w:r>
        <w:rPr>
          <w:rFonts w:hint="eastAsia"/>
          <w:highlight w:val="none"/>
        </w:rPr>
        <w:t>，</w:t>
      </w:r>
      <w:r>
        <w:rPr>
          <w:rFonts w:hint="eastAsia" w:ascii="Calibri" w:hAnsi="Calibri"/>
          <w:highlight w:val="none"/>
        </w:rPr>
        <w:t>经甲方核对无误后，</w:t>
      </w:r>
      <w:r>
        <w:rPr>
          <w:rFonts w:hint="eastAsia"/>
          <w:spacing w:val="-3"/>
          <w:szCs w:val="22"/>
          <w:highlight w:val="none"/>
        </w:rPr>
        <w:t>入账3</w:t>
      </w:r>
      <w:r>
        <w:rPr>
          <w:spacing w:val="-3"/>
          <w:szCs w:val="22"/>
          <w:highlight w:val="none"/>
        </w:rPr>
        <w:t>0</w:t>
      </w:r>
      <w:r>
        <w:rPr>
          <w:rFonts w:hint="eastAsia"/>
          <w:spacing w:val="-3"/>
          <w:szCs w:val="22"/>
          <w:highlight w:val="none"/>
        </w:rPr>
        <w:t>日以银行转账结算</w:t>
      </w:r>
      <w:r>
        <w:rPr>
          <w:rFonts w:hint="eastAsia" w:hAnsi="宋体" w:cs="宋体"/>
          <w:szCs w:val="21"/>
          <w:highlight w:val="none"/>
        </w:rPr>
        <w:t>。</w:t>
      </w:r>
    </w:p>
    <w:p w14:paraId="1371BD03">
      <w:pPr>
        <w:pStyle w:val="72"/>
        <w:numPr>
          <w:ilvl w:val="0"/>
          <w:numId w:val="0"/>
        </w:numPr>
        <w:ind w:firstLine="422"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rPr>
        <w:t>*注：付款方式及付款比例不允许偏离。</w:t>
      </w:r>
    </w:p>
    <w:p w14:paraId="6E0D7439">
      <w:pPr>
        <w:pStyle w:val="72"/>
        <w:rPr>
          <w:rFonts w:hint="eastAsia"/>
          <w:lang w:val="en-US" w:eastAsia="zh-CN"/>
        </w:rPr>
      </w:pPr>
      <w:r>
        <w:rPr>
          <w:rFonts w:hint="eastAsia"/>
          <w:lang w:val="en-US" w:eastAsia="zh-CN"/>
        </w:rPr>
        <w:t>本次招标最终解释权归中国重汽集团</w:t>
      </w:r>
      <w:r>
        <w:rPr>
          <w:rFonts w:hint="eastAsia"/>
          <w:highlight w:val="none"/>
          <w:u w:val="none"/>
          <w:lang w:val="en-US" w:eastAsia="zh-CN"/>
        </w:rPr>
        <w:t>杭州发动机有</w:t>
      </w:r>
      <w:r>
        <w:rPr>
          <w:rFonts w:hint="eastAsia"/>
          <w:lang w:val="en-US" w:eastAsia="zh-CN"/>
        </w:rPr>
        <w:t>限公司。</w:t>
      </w:r>
    </w:p>
    <w:p w14:paraId="66BCACD8">
      <w:pPr>
        <w:pStyle w:val="76"/>
      </w:pPr>
    </w:p>
    <w:p w14:paraId="07A4B493">
      <w:pPr>
        <w:pStyle w:val="71"/>
        <w:jc w:val="both"/>
        <w:rPr>
          <w:rFonts w:hint="eastAsia"/>
        </w:rPr>
      </w:pPr>
      <w:bookmarkStart w:id="21" w:name="_Toc47976607"/>
    </w:p>
    <w:p w14:paraId="243FF35F">
      <w:pPr>
        <w:pStyle w:val="71"/>
        <w:jc w:val="both"/>
        <w:rPr>
          <w:rFonts w:hint="eastAsia"/>
        </w:rPr>
      </w:pPr>
    </w:p>
    <w:p w14:paraId="1FB6CA61">
      <w:pPr>
        <w:pStyle w:val="71"/>
        <w:jc w:val="center"/>
        <w:rPr>
          <w:rFonts w:hint="default" w:eastAsia="黑体"/>
          <w:lang w:val="en-US" w:eastAsia="zh-CN"/>
        </w:rPr>
      </w:pPr>
      <w:bookmarkStart w:id="22" w:name="_Toc1910"/>
      <w:r>
        <w:rPr>
          <w:rFonts w:hint="eastAsia"/>
        </w:rPr>
        <w:t>第二部分　</w:t>
      </w:r>
      <w:bookmarkEnd w:id="21"/>
      <w:r>
        <w:rPr>
          <w:rFonts w:hint="eastAsia"/>
          <w:lang w:val="en-US" w:eastAsia="zh-CN"/>
        </w:rPr>
        <w:t>技术标书</w:t>
      </w:r>
      <w:bookmarkEnd w:id="22"/>
    </w:p>
    <w:p w14:paraId="7A46FDF2">
      <w:pPr>
        <w:pStyle w:val="16"/>
        <w:spacing w:line="360" w:lineRule="auto"/>
        <w:ind w:left="77"/>
        <w:rPr>
          <w:rFonts w:hAnsi="宋体" w:cs="宋体"/>
          <w:b/>
          <w:bCs/>
          <w:sz w:val="30"/>
          <w:szCs w:val="30"/>
        </w:rPr>
      </w:pPr>
      <w:r>
        <w:rPr>
          <w:rFonts w:hint="eastAsia" w:hAnsi="宋体" w:cs="宋体"/>
          <w:b/>
          <w:bCs/>
          <w:sz w:val="30"/>
          <w:szCs w:val="30"/>
        </w:rPr>
        <w:t>一、项目名称</w:t>
      </w:r>
    </w:p>
    <w:p w14:paraId="21398230">
      <w:pPr>
        <w:pStyle w:val="16"/>
        <w:spacing w:line="360" w:lineRule="auto"/>
        <w:ind w:left="77"/>
        <w:rPr>
          <w:rFonts w:hAnsi="宋体"/>
        </w:rPr>
      </w:pPr>
      <w:r>
        <w:rPr>
          <w:rFonts w:hint="eastAsia" w:hAnsi="宋体" w:cs="宋体"/>
          <w:color w:val="000000"/>
          <w:shd w:val="clear" w:color="auto" w:fill="FCFCFC"/>
        </w:rPr>
        <w:t>中国重汽集团杭州发动机有限</w:t>
      </w:r>
      <w:r>
        <w:rPr>
          <w:rFonts w:hint="eastAsia" w:hAnsi="宋体" w:cs="宋体"/>
          <w:color w:val="000000"/>
          <w:u w:val="single"/>
          <w:shd w:val="clear" w:color="auto" w:fill="FCFCFC"/>
        </w:rPr>
        <w:t>公司安全评价技术服务</w:t>
      </w:r>
      <w:r>
        <w:rPr>
          <w:rFonts w:hint="eastAsia" w:hAnsi="宋体"/>
          <w:u w:val="single"/>
        </w:rPr>
        <w:t>项目</w:t>
      </w:r>
    </w:p>
    <w:p w14:paraId="66750ADA">
      <w:pPr>
        <w:pStyle w:val="16"/>
        <w:spacing w:line="360" w:lineRule="auto"/>
        <w:ind w:left="77"/>
        <w:rPr>
          <w:rFonts w:hAnsi="宋体" w:cs="宋体"/>
          <w:b/>
          <w:bCs/>
          <w:sz w:val="30"/>
          <w:szCs w:val="30"/>
        </w:rPr>
      </w:pPr>
      <w:r>
        <w:rPr>
          <w:rFonts w:hint="eastAsia" w:hAnsi="宋体" w:cs="宋体"/>
          <w:b/>
          <w:bCs/>
          <w:sz w:val="30"/>
          <w:szCs w:val="30"/>
        </w:rPr>
        <w:t>二</w:t>
      </w:r>
      <w:r>
        <w:rPr>
          <w:rFonts w:hAnsi="宋体" w:cs="宋体"/>
          <w:b/>
          <w:bCs/>
          <w:sz w:val="30"/>
          <w:szCs w:val="30"/>
        </w:rPr>
        <w:t>、</w:t>
      </w:r>
      <w:r>
        <w:rPr>
          <w:rFonts w:hint="eastAsia" w:hAnsi="宋体" w:cs="宋体"/>
          <w:b/>
          <w:bCs/>
          <w:sz w:val="30"/>
          <w:szCs w:val="30"/>
        </w:rPr>
        <w:t>项目的</w:t>
      </w:r>
      <w:r>
        <w:rPr>
          <w:rFonts w:hAnsi="宋体" w:cs="宋体"/>
          <w:b/>
          <w:bCs/>
          <w:sz w:val="30"/>
          <w:szCs w:val="30"/>
        </w:rPr>
        <w:t>背景与目的</w:t>
      </w:r>
    </w:p>
    <w:p w14:paraId="5AA63415">
      <w:pPr>
        <w:pStyle w:val="14"/>
        <w:adjustRightInd w:val="0"/>
        <w:snapToGrid w:val="0"/>
        <w:spacing w:line="360" w:lineRule="auto"/>
        <w:ind w:firstLine="840" w:firstLineChars="400"/>
        <w:rPr>
          <w:rFonts w:ascii="宋体" w:hAnsi="宋体" w:eastAsia="宋体" w:cs="宋体"/>
          <w:color w:val="000000"/>
          <w:sz w:val="21"/>
          <w:shd w:val="clear" w:color="auto" w:fill="FCFCFC"/>
        </w:rPr>
      </w:pPr>
      <w:r>
        <w:rPr>
          <w:rFonts w:ascii="宋体" w:hAnsi="宋体" w:eastAsia="宋体" w:cs="宋体"/>
          <w:color w:val="000000"/>
          <w:sz w:val="21"/>
          <w:shd w:val="clear" w:color="auto" w:fill="FCFCFC"/>
        </w:rPr>
        <w:t>1.背景：</w:t>
      </w:r>
    </w:p>
    <w:p w14:paraId="41FE0C7E">
      <w:pPr>
        <w:pStyle w:val="14"/>
        <w:adjustRightInd w:val="0"/>
        <w:snapToGrid w:val="0"/>
        <w:spacing w:line="360" w:lineRule="auto"/>
        <w:ind w:left="420" w:firstLine="420" w:firstLineChars="200"/>
        <w:rPr>
          <w:rFonts w:ascii="宋体" w:hAnsi="宋体" w:eastAsia="宋体" w:cs="宋体"/>
          <w:color w:val="000000"/>
          <w:sz w:val="21"/>
          <w:shd w:val="clear" w:color="auto" w:fill="FCFCFC"/>
        </w:rPr>
      </w:pPr>
      <w:r>
        <w:rPr>
          <w:rFonts w:ascii="宋体" w:hAnsi="宋体" w:eastAsia="宋体" w:cs="宋体"/>
          <w:color w:val="000000"/>
          <w:sz w:val="21"/>
          <w:shd w:val="clear" w:color="auto" w:fill="FCFCFC"/>
        </w:rPr>
        <w:t>公司现有的《安全现状评价报告》即将三年期满，根据《中华人民共和国安全生产法》及相关法律法规要求，需重新进行安全现状评价。</w:t>
      </w:r>
    </w:p>
    <w:p w14:paraId="166669F0">
      <w:pPr>
        <w:pStyle w:val="14"/>
        <w:adjustRightInd w:val="0"/>
        <w:snapToGrid w:val="0"/>
        <w:spacing w:line="360" w:lineRule="auto"/>
        <w:ind w:left="420" w:firstLine="420" w:firstLineChars="200"/>
        <w:rPr>
          <w:rFonts w:ascii="宋体" w:hAnsi="宋体" w:eastAsia="宋体" w:cs="宋体"/>
          <w:color w:val="000000"/>
          <w:sz w:val="21"/>
          <w:shd w:val="clear" w:color="auto" w:fill="FCFCFC"/>
        </w:rPr>
      </w:pPr>
      <w:r>
        <w:rPr>
          <w:rFonts w:ascii="宋体" w:hAnsi="宋体" w:eastAsia="宋体" w:cs="宋体"/>
          <w:color w:val="000000"/>
          <w:sz w:val="21"/>
          <w:shd w:val="clear" w:color="auto" w:fill="FCFCFC"/>
        </w:rPr>
        <w:t>2.目的：</w:t>
      </w:r>
    </w:p>
    <w:p w14:paraId="4787CEAE">
      <w:pPr>
        <w:pStyle w:val="14"/>
        <w:adjustRightInd w:val="0"/>
        <w:snapToGrid w:val="0"/>
        <w:spacing w:line="360" w:lineRule="auto"/>
        <w:ind w:left="420" w:firstLine="420" w:firstLineChars="200"/>
        <w:rPr>
          <w:rFonts w:ascii="宋体" w:hAnsi="宋体" w:eastAsia="宋体" w:cs="宋体"/>
          <w:color w:val="000000"/>
          <w:sz w:val="21"/>
          <w:shd w:val="clear" w:color="auto" w:fill="FCFCFC"/>
        </w:rPr>
      </w:pPr>
      <w:r>
        <w:rPr>
          <w:rFonts w:ascii="宋体" w:hAnsi="宋体" w:eastAsia="宋体" w:cs="宋体"/>
          <w:color w:val="000000"/>
          <w:sz w:val="21"/>
          <w:shd w:val="clear" w:color="auto" w:fill="FCFCFC"/>
        </w:rPr>
        <w:t>辨识与分析公司生产过程中存在的危险、有害因素，确定其与</w:t>
      </w:r>
      <w:r>
        <w:rPr>
          <w:rFonts w:hint="eastAsia" w:ascii="宋体" w:hAnsi="宋体" w:eastAsia="宋体" w:cs="宋体"/>
          <w:color w:val="000000"/>
          <w:sz w:val="21"/>
          <w:shd w:val="clear" w:color="auto" w:fill="FCFCFC"/>
        </w:rPr>
        <w:t>现行</w:t>
      </w:r>
      <w:r>
        <w:rPr>
          <w:rFonts w:ascii="宋体" w:hAnsi="宋体" w:eastAsia="宋体" w:cs="宋体"/>
          <w:color w:val="000000"/>
          <w:sz w:val="21"/>
          <w:shd w:val="clear" w:color="auto" w:fill="FCFCFC"/>
        </w:rPr>
        <w:t>安全生产法律法规、标准规范的符合性。</w:t>
      </w:r>
    </w:p>
    <w:p w14:paraId="62E80AE2">
      <w:pPr>
        <w:pStyle w:val="14"/>
        <w:adjustRightInd w:val="0"/>
        <w:snapToGrid w:val="0"/>
        <w:spacing w:line="360" w:lineRule="auto"/>
        <w:ind w:left="420" w:firstLine="420" w:firstLineChars="200"/>
        <w:rPr>
          <w:rFonts w:ascii="宋体" w:hAnsi="宋体" w:eastAsia="宋体" w:cs="宋体"/>
          <w:color w:val="000000"/>
          <w:sz w:val="21"/>
          <w:shd w:val="clear" w:color="auto" w:fill="FCFCFC"/>
        </w:rPr>
      </w:pPr>
      <w:r>
        <w:rPr>
          <w:rFonts w:hint="eastAsia" w:ascii="宋体" w:hAnsi="宋体" w:eastAsia="宋体" w:cs="宋体"/>
          <w:color w:val="000000"/>
          <w:sz w:val="21"/>
          <w:shd w:val="clear" w:color="auto" w:fill="FCFCFC"/>
        </w:rPr>
        <w:t>针对现场踏勘及收集的资料，出具具有针对性的隐患整改报告，指导招标方隐患整改并确认。</w:t>
      </w:r>
    </w:p>
    <w:p w14:paraId="1F0AE74C">
      <w:pPr>
        <w:pStyle w:val="14"/>
        <w:adjustRightInd w:val="0"/>
        <w:snapToGrid w:val="0"/>
        <w:spacing w:line="360" w:lineRule="auto"/>
        <w:ind w:left="420" w:firstLine="420" w:firstLineChars="200"/>
        <w:rPr>
          <w:rFonts w:ascii="宋体" w:hAnsi="宋体" w:eastAsia="宋体" w:cs="宋体"/>
          <w:color w:val="000000"/>
          <w:sz w:val="21"/>
          <w:shd w:val="clear" w:color="auto" w:fill="FCFCFC"/>
        </w:rPr>
      </w:pPr>
      <w:r>
        <w:rPr>
          <w:rFonts w:ascii="宋体" w:hAnsi="宋体" w:eastAsia="宋体" w:cs="宋体"/>
          <w:color w:val="000000"/>
          <w:sz w:val="21"/>
          <w:shd w:val="clear" w:color="auto" w:fill="FCFCFC"/>
        </w:rPr>
        <w:t>预测发生事故的可能性及其严重程度，提出科学、合理、可行的安全对策措施建议。</w:t>
      </w:r>
    </w:p>
    <w:p w14:paraId="6807CDA5">
      <w:pPr>
        <w:pStyle w:val="14"/>
        <w:adjustRightInd w:val="0"/>
        <w:snapToGrid w:val="0"/>
        <w:spacing w:line="360" w:lineRule="auto"/>
        <w:ind w:left="420" w:firstLine="420" w:firstLineChars="200"/>
        <w:rPr>
          <w:rFonts w:ascii="宋体" w:hAnsi="宋体" w:eastAsia="宋体" w:cs="宋体"/>
          <w:color w:val="000000"/>
          <w:sz w:val="21"/>
          <w:shd w:val="clear" w:color="auto" w:fill="FCFCFC"/>
        </w:rPr>
      </w:pPr>
      <w:r>
        <w:rPr>
          <w:rFonts w:ascii="宋体" w:hAnsi="宋体" w:eastAsia="宋体" w:cs="宋体"/>
          <w:color w:val="000000"/>
          <w:sz w:val="21"/>
          <w:shd w:val="clear" w:color="auto" w:fill="FCFCFC"/>
        </w:rPr>
        <w:t>编制符合国家及地方应急管理部门要求的《安全现状评价报告》，作为企业安全生产备案的重要依据。</w:t>
      </w:r>
    </w:p>
    <w:p w14:paraId="466697DB">
      <w:pPr>
        <w:pStyle w:val="14"/>
        <w:adjustRightInd w:val="0"/>
        <w:snapToGrid w:val="0"/>
        <w:spacing w:line="360" w:lineRule="auto"/>
        <w:ind w:left="420" w:firstLine="420" w:firstLineChars="200"/>
        <w:rPr>
          <w:rFonts w:ascii="宋体" w:hAnsi="宋体" w:eastAsia="宋体" w:cs="宋体"/>
          <w:color w:val="000000"/>
          <w:sz w:val="21"/>
          <w:shd w:val="clear" w:color="auto" w:fill="FCFCFC"/>
        </w:rPr>
      </w:pPr>
      <w:r>
        <w:rPr>
          <w:rFonts w:ascii="宋体" w:hAnsi="宋体" w:eastAsia="宋体" w:cs="宋体"/>
          <w:color w:val="000000"/>
          <w:sz w:val="21"/>
          <w:shd w:val="clear" w:color="auto" w:fill="FCFCFC"/>
        </w:rPr>
        <w:t>提升公司整体安全管理水平，预防和减少生产安全事故。</w:t>
      </w:r>
    </w:p>
    <w:p w14:paraId="03E43A24">
      <w:pPr>
        <w:pStyle w:val="16"/>
        <w:spacing w:line="360" w:lineRule="auto"/>
        <w:ind w:left="77"/>
        <w:rPr>
          <w:rFonts w:hAnsi="宋体" w:cs="宋体"/>
          <w:b/>
          <w:bCs/>
          <w:sz w:val="30"/>
          <w:szCs w:val="30"/>
        </w:rPr>
      </w:pPr>
      <w:r>
        <w:rPr>
          <w:rFonts w:hint="eastAsia" w:hAnsi="宋体" w:cs="宋体"/>
          <w:b/>
          <w:bCs/>
          <w:sz w:val="30"/>
          <w:szCs w:val="30"/>
        </w:rPr>
        <w:t>三</w:t>
      </w:r>
      <w:r>
        <w:rPr>
          <w:rFonts w:hAnsi="宋体" w:cs="宋体"/>
          <w:b/>
          <w:bCs/>
          <w:sz w:val="30"/>
          <w:szCs w:val="30"/>
        </w:rPr>
        <w:t>、</w:t>
      </w:r>
      <w:r>
        <w:rPr>
          <w:rFonts w:hint="eastAsia" w:hAnsi="宋体" w:cs="宋体"/>
          <w:b/>
          <w:bCs/>
          <w:sz w:val="30"/>
          <w:szCs w:val="30"/>
        </w:rPr>
        <w:t>项目评</w:t>
      </w:r>
      <w:r>
        <w:rPr>
          <w:rFonts w:hAnsi="宋体" w:cs="宋体"/>
          <w:b/>
          <w:bCs/>
          <w:sz w:val="30"/>
          <w:szCs w:val="30"/>
        </w:rPr>
        <w:t>价范围</w:t>
      </w:r>
    </w:p>
    <w:p w14:paraId="564A783E">
      <w:pPr>
        <w:pStyle w:val="14"/>
        <w:adjustRightInd w:val="0"/>
        <w:snapToGrid w:val="0"/>
        <w:spacing w:line="360" w:lineRule="auto"/>
        <w:ind w:left="420" w:firstLine="420" w:firstLineChars="200"/>
        <w:rPr>
          <w:rFonts w:ascii="宋体" w:hAnsi="宋体" w:eastAsia="宋体" w:cs="宋体"/>
          <w:color w:val="000000"/>
          <w:sz w:val="21"/>
          <w:shd w:val="clear" w:color="auto" w:fill="FCFCFC"/>
        </w:rPr>
      </w:pPr>
      <w:r>
        <w:rPr>
          <w:rFonts w:ascii="宋体" w:hAnsi="宋体" w:eastAsia="宋体" w:cs="宋体"/>
          <w:color w:val="000000"/>
          <w:sz w:val="21"/>
          <w:shd w:val="clear" w:color="auto" w:fill="FCFCFC"/>
        </w:rPr>
        <w:t>本次安全现状评价的范围应涵盖我公司全部生产经营活动及相关场所，包括但不限于：</w:t>
      </w:r>
    </w:p>
    <w:p w14:paraId="2A08482C">
      <w:pPr>
        <w:pStyle w:val="14"/>
        <w:adjustRightInd w:val="0"/>
        <w:snapToGrid w:val="0"/>
        <w:spacing w:line="360" w:lineRule="auto"/>
        <w:ind w:left="420" w:firstLine="420" w:firstLineChars="200"/>
        <w:rPr>
          <w:rFonts w:ascii="宋体" w:hAnsi="宋体" w:eastAsia="宋体" w:cs="宋体"/>
          <w:color w:val="000000"/>
          <w:sz w:val="21"/>
          <w:shd w:val="clear" w:color="auto" w:fill="FCFCFC"/>
        </w:rPr>
      </w:pPr>
      <w:r>
        <w:rPr>
          <w:rFonts w:ascii="宋体" w:hAnsi="宋体" w:eastAsia="宋体" w:cs="宋体"/>
          <w:color w:val="000000"/>
          <w:sz w:val="21"/>
          <w:shd w:val="clear" w:color="auto" w:fill="FCFCFC"/>
        </w:rPr>
        <w:t>主要工艺单元：金属熔炼（冶炼）区、造型制芯区、浇注区、落砂清理区、热处理区、机加工区、仓储区等。</w:t>
      </w:r>
    </w:p>
    <w:p w14:paraId="094BCB4C">
      <w:pPr>
        <w:pStyle w:val="14"/>
        <w:adjustRightInd w:val="0"/>
        <w:snapToGrid w:val="0"/>
        <w:spacing w:line="360" w:lineRule="auto"/>
        <w:ind w:left="420" w:firstLine="420" w:firstLineChars="200"/>
        <w:rPr>
          <w:rFonts w:ascii="宋体" w:hAnsi="宋体" w:eastAsia="宋体" w:cs="宋体"/>
          <w:color w:val="000000"/>
          <w:sz w:val="21"/>
          <w:shd w:val="clear" w:color="auto" w:fill="FCFCFC"/>
        </w:rPr>
      </w:pPr>
      <w:r>
        <w:rPr>
          <w:rFonts w:ascii="宋体" w:hAnsi="宋体" w:eastAsia="宋体" w:cs="宋体"/>
          <w:color w:val="000000"/>
          <w:sz w:val="21"/>
          <w:shd w:val="clear" w:color="auto" w:fill="FCFCFC"/>
        </w:rPr>
        <w:t>公辅设施：变配电所、空压站、循环水泵房、环保设施（除尘、废气处理系统）、</w:t>
      </w:r>
      <w:r>
        <w:rPr>
          <w:rFonts w:hint="eastAsia" w:ascii="宋体" w:hAnsi="宋体" w:eastAsia="宋体" w:cs="宋体"/>
          <w:color w:val="000000"/>
          <w:sz w:val="21"/>
          <w:shd w:val="clear" w:color="auto" w:fill="FCFCFC"/>
        </w:rPr>
        <w:t>供气、能源介质、</w:t>
      </w:r>
      <w:r>
        <w:rPr>
          <w:rFonts w:ascii="宋体" w:hAnsi="宋体" w:eastAsia="宋体" w:cs="宋体"/>
          <w:color w:val="000000"/>
          <w:sz w:val="21"/>
          <w:shd w:val="clear" w:color="auto" w:fill="FCFCFC"/>
        </w:rPr>
        <w:t>消防系统等。</w:t>
      </w:r>
    </w:p>
    <w:p w14:paraId="48301B00">
      <w:pPr>
        <w:pStyle w:val="14"/>
        <w:adjustRightInd w:val="0"/>
        <w:snapToGrid w:val="0"/>
        <w:spacing w:line="360" w:lineRule="auto"/>
        <w:ind w:left="420" w:firstLine="420" w:firstLineChars="200"/>
        <w:rPr>
          <w:rFonts w:ascii="宋体" w:hAnsi="宋体" w:eastAsia="宋体" w:cs="宋体"/>
          <w:color w:val="000000"/>
          <w:sz w:val="21"/>
          <w:shd w:val="clear" w:color="auto" w:fill="FCFCFC"/>
        </w:rPr>
      </w:pPr>
      <w:r>
        <w:rPr>
          <w:rFonts w:ascii="宋体" w:hAnsi="宋体" w:eastAsia="宋体" w:cs="宋体"/>
          <w:color w:val="000000"/>
          <w:sz w:val="21"/>
          <w:shd w:val="clear" w:color="auto" w:fill="FCFCFC"/>
        </w:rPr>
        <w:t>危险化学品管理：危化品仓库、中间仓库、</w:t>
      </w:r>
      <w:r>
        <w:rPr>
          <w:rFonts w:hint="eastAsia" w:ascii="宋体" w:hAnsi="宋体" w:eastAsia="宋体" w:cs="宋体"/>
          <w:color w:val="000000"/>
          <w:sz w:val="21"/>
          <w:shd w:val="clear" w:color="auto" w:fill="FCFCFC"/>
        </w:rPr>
        <w:t>油库、</w:t>
      </w:r>
      <w:r>
        <w:rPr>
          <w:rFonts w:ascii="宋体" w:hAnsi="宋体" w:eastAsia="宋体" w:cs="宋体"/>
          <w:color w:val="000000"/>
          <w:sz w:val="21"/>
          <w:shd w:val="clear" w:color="auto" w:fill="FCFCFC"/>
        </w:rPr>
        <w:t>气瓶间</w:t>
      </w:r>
      <w:r>
        <w:rPr>
          <w:rFonts w:hint="eastAsia" w:ascii="宋体" w:hAnsi="宋体" w:eastAsia="宋体" w:cs="宋体"/>
          <w:color w:val="000000"/>
          <w:sz w:val="21"/>
          <w:shd w:val="clear" w:color="auto" w:fill="FCFCFC"/>
        </w:rPr>
        <w:t>及危险化学品的</w:t>
      </w:r>
      <w:r>
        <w:rPr>
          <w:rFonts w:ascii="宋体" w:hAnsi="宋体" w:eastAsia="宋体" w:cs="宋体"/>
          <w:color w:val="000000"/>
          <w:sz w:val="21"/>
          <w:shd w:val="clear" w:color="auto" w:fill="FCFCFC"/>
        </w:rPr>
        <w:t>使用点的安全管理。</w:t>
      </w:r>
    </w:p>
    <w:p w14:paraId="2D59B725">
      <w:pPr>
        <w:pStyle w:val="14"/>
        <w:adjustRightInd w:val="0"/>
        <w:snapToGrid w:val="0"/>
        <w:spacing w:line="360" w:lineRule="auto"/>
        <w:ind w:left="420" w:firstLine="420" w:firstLineChars="200"/>
        <w:rPr>
          <w:rFonts w:ascii="宋体" w:hAnsi="宋体" w:eastAsia="宋体" w:cs="宋体"/>
          <w:color w:val="000000"/>
          <w:sz w:val="21"/>
          <w:shd w:val="clear" w:color="auto" w:fill="FCFCFC"/>
        </w:rPr>
      </w:pPr>
      <w:r>
        <w:rPr>
          <w:rFonts w:ascii="宋体" w:hAnsi="宋体" w:eastAsia="宋体" w:cs="宋体"/>
          <w:color w:val="000000"/>
          <w:sz w:val="21"/>
          <w:shd w:val="clear" w:color="auto" w:fill="FCFCFC"/>
        </w:rPr>
        <w:t>安全管理体系：公司现有的安全生产责任制、规章制度、操作规程、应急救援预案、培训教育、现场管理等。</w:t>
      </w:r>
    </w:p>
    <w:p w14:paraId="22342D98">
      <w:pPr>
        <w:pStyle w:val="16"/>
        <w:spacing w:line="360" w:lineRule="auto"/>
        <w:ind w:left="77"/>
        <w:rPr>
          <w:rFonts w:hAnsi="宋体" w:cs="宋体"/>
          <w:b/>
          <w:bCs/>
          <w:sz w:val="30"/>
          <w:szCs w:val="30"/>
        </w:rPr>
      </w:pPr>
      <w:r>
        <w:rPr>
          <w:rFonts w:hint="eastAsia" w:hAnsi="宋体" w:cs="宋体"/>
          <w:b/>
          <w:bCs/>
          <w:sz w:val="30"/>
          <w:szCs w:val="30"/>
        </w:rPr>
        <w:t>四、项目服务</w:t>
      </w:r>
      <w:r>
        <w:rPr>
          <w:rFonts w:hAnsi="宋体" w:cs="宋体"/>
          <w:b/>
          <w:bCs/>
          <w:sz w:val="30"/>
          <w:szCs w:val="30"/>
        </w:rPr>
        <w:t>内容：</w:t>
      </w:r>
    </w:p>
    <w:p w14:paraId="469A0F3B">
      <w:pPr>
        <w:pStyle w:val="14"/>
        <w:adjustRightInd w:val="0"/>
        <w:snapToGrid w:val="0"/>
        <w:spacing w:line="360" w:lineRule="auto"/>
        <w:ind w:left="420" w:firstLine="420" w:firstLineChars="200"/>
        <w:rPr>
          <w:rFonts w:ascii="宋体" w:hAnsi="宋体" w:eastAsia="宋体" w:cs="宋体"/>
          <w:color w:val="000000"/>
          <w:sz w:val="21"/>
          <w:shd w:val="clear" w:color="auto" w:fill="FCFCFC"/>
        </w:rPr>
      </w:pPr>
      <w:r>
        <w:rPr>
          <w:rFonts w:ascii="宋体" w:hAnsi="宋体" w:eastAsia="宋体" w:cs="宋体"/>
          <w:color w:val="000000"/>
          <w:sz w:val="21"/>
          <w:shd w:val="clear" w:color="auto" w:fill="FCFCFC"/>
        </w:rPr>
        <w:t>资料审查：全面收集并审查我公司提供的技术资料、管理文件及图纸。</w:t>
      </w:r>
    </w:p>
    <w:p w14:paraId="2E394C56">
      <w:pPr>
        <w:pStyle w:val="14"/>
        <w:adjustRightInd w:val="0"/>
        <w:snapToGrid w:val="0"/>
        <w:spacing w:line="360" w:lineRule="auto"/>
        <w:ind w:left="420" w:firstLine="420" w:firstLineChars="200"/>
        <w:rPr>
          <w:rFonts w:ascii="宋体" w:hAnsi="宋体" w:eastAsia="宋体" w:cs="宋体"/>
          <w:color w:val="000000"/>
          <w:sz w:val="21"/>
          <w:shd w:val="clear" w:color="auto" w:fill="FCFCFC"/>
        </w:rPr>
      </w:pPr>
      <w:r>
        <w:rPr>
          <w:rFonts w:ascii="宋体" w:hAnsi="宋体" w:eastAsia="宋体" w:cs="宋体"/>
          <w:color w:val="000000"/>
          <w:sz w:val="21"/>
          <w:shd w:val="clear" w:color="auto" w:fill="FCFCFC"/>
        </w:rPr>
        <w:t>现场勘查：组织专家团队进行不少于2次的全面现场勘查，识别现场设备设施、工艺操作、安全管理等方面存在的危险有害因素，并拍照、记录。</w:t>
      </w:r>
    </w:p>
    <w:p w14:paraId="7416C5B0">
      <w:pPr>
        <w:pStyle w:val="14"/>
        <w:adjustRightInd w:val="0"/>
        <w:snapToGrid w:val="0"/>
        <w:spacing w:line="360" w:lineRule="auto"/>
        <w:ind w:left="420" w:firstLine="420" w:firstLineChars="200"/>
        <w:rPr>
          <w:rFonts w:ascii="宋体" w:hAnsi="宋体" w:eastAsia="宋体" w:cs="宋体"/>
          <w:color w:val="000000"/>
          <w:sz w:val="21"/>
          <w:shd w:val="clear" w:color="auto" w:fill="FCFCFC"/>
        </w:rPr>
      </w:pPr>
      <w:r>
        <w:rPr>
          <w:rFonts w:ascii="宋体" w:hAnsi="宋体" w:eastAsia="宋体" w:cs="宋体"/>
          <w:color w:val="000000"/>
          <w:sz w:val="21"/>
          <w:shd w:val="clear" w:color="auto" w:fill="FCFCFC"/>
        </w:rPr>
        <w:t>定性定量评价：运用适用的评价方法（如安全检查表法、作业条件危险性评价法、危险度评价法、事故后果模拟分析法等），对辨识出的危险有害因素进行定性、定量分析。</w:t>
      </w:r>
    </w:p>
    <w:p w14:paraId="27D82F5C">
      <w:pPr>
        <w:pStyle w:val="14"/>
        <w:adjustRightInd w:val="0"/>
        <w:snapToGrid w:val="0"/>
        <w:spacing w:line="360" w:lineRule="auto"/>
        <w:ind w:left="420" w:firstLine="420" w:firstLineChars="200"/>
        <w:rPr>
          <w:rFonts w:ascii="宋体" w:hAnsi="宋体" w:eastAsia="宋体" w:cs="宋体"/>
          <w:color w:val="000000"/>
          <w:sz w:val="21"/>
          <w:shd w:val="clear" w:color="auto" w:fill="FCFCFC"/>
        </w:rPr>
      </w:pPr>
      <w:r>
        <w:rPr>
          <w:rFonts w:ascii="宋体" w:hAnsi="宋体" w:eastAsia="宋体" w:cs="宋体"/>
          <w:color w:val="000000"/>
          <w:sz w:val="21"/>
          <w:shd w:val="clear" w:color="auto" w:fill="FCFCFC"/>
        </w:rPr>
        <w:t>对策措施建议：针对不符合项及风险点，提出具体、可操作且符合法规标准的安全对策措施及整改建议。</w:t>
      </w:r>
    </w:p>
    <w:p w14:paraId="6C5D1070">
      <w:pPr>
        <w:pStyle w:val="14"/>
        <w:adjustRightInd w:val="0"/>
        <w:snapToGrid w:val="0"/>
        <w:spacing w:line="360" w:lineRule="auto"/>
        <w:ind w:left="420" w:firstLine="420" w:firstLineChars="200"/>
        <w:rPr>
          <w:rFonts w:ascii="宋体" w:hAnsi="宋体" w:eastAsia="宋体" w:cs="宋体"/>
          <w:color w:val="000000"/>
          <w:sz w:val="21"/>
          <w:shd w:val="clear" w:color="auto" w:fill="FCFCFC"/>
        </w:rPr>
      </w:pPr>
      <w:r>
        <w:rPr>
          <w:rFonts w:ascii="宋体" w:hAnsi="宋体" w:eastAsia="宋体" w:cs="宋体"/>
          <w:color w:val="000000"/>
          <w:sz w:val="21"/>
          <w:shd w:val="clear" w:color="auto" w:fill="FCFCFC"/>
        </w:rPr>
        <w:t>报告编制与交付：编制内容完整、格式规范、结论明确的《安全现状评价报告》（最终稿需提供纸质版</w:t>
      </w:r>
      <w:r>
        <w:rPr>
          <w:rFonts w:hint="eastAsia" w:ascii="宋体" w:hAnsi="宋体" w:eastAsia="宋体" w:cs="宋体"/>
          <w:color w:val="000000"/>
          <w:sz w:val="21"/>
          <w:shd w:val="clear" w:color="auto" w:fill="FCFCFC"/>
        </w:rPr>
        <w:t>6</w:t>
      </w:r>
      <w:r>
        <w:rPr>
          <w:rFonts w:ascii="宋体" w:hAnsi="宋体" w:eastAsia="宋体" w:cs="宋体"/>
          <w:color w:val="000000"/>
          <w:sz w:val="21"/>
          <w:shd w:val="clear" w:color="auto" w:fill="FCFCFC"/>
        </w:rPr>
        <w:t>份，电子版1份）。</w:t>
      </w:r>
    </w:p>
    <w:p w14:paraId="5EC42312">
      <w:pPr>
        <w:pStyle w:val="14"/>
        <w:adjustRightInd w:val="0"/>
        <w:snapToGrid w:val="0"/>
        <w:spacing w:line="360" w:lineRule="auto"/>
        <w:ind w:left="420" w:firstLine="420" w:firstLineChars="200"/>
        <w:rPr>
          <w:rFonts w:ascii="宋体" w:hAnsi="宋体" w:eastAsia="宋体" w:cs="宋体"/>
          <w:color w:val="000000"/>
          <w:sz w:val="21"/>
          <w:shd w:val="clear" w:color="auto" w:fill="FCFCFC"/>
        </w:rPr>
      </w:pPr>
      <w:r>
        <w:rPr>
          <w:rFonts w:ascii="宋体" w:hAnsi="宋体" w:eastAsia="宋体" w:cs="宋体"/>
          <w:color w:val="000000"/>
          <w:sz w:val="21"/>
          <w:shd w:val="clear" w:color="auto" w:fill="FCFCFC"/>
        </w:rPr>
        <w:t>技术支持：</w:t>
      </w:r>
      <w:r>
        <w:rPr>
          <w:rFonts w:hint="eastAsia" w:ascii="宋体" w:hAnsi="宋体" w:eastAsia="宋体" w:cs="宋体"/>
          <w:color w:val="000000"/>
          <w:sz w:val="21"/>
          <w:shd w:val="clear" w:color="auto" w:fill="FCFCFC"/>
        </w:rPr>
        <w:t>报告出具有效内，</w:t>
      </w:r>
      <w:r>
        <w:rPr>
          <w:rFonts w:ascii="宋体" w:hAnsi="宋体" w:eastAsia="宋体" w:cs="宋体"/>
          <w:color w:val="000000"/>
          <w:sz w:val="21"/>
          <w:shd w:val="clear" w:color="auto" w:fill="FCFCFC"/>
        </w:rPr>
        <w:t>在</w:t>
      </w:r>
      <w:r>
        <w:rPr>
          <w:rFonts w:hint="eastAsia" w:ascii="宋体" w:hAnsi="宋体" w:eastAsia="宋体" w:cs="宋体"/>
          <w:color w:val="000000"/>
          <w:sz w:val="21"/>
          <w:shd w:val="clear" w:color="auto" w:fill="FCFCFC"/>
        </w:rPr>
        <w:t>应急部门评价</w:t>
      </w:r>
      <w:r>
        <w:rPr>
          <w:rFonts w:ascii="宋体" w:hAnsi="宋体" w:eastAsia="宋体" w:cs="宋体"/>
          <w:color w:val="000000"/>
          <w:sz w:val="21"/>
          <w:shd w:val="clear" w:color="auto" w:fill="FCFCFC"/>
        </w:rPr>
        <w:t>报告</w:t>
      </w:r>
      <w:r>
        <w:rPr>
          <w:rFonts w:hint="eastAsia" w:ascii="宋体" w:hAnsi="宋体" w:eastAsia="宋体" w:cs="宋体"/>
          <w:color w:val="000000"/>
          <w:sz w:val="21"/>
          <w:shd w:val="clear" w:color="auto" w:fill="FCFCFC"/>
        </w:rPr>
        <w:t>检查过程中对发现的报告存在问题</w:t>
      </w:r>
      <w:r>
        <w:rPr>
          <w:rFonts w:ascii="宋体" w:hAnsi="宋体" w:eastAsia="宋体" w:cs="宋体"/>
          <w:color w:val="000000"/>
          <w:sz w:val="21"/>
          <w:shd w:val="clear" w:color="auto" w:fill="FCFCFC"/>
        </w:rPr>
        <w:t>无偿负责报告的修改与完善，直至报告获得</w:t>
      </w:r>
      <w:r>
        <w:rPr>
          <w:rFonts w:hint="eastAsia" w:ascii="宋体" w:hAnsi="宋体" w:eastAsia="宋体" w:cs="宋体"/>
          <w:color w:val="000000"/>
          <w:sz w:val="21"/>
          <w:shd w:val="clear" w:color="auto" w:fill="FCFCFC"/>
        </w:rPr>
        <w:t>主管部门认可</w:t>
      </w:r>
      <w:r>
        <w:rPr>
          <w:rFonts w:ascii="宋体" w:hAnsi="宋体" w:eastAsia="宋体" w:cs="宋体"/>
          <w:color w:val="000000"/>
          <w:sz w:val="21"/>
          <w:shd w:val="clear" w:color="auto" w:fill="FCFCFC"/>
        </w:rPr>
        <w:t>。</w:t>
      </w:r>
    </w:p>
    <w:p w14:paraId="6BEB7789">
      <w:pPr>
        <w:pStyle w:val="14"/>
        <w:adjustRightInd w:val="0"/>
        <w:snapToGrid w:val="0"/>
        <w:spacing w:line="360" w:lineRule="auto"/>
        <w:ind w:left="420" w:firstLine="420" w:firstLineChars="200"/>
        <w:rPr>
          <w:rFonts w:ascii="宋体" w:hAnsi="宋体" w:eastAsia="宋体" w:cs="宋体"/>
          <w:color w:val="000000"/>
          <w:sz w:val="21"/>
          <w:shd w:val="clear" w:color="auto" w:fill="FCFCFC"/>
        </w:rPr>
      </w:pPr>
      <w:r>
        <w:rPr>
          <w:rFonts w:ascii="宋体" w:hAnsi="宋体" w:eastAsia="宋体" w:cs="宋体"/>
          <w:color w:val="000000"/>
          <w:sz w:val="21"/>
          <w:shd w:val="clear" w:color="auto" w:fill="FCFCFC"/>
        </w:rPr>
        <w:t>技术成果要求（报告内容）：</w:t>
      </w:r>
    </w:p>
    <w:p w14:paraId="63C6E5BB">
      <w:pPr>
        <w:pStyle w:val="14"/>
        <w:adjustRightInd w:val="0"/>
        <w:snapToGrid w:val="0"/>
        <w:spacing w:line="360" w:lineRule="auto"/>
        <w:ind w:left="420" w:firstLine="420" w:firstLineChars="200"/>
        <w:rPr>
          <w:rFonts w:ascii="宋体" w:hAnsi="宋体" w:eastAsia="宋体" w:cs="宋体"/>
          <w:color w:val="000000"/>
          <w:sz w:val="21"/>
          <w:shd w:val="clear" w:color="auto" w:fill="FCFCFC"/>
        </w:rPr>
      </w:pPr>
      <w:r>
        <w:rPr>
          <w:rFonts w:ascii="宋体" w:hAnsi="宋体" w:eastAsia="宋体" w:cs="宋体"/>
          <w:color w:val="000000"/>
          <w:sz w:val="21"/>
          <w:shd w:val="clear" w:color="auto" w:fill="FCFCFC"/>
        </w:rPr>
        <w:t>报告必须严格依据《安全评价通则》（AQ 8001）、《安全现状评价导则》及相关行业标准编制。</w:t>
      </w:r>
    </w:p>
    <w:p w14:paraId="44C1FBD1">
      <w:pPr>
        <w:pStyle w:val="14"/>
        <w:adjustRightInd w:val="0"/>
        <w:snapToGrid w:val="0"/>
        <w:spacing w:line="360" w:lineRule="auto"/>
        <w:ind w:left="420" w:firstLine="420" w:firstLineChars="200"/>
        <w:rPr>
          <w:rFonts w:ascii="宋体" w:hAnsi="宋体" w:eastAsia="宋体" w:cs="宋体"/>
          <w:color w:val="000000"/>
          <w:sz w:val="21"/>
          <w:shd w:val="clear" w:color="auto" w:fill="FCFCFC"/>
        </w:rPr>
      </w:pPr>
      <w:r>
        <w:rPr>
          <w:rFonts w:ascii="宋体" w:hAnsi="宋体" w:eastAsia="宋体" w:cs="宋体"/>
          <w:color w:val="000000"/>
          <w:sz w:val="21"/>
          <w:shd w:val="clear" w:color="auto" w:fill="FCFCFC"/>
        </w:rPr>
        <w:t>报告结论必须客观、公正、准确，法律依据充分。</w:t>
      </w:r>
    </w:p>
    <w:p w14:paraId="3CF4476F">
      <w:pPr>
        <w:pStyle w:val="14"/>
        <w:adjustRightInd w:val="0"/>
        <w:snapToGrid w:val="0"/>
        <w:spacing w:line="360" w:lineRule="auto"/>
        <w:ind w:left="420" w:firstLine="420" w:firstLineChars="200"/>
        <w:rPr>
          <w:rFonts w:ascii="宋体" w:hAnsi="宋体" w:eastAsia="宋体" w:cs="宋体"/>
          <w:color w:val="000000"/>
          <w:sz w:val="21"/>
          <w:shd w:val="clear" w:color="auto" w:fill="FCFCFC"/>
        </w:rPr>
      </w:pPr>
      <w:r>
        <w:rPr>
          <w:rFonts w:ascii="宋体" w:hAnsi="宋体" w:eastAsia="宋体" w:cs="宋体"/>
          <w:color w:val="000000"/>
          <w:sz w:val="21"/>
          <w:shd w:val="clear" w:color="auto" w:fill="FCFCFC"/>
        </w:rPr>
        <w:t>报告应重点突出对金属熔炼（高温熔融金属）和危险化学品储存与使用等重大风险源的评价与分析。</w:t>
      </w:r>
    </w:p>
    <w:p w14:paraId="41900EC7">
      <w:pPr>
        <w:pStyle w:val="14"/>
        <w:adjustRightInd w:val="0"/>
        <w:snapToGrid w:val="0"/>
        <w:spacing w:line="360" w:lineRule="auto"/>
        <w:ind w:left="420" w:firstLine="420" w:firstLineChars="200"/>
        <w:rPr>
          <w:rFonts w:ascii="宋体" w:hAnsi="宋体" w:eastAsia="宋体" w:cs="宋体"/>
          <w:color w:val="000000"/>
          <w:sz w:val="21"/>
          <w:shd w:val="clear" w:color="auto" w:fill="FCFCFC"/>
        </w:rPr>
      </w:pPr>
      <w:r>
        <w:rPr>
          <w:rFonts w:ascii="宋体" w:hAnsi="宋体" w:eastAsia="宋体" w:cs="宋体"/>
          <w:color w:val="000000"/>
          <w:sz w:val="21"/>
          <w:shd w:val="clear" w:color="auto" w:fill="FCFCFC"/>
        </w:rPr>
        <w:t>评价单元划分应清晰合理，评价方法选择应科学适当。</w:t>
      </w:r>
    </w:p>
    <w:p w14:paraId="77A94C99">
      <w:pPr>
        <w:pStyle w:val="76"/>
        <w:rPr>
          <w:b/>
          <w:bCs/>
        </w:rPr>
      </w:pPr>
    </w:p>
    <w:p w14:paraId="41362990">
      <w:pPr>
        <w:pStyle w:val="76"/>
        <w:rPr>
          <w:b/>
          <w:bCs/>
        </w:rPr>
      </w:pPr>
    </w:p>
    <w:p w14:paraId="654EBC09">
      <w:pPr>
        <w:pStyle w:val="76"/>
        <w:rPr>
          <w:b/>
          <w:bCs/>
        </w:rPr>
      </w:pPr>
    </w:p>
    <w:p w14:paraId="03A4D662">
      <w:pPr>
        <w:pStyle w:val="76"/>
        <w:rPr>
          <w:b/>
          <w:bCs/>
        </w:rPr>
      </w:pPr>
    </w:p>
    <w:p w14:paraId="548B73A4">
      <w:pPr>
        <w:pStyle w:val="76"/>
        <w:rPr>
          <w:b/>
          <w:bCs/>
        </w:rPr>
      </w:pPr>
    </w:p>
    <w:p w14:paraId="7D18620C">
      <w:pPr>
        <w:pStyle w:val="76"/>
        <w:rPr>
          <w:b/>
          <w:bCs/>
        </w:rPr>
      </w:pPr>
    </w:p>
    <w:p w14:paraId="39C03B5E">
      <w:pPr>
        <w:pStyle w:val="76"/>
        <w:rPr>
          <w:b/>
          <w:bCs/>
        </w:rPr>
      </w:pPr>
    </w:p>
    <w:p w14:paraId="14776EC6">
      <w:pPr>
        <w:pStyle w:val="76"/>
        <w:rPr>
          <w:b/>
          <w:bCs/>
        </w:rPr>
      </w:pPr>
    </w:p>
    <w:p w14:paraId="709E9A61">
      <w:pPr>
        <w:pStyle w:val="76"/>
        <w:rPr>
          <w:b/>
          <w:bCs/>
        </w:rPr>
      </w:pPr>
    </w:p>
    <w:p w14:paraId="23A348F9">
      <w:pPr>
        <w:pStyle w:val="76"/>
        <w:rPr>
          <w:b/>
          <w:bCs/>
        </w:rPr>
      </w:pPr>
    </w:p>
    <w:p w14:paraId="73224B7D">
      <w:pPr>
        <w:pStyle w:val="76"/>
        <w:rPr>
          <w:b/>
          <w:bCs/>
        </w:rPr>
      </w:pPr>
    </w:p>
    <w:p w14:paraId="26B88BE8">
      <w:pPr>
        <w:pStyle w:val="76"/>
        <w:rPr>
          <w:b/>
          <w:bCs/>
        </w:rPr>
      </w:pPr>
    </w:p>
    <w:p w14:paraId="2E5F29B2">
      <w:pPr>
        <w:pStyle w:val="76"/>
        <w:rPr>
          <w:b/>
          <w:bCs/>
        </w:rPr>
      </w:pPr>
    </w:p>
    <w:p w14:paraId="7A414112">
      <w:pPr>
        <w:pStyle w:val="76"/>
        <w:rPr>
          <w:b/>
          <w:bCs/>
        </w:rPr>
      </w:pPr>
    </w:p>
    <w:p w14:paraId="260F1792">
      <w:pPr>
        <w:pStyle w:val="76"/>
        <w:rPr>
          <w:b/>
          <w:bCs/>
        </w:rPr>
      </w:pPr>
    </w:p>
    <w:p w14:paraId="32F3FE28">
      <w:pPr>
        <w:pStyle w:val="76"/>
        <w:rPr>
          <w:b/>
          <w:bCs/>
        </w:rPr>
      </w:pPr>
    </w:p>
    <w:p w14:paraId="5D1D0C8F">
      <w:pPr>
        <w:pStyle w:val="76"/>
        <w:rPr>
          <w:b/>
          <w:bCs/>
        </w:rPr>
      </w:pPr>
    </w:p>
    <w:p w14:paraId="55E54AC2">
      <w:pPr>
        <w:pStyle w:val="76"/>
      </w:pPr>
    </w:p>
    <w:p w14:paraId="5871DF53">
      <w:pPr>
        <w:pStyle w:val="71"/>
        <w:numPr>
          <w:ilvl w:val="0"/>
          <w:numId w:val="34"/>
        </w:numPr>
        <w:rPr>
          <w:rFonts w:hint="eastAsia"/>
        </w:rPr>
      </w:pPr>
      <w:bookmarkStart w:id="23" w:name="_Toc20595"/>
      <w:bookmarkStart w:id="24" w:name="_Toc47976609"/>
      <w:r>
        <w:rPr>
          <w:rFonts w:hint="eastAsia"/>
        </w:rPr>
        <w:t>合同主要条款</w:t>
      </w:r>
      <w:bookmarkEnd w:id="23"/>
      <w:bookmarkEnd w:id="24"/>
    </w:p>
    <w:p w14:paraId="1CC2ADF3">
      <w:pPr>
        <w:pStyle w:val="71"/>
        <w:numPr>
          <w:ilvl w:val="0"/>
          <w:numId w:val="0"/>
        </w:numPr>
        <w:jc w:val="center"/>
        <w:rPr>
          <w:rFonts w:hint="default" w:eastAsia="黑体"/>
          <w:sz w:val="28"/>
          <w:szCs w:val="28"/>
          <w:lang w:val="en-US" w:eastAsia="zh-CN"/>
        </w:rPr>
      </w:pPr>
      <w:r>
        <w:rPr>
          <w:rFonts w:hint="eastAsia"/>
          <w:sz w:val="28"/>
          <w:szCs w:val="28"/>
          <w:lang w:val="en-US" w:eastAsia="zh-CN"/>
        </w:rPr>
        <w:t>(合同以双方最终签署的版本为准)</w:t>
      </w:r>
    </w:p>
    <w:p w14:paraId="23914DBE">
      <w:pPr>
        <w:pStyle w:val="72"/>
        <w:numPr>
          <w:ilvl w:val="0"/>
          <w:numId w:val="35"/>
        </w:numPr>
        <w:ind w:left="420"/>
      </w:pPr>
      <w:bookmarkStart w:id="25" w:name="_Toc47976610"/>
      <w:r>
        <w:rPr>
          <w:rFonts w:hint="eastAsia"/>
          <w:lang w:val="en-US" w:eastAsia="zh-CN"/>
        </w:rPr>
        <w:t>标的、数量、</w:t>
      </w:r>
      <w:r>
        <w:rPr>
          <w:rFonts w:hint="eastAsia"/>
        </w:rPr>
        <w:t>交货期</w:t>
      </w:r>
      <w:bookmarkEnd w:id="25"/>
    </w:p>
    <w:p w14:paraId="18603CA8">
      <w:pPr>
        <w:pStyle w:val="72"/>
      </w:pPr>
      <w:bookmarkStart w:id="26" w:name="_Toc47976611"/>
      <w:r>
        <w:rPr>
          <w:rFonts w:hint="eastAsia"/>
        </w:rPr>
        <w:t>交货地点</w:t>
      </w:r>
      <w:bookmarkEnd w:id="26"/>
    </w:p>
    <w:p w14:paraId="3F03A936">
      <w:pPr>
        <w:pStyle w:val="72"/>
      </w:pPr>
      <w:bookmarkStart w:id="27" w:name="_Toc47976612"/>
      <w:r>
        <w:rPr>
          <w:rFonts w:hint="eastAsia"/>
          <w:lang w:val="en-US" w:eastAsia="zh-CN"/>
        </w:rPr>
        <w:t>价款及</w:t>
      </w:r>
      <w:r>
        <w:rPr>
          <w:rFonts w:hint="eastAsia"/>
        </w:rPr>
        <w:t>付款方式</w:t>
      </w:r>
      <w:bookmarkEnd w:id="27"/>
    </w:p>
    <w:p w14:paraId="0A7F4E98">
      <w:pPr>
        <w:pStyle w:val="72"/>
      </w:pPr>
      <w:bookmarkStart w:id="28" w:name="_Toc47976613"/>
      <w:r>
        <w:rPr>
          <w:rFonts w:hint="eastAsia"/>
          <w:lang w:val="en-US" w:eastAsia="zh-CN"/>
        </w:rPr>
        <w:t>质量要求、</w:t>
      </w:r>
      <w:r>
        <w:rPr>
          <w:rFonts w:hint="eastAsia"/>
        </w:rPr>
        <w:t>保修期及售后服务</w:t>
      </w:r>
      <w:bookmarkEnd w:id="28"/>
    </w:p>
    <w:p w14:paraId="50F6C5C1">
      <w:pPr>
        <w:pStyle w:val="72"/>
      </w:pPr>
      <w:bookmarkStart w:id="29" w:name="_Toc47976614"/>
      <w:r>
        <w:rPr>
          <w:rFonts w:hint="eastAsia"/>
        </w:rPr>
        <w:t>安装、调试及验收要求</w:t>
      </w:r>
      <w:bookmarkEnd w:id="29"/>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30" w:name="_Toc47976615"/>
      <w:bookmarkStart w:id="31" w:name="_Toc5925"/>
      <w:r>
        <w:rPr>
          <w:rFonts w:hint="eastAsia"/>
        </w:rPr>
        <w:t>第四部分　</w:t>
      </w:r>
      <w:bookmarkEnd w:id="30"/>
      <w:r>
        <w:rPr>
          <w:rFonts w:hint="eastAsia"/>
          <w:highlight w:val="none"/>
          <w:lang w:val="en-US" w:eastAsia="zh-CN"/>
        </w:rPr>
        <w:t>投标文件附件</w:t>
      </w:r>
      <w:bookmarkEnd w:id="31"/>
    </w:p>
    <w:p w14:paraId="4CCD0936">
      <w:pPr>
        <w:widowControl/>
        <w:jc w:val="left"/>
        <w:rPr>
          <w:rFonts w:ascii="宋体" w:hAnsi="宋体"/>
          <w:b/>
          <w:color w:val="000000"/>
          <w:sz w:val="28"/>
        </w:rPr>
      </w:pPr>
      <w:bookmarkStart w:id="32" w:name="_Toc47976616"/>
      <w:bookmarkStart w:id="33" w:name="_Toc4225"/>
      <w:r>
        <w:rPr>
          <w:rFonts w:hint="eastAsia" w:ascii="宋体" w:hAnsi="宋体"/>
          <w:b/>
          <w:color w:val="000000"/>
          <w:sz w:val="28"/>
        </w:rPr>
        <w:t>附件一：</w:t>
      </w:r>
    </w:p>
    <w:p w14:paraId="75E72D1A">
      <w:pPr>
        <w:spacing w:line="400" w:lineRule="exact"/>
        <w:rPr>
          <w:rFonts w:ascii="宋体" w:hAnsi="宋体"/>
          <w:bCs/>
          <w:color w:val="000000"/>
          <w:sz w:val="28"/>
        </w:rPr>
      </w:pPr>
    </w:p>
    <w:p w14:paraId="76FECE42">
      <w:pPr>
        <w:spacing w:line="400" w:lineRule="exact"/>
        <w:rPr>
          <w:rFonts w:ascii="宋体" w:hAnsi="宋体"/>
          <w:color w:val="000000"/>
        </w:rPr>
      </w:pPr>
    </w:p>
    <w:p w14:paraId="65F91089">
      <w:pPr>
        <w:pStyle w:val="6"/>
        <w:jc w:val="center"/>
        <w:rPr>
          <w:sz w:val="44"/>
          <w:szCs w:val="44"/>
        </w:rPr>
      </w:pPr>
      <w:r>
        <w:rPr>
          <w:rFonts w:hint="eastAsia"/>
          <w:sz w:val="44"/>
          <w:szCs w:val="44"/>
        </w:rPr>
        <w:t>中国重汽杭发公司</w:t>
      </w:r>
    </w:p>
    <w:p w14:paraId="5BB38392">
      <w:pPr>
        <w:pStyle w:val="6"/>
        <w:jc w:val="center"/>
        <w:rPr>
          <w:sz w:val="44"/>
          <w:szCs w:val="44"/>
        </w:rPr>
      </w:pPr>
      <w:r>
        <w:rPr>
          <w:rFonts w:hint="eastAsia"/>
          <w:sz w:val="44"/>
          <w:szCs w:val="44"/>
        </w:rPr>
        <w:t>安全评价技术服务项目</w:t>
      </w:r>
      <w:r>
        <w:rPr>
          <w:sz w:val="44"/>
          <w:szCs w:val="44"/>
        </w:rPr>
        <w:t>投标文件</w:t>
      </w:r>
    </w:p>
    <w:p w14:paraId="39FDF5A2">
      <w:pPr>
        <w:rPr>
          <w:rFonts w:ascii="宋体" w:hAnsi="宋体"/>
          <w:color w:val="000000"/>
          <w:sz w:val="28"/>
          <w:szCs w:val="28"/>
        </w:rPr>
      </w:pPr>
    </w:p>
    <w:p w14:paraId="18DAACBD">
      <w:pPr>
        <w:rPr>
          <w:rFonts w:ascii="宋体" w:hAnsi="宋体"/>
          <w:color w:val="000000"/>
          <w:sz w:val="28"/>
          <w:szCs w:val="28"/>
        </w:rPr>
      </w:pPr>
    </w:p>
    <w:p w14:paraId="6D409976">
      <w:pPr>
        <w:rPr>
          <w:rFonts w:ascii="宋体" w:hAnsi="宋体"/>
          <w:color w:val="000000"/>
          <w:sz w:val="28"/>
          <w:szCs w:val="28"/>
        </w:rPr>
      </w:pPr>
    </w:p>
    <w:p w14:paraId="0BD66C06">
      <w:pPr>
        <w:jc w:val="center"/>
        <w:rPr>
          <w:rFonts w:ascii="宋体" w:hAnsi="宋体"/>
          <w:color w:val="000000"/>
          <w:sz w:val="28"/>
          <w:szCs w:val="28"/>
        </w:rPr>
      </w:pPr>
      <w:r>
        <w:rPr>
          <w:rFonts w:ascii="宋体" w:hAnsi="宋体"/>
          <w:color w:val="000000"/>
          <w:sz w:val="28"/>
          <w:szCs w:val="28"/>
        </w:rPr>
        <w:t>投标单位：</w:t>
      </w: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ascii="宋体" w:hAnsi="宋体"/>
          <w:color w:val="000000"/>
          <w:sz w:val="28"/>
          <w:szCs w:val="28"/>
          <w:u w:val="single"/>
        </w:rPr>
        <w:t xml:space="preserve">     </w:t>
      </w:r>
      <w:r>
        <w:rPr>
          <w:rFonts w:ascii="宋体" w:hAnsi="宋体"/>
          <w:color w:val="000000"/>
          <w:sz w:val="28"/>
          <w:szCs w:val="28"/>
        </w:rPr>
        <w:t>（盖章）</w:t>
      </w:r>
    </w:p>
    <w:p w14:paraId="49938744">
      <w:pPr>
        <w:jc w:val="center"/>
        <w:rPr>
          <w:rFonts w:ascii="宋体" w:hAnsi="宋体"/>
          <w:color w:val="000000"/>
          <w:sz w:val="28"/>
          <w:szCs w:val="28"/>
        </w:rPr>
      </w:pPr>
    </w:p>
    <w:p w14:paraId="281F369D">
      <w:pPr>
        <w:jc w:val="center"/>
        <w:rPr>
          <w:rFonts w:ascii="宋体" w:hAnsi="宋体"/>
          <w:color w:val="000000"/>
          <w:sz w:val="28"/>
          <w:szCs w:val="28"/>
          <w:u w:val="single"/>
        </w:rPr>
      </w:pPr>
    </w:p>
    <w:p w14:paraId="7761A591">
      <w:pPr>
        <w:jc w:val="center"/>
        <w:rPr>
          <w:rFonts w:ascii="宋体" w:hAnsi="宋体"/>
          <w:color w:val="000000"/>
          <w:sz w:val="28"/>
          <w:szCs w:val="28"/>
        </w:rPr>
      </w:pPr>
      <w:r>
        <w:rPr>
          <w:rFonts w:ascii="宋体" w:hAnsi="宋体"/>
          <w:color w:val="000000"/>
          <w:sz w:val="28"/>
          <w:szCs w:val="28"/>
        </w:rPr>
        <w:t>法定代表人或其委托代理人：</w:t>
      </w:r>
      <w:r>
        <w:rPr>
          <w:rFonts w:ascii="宋体" w:hAnsi="宋体"/>
          <w:color w:val="000000"/>
          <w:sz w:val="28"/>
          <w:szCs w:val="28"/>
          <w:u w:val="single"/>
        </w:rPr>
        <w:t xml:space="preserve">                </w:t>
      </w:r>
      <w:r>
        <w:rPr>
          <w:rFonts w:ascii="宋体" w:hAnsi="宋体"/>
          <w:color w:val="000000"/>
          <w:sz w:val="28"/>
          <w:szCs w:val="28"/>
        </w:rPr>
        <w:t>（签字）</w:t>
      </w:r>
    </w:p>
    <w:p w14:paraId="275B00B7">
      <w:pPr>
        <w:jc w:val="center"/>
        <w:rPr>
          <w:rFonts w:ascii="宋体" w:hAnsi="宋体"/>
          <w:color w:val="000000"/>
          <w:sz w:val="28"/>
          <w:szCs w:val="28"/>
        </w:rPr>
      </w:pPr>
    </w:p>
    <w:p w14:paraId="048570F0">
      <w:pPr>
        <w:jc w:val="center"/>
        <w:rPr>
          <w:rFonts w:ascii="宋体" w:hAnsi="宋体"/>
          <w:color w:val="000000"/>
          <w:sz w:val="28"/>
          <w:szCs w:val="28"/>
        </w:rPr>
      </w:pPr>
    </w:p>
    <w:p w14:paraId="6B778EFA">
      <w:pPr>
        <w:wordWrap w:val="0"/>
        <w:jc w:val="center"/>
        <w:rPr>
          <w:rFonts w:ascii="宋体" w:hAnsi="宋体"/>
          <w:color w:val="000000"/>
          <w:sz w:val="28"/>
          <w:szCs w:val="28"/>
        </w:rPr>
      </w:pPr>
      <w:r>
        <w:rPr>
          <w:rFonts w:ascii="宋体" w:hAnsi="宋体"/>
          <w:color w:val="000000"/>
          <w:sz w:val="28"/>
          <w:szCs w:val="28"/>
          <w:u w:val="single"/>
        </w:rPr>
        <w:t xml:space="preserve">      </w:t>
      </w:r>
      <w:r>
        <w:rPr>
          <w:rFonts w:hint="eastAsia" w:ascii="宋体" w:hAnsi="宋体"/>
          <w:color w:val="000000"/>
          <w:sz w:val="28"/>
          <w:szCs w:val="28"/>
          <w:u w:val="single"/>
        </w:rPr>
        <w:t xml:space="preserve"> </w:t>
      </w:r>
      <w:r>
        <w:rPr>
          <w:rFonts w:ascii="宋体" w:hAnsi="宋体"/>
          <w:color w:val="000000"/>
          <w:sz w:val="28"/>
          <w:szCs w:val="28"/>
        </w:rPr>
        <w:t>年</w:t>
      </w:r>
      <w:r>
        <w:rPr>
          <w:rFonts w:ascii="宋体" w:hAnsi="宋体"/>
          <w:color w:val="000000"/>
          <w:sz w:val="28"/>
          <w:szCs w:val="28"/>
          <w:u w:val="single"/>
        </w:rPr>
        <w:t xml:space="preserve">       </w:t>
      </w:r>
      <w:r>
        <w:rPr>
          <w:rFonts w:ascii="宋体" w:hAnsi="宋体"/>
          <w:color w:val="000000"/>
          <w:sz w:val="28"/>
          <w:szCs w:val="28"/>
        </w:rPr>
        <w:t>月</w:t>
      </w:r>
      <w:r>
        <w:rPr>
          <w:rFonts w:ascii="宋体" w:hAnsi="宋体"/>
          <w:color w:val="000000"/>
          <w:sz w:val="28"/>
          <w:szCs w:val="28"/>
          <w:u w:val="single"/>
        </w:rPr>
        <w:t xml:space="preserve">       </w:t>
      </w:r>
      <w:r>
        <w:rPr>
          <w:rFonts w:ascii="宋体" w:hAnsi="宋体"/>
          <w:color w:val="000000"/>
          <w:sz w:val="28"/>
          <w:szCs w:val="28"/>
        </w:rPr>
        <w:t>日</w:t>
      </w:r>
    </w:p>
    <w:p w14:paraId="5CA781F8">
      <w:pPr>
        <w:pStyle w:val="71"/>
        <w:jc w:val="both"/>
      </w:pPr>
      <w:r>
        <w:rPr>
          <w:rFonts w:ascii="宋体" w:hAnsi="宋体"/>
          <w:color w:val="000000"/>
          <w:sz w:val="32"/>
          <w:szCs w:val="32"/>
        </w:rPr>
        <w:br w:type="page"/>
      </w:r>
    </w:p>
    <w:p w14:paraId="451A356D">
      <w:pPr>
        <w:pStyle w:val="6"/>
      </w:pPr>
      <w:r>
        <w:rPr>
          <w:rFonts w:hint="eastAsia" w:ascii="宋体" w:hAnsi="宋体"/>
          <w:color w:val="000000"/>
          <w:sz w:val="28"/>
        </w:rPr>
        <w:t>附件二：</w:t>
      </w:r>
    </w:p>
    <w:p w14:paraId="311F65BA">
      <w:pPr>
        <w:pStyle w:val="6"/>
        <w:jc w:val="center"/>
        <w:rPr>
          <w:rFonts w:ascii="宋体" w:hAnsi="宋体"/>
          <w:color w:val="000000"/>
          <w:sz w:val="44"/>
          <w:szCs w:val="44"/>
        </w:rPr>
      </w:pPr>
      <w:r>
        <w:t>投</w:t>
      </w:r>
      <w:r>
        <w:rPr>
          <w:rFonts w:hint="eastAsia"/>
        </w:rPr>
        <w:t xml:space="preserve"> </w:t>
      </w:r>
      <w:r>
        <w:t>标</w:t>
      </w:r>
      <w:r>
        <w:rPr>
          <w:rFonts w:hint="eastAsia"/>
        </w:rPr>
        <w:t xml:space="preserve"> </w:t>
      </w:r>
      <w:r>
        <w:t>函</w:t>
      </w:r>
    </w:p>
    <w:p w14:paraId="36096191">
      <w:pPr>
        <w:spacing w:line="360" w:lineRule="auto"/>
        <w:rPr>
          <w:rFonts w:ascii="仿宋" w:hAnsi="仿宋" w:eastAsia="仿宋" w:cs="仿宋"/>
          <w:color w:val="000000"/>
        </w:rPr>
      </w:pPr>
      <w:r>
        <w:rPr>
          <w:rFonts w:hint="eastAsia" w:ascii="仿宋" w:hAnsi="仿宋" w:eastAsia="仿宋" w:cs="仿宋"/>
          <w:color w:val="000000"/>
          <w:highlight w:val="none"/>
          <w:u w:val="single"/>
        </w:rPr>
        <w:t>中国重汽集团杭州发动机有限公司</w:t>
      </w:r>
      <w:r>
        <w:rPr>
          <w:rFonts w:hint="eastAsia" w:ascii="仿宋" w:hAnsi="仿宋" w:eastAsia="仿宋" w:cs="仿宋"/>
          <w:color w:val="000000"/>
        </w:rPr>
        <w:t>：</w:t>
      </w:r>
    </w:p>
    <w:p w14:paraId="1F767231">
      <w:pPr>
        <w:rPr>
          <w:rFonts w:ascii="仿宋" w:hAnsi="仿宋" w:eastAsia="仿宋" w:cs="仿宋"/>
          <w:color w:val="000000"/>
        </w:rPr>
      </w:pPr>
      <w:r>
        <w:rPr>
          <w:rFonts w:hint="eastAsia" w:ascii="仿宋" w:hAnsi="仿宋" w:eastAsia="仿宋" w:cs="仿宋"/>
          <w:color w:val="000000"/>
        </w:rPr>
        <w:t xml:space="preserve">    1．我方已仔细研究了</w:t>
      </w:r>
      <w:r>
        <w:rPr>
          <w:rFonts w:hint="eastAsia" w:ascii="仿宋" w:hAnsi="仿宋" w:eastAsia="仿宋" w:cs="仿宋"/>
          <w:color w:val="000000"/>
          <w:highlight w:val="none"/>
          <w:u w:val="single"/>
        </w:rPr>
        <w:t>杭发公司安全评价技术服务项目</w:t>
      </w:r>
      <w:r>
        <w:rPr>
          <w:rFonts w:hint="eastAsia" w:ascii="仿宋" w:hAnsi="仿宋" w:eastAsia="仿宋" w:cs="仿宋"/>
          <w:color w:val="000000"/>
        </w:rPr>
        <w:t>招标文件的全部内容，并同意将投标单位必须遵循的内容做为合同条款，同意按合同约定实施承包项目。</w:t>
      </w:r>
    </w:p>
    <w:p w14:paraId="2C6A50F5">
      <w:pPr>
        <w:spacing w:line="360" w:lineRule="auto"/>
        <w:ind w:firstLine="420" w:firstLineChars="200"/>
        <w:rPr>
          <w:rFonts w:ascii="仿宋" w:hAnsi="仿宋" w:eastAsia="仿宋" w:cs="仿宋"/>
          <w:color w:val="000000"/>
        </w:rPr>
      </w:pPr>
      <w:r>
        <w:rPr>
          <w:rFonts w:hint="eastAsia" w:ascii="仿宋" w:hAnsi="仿宋" w:eastAsia="仿宋" w:cs="仿宋"/>
          <w:color w:val="000000"/>
        </w:rPr>
        <w:t>2．我方承诺在招标文件规定的投标有效期内不修改、撤销投标文件。</w:t>
      </w:r>
    </w:p>
    <w:p w14:paraId="2DF19BAB">
      <w:pPr>
        <w:spacing w:line="360" w:lineRule="auto"/>
        <w:ind w:firstLine="420" w:firstLineChars="200"/>
        <w:rPr>
          <w:rFonts w:ascii="仿宋" w:hAnsi="仿宋" w:eastAsia="仿宋" w:cs="仿宋"/>
          <w:color w:val="000000"/>
        </w:rPr>
      </w:pPr>
      <w:r>
        <w:rPr>
          <w:rFonts w:hint="eastAsia" w:ascii="仿宋" w:hAnsi="仿宋" w:eastAsia="仿宋" w:cs="仿宋"/>
          <w:color w:val="000000"/>
        </w:rPr>
        <w:t>3．如我方中标：</w:t>
      </w:r>
    </w:p>
    <w:p w14:paraId="534080C6">
      <w:pPr>
        <w:spacing w:line="360" w:lineRule="auto"/>
        <w:ind w:firstLine="315" w:firstLineChars="150"/>
        <w:rPr>
          <w:rFonts w:ascii="仿宋" w:hAnsi="仿宋" w:eastAsia="仿宋" w:cs="仿宋"/>
          <w:color w:val="000000"/>
        </w:rPr>
      </w:pPr>
      <w:r>
        <w:rPr>
          <w:rFonts w:hint="eastAsia" w:ascii="仿宋" w:hAnsi="仿宋" w:eastAsia="仿宋" w:cs="仿宋"/>
          <w:color w:val="000000"/>
        </w:rPr>
        <w:t>（1）我方承诺在收到中标通知书后，在中标通知书规定的期限内与你方签订合同。</w:t>
      </w:r>
    </w:p>
    <w:p w14:paraId="77F3EFAA">
      <w:pPr>
        <w:spacing w:line="360" w:lineRule="auto"/>
        <w:ind w:firstLine="315" w:firstLineChars="150"/>
        <w:rPr>
          <w:rFonts w:ascii="仿宋" w:hAnsi="仿宋" w:eastAsia="仿宋" w:cs="仿宋"/>
          <w:color w:val="000000"/>
        </w:rPr>
      </w:pPr>
      <w:r>
        <w:rPr>
          <w:rFonts w:hint="eastAsia" w:ascii="仿宋" w:hAnsi="仿宋" w:eastAsia="仿宋" w:cs="仿宋"/>
          <w:color w:val="000000"/>
        </w:rPr>
        <w:t>（2）随同本投标函递交的投标函附件属于合同文件的组成部分。</w:t>
      </w:r>
    </w:p>
    <w:p w14:paraId="4DCCBE12">
      <w:pPr>
        <w:spacing w:line="360" w:lineRule="auto"/>
        <w:ind w:firstLine="315" w:firstLineChars="150"/>
        <w:rPr>
          <w:rFonts w:ascii="仿宋" w:hAnsi="仿宋" w:eastAsia="仿宋" w:cs="仿宋"/>
          <w:color w:val="000000"/>
        </w:rPr>
      </w:pPr>
      <w:r>
        <w:rPr>
          <w:rFonts w:hint="eastAsia" w:ascii="仿宋" w:hAnsi="仿宋" w:eastAsia="仿宋" w:cs="仿宋"/>
          <w:color w:val="000000"/>
        </w:rPr>
        <w:t>（3）我方承诺在合同约定的期限内完成全部合同项目。</w:t>
      </w:r>
    </w:p>
    <w:p w14:paraId="36CF03E8">
      <w:pPr>
        <w:spacing w:line="360" w:lineRule="auto"/>
        <w:ind w:firstLine="420" w:firstLineChars="200"/>
        <w:rPr>
          <w:rFonts w:ascii="仿宋" w:hAnsi="仿宋" w:eastAsia="仿宋" w:cs="仿宋"/>
          <w:color w:val="000000"/>
        </w:rPr>
      </w:pPr>
      <w:r>
        <w:rPr>
          <w:rFonts w:hint="eastAsia" w:ascii="仿宋" w:hAnsi="仿宋" w:eastAsia="仿宋" w:cs="仿宋"/>
          <w:color w:val="000000"/>
        </w:rPr>
        <w:t>4．我方在此声明，所递交的投标文件及有关资料内容完整、真实和准确。</w:t>
      </w:r>
    </w:p>
    <w:p w14:paraId="2961008A">
      <w:pPr>
        <w:spacing w:line="360" w:lineRule="auto"/>
        <w:ind w:firstLine="420" w:firstLineChars="200"/>
        <w:rPr>
          <w:rFonts w:ascii="仿宋" w:hAnsi="仿宋" w:eastAsia="仿宋" w:cs="仿宋"/>
          <w:color w:val="000000"/>
        </w:rPr>
      </w:pPr>
      <w:r>
        <w:rPr>
          <w:rFonts w:hint="eastAsia" w:ascii="仿宋" w:hAnsi="仿宋" w:eastAsia="仿宋" w:cs="仿宋"/>
          <w:color w:val="000000"/>
        </w:rPr>
        <w:t>5．</w:t>
      </w:r>
      <w:r>
        <w:rPr>
          <w:rFonts w:hint="eastAsia" w:ascii="仿宋" w:hAnsi="仿宋" w:eastAsia="仿宋" w:cs="仿宋"/>
          <w:color w:val="000000"/>
          <w:u w:val="single"/>
        </w:rPr>
        <w:t xml:space="preserve">                                       </w:t>
      </w:r>
      <w:r>
        <w:rPr>
          <w:rFonts w:hint="eastAsia" w:ascii="仿宋" w:hAnsi="仿宋" w:eastAsia="仿宋" w:cs="仿宋"/>
          <w:color w:val="000000"/>
        </w:rPr>
        <w:t>（其他补充说明）。</w:t>
      </w:r>
    </w:p>
    <w:p w14:paraId="5BBD704E">
      <w:pPr>
        <w:spacing w:line="360" w:lineRule="auto"/>
        <w:rPr>
          <w:rFonts w:ascii="仿宋" w:hAnsi="仿宋" w:eastAsia="仿宋" w:cs="仿宋"/>
          <w:color w:val="000000"/>
        </w:rPr>
      </w:pPr>
    </w:p>
    <w:p w14:paraId="30DC3146">
      <w:pPr>
        <w:spacing w:line="360" w:lineRule="auto"/>
        <w:rPr>
          <w:rFonts w:ascii="仿宋" w:hAnsi="仿宋" w:eastAsia="仿宋" w:cs="仿宋"/>
          <w:color w:val="000000"/>
        </w:rPr>
      </w:pPr>
    </w:p>
    <w:p w14:paraId="78099A44">
      <w:pPr>
        <w:spacing w:line="360" w:lineRule="auto"/>
        <w:ind w:firstLine="2520" w:firstLineChars="1200"/>
        <w:rPr>
          <w:rFonts w:ascii="仿宋" w:hAnsi="仿宋" w:eastAsia="仿宋" w:cs="仿宋"/>
          <w:color w:val="000000"/>
        </w:rPr>
      </w:pPr>
      <w:r>
        <w:rPr>
          <w:rFonts w:hint="eastAsia" w:ascii="仿宋" w:hAnsi="仿宋" w:eastAsia="仿宋" w:cs="仿宋"/>
          <w:color w:val="000000"/>
        </w:rPr>
        <w:t>投标单位：</w:t>
      </w:r>
      <w:r>
        <w:rPr>
          <w:rFonts w:hint="eastAsia" w:ascii="仿宋" w:hAnsi="仿宋" w:eastAsia="仿宋" w:cs="仿宋"/>
          <w:color w:val="000000"/>
          <w:u w:val="single"/>
        </w:rPr>
        <w:t xml:space="preserve">                      </w:t>
      </w:r>
      <w:r>
        <w:rPr>
          <w:rFonts w:hint="eastAsia" w:ascii="仿宋" w:hAnsi="仿宋" w:eastAsia="仿宋" w:cs="仿宋"/>
          <w:color w:val="000000"/>
        </w:rPr>
        <w:t>（盖单位章）</w:t>
      </w:r>
    </w:p>
    <w:p w14:paraId="5822DAFA">
      <w:pPr>
        <w:spacing w:line="360" w:lineRule="auto"/>
        <w:ind w:firstLine="2520" w:firstLineChars="1200"/>
        <w:rPr>
          <w:rFonts w:ascii="仿宋" w:hAnsi="仿宋" w:eastAsia="仿宋" w:cs="仿宋"/>
          <w:color w:val="000000"/>
        </w:rPr>
      </w:pPr>
      <w:r>
        <w:rPr>
          <w:rFonts w:hint="eastAsia" w:ascii="仿宋" w:hAnsi="仿宋" w:eastAsia="仿宋" w:cs="仿宋"/>
          <w:color w:val="000000"/>
        </w:rPr>
        <w:t>法定代表人或其委托代理人：</w:t>
      </w:r>
      <w:r>
        <w:rPr>
          <w:rFonts w:hint="eastAsia" w:ascii="仿宋" w:hAnsi="仿宋" w:eastAsia="仿宋" w:cs="仿宋"/>
          <w:color w:val="000000"/>
          <w:u w:val="single"/>
        </w:rPr>
        <w:t xml:space="preserve">          </w:t>
      </w:r>
      <w:r>
        <w:rPr>
          <w:rFonts w:hint="eastAsia" w:ascii="仿宋" w:hAnsi="仿宋" w:eastAsia="仿宋" w:cs="仿宋"/>
          <w:color w:val="000000"/>
        </w:rPr>
        <w:t>（签字）</w:t>
      </w:r>
    </w:p>
    <w:p w14:paraId="5913292E">
      <w:pPr>
        <w:spacing w:line="360" w:lineRule="auto"/>
        <w:ind w:firstLine="2520" w:firstLineChars="1200"/>
        <w:rPr>
          <w:rFonts w:ascii="仿宋" w:hAnsi="仿宋" w:eastAsia="仿宋" w:cs="仿宋"/>
          <w:color w:val="000000"/>
        </w:rPr>
      </w:pPr>
      <w:r>
        <w:rPr>
          <w:rFonts w:hint="eastAsia" w:ascii="仿宋" w:hAnsi="仿宋" w:eastAsia="仿宋" w:cs="仿宋"/>
          <w:color w:val="000000"/>
        </w:rPr>
        <w:t>地址：</w:t>
      </w:r>
      <w:r>
        <w:rPr>
          <w:rFonts w:hint="eastAsia" w:ascii="仿宋" w:hAnsi="仿宋" w:eastAsia="仿宋" w:cs="仿宋"/>
          <w:color w:val="000000"/>
          <w:u w:val="single"/>
        </w:rPr>
        <w:t xml:space="preserve">                                     </w:t>
      </w:r>
    </w:p>
    <w:p w14:paraId="7773D1FA">
      <w:pPr>
        <w:spacing w:line="360" w:lineRule="auto"/>
        <w:ind w:firstLine="2520" w:firstLineChars="1200"/>
        <w:rPr>
          <w:rFonts w:ascii="仿宋" w:hAnsi="仿宋" w:eastAsia="仿宋" w:cs="仿宋"/>
          <w:color w:val="000000"/>
        </w:rPr>
      </w:pPr>
      <w:r>
        <w:rPr>
          <w:rFonts w:hint="eastAsia" w:ascii="仿宋" w:hAnsi="仿宋" w:eastAsia="仿宋" w:cs="仿宋"/>
          <w:color w:val="000000"/>
        </w:rPr>
        <w:t>网址：</w:t>
      </w:r>
      <w:r>
        <w:rPr>
          <w:rFonts w:hint="eastAsia" w:ascii="仿宋" w:hAnsi="仿宋" w:eastAsia="仿宋" w:cs="仿宋"/>
          <w:color w:val="000000"/>
          <w:u w:val="single"/>
        </w:rPr>
        <w:t xml:space="preserve">                                     </w:t>
      </w:r>
    </w:p>
    <w:p w14:paraId="3747952F">
      <w:pPr>
        <w:spacing w:line="360" w:lineRule="auto"/>
        <w:ind w:firstLine="2520" w:firstLineChars="1200"/>
        <w:rPr>
          <w:rFonts w:ascii="仿宋" w:hAnsi="仿宋" w:eastAsia="仿宋" w:cs="仿宋"/>
          <w:color w:val="000000"/>
        </w:rPr>
      </w:pPr>
      <w:r>
        <w:rPr>
          <w:rFonts w:hint="eastAsia" w:ascii="仿宋" w:hAnsi="仿宋" w:eastAsia="仿宋" w:cs="仿宋"/>
          <w:color w:val="000000"/>
        </w:rPr>
        <w:t>电话：</w:t>
      </w:r>
      <w:r>
        <w:rPr>
          <w:rFonts w:hint="eastAsia" w:ascii="仿宋" w:hAnsi="仿宋" w:eastAsia="仿宋" w:cs="仿宋"/>
          <w:color w:val="000000"/>
          <w:u w:val="single"/>
        </w:rPr>
        <w:t xml:space="preserve">                                     </w:t>
      </w:r>
    </w:p>
    <w:p w14:paraId="668D58A4">
      <w:pPr>
        <w:spacing w:line="360" w:lineRule="auto"/>
        <w:ind w:firstLine="2520" w:firstLineChars="1200"/>
        <w:rPr>
          <w:rFonts w:ascii="仿宋" w:hAnsi="仿宋" w:eastAsia="仿宋" w:cs="仿宋"/>
          <w:color w:val="000000"/>
        </w:rPr>
      </w:pPr>
      <w:r>
        <w:rPr>
          <w:rFonts w:hint="eastAsia" w:ascii="仿宋" w:hAnsi="仿宋" w:eastAsia="仿宋" w:cs="仿宋"/>
          <w:color w:val="000000"/>
        </w:rPr>
        <w:t>传真：</w:t>
      </w:r>
      <w:r>
        <w:rPr>
          <w:rFonts w:hint="eastAsia" w:ascii="仿宋" w:hAnsi="仿宋" w:eastAsia="仿宋" w:cs="仿宋"/>
          <w:color w:val="000000"/>
          <w:u w:val="single"/>
        </w:rPr>
        <w:t xml:space="preserve">                                     </w:t>
      </w:r>
    </w:p>
    <w:p w14:paraId="2891EC70">
      <w:pPr>
        <w:spacing w:line="360" w:lineRule="auto"/>
        <w:ind w:firstLine="2520" w:firstLineChars="1200"/>
        <w:rPr>
          <w:rFonts w:ascii="仿宋" w:hAnsi="仿宋" w:eastAsia="仿宋" w:cs="仿宋"/>
          <w:color w:val="000000"/>
          <w:u w:val="single"/>
        </w:rPr>
      </w:pPr>
      <w:r>
        <w:rPr>
          <w:rFonts w:hint="eastAsia" w:ascii="仿宋" w:hAnsi="仿宋" w:eastAsia="仿宋" w:cs="仿宋"/>
          <w:color w:val="000000"/>
        </w:rPr>
        <w:t>邮政编码：</w:t>
      </w:r>
      <w:r>
        <w:rPr>
          <w:rFonts w:hint="eastAsia" w:ascii="仿宋" w:hAnsi="仿宋" w:eastAsia="仿宋" w:cs="仿宋"/>
          <w:color w:val="000000"/>
          <w:u w:val="single"/>
        </w:rPr>
        <w:t xml:space="preserve">                                 </w:t>
      </w:r>
    </w:p>
    <w:p w14:paraId="05E1329D">
      <w:pPr>
        <w:spacing w:line="360" w:lineRule="auto"/>
        <w:ind w:firstLine="2520" w:firstLineChars="1200"/>
        <w:rPr>
          <w:rFonts w:ascii="仿宋" w:hAnsi="仿宋" w:eastAsia="仿宋" w:cs="仿宋"/>
          <w:color w:val="000000"/>
          <w:u w:val="single"/>
        </w:rPr>
      </w:pPr>
    </w:p>
    <w:p w14:paraId="1271A0D4">
      <w:pPr>
        <w:spacing w:line="360" w:lineRule="auto"/>
        <w:ind w:firstLine="3360" w:firstLineChars="1600"/>
        <w:rPr>
          <w:rFonts w:ascii="仿宋" w:hAnsi="仿宋" w:eastAsia="仿宋" w:cs="仿宋"/>
          <w:color w:val="000000"/>
        </w:rPr>
      </w:pPr>
      <w:r>
        <w:rPr>
          <w:rFonts w:hint="eastAsia" w:ascii="仿宋" w:hAnsi="仿宋" w:eastAsia="仿宋" w:cs="仿宋"/>
          <w:color w:val="000000"/>
        </w:rPr>
        <w:t xml:space="preserve">       年      月      日</w:t>
      </w:r>
    </w:p>
    <w:p w14:paraId="15CCB4DC">
      <w:pPr>
        <w:spacing w:line="400" w:lineRule="exact"/>
        <w:rPr>
          <w:rFonts w:ascii="宋体" w:hAnsi="宋体"/>
          <w:b/>
          <w:color w:val="000000"/>
          <w:sz w:val="28"/>
        </w:rPr>
      </w:pPr>
      <w:r>
        <w:rPr>
          <w:rFonts w:ascii="宋体" w:hAnsi="宋体"/>
          <w:color w:val="000000"/>
          <w:sz w:val="32"/>
          <w:szCs w:val="32"/>
        </w:rPr>
        <w:br w:type="page"/>
      </w:r>
      <w:r>
        <w:rPr>
          <w:rFonts w:hint="eastAsia" w:ascii="宋体" w:hAnsi="宋体"/>
          <w:b/>
          <w:color w:val="000000"/>
          <w:sz w:val="28"/>
        </w:rPr>
        <w:t>附件三：</w:t>
      </w:r>
    </w:p>
    <w:p w14:paraId="511DBD8E">
      <w:pPr>
        <w:spacing w:line="440" w:lineRule="exact"/>
        <w:ind w:firstLine="880" w:firstLineChars="200"/>
        <w:jc w:val="center"/>
        <w:rPr>
          <w:rFonts w:ascii="宋体" w:hAnsi="宋体"/>
          <w:color w:val="000000"/>
          <w:sz w:val="44"/>
          <w:szCs w:val="44"/>
        </w:rPr>
      </w:pPr>
    </w:p>
    <w:p w14:paraId="7A040FBB">
      <w:pPr>
        <w:spacing w:line="440" w:lineRule="exact"/>
        <w:ind w:firstLine="880" w:firstLineChars="200"/>
        <w:jc w:val="center"/>
        <w:rPr>
          <w:rFonts w:ascii="宋体" w:hAnsi="宋体"/>
          <w:color w:val="000000"/>
          <w:sz w:val="44"/>
          <w:szCs w:val="44"/>
        </w:rPr>
      </w:pPr>
    </w:p>
    <w:p w14:paraId="469A91B7">
      <w:pPr>
        <w:pStyle w:val="6"/>
        <w:jc w:val="center"/>
      </w:pPr>
      <w:r>
        <w:t>法定代表人身份证明</w:t>
      </w:r>
    </w:p>
    <w:p w14:paraId="5736A143">
      <w:pPr>
        <w:spacing w:line="360" w:lineRule="auto"/>
        <w:rPr>
          <w:rFonts w:ascii="宋体" w:hAnsi="宋体"/>
          <w:color w:val="000000"/>
        </w:rPr>
      </w:pPr>
    </w:p>
    <w:p w14:paraId="787D17BB">
      <w:pPr>
        <w:spacing w:line="360" w:lineRule="auto"/>
        <w:rPr>
          <w:rFonts w:ascii="仿宋" w:hAnsi="仿宋" w:eastAsia="仿宋" w:cs="仿宋"/>
          <w:color w:val="000000"/>
        </w:rPr>
      </w:pPr>
      <w:r>
        <w:rPr>
          <w:rFonts w:hint="eastAsia" w:ascii="仿宋" w:hAnsi="仿宋" w:eastAsia="仿宋" w:cs="仿宋"/>
          <w:color w:val="000000"/>
        </w:rPr>
        <w:t>投标单位名称：</w:t>
      </w:r>
      <w:r>
        <w:rPr>
          <w:rFonts w:hint="eastAsia" w:ascii="仿宋" w:hAnsi="仿宋" w:eastAsia="仿宋" w:cs="仿宋"/>
          <w:color w:val="000000"/>
          <w:u w:val="single"/>
        </w:rPr>
        <w:t xml:space="preserve">                            </w:t>
      </w:r>
      <w:r>
        <w:rPr>
          <w:rFonts w:hint="eastAsia" w:ascii="仿宋" w:hAnsi="仿宋" w:eastAsia="仿宋" w:cs="仿宋"/>
          <w:color w:val="000000"/>
        </w:rPr>
        <w:t xml:space="preserve"> </w:t>
      </w:r>
    </w:p>
    <w:p w14:paraId="6F9258A3">
      <w:pPr>
        <w:spacing w:line="360" w:lineRule="auto"/>
        <w:rPr>
          <w:rFonts w:ascii="仿宋" w:hAnsi="仿宋" w:eastAsia="仿宋" w:cs="仿宋"/>
          <w:color w:val="000000"/>
        </w:rPr>
      </w:pPr>
    </w:p>
    <w:p w14:paraId="360D3764">
      <w:pPr>
        <w:spacing w:line="360" w:lineRule="auto"/>
        <w:rPr>
          <w:rFonts w:ascii="仿宋" w:hAnsi="仿宋" w:eastAsia="仿宋" w:cs="仿宋"/>
          <w:color w:val="000000"/>
        </w:rPr>
      </w:pPr>
    </w:p>
    <w:p w14:paraId="618DBDF3">
      <w:pPr>
        <w:spacing w:line="360" w:lineRule="auto"/>
        <w:rPr>
          <w:rFonts w:ascii="仿宋" w:hAnsi="仿宋" w:eastAsia="仿宋" w:cs="仿宋"/>
          <w:color w:val="000000"/>
          <w:u w:val="single"/>
        </w:rPr>
      </w:pPr>
      <w:r>
        <w:rPr>
          <w:rFonts w:hint="eastAsia" w:ascii="仿宋" w:hAnsi="仿宋" w:eastAsia="仿宋" w:cs="仿宋"/>
          <w:color w:val="000000"/>
        </w:rPr>
        <w:t>姓名：</w:t>
      </w:r>
      <w:r>
        <w:rPr>
          <w:rFonts w:hint="eastAsia" w:ascii="仿宋" w:hAnsi="仿宋" w:eastAsia="仿宋" w:cs="仿宋"/>
          <w:color w:val="000000"/>
          <w:u w:val="single"/>
        </w:rPr>
        <w:t xml:space="preserve">        </w:t>
      </w:r>
      <w:r>
        <w:rPr>
          <w:rFonts w:hint="eastAsia" w:ascii="仿宋" w:hAnsi="仿宋" w:eastAsia="仿宋" w:cs="仿宋"/>
          <w:color w:val="000000"/>
        </w:rPr>
        <w:t xml:space="preserve"> 性别：</w:t>
      </w:r>
      <w:r>
        <w:rPr>
          <w:rFonts w:hint="eastAsia" w:ascii="仿宋" w:hAnsi="仿宋" w:eastAsia="仿宋" w:cs="仿宋"/>
          <w:color w:val="000000"/>
          <w:u w:val="single"/>
        </w:rPr>
        <w:t xml:space="preserve">        </w:t>
      </w:r>
      <w:r>
        <w:rPr>
          <w:rFonts w:hint="eastAsia" w:ascii="仿宋" w:hAnsi="仿宋" w:eastAsia="仿宋" w:cs="仿宋"/>
          <w:color w:val="000000"/>
        </w:rPr>
        <w:t>年龄：</w:t>
      </w:r>
      <w:r>
        <w:rPr>
          <w:rFonts w:hint="eastAsia" w:ascii="仿宋" w:hAnsi="仿宋" w:eastAsia="仿宋" w:cs="仿宋"/>
          <w:color w:val="000000"/>
          <w:u w:val="single"/>
        </w:rPr>
        <w:t xml:space="preserve">        </w:t>
      </w:r>
      <w:r>
        <w:rPr>
          <w:rFonts w:hint="eastAsia" w:ascii="仿宋" w:hAnsi="仿宋" w:eastAsia="仿宋" w:cs="仿宋"/>
          <w:color w:val="000000"/>
        </w:rPr>
        <w:t>职务：</w:t>
      </w:r>
      <w:r>
        <w:rPr>
          <w:rFonts w:hint="eastAsia" w:ascii="仿宋" w:hAnsi="仿宋" w:eastAsia="仿宋" w:cs="仿宋"/>
          <w:color w:val="000000"/>
          <w:u w:val="single"/>
        </w:rPr>
        <w:t xml:space="preserve">        </w:t>
      </w:r>
    </w:p>
    <w:p w14:paraId="2E86B335">
      <w:pPr>
        <w:spacing w:line="360" w:lineRule="auto"/>
        <w:rPr>
          <w:rFonts w:ascii="仿宋" w:hAnsi="仿宋" w:eastAsia="仿宋" w:cs="仿宋"/>
          <w:color w:val="000000"/>
        </w:rPr>
      </w:pPr>
      <w:r>
        <w:rPr>
          <w:rFonts w:hint="eastAsia" w:ascii="仿宋" w:hAnsi="仿宋" w:eastAsia="仿宋" w:cs="仿宋"/>
          <w:color w:val="000000"/>
        </w:rPr>
        <w:t>身份证号：</w:t>
      </w:r>
      <w:r>
        <w:rPr>
          <w:rFonts w:hint="eastAsia" w:ascii="仿宋" w:hAnsi="仿宋" w:eastAsia="仿宋" w:cs="仿宋"/>
          <w:color w:val="000000"/>
          <w:u w:val="single"/>
        </w:rPr>
        <w:t xml:space="preserve">                             </w:t>
      </w:r>
      <w:r>
        <w:rPr>
          <w:rFonts w:hint="eastAsia" w:ascii="仿宋" w:hAnsi="仿宋" w:eastAsia="仿宋" w:cs="仿宋"/>
          <w:color w:val="000000"/>
        </w:rPr>
        <w:t xml:space="preserve"> </w:t>
      </w:r>
    </w:p>
    <w:p w14:paraId="7CDC1494">
      <w:pPr>
        <w:spacing w:line="360" w:lineRule="auto"/>
        <w:rPr>
          <w:rFonts w:ascii="仿宋" w:hAnsi="仿宋" w:eastAsia="仿宋" w:cs="仿宋"/>
          <w:color w:val="000000"/>
        </w:rPr>
      </w:pPr>
      <w:r>
        <w:rPr>
          <w:rFonts w:hint="eastAsia" w:ascii="仿宋" w:hAnsi="仿宋" w:eastAsia="仿宋" w:cs="仿宋"/>
          <w:color w:val="000000"/>
        </w:rPr>
        <w:t>系</w:t>
      </w:r>
      <w:r>
        <w:rPr>
          <w:rFonts w:hint="eastAsia" w:ascii="仿宋" w:hAnsi="仿宋" w:eastAsia="仿宋" w:cs="仿宋"/>
          <w:color w:val="000000"/>
          <w:u w:val="single"/>
        </w:rPr>
        <w:t xml:space="preserve">                             </w:t>
      </w:r>
      <w:r>
        <w:rPr>
          <w:rFonts w:hint="eastAsia" w:ascii="仿宋" w:hAnsi="仿宋" w:eastAsia="仿宋" w:cs="仿宋"/>
          <w:color w:val="000000"/>
        </w:rPr>
        <w:t xml:space="preserve"> （投标单位名称）的法定代表人。</w:t>
      </w:r>
    </w:p>
    <w:p w14:paraId="6868F7CA">
      <w:pPr>
        <w:spacing w:line="360" w:lineRule="auto"/>
        <w:ind w:firstLine="420" w:firstLineChars="200"/>
        <w:rPr>
          <w:rFonts w:ascii="仿宋" w:hAnsi="仿宋" w:eastAsia="仿宋" w:cs="仿宋"/>
          <w:color w:val="000000"/>
        </w:rPr>
      </w:pPr>
      <w:r>
        <w:rPr>
          <w:rFonts w:hint="eastAsia" w:ascii="仿宋" w:hAnsi="仿宋" w:eastAsia="仿宋" w:cs="仿宋"/>
          <w:color w:val="000000"/>
        </w:rPr>
        <w:t>特此证明。</w:t>
      </w:r>
    </w:p>
    <w:p w14:paraId="57AC6DA9">
      <w:pPr>
        <w:spacing w:line="360" w:lineRule="auto"/>
        <w:rPr>
          <w:rFonts w:ascii="仿宋" w:hAnsi="仿宋" w:eastAsia="仿宋" w:cs="仿宋"/>
          <w:color w:val="000000"/>
        </w:rPr>
      </w:pPr>
    </w:p>
    <w:p w14:paraId="419C0109">
      <w:pPr>
        <w:spacing w:line="360" w:lineRule="auto"/>
        <w:rPr>
          <w:rFonts w:ascii="仿宋" w:hAnsi="仿宋" w:eastAsia="仿宋" w:cs="仿宋"/>
          <w:color w:val="000000"/>
        </w:rPr>
      </w:pPr>
      <w:r>
        <w:rPr>
          <w:rFonts w:hint="eastAsia" w:ascii="仿宋" w:hAnsi="仿宋" w:eastAsia="仿宋" w:cs="仿宋"/>
          <w:color w:val="000000"/>
        </w:rPr>
        <w:t>附：法定代表人身份证复印件。</w:t>
      </w:r>
    </w:p>
    <w:p w14:paraId="203D2C7F">
      <w:pPr>
        <w:spacing w:line="360" w:lineRule="auto"/>
        <w:rPr>
          <w:rFonts w:ascii="仿宋" w:hAnsi="仿宋" w:eastAsia="仿宋" w:cs="仿宋"/>
          <w:color w:val="000000"/>
        </w:rPr>
      </w:pPr>
    </w:p>
    <w:p w14:paraId="5F18E368">
      <w:pPr>
        <w:spacing w:line="360" w:lineRule="auto"/>
        <w:rPr>
          <w:rFonts w:ascii="仿宋" w:hAnsi="仿宋" w:eastAsia="仿宋" w:cs="仿宋"/>
          <w:color w:val="000000"/>
        </w:rPr>
      </w:pPr>
    </w:p>
    <w:p w14:paraId="16210F3D">
      <w:pPr>
        <w:spacing w:line="360" w:lineRule="auto"/>
        <w:rPr>
          <w:rFonts w:ascii="仿宋" w:hAnsi="仿宋" w:eastAsia="仿宋" w:cs="仿宋"/>
          <w:color w:val="000000"/>
        </w:rPr>
      </w:pPr>
      <w:r>
        <w:rPr>
          <w:rFonts w:hint="eastAsia" w:ascii="仿宋" w:hAnsi="仿宋" w:eastAsia="仿宋" w:cs="仿宋"/>
          <w:color w:val="000000"/>
        </w:rPr>
        <w:t xml:space="preserve">                          投标单位：</w:t>
      </w:r>
      <w:r>
        <w:rPr>
          <w:rFonts w:hint="eastAsia" w:ascii="仿宋" w:hAnsi="仿宋" w:eastAsia="仿宋" w:cs="仿宋"/>
          <w:color w:val="000000"/>
          <w:u w:val="single"/>
        </w:rPr>
        <w:t xml:space="preserve">                   </w:t>
      </w:r>
      <w:r>
        <w:rPr>
          <w:rFonts w:hint="eastAsia" w:ascii="仿宋" w:hAnsi="仿宋" w:eastAsia="仿宋" w:cs="仿宋"/>
          <w:color w:val="000000"/>
        </w:rPr>
        <w:t>（盖章）</w:t>
      </w:r>
    </w:p>
    <w:p w14:paraId="555D4482">
      <w:pPr>
        <w:spacing w:line="360" w:lineRule="auto"/>
        <w:ind w:right="280"/>
        <w:jc w:val="center"/>
        <w:rPr>
          <w:rFonts w:ascii="仿宋" w:hAnsi="仿宋" w:eastAsia="仿宋" w:cs="仿宋"/>
          <w:color w:val="000000"/>
        </w:rPr>
      </w:pPr>
    </w:p>
    <w:p w14:paraId="475B4872">
      <w:pPr>
        <w:spacing w:line="360" w:lineRule="auto"/>
        <w:ind w:right="280"/>
        <w:jc w:val="center"/>
        <w:rPr>
          <w:rFonts w:ascii="仿宋" w:hAnsi="仿宋" w:eastAsia="仿宋" w:cs="仿宋"/>
          <w:color w:val="000000"/>
        </w:rPr>
      </w:pPr>
      <w:r>
        <w:rPr>
          <w:rFonts w:hint="eastAsia" w:ascii="仿宋" w:hAnsi="仿宋" w:eastAsia="仿宋" w:cs="仿宋"/>
          <w:color w:val="000000"/>
        </w:rPr>
        <w:t xml:space="preserve">                      年    月    日   </w:t>
      </w:r>
    </w:p>
    <w:p w14:paraId="020A9F46">
      <w:pPr>
        <w:spacing w:line="400" w:lineRule="exact"/>
        <w:rPr>
          <w:rFonts w:ascii="宋体" w:hAnsi="宋体"/>
          <w:b/>
          <w:color w:val="000000"/>
          <w:sz w:val="28"/>
        </w:rPr>
      </w:pPr>
      <w:r>
        <w:rPr>
          <w:rFonts w:ascii="宋体" w:hAnsi="宋体"/>
          <w:color w:val="000000"/>
          <w:sz w:val="32"/>
          <w:szCs w:val="32"/>
        </w:rPr>
        <w:br w:type="page"/>
      </w:r>
      <w:r>
        <w:rPr>
          <w:rFonts w:hint="eastAsia" w:ascii="宋体" w:hAnsi="宋体"/>
          <w:b/>
          <w:color w:val="000000"/>
          <w:sz w:val="28"/>
        </w:rPr>
        <w:t>附件四：</w:t>
      </w:r>
    </w:p>
    <w:p w14:paraId="257E9335">
      <w:pPr>
        <w:pStyle w:val="6"/>
        <w:jc w:val="center"/>
        <w:rPr>
          <w:rFonts w:ascii="宋体" w:hAnsi="宋体"/>
          <w:color w:val="000000"/>
          <w:sz w:val="28"/>
          <w:szCs w:val="28"/>
        </w:rPr>
      </w:pPr>
      <w:r>
        <w:rPr>
          <w:rFonts w:hint="eastAsia"/>
        </w:rPr>
        <w:t>授权委托书</w:t>
      </w:r>
    </w:p>
    <w:p w14:paraId="28D7642E">
      <w:pPr>
        <w:topLinePunct/>
        <w:spacing w:line="360" w:lineRule="auto"/>
        <w:ind w:firstLine="420" w:firstLineChars="200"/>
        <w:rPr>
          <w:rFonts w:ascii="仿宋" w:hAnsi="仿宋" w:eastAsia="仿宋" w:cs="仿宋"/>
          <w:color w:val="000000"/>
        </w:rPr>
      </w:pPr>
      <w:r>
        <w:rPr>
          <w:rFonts w:hint="eastAsia" w:ascii="仿宋" w:hAnsi="仿宋" w:eastAsia="仿宋" w:cs="仿宋"/>
          <w:color w:val="000000"/>
        </w:rPr>
        <w:t>本人</w:t>
      </w:r>
      <w:r>
        <w:rPr>
          <w:rFonts w:hint="eastAsia" w:ascii="仿宋" w:hAnsi="仿宋" w:eastAsia="仿宋" w:cs="仿宋"/>
          <w:color w:val="000000"/>
          <w:u w:val="single"/>
        </w:rPr>
        <w:t xml:space="preserve">       </w:t>
      </w:r>
      <w:r>
        <w:rPr>
          <w:rFonts w:hint="eastAsia" w:ascii="仿宋" w:hAnsi="仿宋" w:eastAsia="仿宋" w:cs="仿宋"/>
          <w:color w:val="000000"/>
        </w:rPr>
        <w:t>（姓名）系</w:t>
      </w:r>
      <w:r>
        <w:rPr>
          <w:rFonts w:hint="eastAsia" w:ascii="仿宋" w:hAnsi="仿宋" w:eastAsia="仿宋" w:cs="仿宋"/>
          <w:color w:val="000000"/>
          <w:u w:val="single"/>
        </w:rPr>
        <w:t xml:space="preserve">                         </w:t>
      </w:r>
      <w:r>
        <w:rPr>
          <w:rFonts w:hint="eastAsia" w:ascii="仿宋" w:hAnsi="仿宋" w:eastAsia="仿宋" w:cs="仿宋"/>
          <w:color w:val="000000"/>
        </w:rPr>
        <w:t>（投标单位名称）的法定代表人，现委托</w:t>
      </w:r>
      <w:r>
        <w:rPr>
          <w:rFonts w:hint="eastAsia" w:ascii="仿宋" w:hAnsi="仿宋" w:eastAsia="仿宋" w:cs="仿宋"/>
          <w:color w:val="000000"/>
          <w:u w:val="single"/>
        </w:rPr>
        <w:t xml:space="preserve">        </w:t>
      </w:r>
      <w:r>
        <w:rPr>
          <w:rFonts w:hint="eastAsia" w:ascii="仿宋" w:hAnsi="仿宋" w:eastAsia="仿宋" w:cs="仿宋"/>
          <w:color w:val="000000"/>
        </w:rPr>
        <w:t>（姓名）为我方代理人。代理人根据授权，以我方名义签署、澄清、说明、补正、递交、撤回、修改</w:t>
      </w:r>
      <w:r>
        <w:rPr>
          <w:rFonts w:hint="eastAsia" w:ascii="仿宋" w:hAnsi="仿宋" w:eastAsia="仿宋" w:cs="仿宋"/>
          <w:color w:val="000000"/>
          <w:highlight w:val="none"/>
          <w:u w:val="single"/>
        </w:rPr>
        <w:t>杭发公司安全评价技术服务项目</w:t>
      </w:r>
      <w:r>
        <w:rPr>
          <w:rFonts w:hint="eastAsia" w:ascii="仿宋" w:hAnsi="仿宋" w:eastAsia="仿宋" w:cs="仿宋"/>
          <w:color w:val="000000"/>
        </w:rPr>
        <w:t>总承包投标文件、签订合同和处理有关事宜，其法律后果由我方承担。</w:t>
      </w:r>
    </w:p>
    <w:p w14:paraId="17420B03">
      <w:pPr>
        <w:spacing w:line="360" w:lineRule="auto"/>
        <w:rPr>
          <w:rFonts w:ascii="仿宋" w:hAnsi="仿宋" w:eastAsia="仿宋" w:cs="仿宋"/>
          <w:color w:val="000000"/>
        </w:rPr>
      </w:pPr>
      <w:r>
        <w:rPr>
          <w:rFonts w:hint="eastAsia" w:ascii="仿宋" w:hAnsi="仿宋" w:eastAsia="仿宋" w:cs="仿宋"/>
          <w:color w:val="000000"/>
        </w:rPr>
        <w:t xml:space="preserve">    委托期限：</w:t>
      </w:r>
      <w:r>
        <w:rPr>
          <w:rFonts w:hint="eastAsia" w:ascii="仿宋" w:hAnsi="仿宋" w:eastAsia="仿宋" w:cs="仿宋"/>
          <w:color w:val="000000"/>
          <w:u w:val="single"/>
        </w:rPr>
        <w:t xml:space="preserve">             </w:t>
      </w:r>
      <w:r>
        <w:rPr>
          <w:rFonts w:hint="eastAsia" w:ascii="仿宋" w:hAnsi="仿宋" w:eastAsia="仿宋" w:cs="仿宋"/>
          <w:color w:val="000000"/>
        </w:rPr>
        <w:t>。</w:t>
      </w:r>
    </w:p>
    <w:p w14:paraId="1E587611">
      <w:pPr>
        <w:spacing w:line="360" w:lineRule="auto"/>
        <w:ind w:firstLine="420" w:firstLineChars="200"/>
        <w:rPr>
          <w:rFonts w:ascii="仿宋" w:hAnsi="仿宋" w:eastAsia="仿宋" w:cs="仿宋"/>
          <w:color w:val="000000"/>
        </w:rPr>
      </w:pPr>
      <w:r>
        <w:rPr>
          <w:rFonts w:hint="eastAsia" w:ascii="仿宋" w:hAnsi="仿宋" w:eastAsia="仿宋" w:cs="仿宋"/>
          <w:color w:val="000000"/>
        </w:rPr>
        <w:t>代理人无转委托权。</w:t>
      </w:r>
    </w:p>
    <w:p w14:paraId="2BF04739">
      <w:pPr>
        <w:spacing w:line="360" w:lineRule="auto"/>
        <w:ind w:firstLine="420" w:firstLineChars="200"/>
        <w:rPr>
          <w:rFonts w:ascii="仿宋" w:hAnsi="仿宋" w:eastAsia="仿宋" w:cs="仿宋"/>
          <w:color w:val="000000"/>
        </w:rPr>
      </w:pPr>
    </w:p>
    <w:p w14:paraId="527B23E6">
      <w:pPr>
        <w:spacing w:line="360" w:lineRule="auto"/>
        <w:rPr>
          <w:rFonts w:ascii="仿宋" w:hAnsi="仿宋" w:eastAsia="仿宋" w:cs="仿宋"/>
          <w:color w:val="000000"/>
        </w:rPr>
      </w:pPr>
    </w:p>
    <w:p w14:paraId="1E54A0C1">
      <w:pPr>
        <w:spacing w:line="360" w:lineRule="auto"/>
        <w:rPr>
          <w:rFonts w:ascii="仿宋" w:hAnsi="仿宋" w:eastAsia="仿宋" w:cs="仿宋"/>
          <w:color w:val="000000"/>
        </w:rPr>
      </w:pPr>
      <w:r>
        <w:rPr>
          <w:rFonts w:hint="eastAsia" w:ascii="仿宋" w:hAnsi="仿宋" w:eastAsia="仿宋" w:cs="仿宋"/>
          <w:color w:val="000000"/>
        </w:rPr>
        <w:t>委托代理人：</w:t>
      </w:r>
      <w:r>
        <w:rPr>
          <w:rFonts w:hint="eastAsia" w:ascii="仿宋" w:hAnsi="仿宋" w:eastAsia="仿宋" w:cs="仿宋"/>
          <w:color w:val="000000"/>
          <w:u w:val="single"/>
        </w:rPr>
        <w:t xml:space="preserve">                                 </w:t>
      </w:r>
      <w:r>
        <w:rPr>
          <w:rFonts w:hint="eastAsia" w:ascii="仿宋" w:hAnsi="仿宋" w:eastAsia="仿宋" w:cs="仿宋"/>
          <w:color w:val="000000"/>
        </w:rPr>
        <w:t xml:space="preserve">（签字） </w:t>
      </w:r>
    </w:p>
    <w:p w14:paraId="6E671E90">
      <w:pPr>
        <w:spacing w:line="360" w:lineRule="auto"/>
        <w:rPr>
          <w:rFonts w:ascii="仿宋" w:hAnsi="仿宋" w:eastAsia="仿宋" w:cs="仿宋"/>
          <w:color w:val="000000"/>
        </w:rPr>
      </w:pPr>
    </w:p>
    <w:p w14:paraId="1396ACF1">
      <w:pPr>
        <w:spacing w:line="360" w:lineRule="auto"/>
        <w:rPr>
          <w:rFonts w:ascii="仿宋" w:hAnsi="仿宋" w:eastAsia="仿宋" w:cs="仿宋"/>
          <w:color w:val="000000"/>
        </w:rPr>
      </w:pPr>
      <w:r>
        <w:rPr>
          <w:rFonts w:hint="eastAsia" w:ascii="仿宋" w:hAnsi="仿宋" w:eastAsia="仿宋" w:cs="仿宋"/>
          <w:color w:val="000000"/>
        </w:rPr>
        <w:t>身份证号码：</w:t>
      </w:r>
      <w:r>
        <w:rPr>
          <w:rFonts w:hint="eastAsia" w:ascii="仿宋" w:hAnsi="仿宋" w:eastAsia="仿宋" w:cs="仿宋"/>
          <w:color w:val="000000"/>
          <w:u w:val="single"/>
        </w:rPr>
        <w:t xml:space="preserve">                                 </w:t>
      </w:r>
      <w:r>
        <w:rPr>
          <w:rFonts w:hint="eastAsia" w:ascii="仿宋" w:hAnsi="仿宋" w:eastAsia="仿宋" w:cs="仿宋"/>
          <w:color w:val="000000"/>
        </w:rPr>
        <w:t>（附身份证复印件）</w:t>
      </w:r>
    </w:p>
    <w:p w14:paraId="79C987BA">
      <w:pPr>
        <w:spacing w:line="360" w:lineRule="auto"/>
        <w:rPr>
          <w:rFonts w:ascii="仿宋" w:hAnsi="仿宋" w:eastAsia="仿宋" w:cs="仿宋"/>
          <w:color w:val="000000"/>
        </w:rPr>
      </w:pPr>
    </w:p>
    <w:p w14:paraId="04769249">
      <w:pPr>
        <w:spacing w:line="360" w:lineRule="auto"/>
        <w:rPr>
          <w:rFonts w:ascii="仿宋" w:hAnsi="仿宋" w:eastAsia="仿宋" w:cs="仿宋"/>
          <w:color w:val="000000"/>
        </w:rPr>
      </w:pPr>
      <w:r>
        <w:rPr>
          <w:rFonts w:hint="eastAsia" w:ascii="仿宋" w:hAnsi="仿宋" w:eastAsia="仿宋" w:cs="仿宋"/>
          <w:color w:val="000000"/>
        </w:rPr>
        <w:t>投标单位：</w:t>
      </w:r>
      <w:r>
        <w:rPr>
          <w:rFonts w:hint="eastAsia" w:ascii="仿宋" w:hAnsi="仿宋" w:eastAsia="仿宋" w:cs="仿宋"/>
          <w:color w:val="000000"/>
          <w:u w:val="single"/>
        </w:rPr>
        <w:t xml:space="preserve">                                   </w:t>
      </w:r>
      <w:r>
        <w:rPr>
          <w:rFonts w:hint="eastAsia" w:ascii="仿宋" w:hAnsi="仿宋" w:eastAsia="仿宋" w:cs="仿宋"/>
          <w:color w:val="000000"/>
        </w:rPr>
        <w:t>（盖章）</w:t>
      </w:r>
    </w:p>
    <w:p w14:paraId="0149416A">
      <w:pPr>
        <w:spacing w:line="360" w:lineRule="auto"/>
        <w:rPr>
          <w:rFonts w:ascii="仿宋" w:hAnsi="仿宋" w:eastAsia="仿宋" w:cs="仿宋"/>
          <w:color w:val="000000"/>
        </w:rPr>
      </w:pPr>
    </w:p>
    <w:p w14:paraId="27758DE6">
      <w:pPr>
        <w:spacing w:line="360" w:lineRule="auto"/>
        <w:rPr>
          <w:rFonts w:ascii="仿宋" w:hAnsi="仿宋" w:eastAsia="仿宋" w:cs="仿宋"/>
          <w:color w:val="000000"/>
        </w:rPr>
      </w:pPr>
      <w:r>
        <w:rPr>
          <w:rFonts w:hint="eastAsia" w:ascii="仿宋" w:hAnsi="仿宋" w:eastAsia="仿宋" w:cs="仿宋"/>
          <w:color w:val="000000"/>
        </w:rPr>
        <w:t>法定代表人：</w:t>
      </w:r>
      <w:r>
        <w:rPr>
          <w:rFonts w:hint="eastAsia" w:ascii="仿宋" w:hAnsi="仿宋" w:eastAsia="仿宋" w:cs="仿宋"/>
          <w:color w:val="000000"/>
          <w:u w:val="single"/>
        </w:rPr>
        <w:t xml:space="preserve">                                 </w:t>
      </w:r>
      <w:r>
        <w:rPr>
          <w:rFonts w:hint="eastAsia" w:ascii="仿宋" w:hAnsi="仿宋" w:eastAsia="仿宋" w:cs="仿宋"/>
          <w:color w:val="000000"/>
        </w:rPr>
        <w:t>（签字）</w:t>
      </w:r>
    </w:p>
    <w:p w14:paraId="4D0B42BE">
      <w:pPr>
        <w:spacing w:line="360" w:lineRule="auto"/>
        <w:rPr>
          <w:rFonts w:ascii="仿宋" w:hAnsi="仿宋" w:eastAsia="仿宋" w:cs="仿宋"/>
          <w:color w:val="000000"/>
        </w:rPr>
      </w:pPr>
    </w:p>
    <w:p w14:paraId="42BF0948">
      <w:pPr>
        <w:spacing w:line="360" w:lineRule="auto"/>
        <w:ind w:firstLine="4200" w:firstLineChars="2000"/>
        <w:rPr>
          <w:rFonts w:ascii="仿宋" w:hAnsi="仿宋" w:eastAsia="仿宋" w:cs="仿宋"/>
          <w:color w:val="000000"/>
        </w:rPr>
      </w:pPr>
      <w:r>
        <w:rPr>
          <w:rFonts w:hint="eastAsia" w:ascii="仿宋" w:hAnsi="仿宋" w:eastAsia="仿宋" w:cs="仿宋"/>
          <w:color w:val="000000"/>
        </w:rPr>
        <w:t>年     月     日</w:t>
      </w:r>
    </w:p>
    <w:p w14:paraId="055626FB">
      <w:pPr>
        <w:spacing w:line="360" w:lineRule="auto"/>
        <w:rPr>
          <w:rFonts w:ascii="宋体" w:hAnsi="宋体"/>
          <w:bCs/>
          <w:color w:val="000000"/>
        </w:rPr>
      </w:pPr>
    </w:p>
    <w:p w14:paraId="46CAB477">
      <w:pPr>
        <w:spacing w:line="360" w:lineRule="auto"/>
        <w:rPr>
          <w:rFonts w:ascii="仿宋" w:hAnsi="仿宋" w:eastAsia="仿宋" w:cs="仿宋"/>
          <w:color w:val="000000"/>
        </w:rPr>
      </w:pPr>
    </w:p>
    <w:p w14:paraId="4A635247">
      <w:pPr>
        <w:spacing w:line="360" w:lineRule="auto"/>
      </w:pPr>
    </w:p>
    <w:p w14:paraId="1AD209CD">
      <w:pPr>
        <w:spacing w:line="360" w:lineRule="auto"/>
      </w:pPr>
    </w:p>
    <w:p w14:paraId="1AAADE66">
      <w:pPr>
        <w:spacing w:line="360" w:lineRule="auto"/>
      </w:pPr>
    </w:p>
    <w:p w14:paraId="579827C7">
      <w:pPr>
        <w:pStyle w:val="2"/>
        <w:ind w:left="420" w:firstLine="420"/>
      </w:pPr>
    </w:p>
    <w:p w14:paraId="53C71217">
      <w:pPr>
        <w:spacing w:line="360" w:lineRule="auto"/>
      </w:pPr>
    </w:p>
    <w:p w14:paraId="3024BC52">
      <w:pPr>
        <w:spacing w:line="360" w:lineRule="auto"/>
      </w:pPr>
    </w:p>
    <w:p w14:paraId="71DB9A7F">
      <w:pPr>
        <w:rPr>
          <w:rFonts w:ascii="宋体" w:hAnsi="宋体"/>
          <w:b/>
          <w:color w:val="000000"/>
          <w:sz w:val="28"/>
        </w:rPr>
      </w:pPr>
      <w:r>
        <w:rPr>
          <w:rFonts w:hint="eastAsia" w:ascii="宋体" w:hAnsi="宋体"/>
          <w:b/>
          <w:color w:val="000000"/>
          <w:sz w:val="28"/>
        </w:rPr>
        <w:br w:type="page"/>
      </w:r>
    </w:p>
    <w:p w14:paraId="12E63D3C">
      <w:pPr>
        <w:pStyle w:val="2"/>
        <w:spacing w:after="0"/>
        <w:ind w:left="0" w:leftChars="0" w:firstLine="562"/>
        <w:rPr>
          <w:rFonts w:ascii="宋体" w:hAnsi="宋体"/>
          <w:b/>
          <w:color w:val="000000"/>
          <w:sz w:val="28"/>
        </w:rPr>
      </w:pPr>
      <w:r>
        <w:rPr>
          <w:rFonts w:hint="eastAsia" w:ascii="宋体" w:hAnsi="宋体"/>
          <w:b/>
          <w:color w:val="000000"/>
          <w:sz w:val="28"/>
        </w:rPr>
        <w:t>附件五：</w:t>
      </w:r>
    </w:p>
    <w:p w14:paraId="01EA8B80">
      <w:pPr>
        <w:rPr>
          <w:rFonts w:ascii="仿宋" w:hAnsi="仿宋" w:eastAsia="仿宋" w:cs="仿宋"/>
          <w:color w:val="FF0000"/>
          <w:u w:val="single"/>
        </w:rPr>
      </w:pPr>
      <w:r>
        <w:rPr>
          <w:rFonts w:hint="eastAsia" w:ascii="仿宋" w:hAnsi="仿宋" w:eastAsia="仿宋" w:cs="仿宋"/>
        </w:rPr>
        <w:t>项目名称：</w:t>
      </w:r>
      <w:r>
        <w:rPr>
          <w:rFonts w:hint="eastAsia" w:ascii="仿宋" w:hAnsi="仿宋" w:eastAsia="仿宋" w:cs="仿宋"/>
          <w:highlight w:val="none"/>
          <w:u w:val="single"/>
        </w:rPr>
        <w:t>杭发公司安全评价技术服务项目</w:t>
      </w:r>
    </w:p>
    <w:p w14:paraId="6EA3CCD8">
      <w:pPr>
        <w:rPr>
          <w:rFonts w:ascii="仿宋" w:hAnsi="仿宋" w:eastAsia="仿宋" w:cs="仿宋"/>
          <w:u w:val="single"/>
        </w:rPr>
      </w:pPr>
    </w:p>
    <w:p w14:paraId="30BBD495">
      <w:pPr>
        <w:rPr>
          <w:rFonts w:ascii="仿宋" w:hAnsi="仿宋" w:eastAsia="仿宋" w:cs="仿宋"/>
          <w:szCs w:val="21"/>
        </w:rPr>
      </w:pPr>
      <w:r>
        <w:rPr>
          <w:rFonts w:hint="eastAsia" w:ascii="仿宋" w:hAnsi="仿宋" w:eastAsia="仿宋" w:cs="仿宋"/>
          <w:szCs w:val="21"/>
        </w:rPr>
        <w:t>日    期：  年   月   日</w:t>
      </w:r>
    </w:p>
    <w:tbl>
      <w:tblPr>
        <w:tblStyle w:val="30"/>
        <w:tblW w:w="10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3178"/>
        <w:gridCol w:w="1016"/>
        <w:gridCol w:w="992"/>
        <w:gridCol w:w="1701"/>
        <w:gridCol w:w="1397"/>
        <w:gridCol w:w="1181"/>
      </w:tblGrid>
      <w:tr w14:paraId="59D4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222D456A">
            <w:pPr>
              <w:spacing w:line="360" w:lineRule="auto"/>
              <w:jc w:val="center"/>
              <w:rPr>
                <w:rFonts w:ascii="仿宋" w:hAnsi="仿宋" w:eastAsia="仿宋" w:cs="仿宋"/>
                <w:szCs w:val="21"/>
              </w:rPr>
            </w:pPr>
            <w:r>
              <w:rPr>
                <w:rFonts w:hint="eastAsia" w:ascii="仿宋" w:hAnsi="仿宋" w:eastAsia="仿宋" w:cs="仿宋"/>
                <w:szCs w:val="21"/>
              </w:rPr>
              <w:t>序号</w:t>
            </w:r>
          </w:p>
        </w:tc>
        <w:tc>
          <w:tcPr>
            <w:tcW w:w="3178" w:type="dxa"/>
            <w:vAlign w:val="center"/>
          </w:tcPr>
          <w:p w14:paraId="7A42DA07">
            <w:pPr>
              <w:spacing w:line="360" w:lineRule="auto"/>
              <w:jc w:val="center"/>
              <w:rPr>
                <w:rFonts w:ascii="仿宋" w:hAnsi="仿宋" w:eastAsia="仿宋" w:cs="仿宋"/>
                <w:szCs w:val="21"/>
              </w:rPr>
            </w:pPr>
            <w:r>
              <w:rPr>
                <w:rFonts w:hint="eastAsia" w:ascii="仿宋" w:hAnsi="仿宋" w:eastAsia="仿宋" w:cs="仿宋"/>
                <w:szCs w:val="21"/>
              </w:rPr>
              <w:t>项目名称</w:t>
            </w:r>
          </w:p>
        </w:tc>
        <w:tc>
          <w:tcPr>
            <w:tcW w:w="1016" w:type="dxa"/>
            <w:vAlign w:val="center"/>
          </w:tcPr>
          <w:p w14:paraId="088147D5">
            <w:pPr>
              <w:spacing w:line="360" w:lineRule="auto"/>
              <w:jc w:val="center"/>
              <w:rPr>
                <w:rFonts w:ascii="仿宋" w:hAnsi="仿宋" w:eastAsia="仿宋" w:cs="仿宋"/>
                <w:szCs w:val="21"/>
              </w:rPr>
            </w:pPr>
            <w:r>
              <w:rPr>
                <w:rFonts w:hint="eastAsia" w:ascii="仿宋" w:hAnsi="仿宋" w:eastAsia="仿宋" w:cs="仿宋"/>
                <w:szCs w:val="21"/>
              </w:rPr>
              <w:t>单位</w:t>
            </w:r>
          </w:p>
        </w:tc>
        <w:tc>
          <w:tcPr>
            <w:tcW w:w="992" w:type="dxa"/>
            <w:vAlign w:val="center"/>
          </w:tcPr>
          <w:p w14:paraId="723F4C24">
            <w:pPr>
              <w:spacing w:line="360" w:lineRule="auto"/>
              <w:jc w:val="center"/>
              <w:rPr>
                <w:rFonts w:ascii="仿宋" w:hAnsi="仿宋" w:eastAsia="仿宋" w:cs="仿宋"/>
                <w:szCs w:val="21"/>
              </w:rPr>
            </w:pPr>
            <w:r>
              <w:rPr>
                <w:rFonts w:hint="eastAsia" w:ascii="仿宋" w:hAnsi="仿宋" w:eastAsia="仿宋" w:cs="仿宋"/>
                <w:szCs w:val="21"/>
              </w:rPr>
              <w:t>数量</w:t>
            </w:r>
          </w:p>
        </w:tc>
        <w:tc>
          <w:tcPr>
            <w:tcW w:w="1701" w:type="dxa"/>
            <w:vAlign w:val="center"/>
          </w:tcPr>
          <w:p w14:paraId="5E929620">
            <w:pPr>
              <w:spacing w:line="360" w:lineRule="auto"/>
              <w:jc w:val="center"/>
              <w:rPr>
                <w:rFonts w:ascii="仿宋" w:hAnsi="仿宋" w:eastAsia="仿宋" w:cs="仿宋"/>
                <w:szCs w:val="21"/>
              </w:rPr>
            </w:pPr>
            <w:r>
              <w:rPr>
                <w:rFonts w:hint="eastAsia" w:ascii="仿宋" w:hAnsi="仿宋" w:eastAsia="仿宋" w:cs="仿宋"/>
                <w:szCs w:val="21"/>
              </w:rPr>
              <w:t>未税单价</w:t>
            </w:r>
          </w:p>
        </w:tc>
        <w:tc>
          <w:tcPr>
            <w:tcW w:w="1397" w:type="dxa"/>
            <w:vAlign w:val="center"/>
          </w:tcPr>
          <w:p w14:paraId="11A61E1A">
            <w:pPr>
              <w:spacing w:line="360" w:lineRule="auto"/>
              <w:jc w:val="center"/>
              <w:rPr>
                <w:rFonts w:ascii="仿宋" w:hAnsi="仿宋" w:eastAsia="仿宋" w:cs="仿宋"/>
                <w:szCs w:val="21"/>
              </w:rPr>
            </w:pPr>
            <w:r>
              <w:rPr>
                <w:rFonts w:hint="eastAsia" w:ascii="仿宋" w:hAnsi="仿宋" w:eastAsia="仿宋" w:cs="仿宋"/>
                <w:szCs w:val="21"/>
              </w:rPr>
              <w:t>含税单价</w:t>
            </w:r>
          </w:p>
        </w:tc>
        <w:tc>
          <w:tcPr>
            <w:tcW w:w="1181" w:type="dxa"/>
          </w:tcPr>
          <w:p w14:paraId="0AFCE3FB">
            <w:pPr>
              <w:spacing w:line="360" w:lineRule="auto"/>
              <w:jc w:val="center"/>
              <w:rPr>
                <w:rFonts w:ascii="仿宋" w:hAnsi="仿宋" w:eastAsia="仿宋" w:cs="仿宋"/>
                <w:szCs w:val="21"/>
              </w:rPr>
            </w:pPr>
            <w:r>
              <w:rPr>
                <w:rFonts w:hint="eastAsia" w:ascii="仿宋" w:hAnsi="仿宋" w:eastAsia="仿宋" w:cs="仿宋"/>
                <w:szCs w:val="21"/>
              </w:rPr>
              <w:t>备注</w:t>
            </w:r>
          </w:p>
        </w:tc>
      </w:tr>
      <w:tr w14:paraId="22357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7F474820">
            <w:pPr>
              <w:spacing w:line="360" w:lineRule="auto"/>
              <w:jc w:val="center"/>
              <w:rPr>
                <w:rFonts w:ascii="仿宋" w:hAnsi="仿宋" w:eastAsia="仿宋" w:cs="仿宋"/>
                <w:szCs w:val="21"/>
              </w:rPr>
            </w:pPr>
            <w:r>
              <w:rPr>
                <w:rFonts w:hint="eastAsia" w:ascii="仿宋" w:hAnsi="仿宋" w:eastAsia="仿宋" w:cs="仿宋"/>
                <w:szCs w:val="21"/>
              </w:rPr>
              <w:t>1</w:t>
            </w:r>
          </w:p>
        </w:tc>
        <w:tc>
          <w:tcPr>
            <w:tcW w:w="3178" w:type="dxa"/>
            <w:vAlign w:val="center"/>
          </w:tcPr>
          <w:p w14:paraId="12B58655">
            <w:pPr>
              <w:spacing w:line="360" w:lineRule="auto"/>
              <w:jc w:val="center"/>
              <w:rPr>
                <w:rFonts w:ascii="仿宋" w:hAnsi="仿宋" w:eastAsia="仿宋" w:cs="仿宋"/>
                <w:szCs w:val="21"/>
              </w:rPr>
            </w:pPr>
            <w:r>
              <w:rPr>
                <w:rFonts w:hint="eastAsia" w:ascii="仿宋" w:hAnsi="仿宋" w:eastAsia="仿宋" w:cs="仿宋"/>
                <w:szCs w:val="21"/>
              </w:rPr>
              <w:t>前期准备，编制评价方案</w:t>
            </w:r>
          </w:p>
        </w:tc>
        <w:tc>
          <w:tcPr>
            <w:tcW w:w="1016" w:type="dxa"/>
            <w:vAlign w:val="center"/>
          </w:tcPr>
          <w:p w14:paraId="4DEF3797">
            <w:pPr>
              <w:spacing w:line="360" w:lineRule="auto"/>
              <w:jc w:val="center"/>
              <w:rPr>
                <w:rFonts w:ascii="仿宋" w:hAnsi="仿宋" w:eastAsia="仿宋" w:cs="仿宋"/>
                <w:szCs w:val="21"/>
              </w:rPr>
            </w:pPr>
          </w:p>
        </w:tc>
        <w:tc>
          <w:tcPr>
            <w:tcW w:w="992" w:type="dxa"/>
            <w:vAlign w:val="center"/>
          </w:tcPr>
          <w:p w14:paraId="709D85A5">
            <w:pPr>
              <w:tabs>
                <w:tab w:val="left" w:pos="606"/>
                <w:tab w:val="center" w:pos="1310"/>
              </w:tabs>
              <w:spacing w:line="360" w:lineRule="auto"/>
              <w:jc w:val="center"/>
              <w:rPr>
                <w:rFonts w:ascii="仿宋" w:hAnsi="仿宋" w:eastAsia="仿宋" w:cs="仿宋"/>
                <w:szCs w:val="21"/>
              </w:rPr>
            </w:pPr>
          </w:p>
        </w:tc>
        <w:tc>
          <w:tcPr>
            <w:tcW w:w="1701" w:type="dxa"/>
            <w:vAlign w:val="center"/>
          </w:tcPr>
          <w:p w14:paraId="5DADB26A">
            <w:pPr>
              <w:tabs>
                <w:tab w:val="left" w:pos="606"/>
                <w:tab w:val="center" w:pos="1310"/>
              </w:tabs>
              <w:spacing w:line="360" w:lineRule="auto"/>
              <w:jc w:val="center"/>
              <w:rPr>
                <w:rFonts w:ascii="仿宋" w:hAnsi="仿宋" w:eastAsia="仿宋" w:cs="仿宋"/>
                <w:szCs w:val="21"/>
              </w:rPr>
            </w:pPr>
          </w:p>
        </w:tc>
        <w:tc>
          <w:tcPr>
            <w:tcW w:w="1397" w:type="dxa"/>
            <w:vAlign w:val="center"/>
          </w:tcPr>
          <w:p w14:paraId="65C318E1">
            <w:pPr>
              <w:spacing w:line="360" w:lineRule="auto"/>
              <w:jc w:val="center"/>
              <w:rPr>
                <w:rFonts w:ascii="仿宋" w:hAnsi="仿宋" w:eastAsia="仿宋" w:cs="仿宋"/>
                <w:szCs w:val="21"/>
              </w:rPr>
            </w:pPr>
          </w:p>
        </w:tc>
        <w:tc>
          <w:tcPr>
            <w:tcW w:w="1181" w:type="dxa"/>
          </w:tcPr>
          <w:p w14:paraId="24EAAB74">
            <w:pPr>
              <w:spacing w:line="360" w:lineRule="auto"/>
              <w:jc w:val="center"/>
              <w:rPr>
                <w:rFonts w:ascii="仿宋" w:hAnsi="仿宋" w:eastAsia="仿宋" w:cs="仿宋"/>
                <w:szCs w:val="21"/>
              </w:rPr>
            </w:pPr>
          </w:p>
        </w:tc>
      </w:tr>
      <w:tr w14:paraId="3B91F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4BA73EBD">
            <w:pPr>
              <w:spacing w:line="360" w:lineRule="auto"/>
              <w:jc w:val="center"/>
              <w:rPr>
                <w:rFonts w:ascii="仿宋" w:hAnsi="仿宋" w:eastAsia="仿宋" w:cs="仿宋"/>
                <w:szCs w:val="21"/>
              </w:rPr>
            </w:pPr>
            <w:r>
              <w:rPr>
                <w:rFonts w:hint="eastAsia" w:ascii="仿宋" w:hAnsi="仿宋" w:eastAsia="仿宋" w:cs="仿宋"/>
                <w:szCs w:val="21"/>
              </w:rPr>
              <w:t>2</w:t>
            </w:r>
          </w:p>
        </w:tc>
        <w:tc>
          <w:tcPr>
            <w:tcW w:w="3178" w:type="dxa"/>
            <w:vAlign w:val="center"/>
          </w:tcPr>
          <w:p w14:paraId="1D45D6A6">
            <w:pPr>
              <w:spacing w:line="360" w:lineRule="auto"/>
              <w:jc w:val="center"/>
              <w:rPr>
                <w:rFonts w:ascii="仿宋" w:hAnsi="仿宋" w:eastAsia="仿宋" w:cs="仿宋"/>
                <w:szCs w:val="21"/>
              </w:rPr>
            </w:pPr>
            <w:r>
              <w:rPr>
                <w:rFonts w:hint="eastAsia" w:ascii="仿宋" w:hAnsi="仿宋" w:eastAsia="仿宋" w:cs="仿宋"/>
                <w:szCs w:val="21"/>
              </w:rPr>
              <w:t>现场踏勘、资料收集</w:t>
            </w:r>
          </w:p>
        </w:tc>
        <w:tc>
          <w:tcPr>
            <w:tcW w:w="1016" w:type="dxa"/>
            <w:vAlign w:val="center"/>
          </w:tcPr>
          <w:p w14:paraId="6CAF3EB7">
            <w:pPr>
              <w:spacing w:line="360" w:lineRule="auto"/>
              <w:jc w:val="center"/>
              <w:rPr>
                <w:rFonts w:ascii="仿宋" w:hAnsi="仿宋" w:eastAsia="仿宋" w:cs="仿宋"/>
                <w:szCs w:val="21"/>
              </w:rPr>
            </w:pPr>
          </w:p>
        </w:tc>
        <w:tc>
          <w:tcPr>
            <w:tcW w:w="992" w:type="dxa"/>
            <w:vAlign w:val="center"/>
          </w:tcPr>
          <w:p w14:paraId="3730B146">
            <w:pPr>
              <w:tabs>
                <w:tab w:val="left" w:pos="606"/>
                <w:tab w:val="center" w:pos="1310"/>
              </w:tabs>
              <w:spacing w:line="360" w:lineRule="auto"/>
              <w:jc w:val="center"/>
              <w:rPr>
                <w:rFonts w:ascii="仿宋" w:hAnsi="仿宋" w:eastAsia="仿宋" w:cs="仿宋"/>
                <w:szCs w:val="21"/>
              </w:rPr>
            </w:pPr>
          </w:p>
        </w:tc>
        <w:tc>
          <w:tcPr>
            <w:tcW w:w="1701" w:type="dxa"/>
            <w:vAlign w:val="center"/>
          </w:tcPr>
          <w:p w14:paraId="01B22834">
            <w:pPr>
              <w:tabs>
                <w:tab w:val="left" w:pos="606"/>
                <w:tab w:val="center" w:pos="1310"/>
              </w:tabs>
              <w:spacing w:line="360" w:lineRule="auto"/>
              <w:jc w:val="center"/>
              <w:rPr>
                <w:rFonts w:ascii="仿宋" w:hAnsi="仿宋" w:eastAsia="仿宋" w:cs="仿宋"/>
                <w:szCs w:val="21"/>
              </w:rPr>
            </w:pPr>
          </w:p>
        </w:tc>
        <w:tc>
          <w:tcPr>
            <w:tcW w:w="1397" w:type="dxa"/>
            <w:vAlign w:val="center"/>
          </w:tcPr>
          <w:p w14:paraId="52690E07">
            <w:pPr>
              <w:spacing w:line="360" w:lineRule="auto"/>
              <w:jc w:val="center"/>
              <w:rPr>
                <w:rFonts w:ascii="仿宋" w:hAnsi="仿宋" w:eastAsia="仿宋" w:cs="仿宋"/>
                <w:szCs w:val="21"/>
              </w:rPr>
            </w:pPr>
          </w:p>
        </w:tc>
        <w:tc>
          <w:tcPr>
            <w:tcW w:w="1181" w:type="dxa"/>
          </w:tcPr>
          <w:p w14:paraId="159203D3">
            <w:pPr>
              <w:spacing w:line="360" w:lineRule="auto"/>
              <w:jc w:val="center"/>
              <w:rPr>
                <w:rFonts w:ascii="仿宋" w:hAnsi="仿宋" w:eastAsia="仿宋" w:cs="仿宋"/>
                <w:szCs w:val="21"/>
              </w:rPr>
            </w:pPr>
          </w:p>
        </w:tc>
      </w:tr>
      <w:tr w14:paraId="05408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68CB09E4">
            <w:pPr>
              <w:spacing w:line="360" w:lineRule="auto"/>
              <w:jc w:val="center"/>
              <w:rPr>
                <w:rFonts w:ascii="仿宋" w:hAnsi="仿宋" w:eastAsia="仿宋" w:cs="仿宋"/>
                <w:szCs w:val="21"/>
              </w:rPr>
            </w:pPr>
            <w:r>
              <w:rPr>
                <w:rFonts w:hint="eastAsia" w:ascii="仿宋" w:hAnsi="仿宋" w:eastAsia="仿宋" w:cs="仿宋"/>
                <w:szCs w:val="21"/>
              </w:rPr>
              <w:t>3</w:t>
            </w:r>
          </w:p>
        </w:tc>
        <w:tc>
          <w:tcPr>
            <w:tcW w:w="3178" w:type="dxa"/>
            <w:vAlign w:val="center"/>
          </w:tcPr>
          <w:p w14:paraId="33E86D10">
            <w:pPr>
              <w:spacing w:line="360" w:lineRule="auto"/>
              <w:jc w:val="center"/>
              <w:rPr>
                <w:rFonts w:ascii="仿宋" w:hAnsi="仿宋" w:eastAsia="仿宋" w:cs="仿宋"/>
                <w:szCs w:val="21"/>
              </w:rPr>
            </w:pPr>
            <w:r>
              <w:rPr>
                <w:rFonts w:hint="eastAsia" w:ascii="仿宋" w:hAnsi="仿宋" w:eastAsia="仿宋" w:cs="仿宋"/>
                <w:szCs w:val="21"/>
              </w:rPr>
              <w:t>出具隐患整改技术方案</w:t>
            </w:r>
          </w:p>
        </w:tc>
        <w:tc>
          <w:tcPr>
            <w:tcW w:w="1016" w:type="dxa"/>
            <w:vAlign w:val="center"/>
          </w:tcPr>
          <w:p w14:paraId="672359E8">
            <w:pPr>
              <w:spacing w:line="360" w:lineRule="auto"/>
              <w:jc w:val="center"/>
              <w:rPr>
                <w:rFonts w:ascii="仿宋" w:hAnsi="仿宋" w:eastAsia="仿宋" w:cs="仿宋"/>
                <w:szCs w:val="21"/>
              </w:rPr>
            </w:pPr>
          </w:p>
        </w:tc>
        <w:tc>
          <w:tcPr>
            <w:tcW w:w="992" w:type="dxa"/>
            <w:vAlign w:val="center"/>
          </w:tcPr>
          <w:p w14:paraId="3BB9BBA8">
            <w:pPr>
              <w:tabs>
                <w:tab w:val="left" w:pos="606"/>
                <w:tab w:val="center" w:pos="1310"/>
              </w:tabs>
              <w:spacing w:line="360" w:lineRule="auto"/>
              <w:jc w:val="center"/>
              <w:rPr>
                <w:rFonts w:ascii="仿宋" w:hAnsi="仿宋" w:eastAsia="仿宋" w:cs="仿宋"/>
                <w:szCs w:val="21"/>
              </w:rPr>
            </w:pPr>
          </w:p>
        </w:tc>
        <w:tc>
          <w:tcPr>
            <w:tcW w:w="1701" w:type="dxa"/>
            <w:vAlign w:val="center"/>
          </w:tcPr>
          <w:p w14:paraId="772DF4D4">
            <w:pPr>
              <w:tabs>
                <w:tab w:val="left" w:pos="606"/>
                <w:tab w:val="center" w:pos="1310"/>
              </w:tabs>
              <w:spacing w:line="360" w:lineRule="auto"/>
              <w:jc w:val="center"/>
              <w:rPr>
                <w:rFonts w:ascii="仿宋" w:hAnsi="仿宋" w:eastAsia="仿宋" w:cs="仿宋"/>
                <w:szCs w:val="21"/>
              </w:rPr>
            </w:pPr>
          </w:p>
        </w:tc>
        <w:tc>
          <w:tcPr>
            <w:tcW w:w="1397" w:type="dxa"/>
            <w:vAlign w:val="center"/>
          </w:tcPr>
          <w:p w14:paraId="021FD9A4">
            <w:pPr>
              <w:spacing w:line="360" w:lineRule="auto"/>
              <w:jc w:val="center"/>
              <w:rPr>
                <w:rFonts w:ascii="仿宋" w:hAnsi="仿宋" w:eastAsia="仿宋" w:cs="仿宋"/>
                <w:szCs w:val="21"/>
              </w:rPr>
            </w:pPr>
          </w:p>
        </w:tc>
        <w:tc>
          <w:tcPr>
            <w:tcW w:w="1181" w:type="dxa"/>
          </w:tcPr>
          <w:p w14:paraId="4558DEFD">
            <w:pPr>
              <w:spacing w:line="360" w:lineRule="auto"/>
              <w:jc w:val="center"/>
              <w:rPr>
                <w:rFonts w:ascii="仿宋" w:hAnsi="仿宋" w:eastAsia="仿宋" w:cs="仿宋"/>
                <w:szCs w:val="21"/>
              </w:rPr>
            </w:pPr>
          </w:p>
        </w:tc>
      </w:tr>
      <w:tr w14:paraId="3840D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31CB7DB5">
            <w:pPr>
              <w:spacing w:line="360" w:lineRule="auto"/>
              <w:jc w:val="center"/>
              <w:rPr>
                <w:rFonts w:ascii="仿宋" w:hAnsi="仿宋" w:eastAsia="仿宋" w:cs="仿宋"/>
                <w:szCs w:val="21"/>
              </w:rPr>
            </w:pPr>
            <w:r>
              <w:rPr>
                <w:rFonts w:hint="eastAsia" w:ascii="仿宋" w:hAnsi="仿宋" w:eastAsia="仿宋" w:cs="仿宋"/>
                <w:szCs w:val="21"/>
              </w:rPr>
              <w:t>4</w:t>
            </w:r>
          </w:p>
        </w:tc>
        <w:tc>
          <w:tcPr>
            <w:tcW w:w="3178" w:type="dxa"/>
            <w:vAlign w:val="center"/>
          </w:tcPr>
          <w:p w14:paraId="208EB827">
            <w:pPr>
              <w:spacing w:line="360" w:lineRule="auto"/>
              <w:jc w:val="center"/>
              <w:rPr>
                <w:rFonts w:ascii="仿宋" w:hAnsi="仿宋" w:eastAsia="仿宋" w:cs="仿宋"/>
                <w:szCs w:val="21"/>
              </w:rPr>
            </w:pPr>
            <w:r>
              <w:rPr>
                <w:rFonts w:hint="eastAsia" w:ascii="仿宋" w:hAnsi="仿宋" w:eastAsia="仿宋" w:cs="仿宋"/>
                <w:szCs w:val="21"/>
              </w:rPr>
              <w:t>辨识与分析危险、有害因素</w:t>
            </w:r>
          </w:p>
        </w:tc>
        <w:tc>
          <w:tcPr>
            <w:tcW w:w="1016" w:type="dxa"/>
            <w:vAlign w:val="center"/>
          </w:tcPr>
          <w:p w14:paraId="750ED603">
            <w:pPr>
              <w:spacing w:line="360" w:lineRule="auto"/>
              <w:jc w:val="center"/>
              <w:rPr>
                <w:rFonts w:ascii="仿宋" w:hAnsi="仿宋" w:eastAsia="仿宋" w:cs="仿宋"/>
                <w:szCs w:val="21"/>
              </w:rPr>
            </w:pPr>
          </w:p>
        </w:tc>
        <w:tc>
          <w:tcPr>
            <w:tcW w:w="992" w:type="dxa"/>
            <w:vAlign w:val="center"/>
          </w:tcPr>
          <w:p w14:paraId="1324BF30">
            <w:pPr>
              <w:tabs>
                <w:tab w:val="left" w:pos="606"/>
                <w:tab w:val="center" w:pos="1310"/>
              </w:tabs>
              <w:spacing w:line="360" w:lineRule="auto"/>
              <w:jc w:val="center"/>
              <w:rPr>
                <w:rFonts w:ascii="仿宋" w:hAnsi="仿宋" w:eastAsia="仿宋" w:cs="仿宋"/>
                <w:szCs w:val="21"/>
              </w:rPr>
            </w:pPr>
          </w:p>
        </w:tc>
        <w:tc>
          <w:tcPr>
            <w:tcW w:w="1701" w:type="dxa"/>
            <w:vAlign w:val="center"/>
          </w:tcPr>
          <w:p w14:paraId="385C6EA5">
            <w:pPr>
              <w:tabs>
                <w:tab w:val="left" w:pos="606"/>
                <w:tab w:val="center" w:pos="1310"/>
              </w:tabs>
              <w:spacing w:line="360" w:lineRule="auto"/>
              <w:jc w:val="center"/>
              <w:rPr>
                <w:rFonts w:ascii="仿宋" w:hAnsi="仿宋" w:eastAsia="仿宋" w:cs="仿宋"/>
                <w:szCs w:val="21"/>
              </w:rPr>
            </w:pPr>
          </w:p>
        </w:tc>
        <w:tc>
          <w:tcPr>
            <w:tcW w:w="1397" w:type="dxa"/>
            <w:vAlign w:val="center"/>
          </w:tcPr>
          <w:p w14:paraId="23D639CF">
            <w:pPr>
              <w:spacing w:line="360" w:lineRule="auto"/>
              <w:jc w:val="center"/>
              <w:rPr>
                <w:rFonts w:ascii="仿宋" w:hAnsi="仿宋" w:eastAsia="仿宋" w:cs="仿宋"/>
                <w:szCs w:val="21"/>
              </w:rPr>
            </w:pPr>
          </w:p>
        </w:tc>
        <w:tc>
          <w:tcPr>
            <w:tcW w:w="1181" w:type="dxa"/>
          </w:tcPr>
          <w:p w14:paraId="73CE942F">
            <w:pPr>
              <w:spacing w:line="360" w:lineRule="auto"/>
              <w:jc w:val="center"/>
              <w:rPr>
                <w:rFonts w:ascii="仿宋" w:hAnsi="仿宋" w:eastAsia="仿宋" w:cs="仿宋"/>
                <w:szCs w:val="21"/>
              </w:rPr>
            </w:pPr>
          </w:p>
        </w:tc>
      </w:tr>
      <w:tr w14:paraId="541E7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19EC0652">
            <w:pPr>
              <w:spacing w:line="360" w:lineRule="auto"/>
              <w:jc w:val="center"/>
              <w:rPr>
                <w:rFonts w:ascii="仿宋" w:hAnsi="仿宋" w:eastAsia="仿宋" w:cs="仿宋"/>
                <w:szCs w:val="21"/>
              </w:rPr>
            </w:pPr>
            <w:r>
              <w:rPr>
                <w:rFonts w:hint="eastAsia" w:ascii="仿宋" w:hAnsi="仿宋" w:eastAsia="仿宋" w:cs="仿宋"/>
                <w:szCs w:val="21"/>
              </w:rPr>
              <w:t>5</w:t>
            </w:r>
          </w:p>
        </w:tc>
        <w:tc>
          <w:tcPr>
            <w:tcW w:w="3178" w:type="dxa"/>
            <w:vAlign w:val="center"/>
          </w:tcPr>
          <w:p w14:paraId="67C10E3A">
            <w:pPr>
              <w:spacing w:line="360" w:lineRule="auto"/>
              <w:jc w:val="center"/>
              <w:rPr>
                <w:rFonts w:ascii="仿宋" w:hAnsi="仿宋" w:eastAsia="仿宋" w:cs="仿宋"/>
                <w:szCs w:val="21"/>
              </w:rPr>
            </w:pPr>
            <w:r>
              <w:rPr>
                <w:rFonts w:hint="eastAsia" w:ascii="仿宋" w:hAnsi="仿宋" w:eastAsia="仿宋" w:cs="仿宋"/>
                <w:szCs w:val="21"/>
              </w:rPr>
              <w:t>定性定量评价</w:t>
            </w:r>
          </w:p>
        </w:tc>
        <w:tc>
          <w:tcPr>
            <w:tcW w:w="1016" w:type="dxa"/>
            <w:vAlign w:val="center"/>
          </w:tcPr>
          <w:p w14:paraId="67E8945F">
            <w:pPr>
              <w:spacing w:line="360" w:lineRule="auto"/>
              <w:jc w:val="center"/>
              <w:rPr>
                <w:rFonts w:ascii="仿宋" w:hAnsi="仿宋" w:eastAsia="仿宋" w:cs="仿宋"/>
                <w:szCs w:val="21"/>
              </w:rPr>
            </w:pPr>
          </w:p>
        </w:tc>
        <w:tc>
          <w:tcPr>
            <w:tcW w:w="992" w:type="dxa"/>
            <w:vAlign w:val="center"/>
          </w:tcPr>
          <w:p w14:paraId="3645EDD3">
            <w:pPr>
              <w:tabs>
                <w:tab w:val="left" w:pos="606"/>
                <w:tab w:val="center" w:pos="1310"/>
              </w:tabs>
              <w:spacing w:line="360" w:lineRule="auto"/>
              <w:jc w:val="center"/>
              <w:rPr>
                <w:rFonts w:ascii="仿宋" w:hAnsi="仿宋" w:eastAsia="仿宋" w:cs="仿宋"/>
                <w:szCs w:val="21"/>
              </w:rPr>
            </w:pPr>
          </w:p>
        </w:tc>
        <w:tc>
          <w:tcPr>
            <w:tcW w:w="1701" w:type="dxa"/>
            <w:vAlign w:val="center"/>
          </w:tcPr>
          <w:p w14:paraId="0CBC975F">
            <w:pPr>
              <w:tabs>
                <w:tab w:val="left" w:pos="606"/>
                <w:tab w:val="center" w:pos="1310"/>
              </w:tabs>
              <w:spacing w:line="360" w:lineRule="auto"/>
              <w:jc w:val="center"/>
              <w:rPr>
                <w:rFonts w:ascii="仿宋" w:hAnsi="仿宋" w:eastAsia="仿宋" w:cs="仿宋"/>
                <w:szCs w:val="21"/>
              </w:rPr>
            </w:pPr>
          </w:p>
        </w:tc>
        <w:tc>
          <w:tcPr>
            <w:tcW w:w="1397" w:type="dxa"/>
            <w:vAlign w:val="center"/>
          </w:tcPr>
          <w:p w14:paraId="100C0B3C">
            <w:pPr>
              <w:spacing w:line="360" w:lineRule="auto"/>
              <w:jc w:val="center"/>
              <w:rPr>
                <w:rFonts w:ascii="仿宋" w:hAnsi="仿宋" w:eastAsia="仿宋" w:cs="仿宋"/>
                <w:szCs w:val="21"/>
              </w:rPr>
            </w:pPr>
          </w:p>
        </w:tc>
        <w:tc>
          <w:tcPr>
            <w:tcW w:w="1181" w:type="dxa"/>
          </w:tcPr>
          <w:p w14:paraId="06CD0634">
            <w:pPr>
              <w:spacing w:line="360" w:lineRule="auto"/>
              <w:jc w:val="center"/>
              <w:rPr>
                <w:rFonts w:ascii="仿宋" w:hAnsi="仿宋" w:eastAsia="仿宋" w:cs="仿宋"/>
                <w:szCs w:val="21"/>
              </w:rPr>
            </w:pPr>
          </w:p>
        </w:tc>
      </w:tr>
      <w:tr w14:paraId="688B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374C9378">
            <w:pPr>
              <w:spacing w:line="360" w:lineRule="auto"/>
              <w:jc w:val="center"/>
              <w:rPr>
                <w:rFonts w:ascii="仿宋" w:hAnsi="仿宋" w:eastAsia="仿宋" w:cs="仿宋"/>
                <w:szCs w:val="21"/>
              </w:rPr>
            </w:pPr>
            <w:r>
              <w:rPr>
                <w:rFonts w:hint="eastAsia" w:ascii="仿宋" w:hAnsi="仿宋" w:eastAsia="仿宋" w:cs="仿宋"/>
                <w:szCs w:val="21"/>
              </w:rPr>
              <w:t>6</w:t>
            </w:r>
          </w:p>
        </w:tc>
        <w:tc>
          <w:tcPr>
            <w:tcW w:w="3178" w:type="dxa"/>
            <w:vAlign w:val="center"/>
          </w:tcPr>
          <w:p w14:paraId="6AE843FE">
            <w:pPr>
              <w:spacing w:line="360" w:lineRule="auto"/>
              <w:jc w:val="center"/>
              <w:rPr>
                <w:rFonts w:ascii="仿宋" w:hAnsi="仿宋" w:eastAsia="仿宋" w:cs="仿宋"/>
                <w:szCs w:val="21"/>
              </w:rPr>
            </w:pPr>
            <w:r>
              <w:rPr>
                <w:rFonts w:hint="eastAsia" w:ascii="仿宋" w:hAnsi="仿宋" w:eastAsia="仿宋" w:cs="仿宋"/>
                <w:szCs w:val="21"/>
              </w:rPr>
              <w:t>编制评价报告</w:t>
            </w:r>
          </w:p>
        </w:tc>
        <w:tc>
          <w:tcPr>
            <w:tcW w:w="1016" w:type="dxa"/>
            <w:vAlign w:val="center"/>
          </w:tcPr>
          <w:p w14:paraId="5451A2EB">
            <w:pPr>
              <w:spacing w:line="360" w:lineRule="auto"/>
              <w:jc w:val="center"/>
              <w:rPr>
                <w:rFonts w:ascii="仿宋" w:hAnsi="仿宋" w:eastAsia="仿宋" w:cs="仿宋"/>
                <w:szCs w:val="21"/>
              </w:rPr>
            </w:pPr>
          </w:p>
        </w:tc>
        <w:tc>
          <w:tcPr>
            <w:tcW w:w="992" w:type="dxa"/>
            <w:vAlign w:val="center"/>
          </w:tcPr>
          <w:p w14:paraId="245E3154">
            <w:pPr>
              <w:tabs>
                <w:tab w:val="left" w:pos="606"/>
                <w:tab w:val="center" w:pos="1310"/>
              </w:tabs>
              <w:spacing w:line="360" w:lineRule="auto"/>
              <w:jc w:val="center"/>
              <w:rPr>
                <w:rFonts w:ascii="仿宋" w:hAnsi="仿宋" w:eastAsia="仿宋" w:cs="仿宋"/>
                <w:szCs w:val="21"/>
              </w:rPr>
            </w:pPr>
          </w:p>
        </w:tc>
        <w:tc>
          <w:tcPr>
            <w:tcW w:w="1701" w:type="dxa"/>
            <w:vAlign w:val="center"/>
          </w:tcPr>
          <w:p w14:paraId="29B0B77A">
            <w:pPr>
              <w:tabs>
                <w:tab w:val="left" w:pos="606"/>
                <w:tab w:val="center" w:pos="1310"/>
              </w:tabs>
              <w:spacing w:line="360" w:lineRule="auto"/>
              <w:jc w:val="center"/>
              <w:rPr>
                <w:rFonts w:ascii="仿宋" w:hAnsi="仿宋" w:eastAsia="仿宋" w:cs="仿宋"/>
                <w:szCs w:val="21"/>
              </w:rPr>
            </w:pPr>
          </w:p>
        </w:tc>
        <w:tc>
          <w:tcPr>
            <w:tcW w:w="1397" w:type="dxa"/>
            <w:vAlign w:val="center"/>
          </w:tcPr>
          <w:p w14:paraId="2FF2CFDF">
            <w:pPr>
              <w:spacing w:line="360" w:lineRule="auto"/>
              <w:jc w:val="center"/>
              <w:rPr>
                <w:rFonts w:ascii="仿宋" w:hAnsi="仿宋" w:eastAsia="仿宋" w:cs="仿宋"/>
                <w:szCs w:val="21"/>
              </w:rPr>
            </w:pPr>
          </w:p>
        </w:tc>
        <w:tc>
          <w:tcPr>
            <w:tcW w:w="1181" w:type="dxa"/>
          </w:tcPr>
          <w:p w14:paraId="71F56B40">
            <w:pPr>
              <w:spacing w:line="360" w:lineRule="auto"/>
              <w:jc w:val="center"/>
              <w:rPr>
                <w:rFonts w:ascii="仿宋" w:hAnsi="仿宋" w:eastAsia="仿宋" w:cs="仿宋"/>
                <w:szCs w:val="21"/>
              </w:rPr>
            </w:pPr>
          </w:p>
        </w:tc>
      </w:tr>
      <w:tr w14:paraId="15155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4ABF995F">
            <w:pPr>
              <w:spacing w:line="360" w:lineRule="auto"/>
              <w:jc w:val="center"/>
              <w:rPr>
                <w:rFonts w:ascii="仿宋" w:hAnsi="仿宋" w:eastAsia="仿宋" w:cs="仿宋"/>
                <w:szCs w:val="21"/>
              </w:rPr>
            </w:pPr>
            <w:r>
              <w:rPr>
                <w:rFonts w:hint="eastAsia" w:ascii="仿宋" w:hAnsi="仿宋" w:eastAsia="仿宋" w:cs="仿宋"/>
                <w:szCs w:val="21"/>
              </w:rPr>
              <w:t>7</w:t>
            </w:r>
          </w:p>
        </w:tc>
        <w:tc>
          <w:tcPr>
            <w:tcW w:w="3178" w:type="dxa"/>
            <w:vAlign w:val="center"/>
          </w:tcPr>
          <w:p w14:paraId="606FDE8F">
            <w:pPr>
              <w:spacing w:line="360" w:lineRule="auto"/>
              <w:jc w:val="center"/>
              <w:rPr>
                <w:rFonts w:ascii="仿宋" w:hAnsi="仿宋" w:eastAsia="仿宋" w:cs="仿宋"/>
                <w:szCs w:val="21"/>
              </w:rPr>
            </w:pPr>
            <w:r>
              <w:rPr>
                <w:rFonts w:hint="eastAsia" w:ascii="仿宋" w:hAnsi="仿宋" w:eastAsia="仿宋" w:cs="仿宋"/>
                <w:szCs w:val="21"/>
              </w:rPr>
              <w:t>整改确认</w:t>
            </w:r>
          </w:p>
        </w:tc>
        <w:tc>
          <w:tcPr>
            <w:tcW w:w="1016" w:type="dxa"/>
            <w:vAlign w:val="center"/>
          </w:tcPr>
          <w:p w14:paraId="7D82599C">
            <w:pPr>
              <w:spacing w:line="360" w:lineRule="auto"/>
              <w:jc w:val="center"/>
              <w:rPr>
                <w:rFonts w:ascii="仿宋" w:hAnsi="仿宋" w:eastAsia="仿宋" w:cs="仿宋"/>
                <w:szCs w:val="21"/>
              </w:rPr>
            </w:pPr>
          </w:p>
        </w:tc>
        <w:tc>
          <w:tcPr>
            <w:tcW w:w="992" w:type="dxa"/>
            <w:vAlign w:val="center"/>
          </w:tcPr>
          <w:p w14:paraId="1C08071C">
            <w:pPr>
              <w:tabs>
                <w:tab w:val="left" w:pos="606"/>
                <w:tab w:val="center" w:pos="1310"/>
              </w:tabs>
              <w:spacing w:line="360" w:lineRule="auto"/>
              <w:jc w:val="center"/>
              <w:rPr>
                <w:rFonts w:ascii="仿宋" w:hAnsi="仿宋" w:eastAsia="仿宋" w:cs="仿宋"/>
                <w:szCs w:val="21"/>
              </w:rPr>
            </w:pPr>
          </w:p>
        </w:tc>
        <w:tc>
          <w:tcPr>
            <w:tcW w:w="1701" w:type="dxa"/>
            <w:vAlign w:val="center"/>
          </w:tcPr>
          <w:p w14:paraId="19B9EC20">
            <w:pPr>
              <w:tabs>
                <w:tab w:val="left" w:pos="606"/>
                <w:tab w:val="center" w:pos="1310"/>
              </w:tabs>
              <w:spacing w:line="360" w:lineRule="auto"/>
              <w:jc w:val="center"/>
              <w:rPr>
                <w:rFonts w:ascii="仿宋" w:hAnsi="仿宋" w:eastAsia="仿宋" w:cs="仿宋"/>
                <w:szCs w:val="21"/>
              </w:rPr>
            </w:pPr>
          </w:p>
        </w:tc>
        <w:tc>
          <w:tcPr>
            <w:tcW w:w="1397" w:type="dxa"/>
            <w:vAlign w:val="center"/>
          </w:tcPr>
          <w:p w14:paraId="7130B099">
            <w:pPr>
              <w:spacing w:line="360" w:lineRule="auto"/>
              <w:jc w:val="center"/>
              <w:rPr>
                <w:rFonts w:ascii="仿宋" w:hAnsi="仿宋" w:eastAsia="仿宋" w:cs="仿宋"/>
                <w:szCs w:val="21"/>
              </w:rPr>
            </w:pPr>
          </w:p>
        </w:tc>
        <w:tc>
          <w:tcPr>
            <w:tcW w:w="1181" w:type="dxa"/>
          </w:tcPr>
          <w:p w14:paraId="0CFB3E63">
            <w:pPr>
              <w:spacing w:line="360" w:lineRule="auto"/>
              <w:jc w:val="center"/>
              <w:rPr>
                <w:rFonts w:ascii="仿宋" w:hAnsi="仿宋" w:eastAsia="仿宋" w:cs="仿宋"/>
                <w:szCs w:val="21"/>
              </w:rPr>
            </w:pPr>
          </w:p>
        </w:tc>
      </w:tr>
      <w:tr w14:paraId="6BB6F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77EA5ECD">
            <w:pPr>
              <w:spacing w:line="360" w:lineRule="auto"/>
              <w:jc w:val="center"/>
              <w:rPr>
                <w:rFonts w:ascii="仿宋" w:hAnsi="仿宋" w:eastAsia="仿宋" w:cs="仿宋"/>
                <w:szCs w:val="21"/>
              </w:rPr>
            </w:pPr>
            <w:r>
              <w:rPr>
                <w:rFonts w:hint="eastAsia" w:ascii="仿宋" w:hAnsi="仿宋" w:eastAsia="仿宋" w:cs="仿宋"/>
                <w:szCs w:val="21"/>
              </w:rPr>
              <w:t>8</w:t>
            </w:r>
          </w:p>
        </w:tc>
        <w:tc>
          <w:tcPr>
            <w:tcW w:w="3178" w:type="dxa"/>
            <w:vAlign w:val="center"/>
          </w:tcPr>
          <w:p w14:paraId="094BC489">
            <w:pPr>
              <w:spacing w:line="360" w:lineRule="auto"/>
              <w:jc w:val="center"/>
              <w:rPr>
                <w:rFonts w:ascii="仿宋" w:hAnsi="仿宋" w:eastAsia="仿宋" w:cs="仿宋"/>
                <w:szCs w:val="21"/>
              </w:rPr>
            </w:pPr>
            <w:r>
              <w:rPr>
                <w:rFonts w:hint="eastAsia" w:ascii="仿宋" w:hAnsi="仿宋" w:eastAsia="仿宋" w:cs="仿宋"/>
                <w:szCs w:val="21"/>
              </w:rPr>
              <w:t>报告交换意见</w:t>
            </w:r>
          </w:p>
        </w:tc>
        <w:tc>
          <w:tcPr>
            <w:tcW w:w="1016" w:type="dxa"/>
            <w:vAlign w:val="center"/>
          </w:tcPr>
          <w:p w14:paraId="0A742E13">
            <w:pPr>
              <w:spacing w:line="360" w:lineRule="auto"/>
              <w:jc w:val="center"/>
              <w:rPr>
                <w:rFonts w:ascii="仿宋" w:hAnsi="仿宋" w:eastAsia="仿宋" w:cs="仿宋"/>
                <w:szCs w:val="21"/>
              </w:rPr>
            </w:pPr>
          </w:p>
        </w:tc>
        <w:tc>
          <w:tcPr>
            <w:tcW w:w="992" w:type="dxa"/>
            <w:vAlign w:val="center"/>
          </w:tcPr>
          <w:p w14:paraId="6CE04D85">
            <w:pPr>
              <w:tabs>
                <w:tab w:val="left" w:pos="606"/>
                <w:tab w:val="center" w:pos="1310"/>
              </w:tabs>
              <w:spacing w:line="360" w:lineRule="auto"/>
              <w:jc w:val="center"/>
              <w:rPr>
                <w:rFonts w:ascii="仿宋" w:hAnsi="仿宋" w:eastAsia="仿宋" w:cs="仿宋"/>
                <w:szCs w:val="21"/>
              </w:rPr>
            </w:pPr>
          </w:p>
        </w:tc>
        <w:tc>
          <w:tcPr>
            <w:tcW w:w="1701" w:type="dxa"/>
            <w:vAlign w:val="center"/>
          </w:tcPr>
          <w:p w14:paraId="265A518B">
            <w:pPr>
              <w:tabs>
                <w:tab w:val="left" w:pos="606"/>
                <w:tab w:val="center" w:pos="1310"/>
              </w:tabs>
              <w:spacing w:line="360" w:lineRule="auto"/>
              <w:jc w:val="center"/>
              <w:rPr>
                <w:rFonts w:ascii="仿宋" w:hAnsi="仿宋" w:eastAsia="仿宋" w:cs="仿宋"/>
                <w:szCs w:val="21"/>
              </w:rPr>
            </w:pPr>
          </w:p>
        </w:tc>
        <w:tc>
          <w:tcPr>
            <w:tcW w:w="1397" w:type="dxa"/>
            <w:vAlign w:val="center"/>
          </w:tcPr>
          <w:p w14:paraId="379C853F">
            <w:pPr>
              <w:spacing w:line="360" w:lineRule="auto"/>
              <w:jc w:val="center"/>
              <w:rPr>
                <w:rFonts w:ascii="仿宋" w:hAnsi="仿宋" w:eastAsia="仿宋" w:cs="仿宋"/>
                <w:szCs w:val="21"/>
              </w:rPr>
            </w:pPr>
          </w:p>
        </w:tc>
        <w:tc>
          <w:tcPr>
            <w:tcW w:w="1181" w:type="dxa"/>
          </w:tcPr>
          <w:p w14:paraId="73D4B3B9">
            <w:pPr>
              <w:spacing w:line="360" w:lineRule="auto"/>
              <w:jc w:val="center"/>
              <w:rPr>
                <w:rFonts w:ascii="仿宋" w:hAnsi="仿宋" w:eastAsia="仿宋" w:cs="仿宋"/>
                <w:szCs w:val="21"/>
              </w:rPr>
            </w:pPr>
          </w:p>
        </w:tc>
      </w:tr>
      <w:tr w14:paraId="45CCD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1FC2D333">
            <w:pPr>
              <w:spacing w:line="360" w:lineRule="auto"/>
              <w:jc w:val="center"/>
              <w:rPr>
                <w:rFonts w:ascii="仿宋" w:hAnsi="仿宋" w:eastAsia="仿宋" w:cs="仿宋"/>
                <w:szCs w:val="21"/>
              </w:rPr>
            </w:pPr>
            <w:r>
              <w:rPr>
                <w:rFonts w:hint="eastAsia" w:ascii="仿宋" w:hAnsi="仿宋" w:eastAsia="仿宋" w:cs="仿宋"/>
                <w:szCs w:val="21"/>
              </w:rPr>
              <w:t>9</w:t>
            </w:r>
          </w:p>
        </w:tc>
        <w:tc>
          <w:tcPr>
            <w:tcW w:w="3178" w:type="dxa"/>
            <w:vAlign w:val="center"/>
          </w:tcPr>
          <w:p w14:paraId="6A110EC9">
            <w:pPr>
              <w:spacing w:line="360" w:lineRule="auto"/>
              <w:jc w:val="center"/>
              <w:rPr>
                <w:rFonts w:ascii="仿宋" w:hAnsi="仿宋" w:eastAsia="仿宋" w:cs="仿宋"/>
                <w:szCs w:val="21"/>
              </w:rPr>
            </w:pPr>
            <w:r>
              <w:rPr>
                <w:rFonts w:hint="eastAsia" w:ascii="仿宋" w:hAnsi="仿宋" w:eastAsia="仿宋" w:cs="仿宋"/>
                <w:szCs w:val="21"/>
              </w:rPr>
              <w:t>差旅、管理、报告打印出版等其他费用</w:t>
            </w:r>
          </w:p>
        </w:tc>
        <w:tc>
          <w:tcPr>
            <w:tcW w:w="1016" w:type="dxa"/>
            <w:vAlign w:val="center"/>
          </w:tcPr>
          <w:p w14:paraId="68CFD06A">
            <w:pPr>
              <w:spacing w:line="360" w:lineRule="auto"/>
              <w:jc w:val="center"/>
              <w:rPr>
                <w:rFonts w:ascii="仿宋" w:hAnsi="仿宋" w:eastAsia="仿宋" w:cs="仿宋"/>
                <w:szCs w:val="21"/>
              </w:rPr>
            </w:pPr>
          </w:p>
        </w:tc>
        <w:tc>
          <w:tcPr>
            <w:tcW w:w="992" w:type="dxa"/>
            <w:vAlign w:val="center"/>
          </w:tcPr>
          <w:p w14:paraId="2D26A771">
            <w:pPr>
              <w:tabs>
                <w:tab w:val="left" w:pos="606"/>
                <w:tab w:val="center" w:pos="1310"/>
              </w:tabs>
              <w:spacing w:line="360" w:lineRule="auto"/>
              <w:jc w:val="center"/>
              <w:rPr>
                <w:rFonts w:ascii="仿宋" w:hAnsi="仿宋" w:eastAsia="仿宋" w:cs="仿宋"/>
                <w:szCs w:val="21"/>
              </w:rPr>
            </w:pPr>
          </w:p>
        </w:tc>
        <w:tc>
          <w:tcPr>
            <w:tcW w:w="1701" w:type="dxa"/>
            <w:vAlign w:val="center"/>
          </w:tcPr>
          <w:p w14:paraId="7D1C0539">
            <w:pPr>
              <w:tabs>
                <w:tab w:val="left" w:pos="606"/>
                <w:tab w:val="center" w:pos="1310"/>
              </w:tabs>
              <w:spacing w:line="360" w:lineRule="auto"/>
              <w:jc w:val="center"/>
              <w:rPr>
                <w:rFonts w:ascii="仿宋" w:hAnsi="仿宋" w:eastAsia="仿宋" w:cs="仿宋"/>
                <w:szCs w:val="21"/>
              </w:rPr>
            </w:pPr>
          </w:p>
        </w:tc>
        <w:tc>
          <w:tcPr>
            <w:tcW w:w="1397" w:type="dxa"/>
            <w:vAlign w:val="center"/>
          </w:tcPr>
          <w:p w14:paraId="5B73A277">
            <w:pPr>
              <w:spacing w:line="360" w:lineRule="auto"/>
              <w:jc w:val="center"/>
              <w:rPr>
                <w:rFonts w:ascii="仿宋" w:hAnsi="仿宋" w:eastAsia="仿宋" w:cs="仿宋"/>
                <w:szCs w:val="21"/>
              </w:rPr>
            </w:pPr>
          </w:p>
        </w:tc>
        <w:tc>
          <w:tcPr>
            <w:tcW w:w="1181" w:type="dxa"/>
          </w:tcPr>
          <w:p w14:paraId="0709014D">
            <w:pPr>
              <w:spacing w:line="360" w:lineRule="auto"/>
              <w:jc w:val="center"/>
              <w:rPr>
                <w:rFonts w:ascii="仿宋" w:hAnsi="仿宋" w:eastAsia="仿宋" w:cs="仿宋"/>
                <w:szCs w:val="21"/>
              </w:rPr>
            </w:pPr>
          </w:p>
        </w:tc>
      </w:tr>
      <w:tr w14:paraId="56A6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0" w:type="dxa"/>
            <w:vAlign w:val="center"/>
          </w:tcPr>
          <w:p w14:paraId="51E7B341">
            <w:pPr>
              <w:spacing w:line="360" w:lineRule="auto"/>
              <w:jc w:val="center"/>
              <w:rPr>
                <w:rFonts w:ascii="仿宋" w:hAnsi="仿宋" w:eastAsia="仿宋" w:cs="仿宋"/>
                <w:szCs w:val="21"/>
              </w:rPr>
            </w:pPr>
            <w:r>
              <w:rPr>
                <w:rFonts w:ascii="仿宋" w:hAnsi="仿宋" w:eastAsia="仿宋" w:cs="仿宋"/>
                <w:szCs w:val="21"/>
              </w:rPr>
              <w:t>10</w:t>
            </w:r>
          </w:p>
        </w:tc>
        <w:tc>
          <w:tcPr>
            <w:tcW w:w="3178" w:type="dxa"/>
            <w:vAlign w:val="center"/>
          </w:tcPr>
          <w:p w14:paraId="1A65E105">
            <w:pPr>
              <w:spacing w:line="360" w:lineRule="auto"/>
              <w:jc w:val="center"/>
              <w:rPr>
                <w:rFonts w:ascii="仿宋" w:hAnsi="仿宋" w:eastAsia="仿宋" w:cs="仿宋"/>
                <w:szCs w:val="21"/>
              </w:rPr>
            </w:pPr>
            <w:r>
              <w:rPr>
                <w:rFonts w:hint="eastAsia" w:ascii="仿宋" w:hAnsi="仿宋" w:eastAsia="仿宋" w:cs="仿宋"/>
                <w:szCs w:val="21"/>
              </w:rPr>
              <w:t>合计</w:t>
            </w:r>
          </w:p>
        </w:tc>
        <w:tc>
          <w:tcPr>
            <w:tcW w:w="1016" w:type="dxa"/>
            <w:vAlign w:val="center"/>
          </w:tcPr>
          <w:p w14:paraId="44B59EF3">
            <w:pPr>
              <w:spacing w:line="360" w:lineRule="auto"/>
              <w:jc w:val="center"/>
              <w:rPr>
                <w:rFonts w:ascii="仿宋" w:hAnsi="仿宋" w:eastAsia="仿宋" w:cs="仿宋"/>
                <w:szCs w:val="21"/>
              </w:rPr>
            </w:pPr>
          </w:p>
        </w:tc>
        <w:tc>
          <w:tcPr>
            <w:tcW w:w="992" w:type="dxa"/>
            <w:vAlign w:val="center"/>
          </w:tcPr>
          <w:p w14:paraId="42CAEB60">
            <w:pPr>
              <w:tabs>
                <w:tab w:val="left" w:pos="606"/>
                <w:tab w:val="center" w:pos="1310"/>
              </w:tabs>
              <w:spacing w:line="360" w:lineRule="auto"/>
              <w:jc w:val="center"/>
              <w:rPr>
                <w:rFonts w:ascii="仿宋" w:hAnsi="仿宋" w:eastAsia="仿宋" w:cs="仿宋"/>
                <w:szCs w:val="21"/>
              </w:rPr>
            </w:pPr>
          </w:p>
        </w:tc>
        <w:tc>
          <w:tcPr>
            <w:tcW w:w="1701" w:type="dxa"/>
            <w:vAlign w:val="center"/>
          </w:tcPr>
          <w:p w14:paraId="7428A750">
            <w:pPr>
              <w:spacing w:line="360" w:lineRule="auto"/>
              <w:jc w:val="center"/>
              <w:rPr>
                <w:rFonts w:ascii="仿宋" w:hAnsi="仿宋" w:eastAsia="仿宋" w:cs="仿宋"/>
                <w:szCs w:val="21"/>
              </w:rPr>
            </w:pPr>
          </w:p>
        </w:tc>
        <w:tc>
          <w:tcPr>
            <w:tcW w:w="1397" w:type="dxa"/>
            <w:vAlign w:val="center"/>
          </w:tcPr>
          <w:p w14:paraId="627EA134">
            <w:pPr>
              <w:spacing w:line="360" w:lineRule="auto"/>
              <w:jc w:val="center"/>
              <w:rPr>
                <w:rFonts w:ascii="仿宋" w:hAnsi="仿宋" w:eastAsia="仿宋" w:cs="仿宋"/>
                <w:szCs w:val="21"/>
              </w:rPr>
            </w:pPr>
          </w:p>
        </w:tc>
        <w:tc>
          <w:tcPr>
            <w:tcW w:w="1181" w:type="dxa"/>
          </w:tcPr>
          <w:p w14:paraId="60311EAC">
            <w:pPr>
              <w:spacing w:line="360" w:lineRule="auto"/>
              <w:jc w:val="center"/>
              <w:rPr>
                <w:rFonts w:ascii="仿宋" w:hAnsi="仿宋" w:eastAsia="仿宋" w:cs="仿宋"/>
                <w:szCs w:val="21"/>
              </w:rPr>
            </w:pPr>
          </w:p>
        </w:tc>
      </w:tr>
    </w:tbl>
    <w:p w14:paraId="098BAE28">
      <w:pPr>
        <w:pStyle w:val="2"/>
        <w:ind w:left="420" w:firstLine="420"/>
      </w:pPr>
    </w:p>
    <w:p w14:paraId="7238DDF7"/>
    <w:p w14:paraId="6D7F6A54">
      <w:pPr>
        <w:pStyle w:val="2"/>
        <w:ind w:left="420" w:firstLine="420"/>
      </w:pPr>
    </w:p>
    <w:p w14:paraId="2E31CD81"/>
    <w:p w14:paraId="7C2D4FEA">
      <w:pPr>
        <w:pStyle w:val="2"/>
        <w:ind w:left="420" w:firstLine="420"/>
      </w:pPr>
    </w:p>
    <w:p w14:paraId="08C191EA"/>
    <w:p w14:paraId="4AF2BE41">
      <w:pPr>
        <w:pStyle w:val="2"/>
        <w:ind w:left="420" w:firstLine="420"/>
      </w:pPr>
    </w:p>
    <w:p w14:paraId="0D422C1C"/>
    <w:p w14:paraId="100215F9">
      <w:pPr>
        <w:pStyle w:val="2"/>
        <w:ind w:left="420" w:firstLine="420"/>
      </w:pPr>
    </w:p>
    <w:p w14:paraId="478D2159"/>
    <w:p w14:paraId="062C7E85">
      <w:pPr>
        <w:pStyle w:val="2"/>
        <w:ind w:left="420" w:firstLine="420"/>
      </w:pPr>
    </w:p>
    <w:p w14:paraId="0466CC65"/>
    <w:p w14:paraId="109E5417">
      <w:pPr>
        <w:pStyle w:val="2"/>
        <w:ind w:left="420" w:firstLine="420"/>
      </w:pPr>
    </w:p>
    <w:p w14:paraId="537B39CC"/>
    <w:p w14:paraId="2369F856">
      <w:pPr>
        <w:pStyle w:val="2"/>
        <w:ind w:left="420" w:firstLine="420"/>
      </w:pPr>
    </w:p>
    <w:p w14:paraId="3247828A"/>
    <w:p w14:paraId="51965B8D">
      <w:pPr>
        <w:pStyle w:val="2"/>
        <w:ind w:left="420" w:firstLine="420"/>
      </w:pPr>
    </w:p>
    <w:p w14:paraId="65410F32">
      <w:pPr>
        <w:pStyle w:val="2"/>
        <w:ind w:left="0" w:leftChars="0" w:firstLine="0" w:firstLineChars="0"/>
      </w:pPr>
    </w:p>
    <w:p w14:paraId="77837DB4">
      <w:pPr>
        <w:rPr>
          <w:rFonts w:ascii="宋体" w:hAnsi="宋体"/>
          <w:b/>
          <w:color w:val="000000"/>
          <w:sz w:val="28"/>
        </w:rPr>
      </w:pPr>
      <w:r>
        <w:rPr>
          <w:rFonts w:hint="eastAsia" w:ascii="宋体" w:hAnsi="宋体"/>
          <w:b/>
          <w:color w:val="000000"/>
          <w:sz w:val="28"/>
        </w:rPr>
        <w:t>附件六</w:t>
      </w:r>
      <w:r>
        <w:rPr>
          <w:rFonts w:hint="eastAsia" w:ascii="宋体" w:hAnsi="宋体" w:cs="宋体"/>
          <w:b/>
          <w:bCs/>
          <w:sz w:val="28"/>
        </w:rPr>
        <w:t>：</w:t>
      </w:r>
    </w:p>
    <w:p w14:paraId="0F2366A9">
      <w:pPr>
        <w:rPr>
          <w:rFonts w:ascii="仿宋" w:hAnsi="仿宋" w:eastAsia="仿宋" w:cs="仿宋"/>
          <w:color w:val="FF0000"/>
          <w:u w:val="single"/>
        </w:rPr>
      </w:pPr>
      <w:r>
        <w:rPr>
          <w:rFonts w:hint="eastAsia" w:ascii="宋体" w:hAnsi="宋体"/>
        </w:rPr>
        <w:t>项目名称：</w:t>
      </w:r>
      <w:r>
        <w:rPr>
          <w:rFonts w:hint="eastAsia" w:ascii="仿宋" w:hAnsi="仿宋" w:eastAsia="仿宋" w:cs="仿宋"/>
          <w:color w:val="000000"/>
          <w:highlight w:val="none"/>
          <w:u w:val="single"/>
        </w:rPr>
        <w:t>杭发公司安全评价技术服务项目</w:t>
      </w:r>
    </w:p>
    <w:p w14:paraId="4825480B">
      <w:pPr>
        <w:rPr>
          <w:rFonts w:ascii="仿宋" w:hAnsi="仿宋" w:eastAsia="仿宋" w:cs="仿宋"/>
          <w:u w:val="single"/>
        </w:rPr>
      </w:pPr>
    </w:p>
    <w:p w14:paraId="5127611B">
      <w:pPr>
        <w:rPr>
          <w:rFonts w:ascii="宋体" w:hAnsi="宋体"/>
          <w:szCs w:val="21"/>
        </w:rPr>
      </w:pPr>
      <w:r>
        <w:rPr>
          <w:rFonts w:hint="eastAsia" w:ascii="宋体" w:hAnsi="宋体"/>
          <w:szCs w:val="21"/>
        </w:rPr>
        <w:t>日    期：  年   月   日</w:t>
      </w:r>
    </w:p>
    <w:p w14:paraId="0255A1A1">
      <w:pPr>
        <w:jc w:val="center"/>
        <w:rPr>
          <w:rFonts w:eastAsia="黑体"/>
          <w:b/>
          <w:bCs/>
          <w:sz w:val="28"/>
        </w:rPr>
      </w:pPr>
      <w:r>
        <w:rPr>
          <w:rFonts w:hint="eastAsia" w:eastAsia="黑体"/>
          <w:b/>
          <w:bCs/>
          <w:sz w:val="28"/>
        </w:rPr>
        <w:t>相关条款偏离表（含商务偏离及技术偏离）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373F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320865F7">
            <w:pPr>
              <w:jc w:val="center"/>
              <w:rPr>
                <w:rFonts w:ascii="宋体" w:hAnsi="宋体"/>
                <w:szCs w:val="21"/>
              </w:rPr>
            </w:pPr>
            <w:r>
              <w:rPr>
                <w:rFonts w:hint="eastAsia" w:ascii="宋体" w:hAnsi="宋体"/>
                <w:szCs w:val="21"/>
              </w:rPr>
              <w:t>序号</w:t>
            </w:r>
          </w:p>
        </w:tc>
        <w:tc>
          <w:tcPr>
            <w:tcW w:w="4140" w:type="dxa"/>
            <w:gridSpan w:val="2"/>
            <w:vAlign w:val="center"/>
          </w:tcPr>
          <w:p w14:paraId="53F3DC76">
            <w:pPr>
              <w:jc w:val="center"/>
              <w:rPr>
                <w:rFonts w:ascii="宋体" w:hAnsi="宋体"/>
                <w:szCs w:val="21"/>
              </w:rPr>
            </w:pPr>
            <w:r>
              <w:rPr>
                <w:rFonts w:hint="eastAsia" w:ascii="宋体" w:hAnsi="宋体"/>
                <w:szCs w:val="21"/>
              </w:rPr>
              <w:t>招标文件条款</w:t>
            </w:r>
          </w:p>
        </w:tc>
        <w:tc>
          <w:tcPr>
            <w:tcW w:w="3554" w:type="dxa"/>
            <w:vMerge w:val="restart"/>
            <w:vAlign w:val="center"/>
          </w:tcPr>
          <w:p w14:paraId="41030A06">
            <w:pPr>
              <w:jc w:val="center"/>
              <w:rPr>
                <w:rFonts w:ascii="宋体" w:hAnsi="宋体"/>
                <w:szCs w:val="21"/>
              </w:rPr>
            </w:pPr>
            <w:r>
              <w:rPr>
                <w:rFonts w:hint="eastAsia" w:ascii="宋体" w:hAnsi="宋体"/>
                <w:szCs w:val="21"/>
              </w:rPr>
              <w:t>偏离内容</w:t>
            </w:r>
          </w:p>
        </w:tc>
      </w:tr>
      <w:tr w14:paraId="78925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41EE67A">
            <w:pPr>
              <w:rPr>
                <w:rFonts w:ascii="宋体" w:hAnsi="宋体"/>
                <w:szCs w:val="21"/>
              </w:rPr>
            </w:pPr>
          </w:p>
        </w:tc>
        <w:tc>
          <w:tcPr>
            <w:tcW w:w="1080" w:type="dxa"/>
            <w:vAlign w:val="center"/>
          </w:tcPr>
          <w:p w14:paraId="011C276B">
            <w:pPr>
              <w:jc w:val="center"/>
              <w:rPr>
                <w:rFonts w:ascii="宋体" w:hAnsi="宋体"/>
                <w:szCs w:val="21"/>
              </w:rPr>
            </w:pPr>
            <w:r>
              <w:rPr>
                <w:rFonts w:hint="eastAsia" w:ascii="宋体" w:hAnsi="宋体"/>
                <w:szCs w:val="21"/>
              </w:rPr>
              <w:t>条款号</w:t>
            </w:r>
          </w:p>
        </w:tc>
        <w:tc>
          <w:tcPr>
            <w:tcW w:w="3060" w:type="dxa"/>
            <w:vAlign w:val="center"/>
          </w:tcPr>
          <w:p w14:paraId="36D7B332">
            <w:pPr>
              <w:jc w:val="center"/>
              <w:rPr>
                <w:rFonts w:ascii="宋体" w:hAnsi="宋体"/>
                <w:szCs w:val="21"/>
              </w:rPr>
            </w:pPr>
            <w:r>
              <w:rPr>
                <w:rFonts w:hint="eastAsia" w:ascii="宋体" w:hAnsi="宋体"/>
                <w:szCs w:val="21"/>
              </w:rPr>
              <w:t>条款要求</w:t>
            </w:r>
          </w:p>
        </w:tc>
        <w:tc>
          <w:tcPr>
            <w:tcW w:w="3554" w:type="dxa"/>
            <w:vMerge w:val="continue"/>
            <w:vAlign w:val="center"/>
          </w:tcPr>
          <w:p w14:paraId="2C6421F9">
            <w:pPr>
              <w:jc w:val="center"/>
              <w:rPr>
                <w:rFonts w:ascii="宋体" w:hAnsi="宋体"/>
                <w:szCs w:val="21"/>
              </w:rPr>
            </w:pPr>
          </w:p>
        </w:tc>
      </w:tr>
      <w:tr w14:paraId="09E90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C12026">
            <w:pPr>
              <w:jc w:val="center"/>
              <w:rPr>
                <w:rFonts w:ascii="宋体" w:hAnsi="宋体"/>
                <w:szCs w:val="21"/>
              </w:rPr>
            </w:pPr>
            <w:r>
              <w:rPr>
                <w:rFonts w:hint="eastAsia" w:ascii="宋体" w:hAnsi="宋体"/>
                <w:szCs w:val="21"/>
              </w:rPr>
              <w:t>1</w:t>
            </w:r>
          </w:p>
        </w:tc>
        <w:tc>
          <w:tcPr>
            <w:tcW w:w="1080" w:type="dxa"/>
            <w:vAlign w:val="center"/>
          </w:tcPr>
          <w:p w14:paraId="114E732C">
            <w:pPr>
              <w:rPr>
                <w:rFonts w:ascii="宋体" w:hAnsi="宋体"/>
                <w:szCs w:val="21"/>
              </w:rPr>
            </w:pPr>
          </w:p>
        </w:tc>
        <w:tc>
          <w:tcPr>
            <w:tcW w:w="3060" w:type="dxa"/>
            <w:vAlign w:val="center"/>
          </w:tcPr>
          <w:p w14:paraId="2636656B">
            <w:pPr>
              <w:rPr>
                <w:rFonts w:ascii="宋体" w:hAnsi="宋体"/>
                <w:szCs w:val="21"/>
              </w:rPr>
            </w:pPr>
          </w:p>
        </w:tc>
        <w:tc>
          <w:tcPr>
            <w:tcW w:w="3554" w:type="dxa"/>
            <w:vAlign w:val="center"/>
          </w:tcPr>
          <w:p w14:paraId="4C807735">
            <w:pPr>
              <w:rPr>
                <w:rFonts w:ascii="宋体" w:hAnsi="宋体"/>
                <w:szCs w:val="21"/>
              </w:rPr>
            </w:pPr>
          </w:p>
        </w:tc>
      </w:tr>
      <w:tr w14:paraId="0D647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5F6BA4D">
            <w:pPr>
              <w:jc w:val="center"/>
              <w:rPr>
                <w:rFonts w:ascii="宋体" w:hAnsi="宋体"/>
              </w:rPr>
            </w:pPr>
            <w:r>
              <w:rPr>
                <w:rFonts w:hint="eastAsia" w:ascii="宋体" w:hAnsi="宋体"/>
              </w:rPr>
              <w:t>2</w:t>
            </w:r>
          </w:p>
        </w:tc>
        <w:tc>
          <w:tcPr>
            <w:tcW w:w="1080" w:type="dxa"/>
            <w:vAlign w:val="center"/>
          </w:tcPr>
          <w:p w14:paraId="787F479A">
            <w:pPr>
              <w:rPr>
                <w:rFonts w:ascii="宋体" w:hAnsi="宋体"/>
              </w:rPr>
            </w:pPr>
          </w:p>
        </w:tc>
        <w:tc>
          <w:tcPr>
            <w:tcW w:w="3060" w:type="dxa"/>
            <w:vAlign w:val="center"/>
          </w:tcPr>
          <w:p w14:paraId="04CF6D55">
            <w:pPr>
              <w:rPr>
                <w:rFonts w:ascii="宋体" w:hAnsi="宋体"/>
              </w:rPr>
            </w:pPr>
          </w:p>
        </w:tc>
        <w:tc>
          <w:tcPr>
            <w:tcW w:w="3554" w:type="dxa"/>
            <w:vAlign w:val="center"/>
          </w:tcPr>
          <w:p w14:paraId="11A9EA4E">
            <w:pPr>
              <w:rPr>
                <w:rFonts w:ascii="宋体" w:hAnsi="宋体"/>
              </w:rPr>
            </w:pPr>
          </w:p>
        </w:tc>
      </w:tr>
      <w:tr w14:paraId="20715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E26A2EF">
            <w:pPr>
              <w:jc w:val="center"/>
              <w:rPr>
                <w:rFonts w:ascii="宋体" w:hAnsi="宋体"/>
              </w:rPr>
            </w:pPr>
            <w:r>
              <w:rPr>
                <w:rFonts w:hint="eastAsia" w:ascii="宋体" w:hAnsi="宋体"/>
              </w:rPr>
              <w:t>3</w:t>
            </w:r>
          </w:p>
        </w:tc>
        <w:tc>
          <w:tcPr>
            <w:tcW w:w="1080" w:type="dxa"/>
            <w:vAlign w:val="center"/>
          </w:tcPr>
          <w:p w14:paraId="47AD6290">
            <w:pPr>
              <w:rPr>
                <w:rFonts w:ascii="宋体" w:hAnsi="宋体"/>
              </w:rPr>
            </w:pPr>
          </w:p>
        </w:tc>
        <w:tc>
          <w:tcPr>
            <w:tcW w:w="3060" w:type="dxa"/>
            <w:vAlign w:val="center"/>
          </w:tcPr>
          <w:p w14:paraId="53F3B168">
            <w:pPr>
              <w:rPr>
                <w:rFonts w:ascii="宋体" w:hAnsi="宋体"/>
              </w:rPr>
            </w:pPr>
          </w:p>
        </w:tc>
        <w:tc>
          <w:tcPr>
            <w:tcW w:w="3554" w:type="dxa"/>
            <w:vAlign w:val="center"/>
          </w:tcPr>
          <w:p w14:paraId="5DB8CF39">
            <w:pPr>
              <w:rPr>
                <w:rFonts w:ascii="宋体" w:hAnsi="宋体"/>
              </w:rPr>
            </w:pPr>
          </w:p>
        </w:tc>
      </w:tr>
      <w:tr w14:paraId="22AC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A40DFC4">
            <w:pPr>
              <w:jc w:val="center"/>
              <w:rPr>
                <w:rFonts w:ascii="宋体" w:hAnsi="宋体"/>
              </w:rPr>
            </w:pPr>
            <w:r>
              <w:rPr>
                <w:rFonts w:hint="eastAsia" w:ascii="宋体" w:hAnsi="宋体"/>
              </w:rPr>
              <w:t>4</w:t>
            </w:r>
          </w:p>
        </w:tc>
        <w:tc>
          <w:tcPr>
            <w:tcW w:w="1080" w:type="dxa"/>
            <w:vAlign w:val="center"/>
          </w:tcPr>
          <w:p w14:paraId="20AE6692">
            <w:pPr>
              <w:rPr>
                <w:rFonts w:ascii="宋体" w:hAnsi="宋体"/>
              </w:rPr>
            </w:pPr>
          </w:p>
        </w:tc>
        <w:tc>
          <w:tcPr>
            <w:tcW w:w="3060" w:type="dxa"/>
            <w:vAlign w:val="center"/>
          </w:tcPr>
          <w:p w14:paraId="6D691C80">
            <w:pPr>
              <w:rPr>
                <w:rFonts w:ascii="宋体" w:hAnsi="宋体"/>
              </w:rPr>
            </w:pPr>
          </w:p>
        </w:tc>
        <w:tc>
          <w:tcPr>
            <w:tcW w:w="3554" w:type="dxa"/>
            <w:vAlign w:val="center"/>
          </w:tcPr>
          <w:p w14:paraId="5F6EF0EA">
            <w:pPr>
              <w:rPr>
                <w:rFonts w:ascii="宋体" w:hAnsi="宋体"/>
              </w:rPr>
            </w:pPr>
          </w:p>
        </w:tc>
      </w:tr>
      <w:tr w14:paraId="59B8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5A5A86">
            <w:pPr>
              <w:jc w:val="center"/>
              <w:rPr>
                <w:rFonts w:ascii="宋体" w:hAnsi="宋体"/>
              </w:rPr>
            </w:pPr>
            <w:r>
              <w:rPr>
                <w:rFonts w:hint="eastAsia" w:ascii="宋体" w:hAnsi="宋体"/>
              </w:rPr>
              <w:t>5</w:t>
            </w:r>
          </w:p>
        </w:tc>
        <w:tc>
          <w:tcPr>
            <w:tcW w:w="1080" w:type="dxa"/>
            <w:vAlign w:val="center"/>
          </w:tcPr>
          <w:p w14:paraId="6FB5D437">
            <w:pPr>
              <w:rPr>
                <w:rFonts w:ascii="宋体" w:hAnsi="宋体"/>
              </w:rPr>
            </w:pPr>
          </w:p>
        </w:tc>
        <w:tc>
          <w:tcPr>
            <w:tcW w:w="3060" w:type="dxa"/>
            <w:vAlign w:val="center"/>
          </w:tcPr>
          <w:p w14:paraId="67275129">
            <w:pPr>
              <w:rPr>
                <w:rFonts w:ascii="宋体" w:hAnsi="宋体"/>
              </w:rPr>
            </w:pPr>
          </w:p>
        </w:tc>
        <w:tc>
          <w:tcPr>
            <w:tcW w:w="3554" w:type="dxa"/>
            <w:vAlign w:val="center"/>
          </w:tcPr>
          <w:p w14:paraId="3EFE1427">
            <w:pPr>
              <w:rPr>
                <w:rFonts w:ascii="宋体" w:hAnsi="宋体"/>
              </w:rPr>
            </w:pPr>
          </w:p>
        </w:tc>
      </w:tr>
      <w:tr w14:paraId="7404F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Align w:val="center"/>
          </w:tcPr>
          <w:p w14:paraId="1EFFDB5E">
            <w:pPr>
              <w:jc w:val="center"/>
              <w:rPr>
                <w:rFonts w:ascii="宋体" w:hAnsi="宋体"/>
              </w:rPr>
            </w:pPr>
            <w:r>
              <w:rPr>
                <w:rFonts w:hint="eastAsia" w:ascii="宋体" w:hAnsi="宋体"/>
              </w:rPr>
              <w:t>6</w:t>
            </w:r>
          </w:p>
        </w:tc>
        <w:tc>
          <w:tcPr>
            <w:tcW w:w="1080" w:type="dxa"/>
            <w:vAlign w:val="center"/>
          </w:tcPr>
          <w:p w14:paraId="26397B01">
            <w:pPr>
              <w:rPr>
                <w:rFonts w:ascii="宋体" w:hAnsi="宋体"/>
              </w:rPr>
            </w:pPr>
          </w:p>
        </w:tc>
        <w:tc>
          <w:tcPr>
            <w:tcW w:w="3060" w:type="dxa"/>
            <w:vAlign w:val="center"/>
          </w:tcPr>
          <w:p w14:paraId="0782770D">
            <w:pPr>
              <w:rPr>
                <w:rFonts w:ascii="宋体" w:hAnsi="宋体"/>
              </w:rPr>
            </w:pPr>
          </w:p>
        </w:tc>
        <w:tc>
          <w:tcPr>
            <w:tcW w:w="3554" w:type="dxa"/>
            <w:vAlign w:val="center"/>
          </w:tcPr>
          <w:p w14:paraId="72910449">
            <w:pPr>
              <w:rPr>
                <w:rFonts w:ascii="宋体" w:hAnsi="宋体"/>
              </w:rPr>
            </w:pPr>
          </w:p>
        </w:tc>
      </w:tr>
      <w:tr w14:paraId="723F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C52D5F8">
            <w:pPr>
              <w:jc w:val="center"/>
              <w:rPr>
                <w:rFonts w:ascii="宋体" w:hAnsi="宋体"/>
              </w:rPr>
            </w:pPr>
            <w:r>
              <w:rPr>
                <w:rFonts w:hint="eastAsia" w:ascii="宋体" w:hAnsi="宋体"/>
              </w:rPr>
              <w:t>7</w:t>
            </w:r>
          </w:p>
        </w:tc>
        <w:tc>
          <w:tcPr>
            <w:tcW w:w="1080" w:type="dxa"/>
            <w:vAlign w:val="center"/>
          </w:tcPr>
          <w:p w14:paraId="7CC1A991">
            <w:pPr>
              <w:rPr>
                <w:rFonts w:ascii="宋体" w:hAnsi="宋体"/>
              </w:rPr>
            </w:pPr>
          </w:p>
        </w:tc>
        <w:tc>
          <w:tcPr>
            <w:tcW w:w="3060" w:type="dxa"/>
            <w:vAlign w:val="center"/>
          </w:tcPr>
          <w:p w14:paraId="506DAE81">
            <w:pPr>
              <w:rPr>
                <w:rFonts w:ascii="宋体" w:hAnsi="宋体"/>
              </w:rPr>
            </w:pPr>
          </w:p>
        </w:tc>
        <w:tc>
          <w:tcPr>
            <w:tcW w:w="3554" w:type="dxa"/>
            <w:vAlign w:val="center"/>
          </w:tcPr>
          <w:p w14:paraId="15019E9C">
            <w:pPr>
              <w:rPr>
                <w:rFonts w:ascii="宋体" w:hAnsi="宋体"/>
              </w:rPr>
            </w:pPr>
          </w:p>
        </w:tc>
      </w:tr>
      <w:tr w14:paraId="29143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EEF9B85">
            <w:pPr>
              <w:jc w:val="center"/>
              <w:rPr>
                <w:rFonts w:ascii="宋体" w:hAnsi="宋体"/>
              </w:rPr>
            </w:pPr>
            <w:r>
              <w:rPr>
                <w:rFonts w:hint="eastAsia" w:ascii="宋体" w:hAnsi="宋体"/>
              </w:rPr>
              <w:t>8</w:t>
            </w:r>
          </w:p>
        </w:tc>
        <w:tc>
          <w:tcPr>
            <w:tcW w:w="1080" w:type="dxa"/>
            <w:vAlign w:val="center"/>
          </w:tcPr>
          <w:p w14:paraId="7939FCC4">
            <w:pPr>
              <w:rPr>
                <w:rFonts w:ascii="宋体" w:hAnsi="宋体"/>
              </w:rPr>
            </w:pPr>
          </w:p>
        </w:tc>
        <w:tc>
          <w:tcPr>
            <w:tcW w:w="3060" w:type="dxa"/>
            <w:vAlign w:val="center"/>
          </w:tcPr>
          <w:p w14:paraId="0F476582">
            <w:pPr>
              <w:rPr>
                <w:rFonts w:ascii="宋体" w:hAnsi="宋体"/>
              </w:rPr>
            </w:pPr>
          </w:p>
        </w:tc>
        <w:tc>
          <w:tcPr>
            <w:tcW w:w="3554" w:type="dxa"/>
            <w:vAlign w:val="center"/>
          </w:tcPr>
          <w:p w14:paraId="1B79F107">
            <w:pPr>
              <w:rPr>
                <w:rFonts w:ascii="宋体" w:hAnsi="宋体"/>
              </w:rPr>
            </w:pPr>
          </w:p>
        </w:tc>
      </w:tr>
      <w:tr w14:paraId="4036D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E324B6A">
            <w:pPr>
              <w:jc w:val="center"/>
              <w:rPr>
                <w:rFonts w:ascii="宋体" w:hAnsi="宋体"/>
              </w:rPr>
            </w:pPr>
            <w:r>
              <w:rPr>
                <w:rFonts w:hint="eastAsia" w:ascii="宋体" w:hAnsi="宋体"/>
              </w:rPr>
              <w:t>9</w:t>
            </w:r>
          </w:p>
        </w:tc>
        <w:tc>
          <w:tcPr>
            <w:tcW w:w="1080" w:type="dxa"/>
            <w:vAlign w:val="center"/>
          </w:tcPr>
          <w:p w14:paraId="0BACF090">
            <w:pPr>
              <w:rPr>
                <w:rFonts w:ascii="宋体" w:hAnsi="宋体"/>
              </w:rPr>
            </w:pPr>
          </w:p>
        </w:tc>
        <w:tc>
          <w:tcPr>
            <w:tcW w:w="3060" w:type="dxa"/>
            <w:vAlign w:val="center"/>
          </w:tcPr>
          <w:p w14:paraId="35D7ADBD">
            <w:pPr>
              <w:rPr>
                <w:rFonts w:ascii="宋体" w:hAnsi="宋体"/>
              </w:rPr>
            </w:pPr>
          </w:p>
        </w:tc>
        <w:tc>
          <w:tcPr>
            <w:tcW w:w="3554" w:type="dxa"/>
            <w:vAlign w:val="center"/>
          </w:tcPr>
          <w:p w14:paraId="4D88A476">
            <w:pPr>
              <w:rPr>
                <w:rFonts w:ascii="宋体" w:hAnsi="宋体"/>
              </w:rPr>
            </w:pPr>
          </w:p>
        </w:tc>
      </w:tr>
      <w:tr w14:paraId="1FA72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902818F">
            <w:pPr>
              <w:jc w:val="center"/>
              <w:rPr>
                <w:rFonts w:ascii="宋体" w:hAnsi="宋体"/>
              </w:rPr>
            </w:pPr>
            <w:r>
              <w:rPr>
                <w:rFonts w:hint="eastAsia" w:ascii="宋体" w:hAnsi="宋体"/>
              </w:rPr>
              <w:t>10</w:t>
            </w:r>
          </w:p>
        </w:tc>
        <w:tc>
          <w:tcPr>
            <w:tcW w:w="1080" w:type="dxa"/>
            <w:vAlign w:val="center"/>
          </w:tcPr>
          <w:p w14:paraId="19A81499">
            <w:pPr>
              <w:rPr>
                <w:rFonts w:ascii="宋体" w:hAnsi="宋体"/>
              </w:rPr>
            </w:pPr>
          </w:p>
        </w:tc>
        <w:tc>
          <w:tcPr>
            <w:tcW w:w="3060" w:type="dxa"/>
            <w:vAlign w:val="center"/>
          </w:tcPr>
          <w:p w14:paraId="63FEFE1A">
            <w:pPr>
              <w:rPr>
                <w:rFonts w:ascii="宋体" w:hAnsi="宋体"/>
              </w:rPr>
            </w:pPr>
          </w:p>
        </w:tc>
        <w:tc>
          <w:tcPr>
            <w:tcW w:w="3554" w:type="dxa"/>
            <w:vAlign w:val="center"/>
          </w:tcPr>
          <w:p w14:paraId="482EE2B5">
            <w:pPr>
              <w:rPr>
                <w:rFonts w:ascii="宋体" w:hAnsi="宋体"/>
              </w:rPr>
            </w:pPr>
          </w:p>
        </w:tc>
      </w:tr>
    </w:tbl>
    <w:p w14:paraId="4780314D">
      <w:pPr>
        <w:rPr>
          <w:rFonts w:ascii="宋体" w:hAnsi="宋体"/>
        </w:rPr>
      </w:pPr>
    </w:p>
    <w:p w14:paraId="64A065AB">
      <w:pPr>
        <w:rPr>
          <w:rFonts w:ascii="仿宋_GB2312" w:hAnsi="宋体" w:eastAsia="仿宋_GB2312"/>
        </w:rPr>
      </w:pPr>
      <w:r>
        <w:rPr>
          <w:rFonts w:hint="eastAsia" w:ascii="仿宋_GB2312" w:hAnsi="宋体" w:eastAsia="仿宋_GB2312"/>
        </w:rPr>
        <w:t>投标人名称（盖章）：                法定代表人或授权代表签字：</w:t>
      </w:r>
    </w:p>
    <w:p w14:paraId="2FF36CAE">
      <w:pPr>
        <w:rPr>
          <w:rFonts w:ascii="宋体" w:hAnsi="宋体"/>
        </w:rPr>
      </w:pPr>
    </w:p>
    <w:p w14:paraId="2C787A27">
      <w:pPr>
        <w:rPr>
          <w:rFonts w:ascii="宋体" w:hAnsi="宋体"/>
        </w:rPr>
      </w:pPr>
    </w:p>
    <w:p w14:paraId="56D1259E">
      <w:pPr>
        <w:rPr>
          <w:rFonts w:hAnsi="宋体"/>
          <w:b/>
          <w:szCs w:val="21"/>
          <w:highlight w:val="none"/>
        </w:rPr>
      </w:pPr>
      <w:r>
        <w:rPr>
          <w:rFonts w:hint="eastAsia" w:ascii="宋体" w:hAnsi="宋体"/>
          <w:b/>
          <w:szCs w:val="21"/>
          <w:highlight w:val="none"/>
        </w:rPr>
        <w:t>注：</w:t>
      </w:r>
      <w:r>
        <w:rPr>
          <w:rFonts w:hint="eastAsia" w:hAnsi="宋体"/>
          <w:szCs w:val="21"/>
          <w:highlight w:val="none"/>
        </w:rPr>
        <w:t>可做正偏离，但不允许有低于本招标文件相关要求的情况出现，否则视为</w:t>
      </w:r>
      <w:r>
        <w:rPr>
          <w:rFonts w:hint="eastAsia"/>
          <w:szCs w:val="21"/>
          <w:highlight w:val="none"/>
        </w:rPr>
        <w:t>主动放弃本项目投标；</w:t>
      </w:r>
      <w:r>
        <w:rPr>
          <w:rFonts w:hint="eastAsia" w:ascii="宋体" w:hAnsi="宋体"/>
          <w:szCs w:val="21"/>
          <w:highlight w:val="none"/>
        </w:rPr>
        <w:t>为避免歧义，无偏离也应要提报该表，并注明“无”字。如无该表则即使在其它部分已反映，将也被视为“无偏离”。</w:t>
      </w:r>
    </w:p>
    <w:p w14:paraId="12339B05">
      <w:pPr>
        <w:ind w:firstLine="630" w:firstLineChars="300"/>
        <w:rPr>
          <w:rFonts w:ascii="宋体" w:hAnsi="宋体"/>
          <w:szCs w:val="21"/>
        </w:rPr>
      </w:pPr>
    </w:p>
    <w:p w14:paraId="6F2BBE0A">
      <w:pPr>
        <w:ind w:firstLine="630" w:firstLineChars="300"/>
        <w:rPr>
          <w:rFonts w:ascii="宋体" w:hAnsi="宋体"/>
          <w:szCs w:val="21"/>
        </w:rPr>
      </w:pPr>
    </w:p>
    <w:p w14:paraId="01C6B25C">
      <w:pPr>
        <w:rPr>
          <w:rFonts w:ascii="宋体" w:hAnsi="宋体" w:cs="宋体"/>
          <w:b/>
          <w:bCs/>
          <w:sz w:val="28"/>
        </w:rPr>
      </w:pPr>
    </w:p>
    <w:p w14:paraId="4A343DC7">
      <w:pPr>
        <w:rPr>
          <w:rFonts w:ascii="宋体" w:hAnsi="宋体" w:cs="宋体"/>
          <w:b/>
          <w:bCs/>
          <w:sz w:val="28"/>
        </w:rPr>
      </w:pPr>
      <w:r>
        <w:rPr>
          <w:rFonts w:hint="eastAsia" w:ascii="宋体" w:hAnsi="宋体" w:cs="宋体"/>
          <w:b/>
          <w:bCs/>
          <w:sz w:val="28"/>
        </w:rPr>
        <w:t>附件七：</w:t>
      </w:r>
    </w:p>
    <w:p w14:paraId="13D7FD2B">
      <w:pPr>
        <w:rPr>
          <w:rFonts w:ascii="仿宋" w:hAnsi="仿宋" w:eastAsia="仿宋" w:cs="仿宋"/>
          <w:color w:val="FF0000"/>
          <w:highlight w:val="cyan"/>
          <w:u w:val="single"/>
        </w:rPr>
      </w:pPr>
      <w:r>
        <w:rPr>
          <w:rFonts w:hint="eastAsia" w:ascii="宋体" w:hAnsi="宋体"/>
        </w:rPr>
        <w:t>项目名称</w:t>
      </w:r>
      <w:r>
        <w:rPr>
          <w:rFonts w:hint="eastAsia" w:ascii="宋体" w:hAnsi="宋体"/>
          <w:highlight w:val="none"/>
        </w:rPr>
        <w:t>：</w:t>
      </w:r>
      <w:r>
        <w:rPr>
          <w:rFonts w:hint="eastAsia" w:ascii="仿宋" w:hAnsi="仿宋" w:eastAsia="仿宋" w:cs="仿宋"/>
          <w:highlight w:val="none"/>
          <w:u w:val="single"/>
        </w:rPr>
        <w:t>杭发公司安全评价技术服务项目</w:t>
      </w:r>
    </w:p>
    <w:p w14:paraId="36CDE5F6">
      <w:pPr>
        <w:rPr>
          <w:rFonts w:ascii="仿宋" w:hAnsi="仿宋" w:eastAsia="仿宋" w:cs="仿宋"/>
          <w:color w:val="000000"/>
          <w:u w:val="single"/>
        </w:rPr>
      </w:pPr>
    </w:p>
    <w:p w14:paraId="5782BD98">
      <w:pPr>
        <w:rPr>
          <w:rFonts w:ascii="宋体" w:hAnsi="宋体"/>
          <w:szCs w:val="21"/>
        </w:rPr>
      </w:pPr>
      <w:r>
        <w:rPr>
          <w:rFonts w:hint="eastAsia" w:ascii="宋体" w:hAnsi="宋体"/>
          <w:szCs w:val="21"/>
        </w:rPr>
        <w:t>日期：  年   月   日</w:t>
      </w:r>
    </w:p>
    <w:p w14:paraId="09257431">
      <w:pPr>
        <w:jc w:val="center"/>
        <w:rPr>
          <w:rFonts w:eastAsia="黑体"/>
          <w:b/>
          <w:bCs/>
          <w:sz w:val="28"/>
        </w:rPr>
      </w:pPr>
      <w:r>
        <w:rPr>
          <w:rFonts w:hint="eastAsia" w:eastAsia="黑体"/>
          <w:b/>
          <w:bCs/>
          <w:sz w:val="28"/>
        </w:rPr>
        <w:t>企业概况一览表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0"/>
        <w:gridCol w:w="1088"/>
        <w:gridCol w:w="1928"/>
        <w:gridCol w:w="953"/>
        <w:gridCol w:w="1928"/>
        <w:gridCol w:w="1323"/>
      </w:tblGrid>
      <w:tr w14:paraId="063DA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exact"/>
        </w:trPr>
        <w:tc>
          <w:tcPr>
            <w:tcW w:w="1750" w:type="dxa"/>
            <w:vAlign w:val="center"/>
          </w:tcPr>
          <w:p w14:paraId="43DA6DFA">
            <w:pPr>
              <w:jc w:val="center"/>
              <w:rPr>
                <w:rFonts w:ascii="宋体" w:hAnsi="宋体"/>
                <w:bCs/>
                <w:szCs w:val="21"/>
              </w:rPr>
            </w:pPr>
            <w:r>
              <w:rPr>
                <w:rFonts w:hint="eastAsia" w:ascii="宋体" w:hAnsi="宋体"/>
                <w:bCs/>
                <w:szCs w:val="21"/>
              </w:rPr>
              <w:t>企业名称</w:t>
            </w:r>
          </w:p>
        </w:tc>
        <w:tc>
          <w:tcPr>
            <w:tcW w:w="1088" w:type="dxa"/>
            <w:vAlign w:val="center"/>
          </w:tcPr>
          <w:p w14:paraId="2C99B28F">
            <w:pPr>
              <w:jc w:val="center"/>
              <w:rPr>
                <w:rFonts w:ascii="宋体" w:hAnsi="宋体"/>
                <w:b/>
                <w:bCs/>
                <w:szCs w:val="21"/>
              </w:rPr>
            </w:pPr>
          </w:p>
        </w:tc>
        <w:tc>
          <w:tcPr>
            <w:tcW w:w="1928" w:type="dxa"/>
            <w:vAlign w:val="center"/>
          </w:tcPr>
          <w:p w14:paraId="553193B6">
            <w:pPr>
              <w:jc w:val="center"/>
              <w:rPr>
                <w:rFonts w:ascii="宋体" w:hAnsi="宋体"/>
                <w:b/>
                <w:bCs/>
                <w:szCs w:val="21"/>
              </w:rPr>
            </w:pPr>
            <w:r>
              <w:rPr>
                <w:rFonts w:hint="eastAsia" w:ascii="宋体" w:hAnsi="宋体"/>
                <w:bCs/>
                <w:szCs w:val="21"/>
              </w:rPr>
              <w:t>成立时间</w:t>
            </w:r>
          </w:p>
        </w:tc>
        <w:tc>
          <w:tcPr>
            <w:tcW w:w="953" w:type="dxa"/>
            <w:vAlign w:val="center"/>
          </w:tcPr>
          <w:p w14:paraId="27301D3F">
            <w:pPr>
              <w:jc w:val="center"/>
              <w:rPr>
                <w:rFonts w:ascii="宋体" w:hAnsi="宋体"/>
                <w:b/>
                <w:bCs/>
                <w:szCs w:val="21"/>
              </w:rPr>
            </w:pPr>
          </w:p>
        </w:tc>
        <w:tc>
          <w:tcPr>
            <w:tcW w:w="1928" w:type="dxa"/>
            <w:vAlign w:val="center"/>
          </w:tcPr>
          <w:p w14:paraId="14EA34B5">
            <w:pPr>
              <w:jc w:val="center"/>
              <w:rPr>
                <w:rFonts w:ascii="宋体" w:hAnsi="宋体"/>
                <w:b/>
                <w:bCs/>
                <w:szCs w:val="21"/>
              </w:rPr>
            </w:pPr>
            <w:r>
              <w:rPr>
                <w:rFonts w:hint="eastAsia" w:ascii="宋体" w:hAnsi="宋体"/>
                <w:bCs/>
                <w:szCs w:val="21"/>
              </w:rPr>
              <w:t>注册资本（万元）</w:t>
            </w:r>
          </w:p>
        </w:tc>
        <w:tc>
          <w:tcPr>
            <w:tcW w:w="1323" w:type="dxa"/>
            <w:vAlign w:val="center"/>
          </w:tcPr>
          <w:p w14:paraId="544EE031">
            <w:pPr>
              <w:jc w:val="center"/>
              <w:rPr>
                <w:rFonts w:ascii="宋体" w:hAnsi="宋体"/>
                <w:b/>
                <w:bCs/>
                <w:szCs w:val="21"/>
              </w:rPr>
            </w:pPr>
          </w:p>
        </w:tc>
      </w:tr>
      <w:tr w14:paraId="325F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exact"/>
        </w:trPr>
        <w:tc>
          <w:tcPr>
            <w:tcW w:w="1750" w:type="dxa"/>
            <w:vAlign w:val="center"/>
          </w:tcPr>
          <w:p w14:paraId="01A9BB87">
            <w:pPr>
              <w:jc w:val="center"/>
              <w:rPr>
                <w:rFonts w:ascii="宋体" w:hAnsi="宋体"/>
                <w:b/>
                <w:bCs/>
                <w:szCs w:val="21"/>
              </w:rPr>
            </w:pPr>
            <w:r>
              <w:rPr>
                <w:rFonts w:hint="eastAsia" w:ascii="宋体" w:hAnsi="宋体"/>
                <w:bCs/>
                <w:szCs w:val="21"/>
              </w:rPr>
              <w:t>厂址</w:t>
            </w:r>
          </w:p>
        </w:tc>
        <w:tc>
          <w:tcPr>
            <w:tcW w:w="1088" w:type="dxa"/>
            <w:vAlign w:val="center"/>
          </w:tcPr>
          <w:p w14:paraId="4A35A9A9">
            <w:pPr>
              <w:jc w:val="center"/>
              <w:rPr>
                <w:rFonts w:ascii="宋体" w:hAnsi="宋体"/>
                <w:b/>
                <w:bCs/>
                <w:szCs w:val="21"/>
              </w:rPr>
            </w:pPr>
          </w:p>
        </w:tc>
        <w:tc>
          <w:tcPr>
            <w:tcW w:w="1928" w:type="dxa"/>
            <w:vAlign w:val="center"/>
          </w:tcPr>
          <w:p w14:paraId="44FC5E0C">
            <w:pPr>
              <w:jc w:val="center"/>
              <w:rPr>
                <w:rFonts w:ascii="宋体" w:hAnsi="宋体"/>
                <w:b/>
                <w:bCs/>
                <w:szCs w:val="21"/>
              </w:rPr>
            </w:pPr>
            <w:r>
              <w:rPr>
                <w:rFonts w:hint="eastAsia" w:ascii="宋体" w:hAnsi="宋体"/>
                <w:bCs/>
                <w:szCs w:val="21"/>
              </w:rPr>
              <w:t>处置场地面积（㎡）</w:t>
            </w:r>
          </w:p>
        </w:tc>
        <w:tc>
          <w:tcPr>
            <w:tcW w:w="953" w:type="dxa"/>
            <w:vAlign w:val="center"/>
          </w:tcPr>
          <w:p w14:paraId="67AE04C8">
            <w:pPr>
              <w:jc w:val="center"/>
              <w:rPr>
                <w:rFonts w:ascii="宋体" w:hAnsi="宋体"/>
                <w:b/>
                <w:bCs/>
                <w:szCs w:val="21"/>
              </w:rPr>
            </w:pPr>
          </w:p>
        </w:tc>
        <w:tc>
          <w:tcPr>
            <w:tcW w:w="1928" w:type="dxa"/>
            <w:vAlign w:val="center"/>
          </w:tcPr>
          <w:p w14:paraId="79644EA3">
            <w:pPr>
              <w:jc w:val="center"/>
              <w:rPr>
                <w:rFonts w:ascii="宋体" w:hAnsi="宋体"/>
                <w:b/>
                <w:bCs/>
                <w:szCs w:val="21"/>
              </w:rPr>
            </w:pPr>
            <w:r>
              <w:rPr>
                <w:rFonts w:hint="eastAsia" w:ascii="宋体" w:hAnsi="宋体"/>
                <w:bCs/>
                <w:szCs w:val="21"/>
              </w:rPr>
              <w:t>在册员工人数（人）</w:t>
            </w:r>
          </w:p>
        </w:tc>
        <w:tc>
          <w:tcPr>
            <w:tcW w:w="1323" w:type="dxa"/>
            <w:vAlign w:val="center"/>
          </w:tcPr>
          <w:p w14:paraId="1A179E45">
            <w:pPr>
              <w:jc w:val="center"/>
              <w:rPr>
                <w:rFonts w:ascii="宋体" w:hAnsi="宋体"/>
                <w:b/>
                <w:bCs/>
                <w:szCs w:val="21"/>
              </w:rPr>
            </w:pPr>
          </w:p>
        </w:tc>
      </w:tr>
      <w:tr w14:paraId="5E9B4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750" w:type="dxa"/>
            <w:vAlign w:val="center"/>
          </w:tcPr>
          <w:p w14:paraId="440C9552">
            <w:pPr>
              <w:jc w:val="center"/>
              <w:rPr>
                <w:rFonts w:ascii="宋体" w:hAnsi="宋体"/>
                <w:bCs/>
                <w:szCs w:val="21"/>
              </w:rPr>
            </w:pPr>
            <w:r>
              <w:rPr>
                <w:rFonts w:hint="eastAsia" w:ascii="宋体" w:hAnsi="宋体"/>
                <w:szCs w:val="21"/>
              </w:rPr>
              <w:t>企业所通过的体系认证情况</w:t>
            </w:r>
          </w:p>
        </w:tc>
        <w:tc>
          <w:tcPr>
            <w:tcW w:w="7220" w:type="dxa"/>
            <w:gridSpan w:val="5"/>
            <w:vAlign w:val="center"/>
          </w:tcPr>
          <w:p w14:paraId="4C861C2A">
            <w:pPr>
              <w:jc w:val="center"/>
              <w:rPr>
                <w:rFonts w:ascii="宋体" w:hAnsi="宋体"/>
                <w:b/>
                <w:bCs/>
                <w:szCs w:val="21"/>
              </w:rPr>
            </w:pPr>
          </w:p>
        </w:tc>
      </w:tr>
      <w:tr w14:paraId="4B083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750" w:type="dxa"/>
            <w:vAlign w:val="center"/>
          </w:tcPr>
          <w:p w14:paraId="0A6A00A8">
            <w:pPr>
              <w:jc w:val="center"/>
              <w:rPr>
                <w:rFonts w:ascii="宋体" w:hAnsi="宋体"/>
                <w:bCs/>
                <w:szCs w:val="21"/>
              </w:rPr>
            </w:pPr>
            <w:r>
              <w:rPr>
                <w:rFonts w:hint="eastAsia" w:ascii="宋体" w:hAnsi="宋体"/>
                <w:bCs/>
                <w:szCs w:val="21"/>
              </w:rPr>
              <w:t>经营范围</w:t>
            </w:r>
          </w:p>
        </w:tc>
        <w:tc>
          <w:tcPr>
            <w:tcW w:w="7220" w:type="dxa"/>
            <w:gridSpan w:val="5"/>
            <w:vAlign w:val="center"/>
          </w:tcPr>
          <w:p w14:paraId="3ED2E174">
            <w:pPr>
              <w:jc w:val="center"/>
              <w:rPr>
                <w:rFonts w:ascii="宋体" w:hAnsi="宋体"/>
                <w:b/>
                <w:bCs/>
                <w:szCs w:val="21"/>
              </w:rPr>
            </w:pPr>
          </w:p>
        </w:tc>
      </w:tr>
      <w:tr w14:paraId="472E3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750" w:type="dxa"/>
            <w:vAlign w:val="center"/>
          </w:tcPr>
          <w:p w14:paraId="6B054347">
            <w:pPr>
              <w:jc w:val="center"/>
              <w:rPr>
                <w:rFonts w:ascii="宋体" w:hAnsi="宋体"/>
                <w:bCs/>
                <w:szCs w:val="21"/>
              </w:rPr>
            </w:pPr>
            <w:r>
              <w:rPr>
                <w:rFonts w:hint="eastAsia" w:ascii="宋体" w:hAnsi="宋体"/>
                <w:bCs/>
                <w:szCs w:val="21"/>
              </w:rPr>
              <w:t>专利</w:t>
            </w:r>
          </w:p>
        </w:tc>
        <w:tc>
          <w:tcPr>
            <w:tcW w:w="7220" w:type="dxa"/>
            <w:gridSpan w:val="5"/>
            <w:vAlign w:val="center"/>
          </w:tcPr>
          <w:p w14:paraId="7AAD22B9">
            <w:pPr>
              <w:jc w:val="center"/>
              <w:rPr>
                <w:rFonts w:ascii="宋体" w:hAnsi="宋体"/>
                <w:bCs/>
                <w:szCs w:val="21"/>
              </w:rPr>
            </w:pPr>
          </w:p>
        </w:tc>
      </w:tr>
      <w:tr w14:paraId="56769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750" w:type="dxa"/>
            <w:vAlign w:val="center"/>
          </w:tcPr>
          <w:p w14:paraId="1DF9C8E0">
            <w:pPr>
              <w:jc w:val="center"/>
              <w:rPr>
                <w:rFonts w:ascii="宋体" w:hAnsi="宋体"/>
                <w:bCs/>
                <w:szCs w:val="21"/>
              </w:rPr>
            </w:pPr>
            <w:r>
              <w:rPr>
                <w:rFonts w:hint="eastAsia" w:ascii="宋体" w:hAnsi="宋体"/>
                <w:bCs/>
                <w:szCs w:val="21"/>
              </w:rPr>
              <w:t>本企业其它优势</w:t>
            </w:r>
          </w:p>
        </w:tc>
        <w:tc>
          <w:tcPr>
            <w:tcW w:w="7220" w:type="dxa"/>
            <w:gridSpan w:val="5"/>
            <w:vAlign w:val="center"/>
          </w:tcPr>
          <w:p w14:paraId="243D0423">
            <w:pPr>
              <w:jc w:val="center"/>
              <w:rPr>
                <w:rFonts w:ascii="宋体" w:hAnsi="宋体"/>
                <w:bCs/>
                <w:szCs w:val="21"/>
              </w:rPr>
            </w:pPr>
          </w:p>
        </w:tc>
      </w:tr>
    </w:tbl>
    <w:p w14:paraId="73BB7B42">
      <w:pPr>
        <w:rPr>
          <w:rFonts w:eastAsia="黑体"/>
          <w:b/>
          <w:bCs/>
          <w:sz w:val="28"/>
        </w:rPr>
      </w:pPr>
    </w:p>
    <w:p w14:paraId="63982B40">
      <w:pPr>
        <w:pStyle w:val="16"/>
        <w:spacing w:line="360" w:lineRule="auto"/>
        <w:ind w:firstLine="240" w:firstLineChars="100"/>
        <w:rPr>
          <w:rFonts w:eastAsia="仿宋_GB2312"/>
        </w:rPr>
      </w:pPr>
      <w:r>
        <w:rPr>
          <w:rFonts w:hint="eastAsia" w:ascii="仿宋_GB2312" w:hAnsi="宋体" w:eastAsia="仿宋_GB2312"/>
          <w:sz w:val="24"/>
        </w:rPr>
        <w:t>投标人名称（盖章）：              法定代表人或授权代表签字：</w:t>
      </w:r>
    </w:p>
    <w:p w14:paraId="02F4EB56">
      <w:pPr>
        <w:pStyle w:val="2"/>
        <w:ind w:left="0" w:leftChars="0" w:firstLine="420"/>
      </w:pPr>
    </w:p>
    <w:p w14:paraId="14B20372"/>
    <w:p w14:paraId="5FACBA02">
      <w:pPr>
        <w:pStyle w:val="2"/>
        <w:ind w:left="420" w:firstLine="420"/>
      </w:pPr>
    </w:p>
    <w:p w14:paraId="3E57E2DD"/>
    <w:p w14:paraId="2FC04E8B">
      <w:pPr>
        <w:pStyle w:val="2"/>
        <w:ind w:left="420" w:firstLine="420"/>
      </w:pPr>
    </w:p>
    <w:p w14:paraId="0D59FEC0"/>
    <w:p w14:paraId="7DDD2EF2">
      <w:pPr>
        <w:pStyle w:val="2"/>
        <w:ind w:left="420" w:firstLine="420"/>
      </w:pPr>
    </w:p>
    <w:p w14:paraId="47295A04"/>
    <w:p w14:paraId="1ED484FF">
      <w:pPr>
        <w:pStyle w:val="2"/>
        <w:ind w:left="420" w:firstLine="420"/>
      </w:pPr>
    </w:p>
    <w:p w14:paraId="09D5CF9D"/>
    <w:p w14:paraId="7FE198B1">
      <w:pPr>
        <w:rPr>
          <w:rFonts w:ascii="宋体" w:hAnsi="宋体" w:cs="宋体"/>
          <w:b/>
          <w:bCs/>
          <w:sz w:val="28"/>
        </w:rPr>
      </w:pPr>
    </w:p>
    <w:p w14:paraId="1E5E2413">
      <w:pPr>
        <w:rPr>
          <w:rFonts w:ascii="宋体" w:hAnsi="宋体" w:cs="宋体"/>
          <w:b/>
          <w:bCs/>
          <w:sz w:val="28"/>
        </w:rPr>
      </w:pPr>
      <w:r>
        <w:rPr>
          <w:rFonts w:hint="eastAsia" w:ascii="宋体" w:hAnsi="宋体" w:cs="宋体"/>
          <w:b/>
          <w:bCs/>
          <w:sz w:val="28"/>
        </w:rPr>
        <w:t>附件八：</w:t>
      </w:r>
    </w:p>
    <w:p w14:paraId="5C15FC52">
      <w:pPr>
        <w:rPr>
          <w:rFonts w:ascii="仿宋" w:hAnsi="仿宋" w:eastAsia="仿宋" w:cs="仿宋"/>
          <w:color w:val="FF0000"/>
          <w:highlight w:val="cyan"/>
          <w:u w:val="single"/>
        </w:rPr>
      </w:pPr>
      <w:r>
        <w:rPr>
          <w:rFonts w:hint="eastAsia" w:ascii="仿宋" w:hAnsi="仿宋" w:eastAsia="仿宋" w:cs="仿宋"/>
        </w:rPr>
        <w:t>项目名称：</w:t>
      </w:r>
      <w:r>
        <w:rPr>
          <w:rFonts w:hint="eastAsia" w:ascii="仿宋" w:hAnsi="仿宋" w:eastAsia="仿宋" w:cs="仿宋"/>
          <w:highlight w:val="none"/>
          <w:u w:val="single"/>
        </w:rPr>
        <w:t>杭发公司安全评价技术服务项目</w:t>
      </w:r>
    </w:p>
    <w:p w14:paraId="0EDE8E34">
      <w:pPr>
        <w:rPr>
          <w:rFonts w:ascii="仿宋" w:hAnsi="仿宋" w:eastAsia="仿宋" w:cs="仿宋"/>
          <w:u w:val="single"/>
        </w:rPr>
      </w:pPr>
    </w:p>
    <w:p w14:paraId="5EED0F2C">
      <w:pPr>
        <w:rPr>
          <w:rFonts w:ascii="仿宋" w:hAnsi="仿宋" w:eastAsia="仿宋" w:cs="仿宋"/>
          <w:szCs w:val="21"/>
        </w:rPr>
      </w:pPr>
      <w:r>
        <w:rPr>
          <w:rFonts w:hint="eastAsia" w:ascii="仿宋" w:hAnsi="仿宋" w:eastAsia="仿宋" w:cs="仿宋"/>
          <w:szCs w:val="21"/>
        </w:rPr>
        <w:t>日期：  年   月   日</w:t>
      </w:r>
    </w:p>
    <w:p w14:paraId="5819C2F6">
      <w:pPr>
        <w:pStyle w:val="14"/>
        <w:jc w:val="center"/>
        <w:rPr>
          <w:b/>
          <w:bCs/>
        </w:rPr>
      </w:pPr>
      <w:r>
        <w:rPr>
          <w:rFonts w:hint="eastAsia"/>
          <w:b/>
          <w:bCs/>
        </w:rPr>
        <w:t>开标一览表</w:t>
      </w:r>
    </w:p>
    <w:p w14:paraId="6376981F">
      <w:pPr>
        <w:pStyle w:val="14"/>
        <w:jc w:val="center"/>
      </w:pPr>
    </w:p>
    <w:p w14:paraId="2726F075">
      <w:pPr>
        <w:rPr>
          <w:rFonts w:ascii="仿宋" w:hAnsi="仿宋" w:eastAsia="仿宋" w:cs="仿宋"/>
        </w:rPr>
      </w:pPr>
      <w:r>
        <w:rPr>
          <w:rFonts w:hint="eastAsia" w:ascii="仿宋" w:hAnsi="仿宋" w:eastAsia="仿宋" w:cs="仿宋"/>
        </w:rPr>
        <w:t>投标人名称（盖章）：                 法定代表人或授权代表签字：</w:t>
      </w:r>
    </w:p>
    <w:p w14:paraId="72BF8F17">
      <w:pPr>
        <w:rPr>
          <w:rFonts w:ascii="仿宋" w:hAnsi="仿宋" w:eastAsia="仿宋" w:cs="仿宋"/>
        </w:rPr>
      </w:pPr>
    </w:p>
    <w:tbl>
      <w:tblPr>
        <w:tblStyle w:val="30"/>
        <w:tblW w:w="8910" w:type="dxa"/>
        <w:tblInd w:w="0" w:type="dxa"/>
        <w:tblLayout w:type="fixed"/>
        <w:tblCellMar>
          <w:top w:w="0" w:type="dxa"/>
          <w:left w:w="0" w:type="dxa"/>
          <w:bottom w:w="0" w:type="dxa"/>
          <w:right w:w="0" w:type="dxa"/>
        </w:tblCellMar>
      </w:tblPr>
      <w:tblGrid>
        <w:gridCol w:w="669"/>
        <w:gridCol w:w="3730"/>
        <w:gridCol w:w="4511"/>
      </w:tblGrid>
      <w:tr w14:paraId="7A7E22DD">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C0449F">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序号</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8FA5F9">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投标人名称</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31AEA4">
            <w:pPr>
              <w:jc w:val="center"/>
              <w:rPr>
                <w:rFonts w:ascii="仿宋" w:hAnsi="仿宋" w:eastAsia="仿宋" w:cs="仿宋"/>
                <w:color w:val="000000"/>
                <w:sz w:val="28"/>
                <w:szCs w:val="28"/>
              </w:rPr>
            </w:pPr>
          </w:p>
        </w:tc>
      </w:tr>
      <w:tr w14:paraId="20A06AB1">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D623BF">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1</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D3F8AD">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报价（万元，不含税）</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CC2CEA0">
            <w:pPr>
              <w:jc w:val="center"/>
              <w:rPr>
                <w:rFonts w:ascii="仿宋" w:hAnsi="仿宋" w:eastAsia="仿宋" w:cs="仿宋"/>
                <w:color w:val="000000"/>
                <w:sz w:val="28"/>
                <w:szCs w:val="28"/>
              </w:rPr>
            </w:pPr>
          </w:p>
        </w:tc>
      </w:tr>
      <w:tr w14:paraId="18B3DAE1">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A5656A">
            <w:pPr>
              <w:widowControl/>
              <w:jc w:val="center"/>
              <w:textAlignment w:val="center"/>
              <w:rPr>
                <w:rFonts w:ascii="仿宋" w:hAnsi="仿宋" w:eastAsia="仿宋" w:cs="仿宋"/>
                <w:color w:val="000000"/>
                <w:kern w:val="0"/>
                <w:sz w:val="28"/>
                <w:szCs w:val="28"/>
                <w:lang w:bidi="ar"/>
              </w:rPr>
            </w:pP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67556B">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税率</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04F63C">
            <w:pPr>
              <w:jc w:val="center"/>
              <w:rPr>
                <w:rFonts w:ascii="仿宋" w:hAnsi="仿宋" w:eastAsia="仿宋" w:cs="仿宋"/>
                <w:color w:val="000000"/>
                <w:sz w:val="28"/>
                <w:szCs w:val="28"/>
              </w:rPr>
            </w:pPr>
          </w:p>
        </w:tc>
      </w:tr>
      <w:tr w14:paraId="04EA4DEA">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194D3A">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2</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4A0F99">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价税合计金额（万元）</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9735A6">
            <w:pPr>
              <w:jc w:val="center"/>
              <w:rPr>
                <w:rFonts w:ascii="仿宋" w:hAnsi="仿宋" w:eastAsia="仿宋" w:cs="仿宋"/>
                <w:color w:val="000000"/>
                <w:sz w:val="28"/>
                <w:szCs w:val="28"/>
              </w:rPr>
            </w:pPr>
          </w:p>
        </w:tc>
      </w:tr>
      <w:tr w14:paraId="39D0C996">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47B0FA">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3</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0351AE">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付款方式有无偏离</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C1ED20">
            <w:pPr>
              <w:jc w:val="center"/>
              <w:rPr>
                <w:rFonts w:ascii="仿宋" w:hAnsi="仿宋" w:eastAsia="仿宋" w:cs="仿宋"/>
                <w:color w:val="000000"/>
                <w:sz w:val="28"/>
                <w:szCs w:val="28"/>
              </w:rPr>
            </w:pPr>
          </w:p>
        </w:tc>
      </w:tr>
      <w:tr w14:paraId="2976DC42">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F1B173">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4</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206D8C">
            <w:pPr>
              <w:widowControl/>
              <w:jc w:val="center"/>
              <w:textAlignment w:val="center"/>
              <w:rPr>
                <w:rFonts w:ascii="仿宋" w:hAnsi="仿宋" w:eastAsia="仿宋" w:cs="仿宋"/>
                <w:color w:val="000000"/>
                <w:kern w:val="0"/>
                <w:sz w:val="28"/>
                <w:szCs w:val="28"/>
                <w:lang w:bidi="ar"/>
              </w:rPr>
            </w:pPr>
            <w:r>
              <w:rPr>
                <w:rFonts w:hint="eastAsia" w:ascii="仿宋" w:hAnsi="仿宋" w:eastAsia="仿宋" w:cs="仿宋"/>
                <w:color w:val="000000"/>
                <w:kern w:val="0"/>
                <w:sz w:val="28"/>
                <w:szCs w:val="28"/>
                <w:lang w:bidi="ar"/>
              </w:rPr>
              <w:t>对招标文件的认同程度</w:t>
            </w:r>
          </w:p>
          <w:p w14:paraId="0AC72BD3">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（是否完全认同）</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5C5980">
            <w:pPr>
              <w:jc w:val="center"/>
              <w:rPr>
                <w:rFonts w:ascii="仿宋" w:hAnsi="仿宋" w:eastAsia="仿宋" w:cs="仿宋"/>
                <w:color w:val="000000"/>
                <w:sz w:val="28"/>
                <w:szCs w:val="28"/>
              </w:rPr>
            </w:pPr>
          </w:p>
        </w:tc>
      </w:tr>
      <w:tr w14:paraId="1B56D7D3">
        <w:tblPrEx>
          <w:tblCellMar>
            <w:top w:w="0" w:type="dxa"/>
            <w:left w:w="0" w:type="dxa"/>
            <w:bottom w:w="0" w:type="dxa"/>
            <w:right w:w="0" w:type="dxa"/>
          </w:tblCellMar>
        </w:tblPrEx>
        <w:trPr>
          <w:trHeight w:val="375" w:hRule="atLeast"/>
        </w:trPr>
        <w:tc>
          <w:tcPr>
            <w:tcW w:w="66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7966D2">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5</w:t>
            </w:r>
          </w:p>
        </w:tc>
        <w:tc>
          <w:tcPr>
            <w:tcW w:w="37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266C99">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备注</w:t>
            </w:r>
          </w:p>
        </w:tc>
        <w:tc>
          <w:tcPr>
            <w:tcW w:w="45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1141E4">
            <w:pPr>
              <w:jc w:val="center"/>
              <w:rPr>
                <w:rFonts w:ascii="仿宋" w:hAnsi="仿宋" w:eastAsia="仿宋" w:cs="仿宋"/>
                <w:color w:val="000000"/>
                <w:sz w:val="28"/>
                <w:szCs w:val="28"/>
              </w:rPr>
            </w:pPr>
          </w:p>
        </w:tc>
      </w:tr>
    </w:tbl>
    <w:p w14:paraId="2C5E83D4">
      <w:pPr>
        <w:rPr>
          <w:rFonts w:ascii="宋体" w:hAnsi="宋体"/>
          <w:b/>
          <w:szCs w:val="21"/>
        </w:rPr>
      </w:pPr>
    </w:p>
    <w:p w14:paraId="5CAF5D78">
      <w:pPr>
        <w:rPr>
          <w:rFonts w:ascii="宋体" w:hAnsi="宋体"/>
          <w:szCs w:val="21"/>
        </w:rPr>
      </w:pPr>
      <w:r>
        <w:rPr>
          <w:rFonts w:hint="eastAsia" w:ascii="宋体" w:hAnsi="宋体"/>
          <w:b/>
          <w:szCs w:val="21"/>
        </w:rPr>
        <w:t>注：</w:t>
      </w:r>
    </w:p>
    <w:p w14:paraId="2708C6EC">
      <w:pPr>
        <w:ind w:firstLine="630" w:firstLineChars="300"/>
        <w:rPr>
          <w:rFonts w:ascii="宋体" w:hAnsi="宋体" w:cs="Arial"/>
          <w:snapToGrid w:val="0"/>
          <w:kern w:val="0"/>
          <w:szCs w:val="21"/>
        </w:rPr>
      </w:pPr>
      <w:r>
        <w:rPr>
          <w:rFonts w:hint="eastAsia" w:ascii="宋体" w:hAnsi="宋体"/>
          <w:szCs w:val="21"/>
        </w:rPr>
        <w:t>1.如果开标一览表中的投标价格与投标文件的投标价格有</w:t>
      </w:r>
      <w:r>
        <w:rPr>
          <w:rFonts w:hint="eastAsia" w:ascii="宋体" w:hAnsi="宋体" w:cs="Arial"/>
          <w:snapToGrid w:val="0"/>
          <w:kern w:val="0"/>
          <w:szCs w:val="21"/>
        </w:rPr>
        <w:t>差异</w:t>
      </w:r>
      <w:r>
        <w:rPr>
          <w:rFonts w:ascii="宋体" w:hAnsi="宋体" w:cs="Arial"/>
          <w:snapToGrid w:val="0"/>
          <w:kern w:val="0"/>
          <w:szCs w:val="21"/>
        </w:rPr>
        <w:t>，以开标一览表为准</w:t>
      </w:r>
      <w:r>
        <w:rPr>
          <w:rFonts w:hint="eastAsia" w:ascii="宋体" w:hAnsi="宋体" w:cs="Arial"/>
          <w:snapToGrid w:val="0"/>
          <w:kern w:val="0"/>
          <w:szCs w:val="21"/>
        </w:rPr>
        <w:t>；</w:t>
      </w:r>
    </w:p>
    <w:p w14:paraId="383F9D92">
      <w:pPr>
        <w:ind w:firstLine="630" w:firstLineChars="300"/>
        <w:rPr>
          <w:rFonts w:ascii="宋体" w:hAnsi="宋体"/>
          <w:szCs w:val="21"/>
        </w:rPr>
      </w:pPr>
      <w:r>
        <w:rPr>
          <w:rFonts w:hint="eastAsia" w:ascii="宋体" w:hAnsi="宋体"/>
          <w:szCs w:val="21"/>
        </w:rPr>
        <w:t>2.</w:t>
      </w:r>
      <w:r>
        <w:rPr>
          <w:rFonts w:ascii="宋体" w:hAnsi="宋体"/>
          <w:szCs w:val="21"/>
        </w:rPr>
        <w:t>不接受</w:t>
      </w:r>
      <w:r>
        <w:rPr>
          <w:rFonts w:hint="eastAsia" w:ascii="宋体" w:hAnsi="宋体"/>
          <w:szCs w:val="21"/>
        </w:rPr>
        <w:t>可</w:t>
      </w:r>
      <w:r>
        <w:rPr>
          <w:rFonts w:ascii="宋体" w:hAnsi="宋体"/>
          <w:szCs w:val="21"/>
        </w:rPr>
        <w:t>选择</w:t>
      </w:r>
      <w:r>
        <w:rPr>
          <w:rFonts w:hint="eastAsia" w:ascii="宋体" w:hAnsi="宋体"/>
          <w:szCs w:val="21"/>
        </w:rPr>
        <w:t>或可调整</w:t>
      </w:r>
      <w:r>
        <w:rPr>
          <w:rFonts w:ascii="宋体" w:hAnsi="宋体"/>
          <w:szCs w:val="21"/>
        </w:rPr>
        <w:t>的报价</w:t>
      </w:r>
      <w:r>
        <w:rPr>
          <w:rFonts w:hint="eastAsia" w:ascii="宋体" w:hAnsi="宋体"/>
          <w:szCs w:val="21"/>
        </w:rPr>
        <w:t>方案和报价；</w:t>
      </w:r>
    </w:p>
    <w:p w14:paraId="14A712AB">
      <w:pPr>
        <w:ind w:firstLine="630" w:firstLineChars="300"/>
        <w:rPr>
          <w:rFonts w:ascii="宋体" w:hAnsi="宋体"/>
          <w:szCs w:val="21"/>
        </w:rPr>
      </w:pPr>
      <w:r>
        <w:rPr>
          <w:rFonts w:hint="eastAsia" w:ascii="宋体" w:hAnsi="宋体"/>
          <w:szCs w:val="21"/>
        </w:rPr>
        <w:t>3.投标人对报价若有说明，必须在开标一览表显著处注明，只有注明的报价和优惠才会在评标时予以考虑。</w:t>
      </w:r>
    </w:p>
    <w:p w14:paraId="0E25EA8D">
      <w:pPr>
        <w:ind w:firstLine="630" w:firstLineChars="300"/>
        <w:rPr>
          <w:rFonts w:ascii="宋体" w:hAnsi="宋体"/>
          <w:szCs w:val="21"/>
        </w:rPr>
      </w:pPr>
      <w:r>
        <w:rPr>
          <w:rFonts w:hint="eastAsia" w:ascii="宋体" w:hAnsi="宋体"/>
          <w:szCs w:val="21"/>
        </w:rPr>
        <w:t>4.本表用于开标宣读用，请单独封存。</w:t>
      </w:r>
    </w:p>
    <w:p w14:paraId="2DD74888">
      <w:pPr>
        <w:rPr>
          <w:szCs w:val="21"/>
        </w:rPr>
      </w:pPr>
    </w:p>
    <w:p w14:paraId="6E1E7507">
      <w:pPr>
        <w:pStyle w:val="2"/>
        <w:ind w:left="420" w:firstLine="420"/>
      </w:pPr>
    </w:p>
    <w:p w14:paraId="24F2143C"/>
    <w:p w14:paraId="79B858E2"/>
    <w:p w14:paraId="5D846421"/>
    <w:p w14:paraId="6BA460B1">
      <w:pPr>
        <w:pStyle w:val="2"/>
        <w:ind w:left="420" w:firstLine="420"/>
      </w:pPr>
    </w:p>
    <w:p w14:paraId="4B17E38F">
      <w:pPr>
        <w:pStyle w:val="2"/>
        <w:ind w:left="420" w:firstLine="420"/>
      </w:pPr>
    </w:p>
    <w:p w14:paraId="0D969E36">
      <w:pPr>
        <w:rPr>
          <w:rFonts w:ascii="宋体" w:hAnsi="宋体" w:cs="宋体"/>
          <w:b/>
          <w:bCs/>
          <w:sz w:val="28"/>
        </w:rPr>
      </w:pPr>
      <w:r>
        <w:rPr>
          <w:rFonts w:hint="eastAsia" w:ascii="宋体" w:hAnsi="宋体" w:cs="宋体"/>
          <w:b/>
          <w:bCs/>
          <w:sz w:val="28"/>
        </w:rPr>
        <w:t>附件九：</w:t>
      </w:r>
    </w:p>
    <w:p w14:paraId="7D9E6DD0">
      <w:pPr>
        <w:jc w:val="center"/>
        <w:rPr>
          <w:rFonts w:ascii="宋体" w:hAnsi="宋体" w:cs="宋体"/>
          <w:b/>
          <w:lang w:bidi="ar"/>
        </w:rPr>
      </w:pPr>
      <w:r>
        <w:rPr>
          <w:rFonts w:hint="eastAsia" w:ascii="宋体" w:hAnsi="宋体" w:cs="宋体"/>
          <w:b/>
          <w:lang w:bidi="ar"/>
        </w:rPr>
        <w:t xml:space="preserve">  投标人应邀函</w:t>
      </w:r>
    </w:p>
    <w:p w14:paraId="27152410">
      <w:pPr>
        <w:ind w:firstLine="105" w:firstLineChars="50"/>
      </w:pPr>
      <w:r>
        <w:rPr>
          <w:rFonts w:hint="eastAsia"/>
        </w:rPr>
        <w:t>公章：</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0E5F9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14:paraId="52B9B698">
            <w:pPr>
              <w:jc w:val="center"/>
            </w:pPr>
            <w:r>
              <w:rPr>
                <w:rFonts w:hint="eastAsia"/>
              </w:rPr>
              <w:t>项目名称</w:t>
            </w:r>
          </w:p>
        </w:tc>
        <w:tc>
          <w:tcPr>
            <w:tcW w:w="7123" w:type="dxa"/>
            <w:gridSpan w:val="3"/>
            <w:vAlign w:val="center"/>
          </w:tcPr>
          <w:p w14:paraId="6CB9D547">
            <w:pPr>
              <w:jc w:val="center"/>
            </w:pPr>
          </w:p>
        </w:tc>
      </w:tr>
      <w:tr w14:paraId="1B38F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vAlign w:val="center"/>
          </w:tcPr>
          <w:p w14:paraId="083E19CF">
            <w:pPr>
              <w:jc w:val="center"/>
            </w:pPr>
            <w:r>
              <w:rPr>
                <w:rFonts w:hint="eastAsia" w:ascii="宋体" w:hAnsi="宋体"/>
              </w:rPr>
              <w:t>项目编号</w:t>
            </w:r>
          </w:p>
        </w:tc>
        <w:tc>
          <w:tcPr>
            <w:tcW w:w="7123" w:type="dxa"/>
            <w:gridSpan w:val="3"/>
            <w:vAlign w:val="center"/>
          </w:tcPr>
          <w:p w14:paraId="69962B58">
            <w:pPr>
              <w:jc w:val="center"/>
            </w:pPr>
          </w:p>
        </w:tc>
      </w:tr>
      <w:tr w14:paraId="0EEB6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vAlign w:val="center"/>
          </w:tcPr>
          <w:p w14:paraId="15646F1E">
            <w:pPr>
              <w:jc w:val="center"/>
            </w:pPr>
            <w:r>
              <w:rPr>
                <w:rFonts w:hint="eastAsia"/>
              </w:rPr>
              <w:t>投标单位</w:t>
            </w:r>
          </w:p>
          <w:p w14:paraId="17D86C1B">
            <w:pPr>
              <w:jc w:val="center"/>
            </w:pPr>
            <w:r>
              <w:rPr>
                <w:rFonts w:hint="eastAsia"/>
              </w:rPr>
              <w:t>（全称）</w:t>
            </w:r>
          </w:p>
        </w:tc>
        <w:tc>
          <w:tcPr>
            <w:tcW w:w="7123" w:type="dxa"/>
            <w:gridSpan w:val="3"/>
            <w:vAlign w:val="center"/>
          </w:tcPr>
          <w:p w14:paraId="508F4D9E">
            <w:pPr>
              <w:jc w:val="center"/>
            </w:pPr>
          </w:p>
        </w:tc>
      </w:tr>
      <w:tr w14:paraId="3D230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vAlign w:val="center"/>
          </w:tcPr>
          <w:p w14:paraId="50C4540C">
            <w:pPr>
              <w:jc w:val="center"/>
            </w:pPr>
            <w:r>
              <w:rPr>
                <w:rFonts w:hint="eastAsia"/>
              </w:rPr>
              <w:t>项目负责人</w:t>
            </w:r>
          </w:p>
        </w:tc>
        <w:tc>
          <w:tcPr>
            <w:tcW w:w="2526" w:type="dxa"/>
            <w:vAlign w:val="center"/>
          </w:tcPr>
          <w:p w14:paraId="686EFE77">
            <w:pPr>
              <w:jc w:val="center"/>
            </w:pPr>
          </w:p>
        </w:tc>
        <w:tc>
          <w:tcPr>
            <w:tcW w:w="2272" w:type="dxa"/>
            <w:vAlign w:val="center"/>
          </w:tcPr>
          <w:p w14:paraId="4FB12AD2">
            <w:pPr>
              <w:jc w:val="center"/>
            </w:pPr>
            <w:r>
              <w:rPr>
                <w:rFonts w:hint="eastAsia"/>
              </w:rPr>
              <w:t>联系电话</w:t>
            </w:r>
          </w:p>
        </w:tc>
        <w:tc>
          <w:tcPr>
            <w:tcW w:w="2325" w:type="dxa"/>
            <w:vAlign w:val="center"/>
          </w:tcPr>
          <w:p w14:paraId="2E33DEEB">
            <w:pPr>
              <w:jc w:val="center"/>
            </w:pPr>
          </w:p>
        </w:tc>
      </w:tr>
      <w:tr w14:paraId="37F5B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vAlign w:val="center"/>
          </w:tcPr>
          <w:p w14:paraId="62E2F894">
            <w:pPr>
              <w:jc w:val="center"/>
            </w:pPr>
            <w:r>
              <w:rPr>
                <w:rFonts w:hint="eastAsia"/>
              </w:rPr>
              <w:t>公司电话</w:t>
            </w:r>
          </w:p>
        </w:tc>
        <w:tc>
          <w:tcPr>
            <w:tcW w:w="2526" w:type="dxa"/>
            <w:vAlign w:val="center"/>
          </w:tcPr>
          <w:p w14:paraId="00F4D71F">
            <w:pPr>
              <w:jc w:val="center"/>
            </w:pPr>
          </w:p>
        </w:tc>
        <w:tc>
          <w:tcPr>
            <w:tcW w:w="2272" w:type="dxa"/>
            <w:vAlign w:val="center"/>
          </w:tcPr>
          <w:p w14:paraId="712778B0">
            <w:pPr>
              <w:jc w:val="center"/>
            </w:pPr>
            <w:r>
              <w:rPr>
                <w:rFonts w:hint="eastAsia"/>
              </w:rPr>
              <w:t>传真</w:t>
            </w:r>
          </w:p>
        </w:tc>
        <w:tc>
          <w:tcPr>
            <w:tcW w:w="2325" w:type="dxa"/>
            <w:vAlign w:val="center"/>
          </w:tcPr>
          <w:p w14:paraId="691E48F3">
            <w:pPr>
              <w:jc w:val="center"/>
            </w:pPr>
          </w:p>
        </w:tc>
      </w:tr>
      <w:tr w14:paraId="28B99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vAlign w:val="center"/>
          </w:tcPr>
          <w:p w14:paraId="6F81C666">
            <w:pPr>
              <w:jc w:val="center"/>
            </w:pPr>
            <w:r>
              <w:rPr>
                <w:rFonts w:hint="eastAsia"/>
              </w:rPr>
              <w:t>E-mail</w:t>
            </w:r>
          </w:p>
        </w:tc>
        <w:tc>
          <w:tcPr>
            <w:tcW w:w="7123" w:type="dxa"/>
            <w:gridSpan w:val="3"/>
            <w:vAlign w:val="center"/>
          </w:tcPr>
          <w:p w14:paraId="1A98A53E">
            <w:pPr>
              <w:jc w:val="center"/>
            </w:pPr>
          </w:p>
        </w:tc>
      </w:tr>
      <w:tr w14:paraId="10C40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vAlign w:val="center"/>
          </w:tcPr>
          <w:p w14:paraId="1AB0C437">
            <w:pPr>
              <w:jc w:val="center"/>
            </w:pPr>
            <w:r>
              <w:rPr>
                <w:rFonts w:hint="eastAsia"/>
              </w:rPr>
              <w:t>报名时间</w:t>
            </w:r>
          </w:p>
        </w:tc>
        <w:tc>
          <w:tcPr>
            <w:tcW w:w="7123" w:type="dxa"/>
            <w:gridSpan w:val="3"/>
            <w:vAlign w:val="center"/>
          </w:tcPr>
          <w:p w14:paraId="3E7EC57F">
            <w:pPr>
              <w:jc w:val="center"/>
            </w:pPr>
            <w:r>
              <w:rPr>
                <w:rFonts w:hint="eastAsia"/>
              </w:rPr>
              <w:t>年    月    日</w:t>
            </w:r>
          </w:p>
        </w:tc>
      </w:tr>
    </w:tbl>
    <w:p w14:paraId="02D8281A">
      <w:pPr>
        <w:ind w:left="413" w:right="69" w:rightChars="33" w:hanging="413" w:hangingChars="196"/>
        <w:rPr>
          <w:rFonts w:ascii="宋体" w:hAnsi="宋体"/>
        </w:rPr>
      </w:pPr>
      <w:r>
        <w:rPr>
          <w:rFonts w:hint="eastAsia" w:ascii="宋体" w:hAnsi="宋体"/>
          <w:b/>
        </w:rPr>
        <w:t>注：</w:t>
      </w:r>
      <w:r>
        <w:rPr>
          <w:rFonts w:hint="eastAsia" w:ascii="宋体" w:hAnsi="宋体"/>
        </w:rPr>
        <w:t>请投标单位认真填写并加盖公章，并于规定日期前以扫描电子版形式回传至技术联系人邮箱。缺项及不按要求时间回复均视为自动放弃本次投标。</w:t>
      </w:r>
    </w:p>
    <w:p w14:paraId="0757FFA8"/>
    <w:p w14:paraId="79683766"/>
    <w:p w14:paraId="0D59A2C0">
      <w:pPr>
        <w:pStyle w:val="2"/>
        <w:ind w:left="420" w:firstLine="420"/>
      </w:pPr>
    </w:p>
    <w:p w14:paraId="112093F9"/>
    <w:p w14:paraId="3409E890">
      <w:pPr>
        <w:spacing w:line="360" w:lineRule="auto"/>
      </w:pPr>
    </w:p>
    <w:p w14:paraId="05BF1548">
      <w:pPr>
        <w:rPr>
          <w:rFonts w:hAnsi="宋体" w:cs="宋体"/>
          <w:b/>
          <w:bCs/>
          <w:color w:val="000000"/>
          <w:sz w:val="24"/>
          <w:szCs w:val="24"/>
        </w:rPr>
      </w:pPr>
      <w:r>
        <w:rPr>
          <w:rFonts w:hint="eastAsia" w:hAnsi="宋体" w:cs="宋体"/>
          <w:b/>
          <w:bCs/>
          <w:color w:val="000000"/>
          <w:sz w:val="24"/>
          <w:szCs w:val="24"/>
        </w:rPr>
        <w:br w:type="page"/>
      </w:r>
      <w:r>
        <w:rPr>
          <w:rFonts w:hint="eastAsia" w:hAnsi="宋体" w:cs="宋体"/>
          <w:b/>
          <w:bCs/>
          <w:color w:val="000000"/>
          <w:sz w:val="24"/>
          <w:szCs w:val="24"/>
        </w:rPr>
        <w:t>附件 SRM非生产供应商注册操作手册</w:t>
      </w:r>
    </w:p>
    <w:p w14:paraId="7092C153">
      <w:pPr>
        <w:adjustRightInd w:val="0"/>
        <w:snapToGrid w:val="0"/>
        <w:jc w:val="left"/>
        <w:rPr>
          <w:rFonts w:ascii="宋体" w:hAnsi="宋体" w:cs="宋体"/>
          <w:sz w:val="24"/>
          <w:szCs w:val="24"/>
        </w:rPr>
      </w:pPr>
    </w:p>
    <w:p w14:paraId="5EC3FF28">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6077160C">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09A024AE">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2A5C4D55">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4" cstate="print"/>
                    <a:srcRect/>
                    <a:stretch>
                      <a:fillRect/>
                    </a:stretch>
                  </pic:blipFill>
                  <pic:spPr>
                    <a:xfrm>
                      <a:off x="0" y="0"/>
                      <a:ext cx="5760085" cy="2933065"/>
                    </a:xfrm>
                    <a:prstGeom prst="rect">
                      <a:avLst/>
                    </a:prstGeom>
                  </pic:spPr>
                </pic:pic>
              </a:graphicData>
            </a:graphic>
          </wp:inline>
        </w:drawing>
      </w:r>
    </w:p>
    <w:p w14:paraId="2EAC4880">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0C4E49E4">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5" cstate="print"/>
                    <a:srcRect/>
                    <a:stretch>
                      <a:fillRect/>
                    </a:stretch>
                  </pic:blipFill>
                  <pic:spPr>
                    <a:xfrm>
                      <a:off x="0" y="0"/>
                      <a:ext cx="5760085" cy="2766695"/>
                    </a:xfrm>
                    <a:prstGeom prst="rect">
                      <a:avLst/>
                    </a:prstGeom>
                  </pic:spPr>
                </pic:pic>
              </a:graphicData>
            </a:graphic>
          </wp:inline>
        </w:drawing>
      </w:r>
    </w:p>
    <w:p w14:paraId="54FA9206">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171FC81C">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6" cstate="print"/>
                    <a:srcRect/>
                    <a:stretch>
                      <a:fillRect/>
                    </a:stretch>
                  </pic:blipFill>
                  <pic:spPr>
                    <a:xfrm>
                      <a:off x="0" y="0"/>
                      <a:ext cx="5760085" cy="2869565"/>
                    </a:xfrm>
                    <a:prstGeom prst="rect">
                      <a:avLst/>
                    </a:prstGeom>
                  </pic:spPr>
                </pic:pic>
              </a:graphicData>
            </a:graphic>
          </wp:inline>
        </w:drawing>
      </w:r>
    </w:p>
    <w:p w14:paraId="33854C53">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068EE256">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7" cstate="print"/>
                    <a:srcRect/>
                    <a:stretch>
                      <a:fillRect/>
                    </a:stretch>
                  </pic:blipFill>
                  <pic:spPr>
                    <a:xfrm>
                      <a:off x="0" y="0"/>
                      <a:ext cx="5760085" cy="2853055"/>
                    </a:xfrm>
                    <a:prstGeom prst="rect">
                      <a:avLst/>
                    </a:prstGeom>
                  </pic:spPr>
                </pic:pic>
              </a:graphicData>
            </a:graphic>
          </wp:inline>
        </w:drawing>
      </w:r>
    </w:p>
    <w:p w14:paraId="5FA4AEE8">
      <w:pPr>
        <w:numPr>
          <w:ilvl w:val="0"/>
          <w:numId w:val="36"/>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120E4A2A">
      <w:pPr>
        <w:pStyle w:val="16"/>
      </w:pPr>
    </w:p>
    <w:p w14:paraId="3A13C87A">
      <w:pPr>
        <w:rPr>
          <w:rFonts w:ascii="宋体" w:hAnsi="宋体" w:cs="宋体"/>
          <w:color w:val="000000"/>
        </w:rPr>
      </w:pPr>
    </w:p>
    <w:p w14:paraId="57579F1D">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8" cstate="print"/>
                    <a:srcRect/>
                    <a:stretch>
                      <a:fillRect/>
                    </a:stretch>
                  </pic:blipFill>
                  <pic:spPr>
                    <a:xfrm>
                      <a:off x="0" y="0"/>
                      <a:ext cx="5760085" cy="2809875"/>
                    </a:xfrm>
                    <a:prstGeom prst="rect">
                      <a:avLst/>
                    </a:prstGeom>
                  </pic:spPr>
                </pic:pic>
              </a:graphicData>
            </a:graphic>
          </wp:inline>
        </w:drawing>
      </w:r>
    </w:p>
    <w:p w14:paraId="0520607C">
      <w:pPr>
        <w:pStyle w:val="16"/>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9" cstate="print"/>
                    <a:srcRect/>
                    <a:stretch>
                      <a:fillRect/>
                    </a:stretch>
                  </pic:blipFill>
                  <pic:spPr>
                    <a:xfrm>
                      <a:off x="0" y="0"/>
                      <a:ext cx="5760085" cy="2820035"/>
                    </a:xfrm>
                    <a:prstGeom prst="rect">
                      <a:avLst/>
                    </a:prstGeom>
                  </pic:spPr>
                </pic:pic>
              </a:graphicData>
            </a:graphic>
          </wp:inline>
        </w:drawing>
      </w:r>
    </w:p>
    <w:p w14:paraId="58D54758">
      <w:pPr>
        <w:pStyle w:val="16"/>
      </w:pPr>
    </w:p>
    <w:p w14:paraId="786780BE">
      <w:pPr>
        <w:pStyle w:val="16"/>
      </w:pPr>
    </w:p>
    <w:p w14:paraId="30506738">
      <w:pPr>
        <w:rPr>
          <w:rFonts w:ascii="宋体" w:hAnsi="宋体" w:cs="宋体"/>
          <w:b/>
          <w:bCs/>
          <w:color w:val="000000"/>
          <w:sz w:val="24"/>
          <w:szCs w:val="28"/>
        </w:rPr>
      </w:pPr>
      <w:r>
        <w:rPr>
          <w:rFonts w:hint="eastAsia" w:ascii="宋体" w:hAnsi="宋体" w:cs="宋体"/>
          <w:b/>
          <w:bCs/>
          <w:color w:val="000000"/>
          <w:sz w:val="24"/>
          <w:szCs w:val="28"/>
        </w:rPr>
        <w:t>注：</w:t>
      </w:r>
    </w:p>
    <w:p w14:paraId="62817D82">
      <w:pPr>
        <w:rPr>
          <w:rFonts w:ascii="宋体" w:hAnsi="宋体" w:cs="宋体"/>
          <w:b/>
          <w:bCs/>
          <w:color w:val="000000"/>
          <w:sz w:val="24"/>
          <w:szCs w:val="28"/>
        </w:rPr>
      </w:pPr>
      <w:r>
        <w:rPr>
          <w:rFonts w:hint="eastAsia" w:ascii="宋体" w:hAnsi="宋体" w:cs="宋体"/>
          <w:b/>
          <w:bCs/>
          <w:color w:val="000000"/>
          <w:sz w:val="24"/>
          <w:szCs w:val="28"/>
        </w:rPr>
        <w:t>1.“项目名称”和“采购形式编号”见投标须知前附表1.1；</w:t>
      </w:r>
    </w:p>
    <w:p w14:paraId="4E4DD44E">
      <w:pPr>
        <w:pStyle w:val="16"/>
      </w:pPr>
      <w:r>
        <w:rPr>
          <w:rFonts w:hint="eastAsia" w:hAnsi="宋体" w:cs="宋体"/>
          <w:b/>
          <w:bCs/>
          <w:color w:val="000000"/>
          <w:sz w:val="24"/>
          <w:szCs w:val="28"/>
        </w:rPr>
        <w:t>2.配套能力“供货类别”填“</w:t>
      </w:r>
      <w:r>
        <w:rPr>
          <w:rFonts w:hint="eastAsia" w:hAnsi="宋体" w:cs="宋体"/>
          <w:b/>
          <w:bCs/>
          <w:color w:val="000000"/>
          <w:sz w:val="24"/>
          <w:szCs w:val="28"/>
          <w:highlight w:val="none"/>
        </w:rPr>
        <w:t xml:space="preserve">直管单位非生产招标 / 服务 / </w:t>
      </w:r>
      <w:r>
        <w:rPr>
          <w:rFonts w:hint="eastAsia" w:hAnsi="宋体" w:cs="宋体"/>
          <w:b/>
          <w:bCs/>
          <w:color w:val="000000"/>
          <w:sz w:val="24"/>
          <w:szCs w:val="28"/>
          <w:highlight w:val="none"/>
          <w:lang w:val="en-US" w:eastAsia="zh-CN"/>
        </w:rPr>
        <w:t>安全消防</w:t>
      </w:r>
      <w:r>
        <w:rPr>
          <w:rFonts w:hint="eastAsia" w:hAnsi="宋体" w:cs="宋体"/>
          <w:b/>
          <w:bCs/>
          <w:color w:val="000000"/>
          <w:sz w:val="24"/>
          <w:szCs w:val="28"/>
        </w:rPr>
        <w:t>”，业务主管部门选择“</w:t>
      </w:r>
      <w:r>
        <w:rPr>
          <w:rFonts w:hint="eastAsia" w:hAnsi="宋体" w:cs="宋体"/>
          <w:b/>
          <w:bCs/>
          <w:color w:val="000000"/>
          <w:sz w:val="24"/>
          <w:szCs w:val="28"/>
          <w:highlight w:val="none"/>
        </w:rPr>
        <w:t>安全环保部</w:t>
      </w:r>
      <w:r>
        <w:rPr>
          <w:rFonts w:hint="eastAsia" w:hAnsi="宋体" w:cs="宋体"/>
          <w:b/>
          <w:bCs/>
          <w:color w:val="000000"/>
          <w:sz w:val="24"/>
          <w:szCs w:val="28"/>
        </w:rPr>
        <w:t>”。</w:t>
      </w:r>
    </w:p>
    <w:p w14:paraId="1BC0EFD1">
      <w:pPr>
        <w:pStyle w:val="16"/>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pPr>
    </w:p>
    <w:p w14:paraId="6F0CA1DF">
      <w:pPr>
        <w:pStyle w:val="16"/>
        <w:outlineLvl w:val="2"/>
        <w:rPr>
          <w:rFonts w:hAnsi="宋体"/>
          <w:b/>
          <w:color w:val="000000"/>
          <w:sz w:val="24"/>
          <w:szCs w:val="24"/>
        </w:rPr>
      </w:pPr>
      <w:r>
        <w:rPr>
          <w:rFonts w:hint="eastAsia" w:hAnsi="宋体" w:cs="宋体"/>
          <w:b/>
          <w:bCs/>
          <w:color w:val="000000"/>
          <w:sz w:val="24"/>
          <w:szCs w:val="24"/>
        </w:rPr>
        <w:t xml:space="preserve">附件 </w:t>
      </w:r>
      <w:r>
        <w:rPr>
          <w:rFonts w:hint="eastAsia" w:hAnsi="宋体"/>
          <w:b/>
          <w:color w:val="000000"/>
          <w:sz w:val="24"/>
          <w:szCs w:val="24"/>
        </w:rPr>
        <w:t>SRM系统供应商用户手册</w:t>
      </w:r>
    </w:p>
    <w:p w14:paraId="72413DB4">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647C5435">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D05FCE2">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AAC49E0">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1BF3A1BD">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36AED10A">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0" cstate="print"/>
                    <a:srcRect/>
                    <a:stretch>
                      <a:fillRect/>
                    </a:stretch>
                  </pic:blipFill>
                  <pic:spPr>
                    <a:xfrm>
                      <a:off x="0" y="0"/>
                      <a:ext cx="5760085" cy="2269490"/>
                    </a:xfrm>
                    <a:prstGeom prst="rect">
                      <a:avLst/>
                    </a:prstGeom>
                  </pic:spPr>
                </pic:pic>
              </a:graphicData>
            </a:graphic>
          </wp:inline>
        </w:drawing>
      </w:r>
    </w:p>
    <w:p w14:paraId="07FBC19D"/>
    <w:p w14:paraId="4A08168A">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63DE680">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6AA73F6B">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1" cstate="print"/>
                    <a:srcRect/>
                    <a:stretch>
                      <a:fillRect/>
                    </a:stretch>
                  </pic:blipFill>
                  <pic:spPr>
                    <a:xfrm>
                      <a:off x="0" y="0"/>
                      <a:ext cx="5760085" cy="2125345"/>
                    </a:xfrm>
                    <a:prstGeom prst="rect">
                      <a:avLst/>
                    </a:prstGeom>
                  </pic:spPr>
                </pic:pic>
              </a:graphicData>
            </a:graphic>
          </wp:inline>
        </w:drawing>
      </w:r>
    </w:p>
    <w:p w14:paraId="46023A35">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4BBDDE6E">
      <w:pPr>
        <w:pStyle w:val="16"/>
      </w:pPr>
      <w:r>
        <w:rPr>
          <w:rFonts w:hint="eastAsia" w:hAnsi="宋体" w:cs="宋体"/>
          <w:b/>
          <w:bCs/>
          <w:color w:val="000000"/>
          <w:sz w:val="24"/>
          <w:szCs w:val="28"/>
          <w:highlight w:val="yellow"/>
        </w:rPr>
        <w:t>注意：系统内的投标报价单位为“万元”，如开标现场发现填错报价，即直接淘汰。</w:t>
      </w:r>
    </w:p>
    <w:p w14:paraId="287FCB35">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2" cstate="print"/>
                    <a:srcRect/>
                    <a:stretch>
                      <a:fillRect/>
                    </a:stretch>
                  </pic:blipFill>
                  <pic:spPr>
                    <a:xfrm>
                      <a:off x="0" y="0"/>
                      <a:ext cx="5490210" cy="2668905"/>
                    </a:xfrm>
                    <a:prstGeom prst="rect">
                      <a:avLst/>
                    </a:prstGeom>
                  </pic:spPr>
                </pic:pic>
              </a:graphicData>
            </a:graphic>
          </wp:inline>
        </w:drawing>
      </w:r>
    </w:p>
    <w:p w14:paraId="19F2CD77">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651977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34A7694">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2B6DC43D">
      <w:pPr>
        <w:spacing w:line="360" w:lineRule="auto"/>
        <w:rPr>
          <w:rFonts w:ascii="宋体" w:hAnsi="宋体" w:cs="宋体"/>
          <w:color w:val="000000"/>
          <w:sz w:val="24"/>
          <w:szCs w:val="24"/>
        </w:rPr>
      </w:pPr>
      <w:r>
        <w:rPr>
          <w:rFonts w:ascii="宋体" w:hAnsi="宋体" w:cs="宋体"/>
          <w:color w:val="000000"/>
          <w:sz w:val="24"/>
          <w:szCs w:val="24"/>
        </w:rPr>
        <w:t>开标之后所有投标的供应商都可编辑提交，技术标入围之后都不可编辑</w:t>
      </w:r>
      <w:r>
        <w:rPr>
          <w:rFonts w:hint="eastAsia" w:ascii="宋体" w:hAnsi="宋体" w:cs="宋体"/>
          <w:color w:val="000000"/>
          <w:sz w:val="24"/>
          <w:szCs w:val="24"/>
        </w:rPr>
        <w:t>。</w:t>
      </w:r>
    </w:p>
    <w:p w14:paraId="783ECEEA">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3" cstate="print"/>
                    <a:srcRect/>
                    <a:stretch>
                      <a:fillRect/>
                    </a:stretch>
                  </pic:blipFill>
                  <pic:spPr>
                    <a:xfrm>
                      <a:off x="0" y="0"/>
                      <a:ext cx="5490210" cy="1992629"/>
                    </a:xfrm>
                    <a:prstGeom prst="rect">
                      <a:avLst/>
                    </a:prstGeom>
                  </pic:spPr>
                </pic:pic>
              </a:graphicData>
            </a:graphic>
          </wp:inline>
        </w:drawing>
      </w:r>
    </w:p>
    <w:p w14:paraId="171085CE">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07B80D9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093A1418">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1359AC86">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4E1847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0E0AE9E9">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CB1DD95">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4" cstate="print"/>
                    <a:srcRect/>
                    <a:stretch>
                      <a:fillRect/>
                    </a:stretch>
                  </pic:blipFill>
                  <pic:spPr>
                    <a:xfrm>
                      <a:off x="0" y="0"/>
                      <a:ext cx="5490210" cy="2544445"/>
                    </a:xfrm>
                    <a:prstGeom prst="rect">
                      <a:avLst/>
                    </a:prstGeom>
                  </pic:spPr>
                </pic:pic>
              </a:graphicData>
            </a:graphic>
          </wp:inline>
        </w:drawing>
      </w:r>
    </w:p>
    <w:p w14:paraId="1B2DF28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1C2817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6C781BED">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20A3F15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5" cstate="print"/>
                    <a:srcRect/>
                    <a:stretch>
                      <a:fillRect/>
                    </a:stretch>
                  </pic:blipFill>
                  <pic:spPr>
                    <a:xfrm>
                      <a:off x="0" y="0"/>
                      <a:ext cx="5760085" cy="1956435"/>
                    </a:xfrm>
                    <a:prstGeom prst="rect">
                      <a:avLst/>
                    </a:prstGeom>
                  </pic:spPr>
                </pic:pic>
              </a:graphicData>
            </a:graphic>
          </wp:inline>
        </w:drawing>
      </w:r>
    </w:p>
    <w:p w14:paraId="66156505">
      <w:pPr>
        <w:pStyle w:val="16"/>
        <w:rPr>
          <w:rFonts w:hAnsi="宋体"/>
          <w:b/>
          <w:color w:val="000000"/>
          <w:sz w:val="24"/>
          <w:szCs w:val="24"/>
        </w:rPr>
      </w:pPr>
    </w:p>
    <w:p w14:paraId="4B975D6D">
      <w:pPr>
        <w:pStyle w:val="16"/>
        <w:rPr>
          <w:rFonts w:hAnsi="宋体"/>
          <w:b/>
          <w:color w:val="000000"/>
          <w:sz w:val="24"/>
          <w:szCs w:val="24"/>
        </w:rPr>
      </w:pPr>
    </w:p>
    <w:p w14:paraId="040A2CBC">
      <w:pPr>
        <w:pStyle w:val="76"/>
        <w:rPr>
          <w:rFonts w:hAnsi="宋体"/>
          <w:sz w:val="24"/>
        </w:rPr>
      </w:pPr>
    </w:p>
    <w:p w14:paraId="69BE44B1">
      <w:pPr>
        <w:pStyle w:val="6"/>
      </w:pPr>
    </w:p>
    <w:p w14:paraId="30CA0AFE">
      <w:pPr>
        <w:pStyle w:val="76"/>
        <w:rPr>
          <w:rFonts w:hAnsi="宋体"/>
          <w:sz w:val="24"/>
        </w:rPr>
      </w:pPr>
    </w:p>
    <w:bookmarkEnd w:id="32"/>
    <w:bookmarkEnd w:id="33"/>
    <w:p w14:paraId="23E75332">
      <w:pPr>
        <w:pStyle w:val="76"/>
        <w:rPr>
          <w:rFonts w:hint="default" w:hAnsi="宋体"/>
          <w:sz w:val="24"/>
          <w:lang w:val="en-US"/>
        </w:rPr>
      </w:pPr>
    </w:p>
    <w:sectPr>
      <w:headerReference r:id="rId10" w:type="first"/>
      <w:footerReference r:id="rId11"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20"/>
      <w:framePr w:wrap="around" w:vAnchor="text" w:hAnchor="margin" w:xAlign="center" w:y="1"/>
      <w:rPr>
        <w:rStyle w:val="34"/>
      </w:rPr>
    </w:pPr>
    <w:r>
      <w:fldChar w:fldCharType="begin"/>
    </w:r>
    <w:r>
      <w:rPr>
        <w:rStyle w:val="34"/>
      </w:rPr>
      <w:instrText xml:space="preserve">PAGE  </w:instrText>
    </w:r>
    <w:r>
      <w:fldChar w:fldCharType="end"/>
    </w:r>
  </w:p>
  <w:p w14:paraId="7AD47F75">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2AB4D">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C8CD9F3">
                          <w:pPr>
                            <w:pStyle w:val="20"/>
                          </w:pPr>
                          <w:r>
                            <w:fldChar w:fldCharType="begin"/>
                          </w:r>
                          <w:r>
                            <w:instrText xml:space="preserve"> PAGE  \* MERGEFORMAT </w:instrText>
                          </w:r>
                          <w:r>
                            <w:fldChar w:fldCharType="separate"/>
                          </w:r>
                          <w:r>
                            <w:t>16</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1C8CD9F3">
                    <w:pPr>
                      <w:pStyle w:val="20"/>
                    </w:pPr>
                    <w:r>
                      <w:fldChar w:fldCharType="begin"/>
                    </w:r>
                    <w:r>
                      <w:instrText xml:space="preserve"> PAGE  \* MERGEFORMAT </w:instrText>
                    </w:r>
                    <w:r>
                      <w:fldChar w:fldCharType="separate"/>
                    </w:r>
                    <w:r>
                      <w:t>16</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1FF44">
    <w:pPr>
      <w:pStyle w:val="2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3E4763A">
                          <w:pPr>
                            <w:pStyle w:val="20"/>
                          </w:pPr>
                          <w:r>
                            <w:fldChar w:fldCharType="begin"/>
                          </w:r>
                          <w:r>
                            <w:instrText xml:space="preserve"> PAGE  \* MERGEFORMAT </w:instrText>
                          </w:r>
                          <w:r>
                            <w:fldChar w:fldCharType="separate"/>
                          </w:r>
                          <w:r>
                            <w:t>2</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33E4763A">
                    <w:pPr>
                      <w:pStyle w:val="20"/>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20"/>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20"/>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75F73">
    <w:pPr>
      <w:pStyle w:val="4"/>
    </w:pPr>
  </w:p>
  <w:p w14:paraId="2D4BD6B3">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63BD7">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A344C351"/>
    <w:multiLevelType w:val="singleLevel"/>
    <w:tmpl w:val="A344C351"/>
    <w:lvl w:ilvl="0" w:tentative="0">
      <w:start w:val="1"/>
      <w:numFmt w:val="decimal"/>
      <w:lvlText w:val="%1."/>
      <w:lvlJc w:val="left"/>
      <w:pPr>
        <w:tabs>
          <w:tab w:val="left" w:pos="312"/>
        </w:tabs>
      </w:pPr>
    </w:lvl>
  </w:abstractNum>
  <w:abstractNum w:abstractNumId="4">
    <w:nsid w:val="B0980F3B"/>
    <w:multiLevelType w:val="singleLevel"/>
    <w:tmpl w:val="B0980F3B"/>
    <w:lvl w:ilvl="0" w:tentative="0">
      <w:start w:val="3"/>
      <w:numFmt w:val="chineseCounting"/>
      <w:suff w:val="nothing"/>
      <w:lvlText w:val="第%1部分　"/>
      <w:lvlJc w:val="left"/>
      <w:rPr>
        <w:rFonts w:hint="eastAsia"/>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F6CE0C29"/>
    <w:multiLevelType w:val="singleLevel"/>
    <w:tmpl w:val="F6CE0C29"/>
    <w:lvl w:ilvl="0" w:tentative="0">
      <w:start w:val="1"/>
      <w:numFmt w:val="decimal"/>
      <w:suff w:val="nothing"/>
      <w:lvlText w:val="（%1）"/>
      <w:lvlJc w:val="left"/>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0000003"/>
    <w:multiLevelType w:val="singleLevel"/>
    <w:tmpl w:val="00000003"/>
    <w:lvl w:ilvl="0" w:tentative="0">
      <w:start w:val="5"/>
      <w:numFmt w:val="decimal"/>
      <w:lvlText w:val="%1."/>
      <w:lvlJc w:val="left"/>
      <w:pPr>
        <w:tabs>
          <w:tab w:val="left" w:pos="312"/>
        </w:tabs>
      </w:p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29189BA0"/>
    <w:multiLevelType w:val="singleLevel"/>
    <w:tmpl w:val="29189BA0"/>
    <w:lvl w:ilvl="0" w:tentative="0">
      <w:start w:val="1"/>
      <w:numFmt w:val="decimal"/>
      <w:suff w:val="nothing"/>
      <w:lvlText w:val="（%1）"/>
      <w:lvlJc w:val="left"/>
    </w:lvl>
  </w:abstractNum>
  <w:abstractNum w:abstractNumId="17">
    <w:nsid w:val="3954A2AD"/>
    <w:multiLevelType w:val="singleLevel"/>
    <w:tmpl w:val="3954A2AD"/>
    <w:lvl w:ilvl="0" w:tentative="0">
      <w:start w:val="1"/>
      <w:numFmt w:val="decimal"/>
      <w:suff w:val="nothing"/>
      <w:lvlText w:val="（%1）"/>
      <w:lvlJc w:val="left"/>
    </w:lvl>
  </w:abstractNum>
  <w:abstractNum w:abstractNumId="18">
    <w:nsid w:val="3CF6EF77"/>
    <w:multiLevelType w:val="singleLevel"/>
    <w:tmpl w:val="3CF6EF77"/>
    <w:lvl w:ilvl="0" w:tentative="0">
      <w:start w:val="1"/>
      <w:numFmt w:val="decimal"/>
      <w:lvlText w:val="%1."/>
      <w:lvlJc w:val="left"/>
      <w:pPr>
        <w:ind w:left="425" w:hanging="425"/>
      </w:pPr>
      <w:rPr>
        <w:rFonts w:hint="default"/>
        <w:highlight w:val="none"/>
      </w:rPr>
    </w:lvl>
  </w:abstractNum>
  <w:abstractNum w:abstractNumId="19">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7">
    <w:nsid w:val="7CE20C09"/>
    <w:multiLevelType w:val="singleLevel"/>
    <w:tmpl w:val="7CE20C09"/>
    <w:lvl w:ilvl="0" w:tentative="0">
      <w:start w:val="1"/>
      <w:numFmt w:val="decimal"/>
      <w:lvlText w:val="%1."/>
      <w:lvlJc w:val="left"/>
      <w:pPr>
        <w:tabs>
          <w:tab w:val="left" w:pos="312"/>
        </w:tabs>
      </w:pPr>
    </w:lvl>
  </w:abstractNum>
  <w:num w:numId="1">
    <w:abstractNumId w:val="21"/>
  </w:num>
  <w:num w:numId="2">
    <w:abstractNumId w:val="25"/>
  </w:num>
  <w:num w:numId="3">
    <w:abstractNumId w:val="24"/>
  </w:num>
  <w:num w:numId="4">
    <w:abstractNumId w:val="22"/>
  </w:num>
  <w:num w:numId="5">
    <w:abstractNumId w:val="13"/>
  </w:num>
  <w:num w:numId="6">
    <w:abstractNumId w:val="14"/>
  </w:num>
  <w:num w:numId="7">
    <w:abstractNumId w:val="15"/>
  </w:num>
  <w:num w:numId="8">
    <w:abstractNumId w:val="23"/>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6"/>
  </w:num>
  <w:num w:numId="18">
    <w:abstractNumId w:val="19"/>
  </w:num>
  <w:num w:numId="19">
    <w:abstractNumId w:val="5"/>
  </w:num>
  <w:num w:numId="20">
    <w:abstractNumId w:val="0"/>
  </w:num>
  <w:num w:numId="21">
    <w:abstractNumId w:val="1"/>
  </w:num>
  <w:num w:numId="22">
    <w:abstractNumId w:val="17"/>
  </w:num>
  <w:num w:numId="23">
    <w:abstractNumId w:val="26"/>
  </w:num>
  <w:num w:numId="24">
    <w:abstractNumId w:val="10"/>
  </w:num>
  <w:num w:numId="25">
    <w:abstractNumId w:val="8"/>
  </w:num>
  <w:num w:numId="26">
    <w:abstractNumId w:val="27"/>
  </w:num>
  <w:num w:numId="27">
    <w:abstractNumId w:val="2"/>
  </w:num>
  <w:num w:numId="28">
    <w:abstractNumId w:val="6"/>
  </w:num>
  <w:num w:numId="29">
    <w:abstractNumId w:val="3"/>
  </w:num>
  <w:num w:numId="30">
    <w:abstractNumId w:val="11"/>
  </w:num>
  <w:num w:numId="31">
    <w:abstractNumId w:val="9"/>
  </w:num>
  <w:num w:numId="32">
    <w:abstractNumId w:val="20"/>
  </w:num>
  <w:num w:numId="33">
    <w:abstractNumId w:val="18"/>
  </w:num>
  <w:num w:numId="34">
    <w:abstractNumId w:val="4"/>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3550B4"/>
    <w:rsid w:val="023C6C9C"/>
    <w:rsid w:val="02447828"/>
    <w:rsid w:val="0256755B"/>
    <w:rsid w:val="02CC3DCA"/>
    <w:rsid w:val="02FB2420"/>
    <w:rsid w:val="02FE76EF"/>
    <w:rsid w:val="03343D40"/>
    <w:rsid w:val="03BA1683"/>
    <w:rsid w:val="03E72B61"/>
    <w:rsid w:val="03F033B0"/>
    <w:rsid w:val="04446205"/>
    <w:rsid w:val="04E62E18"/>
    <w:rsid w:val="0543236E"/>
    <w:rsid w:val="057C1D39"/>
    <w:rsid w:val="05891259"/>
    <w:rsid w:val="05E76E48"/>
    <w:rsid w:val="068F128E"/>
    <w:rsid w:val="07434552"/>
    <w:rsid w:val="08633479"/>
    <w:rsid w:val="09023F99"/>
    <w:rsid w:val="0A087A42"/>
    <w:rsid w:val="0A092AAB"/>
    <w:rsid w:val="0A840B2F"/>
    <w:rsid w:val="0ABE2142"/>
    <w:rsid w:val="0BBA4FFF"/>
    <w:rsid w:val="0C525237"/>
    <w:rsid w:val="0CB51572"/>
    <w:rsid w:val="0CFB1178"/>
    <w:rsid w:val="0E4D31E3"/>
    <w:rsid w:val="0E76345F"/>
    <w:rsid w:val="0F7200CA"/>
    <w:rsid w:val="1032785A"/>
    <w:rsid w:val="10DC2AA3"/>
    <w:rsid w:val="10FA7C8C"/>
    <w:rsid w:val="11535CDA"/>
    <w:rsid w:val="12EA7F78"/>
    <w:rsid w:val="130B198F"/>
    <w:rsid w:val="135A334F"/>
    <w:rsid w:val="145205A8"/>
    <w:rsid w:val="14904B4F"/>
    <w:rsid w:val="15D6446A"/>
    <w:rsid w:val="16A918E4"/>
    <w:rsid w:val="17D966D6"/>
    <w:rsid w:val="18952734"/>
    <w:rsid w:val="18B20FCE"/>
    <w:rsid w:val="194505FE"/>
    <w:rsid w:val="198C1722"/>
    <w:rsid w:val="1A11228E"/>
    <w:rsid w:val="1A381F10"/>
    <w:rsid w:val="1ABF7F3C"/>
    <w:rsid w:val="1B391A9C"/>
    <w:rsid w:val="1B6603B7"/>
    <w:rsid w:val="1B824429"/>
    <w:rsid w:val="1BC71D3B"/>
    <w:rsid w:val="1BF6798D"/>
    <w:rsid w:val="1C59115B"/>
    <w:rsid w:val="1C8C02F2"/>
    <w:rsid w:val="1CD00D9F"/>
    <w:rsid w:val="1F5E5F75"/>
    <w:rsid w:val="1F672950"/>
    <w:rsid w:val="1FB23E60"/>
    <w:rsid w:val="20E64474"/>
    <w:rsid w:val="21200956"/>
    <w:rsid w:val="21F91F85"/>
    <w:rsid w:val="22903863"/>
    <w:rsid w:val="22A7378F"/>
    <w:rsid w:val="22C5630B"/>
    <w:rsid w:val="23EC0BA6"/>
    <w:rsid w:val="2410554C"/>
    <w:rsid w:val="24701A48"/>
    <w:rsid w:val="25445C0D"/>
    <w:rsid w:val="25B508B9"/>
    <w:rsid w:val="25DC2738"/>
    <w:rsid w:val="268B0052"/>
    <w:rsid w:val="26FE1DEC"/>
    <w:rsid w:val="2749750B"/>
    <w:rsid w:val="27743C90"/>
    <w:rsid w:val="27CC3FD4"/>
    <w:rsid w:val="28F214DC"/>
    <w:rsid w:val="292673D8"/>
    <w:rsid w:val="29B844D4"/>
    <w:rsid w:val="29CA2459"/>
    <w:rsid w:val="2ACD0453"/>
    <w:rsid w:val="2B0F6376"/>
    <w:rsid w:val="2B271A58"/>
    <w:rsid w:val="2B6304A7"/>
    <w:rsid w:val="2B8A0ED3"/>
    <w:rsid w:val="2BB138D1"/>
    <w:rsid w:val="2C210A56"/>
    <w:rsid w:val="2CA60F5C"/>
    <w:rsid w:val="2CF6734C"/>
    <w:rsid w:val="2D2E5EBF"/>
    <w:rsid w:val="2D663463"/>
    <w:rsid w:val="2E204D3E"/>
    <w:rsid w:val="2E4E18AB"/>
    <w:rsid w:val="2ED40002"/>
    <w:rsid w:val="2EF96EE4"/>
    <w:rsid w:val="30006BD5"/>
    <w:rsid w:val="30B31E99"/>
    <w:rsid w:val="319A0963"/>
    <w:rsid w:val="32146967"/>
    <w:rsid w:val="32935F6F"/>
    <w:rsid w:val="32C06917"/>
    <w:rsid w:val="33304827"/>
    <w:rsid w:val="337E22EA"/>
    <w:rsid w:val="34572B3B"/>
    <w:rsid w:val="35B53FBD"/>
    <w:rsid w:val="35CF7EC5"/>
    <w:rsid w:val="36254FE4"/>
    <w:rsid w:val="36A55DE0"/>
    <w:rsid w:val="372633C5"/>
    <w:rsid w:val="372F61E0"/>
    <w:rsid w:val="39322FCA"/>
    <w:rsid w:val="394B20CF"/>
    <w:rsid w:val="39DC4F34"/>
    <w:rsid w:val="3AB90991"/>
    <w:rsid w:val="3ABB02C8"/>
    <w:rsid w:val="3B706131"/>
    <w:rsid w:val="3C681D8A"/>
    <w:rsid w:val="3D2008B6"/>
    <w:rsid w:val="3D29776B"/>
    <w:rsid w:val="3DFB03D8"/>
    <w:rsid w:val="3E6F041E"/>
    <w:rsid w:val="3F67457A"/>
    <w:rsid w:val="3FBB6674"/>
    <w:rsid w:val="3FCC6AD3"/>
    <w:rsid w:val="3FDF2363"/>
    <w:rsid w:val="405D597D"/>
    <w:rsid w:val="4081341A"/>
    <w:rsid w:val="40860A30"/>
    <w:rsid w:val="411C3143"/>
    <w:rsid w:val="41582A5C"/>
    <w:rsid w:val="41CC2DBB"/>
    <w:rsid w:val="4275481E"/>
    <w:rsid w:val="428B617A"/>
    <w:rsid w:val="433D7BDC"/>
    <w:rsid w:val="437E1813"/>
    <w:rsid w:val="43EF0FE2"/>
    <w:rsid w:val="44A75170"/>
    <w:rsid w:val="44CA7C7F"/>
    <w:rsid w:val="45912351"/>
    <w:rsid w:val="45BD47FC"/>
    <w:rsid w:val="45CC5FB2"/>
    <w:rsid w:val="464529FA"/>
    <w:rsid w:val="46B75BA8"/>
    <w:rsid w:val="46DC75FC"/>
    <w:rsid w:val="487970CD"/>
    <w:rsid w:val="48C42A3E"/>
    <w:rsid w:val="48C97955"/>
    <w:rsid w:val="48E24BBA"/>
    <w:rsid w:val="49184B37"/>
    <w:rsid w:val="494F67AB"/>
    <w:rsid w:val="49880C8F"/>
    <w:rsid w:val="4A8561FD"/>
    <w:rsid w:val="4A8835F7"/>
    <w:rsid w:val="4B133808"/>
    <w:rsid w:val="4B592E71"/>
    <w:rsid w:val="4BF076A6"/>
    <w:rsid w:val="4C5E0AB3"/>
    <w:rsid w:val="4CDB5F7A"/>
    <w:rsid w:val="4CE74F4D"/>
    <w:rsid w:val="4CF539DF"/>
    <w:rsid w:val="4D2E0486"/>
    <w:rsid w:val="4D371A30"/>
    <w:rsid w:val="4DD45540"/>
    <w:rsid w:val="4DDA060D"/>
    <w:rsid w:val="4F195165"/>
    <w:rsid w:val="50577CF3"/>
    <w:rsid w:val="50615016"/>
    <w:rsid w:val="50F87728"/>
    <w:rsid w:val="519805C3"/>
    <w:rsid w:val="52650D16"/>
    <w:rsid w:val="526B3F2A"/>
    <w:rsid w:val="52B9239A"/>
    <w:rsid w:val="53422EDD"/>
    <w:rsid w:val="539D6365"/>
    <w:rsid w:val="53C34BA7"/>
    <w:rsid w:val="53DA1F1E"/>
    <w:rsid w:val="54BD78FD"/>
    <w:rsid w:val="552D196B"/>
    <w:rsid w:val="572A3CDF"/>
    <w:rsid w:val="580C557C"/>
    <w:rsid w:val="58A86DDE"/>
    <w:rsid w:val="58C6010C"/>
    <w:rsid w:val="59154AD7"/>
    <w:rsid w:val="59276CDE"/>
    <w:rsid w:val="593D49CE"/>
    <w:rsid w:val="59CF4D9E"/>
    <w:rsid w:val="5A9A35FE"/>
    <w:rsid w:val="5ADF548D"/>
    <w:rsid w:val="5C255DD3"/>
    <w:rsid w:val="5C68504C"/>
    <w:rsid w:val="5C814A76"/>
    <w:rsid w:val="5CC42BB4"/>
    <w:rsid w:val="5D310E4B"/>
    <w:rsid w:val="5D5C60B4"/>
    <w:rsid w:val="5E08087F"/>
    <w:rsid w:val="5E135BA1"/>
    <w:rsid w:val="5FB00B14"/>
    <w:rsid w:val="5FD316B9"/>
    <w:rsid w:val="60031C46"/>
    <w:rsid w:val="60352574"/>
    <w:rsid w:val="60DD58EC"/>
    <w:rsid w:val="618943CD"/>
    <w:rsid w:val="621D77E6"/>
    <w:rsid w:val="639826A5"/>
    <w:rsid w:val="63E1229E"/>
    <w:rsid w:val="63F04A69"/>
    <w:rsid w:val="642B176B"/>
    <w:rsid w:val="64D771FD"/>
    <w:rsid w:val="652561BA"/>
    <w:rsid w:val="652811A1"/>
    <w:rsid w:val="66A50B1E"/>
    <w:rsid w:val="676C6322"/>
    <w:rsid w:val="67B2063C"/>
    <w:rsid w:val="67C97AC3"/>
    <w:rsid w:val="67E30EC1"/>
    <w:rsid w:val="68534DEC"/>
    <w:rsid w:val="687A05CB"/>
    <w:rsid w:val="68CA77A4"/>
    <w:rsid w:val="68F3328F"/>
    <w:rsid w:val="695F613F"/>
    <w:rsid w:val="69620955"/>
    <w:rsid w:val="6A06480C"/>
    <w:rsid w:val="6A4E3B2B"/>
    <w:rsid w:val="6B481C3B"/>
    <w:rsid w:val="6B8E2D0B"/>
    <w:rsid w:val="6B99345E"/>
    <w:rsid w:val="6BE96194"/>
    <w:rsid w:val="6BF1329A"/>
    <w:rsid w:val="6C1331A3"/>
    <w:rsid w:val="6CA84BC1"/>
    <w:rsid w:val="6D3E4756"/>
    <w:rsid w:val="6D940381"/>
    <w:rsid w:val="6F0E5A30"/>
    <w:rsid w:val="6FC523EB"/>
    <w:rsid w:val="700532A9"/>
    <w:rsid w:val="714D0F73"/>
    <w:rsid w:val="72895F2E"/>
    <w:rsid w:val="72C02EBE"/>
    <w:rsid w:val="72C507AD"/>
    <w:rsid w:val="72D028D8"/>
    <w:rsid w:val="72FC49FE"/>
    <w:rsid w:val="73100ED3"/>
    <w:rsid w:val="732E0930"/>
    <w:rsid w:val="745D47C3"/>
    <w:rsid w:val="76AC3757"/>
    <w:rsid w:val="76B949B4"/>
    <w:rsid w:val="77C33D3D"/>
    <w:rsid w:val="77E84083"/>
    <w:rsid w:val="78A51694"/>
    <w:rsid w:val="78E73A5B"/>
    <w:rsid w:val="79676168"/>
    <w:rsid w:val="7BB51BEE"/>
    <w:rsid w:val="7C2428D0"/>
    <w:rsid w:val="7CB362B7"/>
    <w:rsid w:val="7CB93F8E"/>
    <w:rsid w:val="7CF66B46"/>
    <w:rsid w:val="7D1E1A15"/>
    <w:rsid w:val="7D276B1C"/>
    <w:rsid w:val="7D9341B1"/>
    <w:rsid w:val="7DBD28BA"/>
    <w:rsid w:val="7E755665"/>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3"/>
    <w:semiHidden/>
    <w:qFormat/>
    <w:uiPriority w:val="0"/>
    <w:pPr>
      <w:keepNext/>
      <w:keepLines/>
      <w:spacing w:line="416" w:lineRule="auto"/>
      <w:outlineLvl w:val="2"/>
    </w:pPr>
    <w:rPr>
      <w:b/>
      <w:bCs/>
      <w:sz w:val="32"/>
      <w:szCs w:val="32"/>
    </w:rPr>
  </w:style>
  <w:style w:type="paragraph" w:styleId="8">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9">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line="276" w:lineRule="auto"/>
      <w:ind w:left="200" w:firstLine="200" w:firstLineChars="200"/>
      <w:jc w:val="left"/>
    </w:pPr>
  </w:style>
  <w:style w:type="paragraph" w:styleId="3">
    <w:name w:val="Body Text Indent"/>
    <w:basedOn w:val="1"/>
    <w:next w:val="4"/>
    <w:link w:val="48"/>
    <w:semiHidden/>
    <w:qFormat/>
    <w:uiPriority w:val="0"/>
    <w:pPr>
      <w:spacing w:after="120"/>
      <w:ind w:left="420" w:leftChars="200"/>
    </w:pPr>
    <w:rPr>
      <w:rFonts w:ascii="Calibri" w:hAnsi="Calibri"/>
      <w:szCs w:val="22"/>
    </w:rPr>
  </w:style>
  <w:style w:type="paragraph" w:styleId="4">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10">
    <w:name w:val="E-mail Signature"/>
    <w:basedOn w:val="1"/>
    <w:link w:val="104"/>
    <w:semiHidden/>
    <w:qFormat/>
    <w:uiPriority w:val="99"/>
    <w:pPr>
      <w:spacing w:after="200" w:line="276" w:lineRule="auto"/>
      <w:jc w:val="left"/>
    </w:pPr>
    <w:rPr>
      <w:rFonts w:ascii="Calibri" w:hAnsi="Calibri"/>
      <w:kern w:val="0"/>
      <w:szCs w:val="21"/>
    </w:rPr>
  </w:style>
  <w:style w:type="paragraph" w:styleId="11">
    <w:name w:val="caption"/>
    <w:basedOn w:val="1"/>
    <w:next w:val="1"/>
    <w:semiHidden/>
    <w:qFormat/>
    <w:uiPriority w:val="98"/>
    <w:pPr>
      <w:spacing w:before="152" w:after="160"/>
    </w:pPr>
    <w:rPr>
      <w:rFonts w:ascii="Arial" w:hAnsi="Arial" w:eastAsia="黑体" w:cs="Arial"/>
      <w:sz w:val="20"/>
    </w:rPr>
  </w:style>
  <w:style w:type="paragraph" w:styleId="12">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3">
    <w:name w:val="annotation text"/>
    <w:basedOn w:val="1"/>
    <w:link w:val="45"/>
    <w:qFormat/>
    <w:uiPriority w:val="99"/>
    <w:pPr>
      <w:jc w:val="left"/>
    </w:pPr>
  </w:style>
  <w:style w:type="paragraph" w:styleId="14">
    <w:name w:val="Body Text"/>
    <w:basedOn w:val="1"/>
    <w:link w:val="41"/>
    <w:qFormat/>
    <w:uiPriority w:val="98"/>
    <w:rPr>
      <w:rFonts w:ascii="仿宋_GB2312" w:eastAsia="仿宋_GB2312"/>
      <w:sz w:val="3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0"/>
    <w:qFormat/>
    <w:uiPriority w:val="0"/>
    <w:rPr>
      <w:rFonts w:ascii="宋体" w:hAnsi="Courier New"/>
    </w:rPr>
  </w:style>
  <w:style w:type="paragraph" w:styleId="17">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7"/>
    <w:semiHidden/>
    <w:qFormat/>
    <w:uiPriority w:val="0"/>
    <w:rPr>
      <w:sz w:val="18"/>
      <w:szCs w:val="18"/>
    </w:rPr>
  </w:style>
  <w:style w:type="paragraph" w:styleId="20">
    <w:name w:val="footer"/>
    <w:basedOn w:val="1"/>
    <w:link w:val="42"/>
    <w:semiHidden/>
    <w:qFormat/>
    <w:uiPriority w:val="0"/>
    <w:pPr>
      <w:tabs>
        <w:tab w:val="center" w:pos="4153"/>
        <w:tab w:val="right" w:pos="8306"/>
      </w:tabs>
      <w:snapToGrid w:val="0"/>
      <w:jc w:val="left"/>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3"/>
    <w:next w:val="13"/>
    <w:link w:val="53"/>
    <w:semiHidden/>
    <w:qFormat/>
    <w:uiPriority w:val="98"/>
    <w:rPr>
      <w:b/>
      <w:bCs/>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4"/>
    <w:semiHidden/>
    <w:qFormat/>
    <w:uiPriority w:val="98"/>
    <w:rPr>
      <w:rFonts w:ascii="仿宋_GB2312" w:eastAsia="仿宋_GB2312"/>
      <w:kern w:val="2"/>
      <w:sz w:val="32"/>
    </w:rPr>
  </w:style>
  <w:style w:type="character" w:customStyle="1" w:styleId="42">
    <w:name w:val="页脚 字符"/>
    <w:link w:val="20"/>
    <w:semiHidden/>
    <w:qFormat/>
    <w:uiPriority w:val="0"/>
    <w:rPr>
      <w:kern w:val="2"/>
      <w:sz w:val="18"/>
      <w:szCs w:val="18"/>
    </w:rPr>
  </w:style>
  <w:style w:type="character" w:customStyle="1" w:styleId="43">
    <w:name w:val="标题 3 字符"/>
    <w:link w:val="7"/>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3"/>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9"/>
    <w:semiHidden/>
    <w:qFormat/>
    <w:uiPriority w:val="98"/>
    <w:rPr>
      <w:kern w:val="2"/>
      <w:sz w:val="18"/>
      <w:szCs w:val="18"/>
    </w:rPr>
  </w:style>
  <w:style w:type="character" w:customStyle="1" w:styleId="48">
    <w:name w:val="正文文本缩进 字符"/>
    <w:link w:val="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6"/>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4"/>
    <w:semiHidden/>
    <w:qFormat/>
    <w:uiPriority w:val="0"/>
    <w:rPr>
      <w:kern w:val="2"/>
      <w:sz w:val="18"/>
      <w:szCs w:val="18"/>
    </w:rPr>
  </w:style>
  <w:style w:type="character" w:customStyle="1" w:styleId="53">
    <w:name w:val="批注主题 字符"/>
    <w:link w:val="29"/>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5"/>
    <w:semiHidden/>
    <w:qFormat/>
    <w:uiPriority w:val="0"/>
    <w:rPr>
      <w:b/>
      <w:bCs/>
      <w:kern w:val="44"/>
      <w:sz w:val="44"/>
      <w:szCs w:val="44"/>
    </w:rPr>
  </w:style>
  <w:style w:type="paragraph" w:customStyle="1" w:styleId="68">
    <w:name w:val="TOC 标题1"/>
    <w:basedOn w:val="5"/>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6"/>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8"/>
    <w:semiHidden/>
    <w:qFormat/>
    <w:uiPriority w:val="0"/>
    <w:rPr>
      <w:rFonts w:eastAsia="黑体" w:asciiTheme="majorHAnsi" w:hAnsiTheme="majorHAnsi" w:cstheme="majorBidi"/>
      <w:b/>
      <w:bCs/>
      <w:kern w:val="2"/>
      <w:sz w:val="36"/>
      <w:szCs w:val="32"/>
    </w:rPr>
  </w:style>
  <w:style w:type="paragraph" w:customStyle="1" w:styleId="71">
    <w:name w:val="章节"/>
    <w:basedOn w:val="16"/>
    <w:qFormat/>
    <w:uiPriority w:val="0"/>
    <w:pPr>
      <w:spacing w:line="360" w:lineRule="auto"/>
      <w:jc w:val="center"/>
      <w:outlineLvl w:val="0"/>
    </w:pPr>
    <w:rPr>
      <w:rFonts w:ascii="黑体" w:eastAsia="黑体"/>
      <w:b/>
      <w:bCs/>
      <w:sz w:val="36"/>
      <w:szCs w:val="36"/>
    </w:rPr>
  </w:style>
  <w:style w:type="paragraph" w:customStyle="1" w:styleId="72">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6"/>
    <w:qFormat/>
    <w:uiPriority w:val="2"/>
    <w:pPr>
      <w:numPr>
        <w:ilvl w:val="0"/>
        <w:numId w:val="3"/>
      </w:numPr>
      <w:spacing w:line="360" w:lineRule="auto"/>
      <w:outlineLvl w:val="2"/>
    </w:pPr>
    <w:rPr>
      <w:b/>
    </w:rPr>
  </w:style>
  <w:style w:type="paragraph" w:customStyle="1" w:styleId="74">
    <w:name w:val="3级标题"/>
    <w:basedOn w:val="16"/>
    <w:link w:val="102"/>
    <w:qFormat/>
    <w:uiPriority w:val="3"/>
    <w:pPr>
      <w:numPr>
        <w:ilvl w:val="0"/>
        <w:numId w:val="4"/>
      </w:numPr>
      <w:spacing w:line="360" w:lineRule="auto"/>
      <w:outlineLvl w:val="3"/>
    </w:pPr>
    <w:rPr>
      <w:b/>
    </w:rPr>
  </w:style>
  <w:style w:type="paragraph" w:customStyle="1" w:styleId="75">
    <w:name w:val="（4）级标题"/>
    <w:basedOn w:val="16"/>
    <w:qFormat/>
    <w:uiPriority w:val="8"/>
    <w:pPr>
      <w:numPr>
        <w:ilvl w:val="0"/>
        <w:numId w:val="5"/>
      </w:numPr>
      <w:spacing w:line="360" w:lineRule="auto"/>
      <w:outlineLvl w:val="4"/>
    </w:pPr>
  </w:style>
  <w:style w:type="paragraph" w:customStyle="1" w:styleId="76">
    <w:name w:val="标书正文"/>
    <w:basedOn w:val="16"/>
    <w:link w:val="97"/>
    <w:qFormat/>
    <w:uiPriority w:val="9"/>
    <w:pPr>
      <w:spacing w:line="360" w:lineRule="auto"/>
      <w:jc w:val="left"/>
    </w:pPr>
  </w:style>
  <w:style w:type="character" w:customStyle="1" w:styleId="77">
    <w:name w:val="标题 4 字符"/>
    <w:basedOn w:val="32"/>
    <w:link w:val="8"/>
    <w:semiHidden/>
    <w:qFormat/>
    <w:uiPriority w:val="0"/>
    <w:rPr>
      <w:rFonts w:ascii="Arial" w:hAnsi="Arial"/>
      <w:b/>
      <w:bCs/>
      <w:kern w:val="2"/>
      <w:sz w:val="21"/>
      <w:szCs w:val="28"/>
    </w:rPr>
  </w:style>
  <w:style w:type="character" w:customStyle="1" w:styleId="78">
    <w:name w:val="标题 5 字符"/>
    <w:basedOn w:val="32"/>
    <w:link w:val="9"/>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3"/>
    <w:semiHidden/>
    <w:qFormat/>
    <w:uiPriority w:val="0"/>
    <w:rPr>
      <w:rFonts w:ascii="宋体" w:hAnsi="宋体"/>
      <w:color w:val="FF0000"/>
      <w:kern w:val="2"/>
      <w:sz w:val="24"/>
      <w:szCs w:val="24"/>
    </w:rPr>
  </w:style>
  <w:style w:type="paragraph" w:customStyle="1" w:styleId="84">
    <w:name w:val="_Style 4"/>
    <w:basedOn w:val="5"/>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8"/>
    <w:semiHidden/>
    <w:qFormat/>
    <w:uiPriority w:val="0"/>
    <w:rPr>
      <w:sz w:val="24"/>
    </w:rPr>
  </w:style>
  <w:style w:type="character" w:customStyle="1" w:styleId="87">
    <w:name w:val="日期 字符"/>
    <w:basedOn w:val="32"/>
    <w:link w:val="17"/>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2"/>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10"/>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31</Pages>
  <Words>10522</Words>
  <Characters>11065</Characters>
  <Lines>127</Lines>
  <Paragraphs>35</Paragraphs>
  <TotalTime>1</TotalTime>
  <ScaleCrop>false</ScaleCrop>
  <LinksUpToDate>false</LinksUpToDate>
  <CharactersWithSpaces>11969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wosyh</cp:lastModifiedBy>
  <cp:lastPrinted>2020-06-28T02:28:00Z</cp:lastPrinted>
  <dcterms:modified xsi:type="dcterms:W3CDTF">2025-11-04T01:40:26Z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eyJoZGlkIjoiNDE1M2QwOGQyZTlkOTk1YTk3ZGYwNjRmMTMwNWQ1MjEiLCJ1c2VySWQiOiIyOTIxNzE2NzgifQ==</vt:lpwstr>
  </property>
</Properties>
</file>