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w:t>
      </w:r>
      <w:r>
        <w:rPr>
          <w:rFonts w:ascii="宋体" w:hAnsi="宋体" w:cs="宋体"/>
          <w:b/>
          <w:bCs/>
          <w:color w:val="000000"/>
          <w:spacing w:val="-8"/>
          <w:sz w:val="48"/>
          <w:szCs w:val="44"/>
        </w:rPr>
        <w:t>台架</w:t>
      </w:r>
      <w:r>
        <w:rPr>
          <w:rFonts w:hint="eastAsia" w:ascii="宋体" w:hAnsi="宋体" w:cs="宋体"/>
          <w:b/>
          <w:bCs/>
          <w:color w:val="000000"/>
          <w:spacing w:val="-8"/>
          <w:sz w:val="48"/>
          <w:szCs w:val="44"/>
        </w:rPr>
        <w:t>搬迁与实验间搭建</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2025年8月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w:t>
      </w:r>
      <w:r>
        <w:rPr>
          <w:rFonts w:ascii="宋体" w:hAnsi="宋体" w:cs="宋体"/>
          <w:color w:val="000000"/>
          <w:sz w:val="24"/>
          <w:szCs w:val="24"/>
          <w:u w:val="single"/>
        </w:rPr>
        <w:t>台架搬迁与实验间搭建</w:t>
      </w:r>
      <w:r>
        <w:rPr>
          <w:rFonts w:hint="eastAsia" w:ascii="宋体" w:hAnsi="宋体" w:cs="宋体"/>
          <w:color w:val="000000"/>
          <w:sz w:val="24"/>
          <w:szCs w:val="24"/>
          <w:u w:val="single"/>
        </w:rPr>
        <w:t>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采购形式编号：CGZX2025070126</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w:t>
      </w:r>
      <w:r>
        <w:rPr>
          <w:rFonts w:hAnsi="宋体" w:cs="宋体"/>
          <w:color w:val="000000"/>
          <w:sz w:val="24"/>
          <w:szCs w:val="24"/>
        </w:rPr>
        <w:t>台架搬迁与实验间搭建</w:t>
      </w:r>
      <w:r>
        <w:rPr>
          <w:rFonts w:hint="eastAsia" w:hAnsi="宋体" w:cs="宋体"/>
          <w:color w:val="000000"/>
          <w:sz w:val="24"/>
          <w:szCs w:val="24"/>
        </w:rPr>
        <w:t>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w:t>
      </w:r>
      <w:r>
        <w:rPr>
          <w:rFonts w:hAnsi="宋体" w:cs="宋体"/>
          <w:color w:val="000000"/>
          <w:sz w:val="24"/>
          <w:szCs w:val="24"/>
        </w:rPr>
        <w:t>台架搬迁与实验间搭建</w:t>
      </w:r>
      <w:r>
        <w:rPr>
          <w:rFonts w:hint="eastAsia" w:hAnsi="宋体" w:cs="宋体"/>
          <w:color w:val="000000"/>
          <w:sz w:val="24"/>
          <w:szCs w:val="24"/>
        </w:rPr>
        <w:t>项目。</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2、项目地点：潍坊市奎文区盛瑞街518号盛瑞传动股份有限公司。</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w:t>
            </w:r>
            <w:r>
              <w:rPr>
                <w:rFonts w:ascii="宋体" w:hAnsi="宋体" w:eastAsia="宋体" w:cs="宋体"/>
                <w:b w:val="0"/>
              </w:rPr>
              <w:t>台架搬迁与实验间搭建</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施工完成后按实际工程量结算90%，10%作为质保金1年后支付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90%/10%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rPr>
      </w:pPr>
      <w:r>
        <w:rPr>
          <w:rFonts w:hint="eastAsia" w:eastAsia="宋体" w:cs="宋体"/>
        </w:rPr>
        <w:t>5）按招标文件投标人须知和技术规格书中要求提供的有关文件。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hint="default" w:ascii="宋体" w:hAnsi="宋体" w:eastAsia="宋体" w:cs="宋体"/>
          <w:woUserID w:val="1"/>
        </w:rPr>
      </w:pPr>
      <w:r>
        <w:rPr>
          <w:rFonts w:hint="eastAsia" w:ascii="宋体" w:hAnsi="宋体" w:eastAsia="宋体" w:cs="宋体"/>
        </w:rPr>
        <w:t>1、发标时间</w:t>
      </w:r>
      <w:r>
        <w:rPr>
          <w:rFonts w:hint="default" w:ascii="宋体" w:hAnsi="宋体" w:eastAsia="宋体" w:cs="宋体"/>
          <w:woUserID w:val="1"/>
        </w:rPr>
        <w:t>：2025年8月19日（周二）</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截止2025年8 月</w:t>
      </w:r>
      <w:r>
        <w:rPr>
          <w:rFonts w:hint="default" w:eastAsia="宋体" w:cs="宋体"/>
          <w:bCs/>
          <w:woUserID w:val="1"/>
        </w:rPr>
        <w:t>23</w:t>
      </w:r>
      <w:r>
        <w:rPr>
          <w:rFonts w:hint="eastAsia" w:eastAsia="宋体" w:cs="宋体"/>
          <w:bCs/>
        </w:rPr>
        <w:t>日</w:t>
      </w:r>
      <w:r>
        <w:rPr>
          <w:rFonts w:hint="eastAsia" w:eastAsia="宋体" w:cs="宋体"/>
        </w:rPr>
        <w:t>（周</w:t>
      </w:r>
      <w:r>
        <w:rPr>
          <w:rFonts w:hint="default" w:eastAsia="宋体" w:cs="宋体"/>
          <w:woUserID w:val="1"/>
        </w:rPr>
        <w:t>六</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2025年8 月</w:t>
      </w:r>
      <w:r>
        <w:rPr>
          <w:rFonts w:hint="default" w:eastAsia="宋体" w:cs="宋体"/>
          <w:bCs/>
          <w:woUserID w:val="1"/>
        </w:rPr>
        <w:t>23</w:t>
      </w:r>
      <w:r>
        <w:rPr>
          <w:rFonts w:hint="eastAsia" w:eastAsia="宋体" w:cs="宋体"/>
          <w:bCs/>
          <w:woUserID w:val="1"/>
        </w:rPr>
        <w:t>日</w:t>
      </w:r>
      <w:r>
        <w:rPr>
          <w:rFonts w:hint="eastAsia" w:eastAsia="宋体" w:cs="宋体"/>
          <w:woUserID w:val="1"/>
        </w:rPr>
        <w:t>（周</w:t>
      </w:r>
      <w:r>
        <w:rPr>
          <w:rFonts w:hint="default" w:eastAsia="宋体" w:cs="宋体"/>
          <w:woUserID w:val="1"/>
        </w:rPr>
        <w:t>六</w:t>
      </w:r>
      <w:r>
        <w:rPr>
          <w:rFonts w:hint="eastAsia"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人：温宪志</w:t>
      </w:r>
    </w:p>
    <w:p>
      <w:pPr>
        <w:pStyle w:val="78"/>
        <w:ind w:firstLine="480"/>
        <w:rPr>
          <w:rFonts w:eastAsia="宋体" w:cs="宋体"/>
        </w:rPr>
      </w:pPr>
      <w:r>
        <w:rPr>
          <w:rFonts w:hint="eastAsia" w:eastAsia="宋体" w:cs="宋体"/>
        </w:rPr>
        <w:t>电    话：</w:t>
      </w:r>
      <w:r>
        <w:rPr>
          <w:rFonts w:eastAsia="宋体" w:cs="宋体"/>
        </w:rPr>
        <w:t>+86-13806499516</w:t>
      </w:r>
    </w:p>
    <w:p>
      <w:pPr>
        <w:pStyle w:val="78"/>
        <w:ind w:firstLine="480"/>
        <w:rPr>
          <w:rFonts w:eastAsia="宋体" w:cs="宋体"/>
        </w:rPr>
      </w:pPr>
      <w:r>
        <w:rPr>
          <w:rFonts w:hint="eastAsia" w:eastAsia="宋体" w:cs="宋体"/>
        </w:rPr>
        <w:t>邮    箱：</w:t>
      </w:r>
      <w:r>
        <w:rPr>
          <w:rFonts w:eastAsia="宋体" w:cs="宋体"/>
        </w:rPr>
        <w:t>wenxz@shengrui.cn</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四、投标说明</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2023年</w:t>
      </w:r>
      <w:r>
        <w:rPr>
          <w:rFonts w:hint="default" w:hAnsi="宋体" w:cs="宋体"/>
          <w:color w:val="000000"/>
          <w:sz w:val="24"/>
          <w:szCs w:val="24"/>
          <w:highlight w:val="cyan"/>
          <w:woUserID w:val="1"/>
        </w:rPr>
        <w:t>8</w:t>
      </w:r>
      <w:r>
        <w:rPr>
          <w:rFonts w:hint="eastAsia" w:hAnsi="宋体" w:cs="宋体"/>
          <w:color w:val="000000"/>
          <w:sz w:val="24"/>
          <w:szCs w:val="24"/>
          <w:highlight w:val="cyan"/>
        </w:rPr>
        <w:t>月</w:t>
      </w:r>
      <w:r>
        <w:rPr>
          <w:rFonts w:hint="default" w:hAnsi="宋体" w:cs="宋体"/>
          <w:color w:val="000000"/>
          <w:sz w:val="24"/>
          <w:szCs w:val="24"/>
          <w:highlight w:val="cyan"/>
          <w:woUserID w:val="1"/>
        </w:rPr>
        <w:t>25</w:t>
      </w:r>
      <w:r>
        <w:rPr>
          <w:rFonts w:hint="eastAsia" w:hAnsi="宋体" w:cs="宋体"/>
          <w:color w:val="000000"/>
          <w:sz w:val="24"/>
          <w:szCs w:val="24"/>
          <w:highlight w:val="cyan"/>
        </w:rPr>
        <w:t>日（周</w:t>
      </w:r>
      <w:r>
        <w:rPr>
          <w:rFonts w:hint="default" w:hAnsi="宋体" w:cs="宋体"/>
          <w:color w:val="000000"/>
          <w:sz w:val="24"/>
          <w:szCs w:val="24"/>
          <w:highlight w:val="cyan"/>
          <w:woUserID w:val="1"/>
        </w:rPr>
        <w:t>一</w:t>
      </w:r>
      <w:bookmarkStart w:id="29" w:name="_GoBack"/>
      <w:bookmarkEnd w:id="29"/>
      <w:r>
        <w:rPr>
          <w:rFonts w:hint="eastAsia" w:hAnsi="宋体" w:cs="宋体"/>
          <w:color w:val="000000"/>
          <w:sz w:val="24"/>
          <w:szCs w:val="24"/>
          <w:highlight w:val="cyan"/>
        </w:rPr>
        <w:t>）</w:t>
      </w:r>
      <w:r>
        <w:rPr>
          <w:rFonts w:hint="default" w:hAnsi="宋体" w:cs="宋体"/>
          <w:color w:val="000000"/>
          <w:sz w:val="24"/>
          <w:szCs w:val="24"/>
          <w:highlight w:val="cyan"/>
          <w:woUserID w:val="1"/>
        </w:rPr>
        <w:t>上</w:t>
      </w:r>
      <w:r>
        <w:rPr>
          <w:rFonts w:hint="eastAsia" w:hAnsi="宋体" w:cs="宋体"/>
          <w:color w:val="000000"/>
          <w:sz w:val="24"/>
          <w:szCs w:val="24"/>
          <w:highlight w:val="cyan"/>
        </w:rPr>
        <w:t>午</w:t>
      </w:r>
      <w:r>
        <w:rPr>
          <w:rFonts w:hint="default" w:hAnsi="宋体" w:cs="宋体"/>
          <w:color w:val="000000"/>
          <w:sz w:val="24"/>
          <w:szCs w:val="24"/>
          <w:highlight w:val="cyan"/>
          <w:woUserID w:val="1"/>
        </w:rPr>
        <w:t>9</w:t>
      </w:r>
      <w:r>
        <w:rPr>
          <w:rFonts w:hint="eastAsia" w:hAnsi="宋体" w:cs="宋体"/>
          <w:color w:val="000000"/>
          <w:sz w:val="24"/>
          <w:szCs w:val="24"/>
          <w:highlight w:val="cyan"/>
        </w:rPr>
        <w:t>：</w:t>
      </w:r>
      <w:r>
        <w:rPr>
          <w:rFonts w:hint="default" w:hAnsi="宋体" w:cs="宋体"/>
          <w:color w:val="000000"/>
          <w:sz w:val="24"/>
          <w:szCs w:val="24"/>
          <w:highlight w:val="cyan"/>
          <w:woUserID w:val="1"/>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highlight w:val="cyan"/>
        </w:rPr>
      </w:pPr>
      <w:r>
        <w:rPr>
          <w:rFonts w:hint="eastAsia" w:eastAsia="宋体" w:cs="宋体"/>
          <w:highlight w:val="cyan"/>
        </w:rPr>
        <w:t>投标地点：</w:t>
      </w:r>
      <w:bookmarkStart w:id="3" w:name="OLE_LINK3"/>
      <w:bookmarkStart w:id="4" w:name="OLE_LINK2"/>
      <w:r>
        <w:rPr>
          <w:rFonts w:hint="eastAsia" w:eastAsia="宋体" w:cs="宋体"/>
          <w:highlight w:val="cyan"/>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highlight w:val="cyan"/>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b/>
          <w:u w:val="single"/>
        </w:rPr>
        <w:t xml:space="preserve">某投标公司名称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rPr>
        <w:t>年月日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ascii="宋体" w:hAnsi="宋体" w:eastAsia="宋体" w:cs="宋体"/>
              </w:rPr>
            </w:pPr>
            <w:r>
              <w:rPr>
                <w:rFonts w:hint="eastAsia" w:ascii="宋体" w:hAnsi="宋体" w:eastAsia="宋体" w:cs="宋体"/>
              </w:rPr>
              <w:t>序号</w:t>
            </w:r>
          </w:p>
        </w:tc>
        <w:tc>
          <w:tcPr>
            <w:tcW w:w="1903" w:type="pct"/>
            <w:vAlign w:val="center"/>
          </w:tcPr>
          <w:p>
            <w:pPr>
              <w:pStyle w:val="82"/>
              <w:jc w:val="center"/>
              <w:rPr>
                <w:rFonts w:ascii="宋体" w:hAnsi="宋体" w:eastAsia="宋体" w:cs="宋体"/>
              </w:rPr>
            </w:pPr>
            <w:r>
              <w:rPr>
                <w:rFonts w:hint="eastAsia" w:ascii="宋体" w:hAnsi="宋体" w:eastAsia="宋体" w:cs="宋体"/>
              </w:rPr>
              <w:t>招标要求</w:t>
            </w:r>
          </w:p>
        </w:tc>
        <w:tc>
          <w:tcPr>
            <w:tcW w:w="1332" w:type="pct"/>
            <w:vAlign w:val="center"/>
          </w:tcPr>
          <w:p>
            <w:pPr>
              <w:pStyle w:val="82"/>
              <w:jc w:val="center"/>
              <w:rPr>
                <w:rFonts w:ascii="宋体" w:hAnsi="宋体" w:eastAsia="宋体" w:cs="宋体"/>
              </w:rPr>
            </w:pPr>
            <w:r>
              <w:rPr>
                <w:rFonts w:hint="eastAsia" w:ascii="宋体" w:hAnsi="宋体" w:eastAsia="宋体" w:cs="宋体"/>
              </w:rPr>
              <w:t>响应规格</w:t>
            </w:r>
          </w:p>
        </w:tc>
        <w:tc>
          <w:tcPr>
            <w:tcW w:w="888" w:type="pct"/>
            <w:vAlign w:val="center"/>
          </w:tcPr>
          <w:p>
            <w:pPr>
              <w:pStyle w:val="82"/>
              <w:jc w:val="center"/>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1</w:t>
            </w:r>
          </w:p>
        </w:tc>
        <w:tc>
          <w:tcPr>
            <w:tcW w:w="1903" w:type="pct"/>
            <w:vAlign w:val="center"/>
          </w:tcPr>
          <w:p>
            <w:pPr>
              <w:pStyle w:val="82"/>
              <w:jc w:val="center"/>
              <w:rPr>
                <w:rFonts w:ascii="宋体" w:hAnsi="宋体" w:eastAsia="宋体" w:cs="宋体"/>
                <w:sz w:val="24"/>
              </w:rPr>
            </w:pPr>
            <w:r>
              <w:rPr>
                <w:rFonts w:hint="eastAsia" w:ascii="宋体" w:hAnsi="宋体" w:eastAsia="宋体" w:cs="宋体"/>
                <w:sz w:val="24"/>
              </w:rPr>
              <w:t>墙壁：岩棉板，隔音量≥45dB(A)</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2</w:t>
            </w:r>
          </w:p>
        </w:tc>
        <w:tc>
          <w:tcPr>
            <w:tcW w:w="1903" w:type="pct"/>
            <w:vAlign w:val="center"/>
          </w:tcPr>
          <w:p>
            <w:pPr>
              <w:pStyle w:val="82"/>
              <w:jc w:val="center"/>
              <w:rPr>
                <w:rFonts w:ascii="宋体" w:hAnsi="宋体" w:eastAsia="宋体" w:cs="宋体"/>
                <w:sz w:val="24"/>
              </w:rPr>
            </w:pPr>
            <w:r>
              <w:rPr>
                <w:rFonts w:ascii="宋体" w:hAnsi="宋体" w:eastAsia="宋体" w:cs="宋体"/>
                <w:sz w:val="24"/>
              </w:rPr>
              <w:t>门：2m*2.6m，</w:t>
            </w:r>
            <w:r>
              <w:rPr>
                <w:rFonts w:hint="eastAsia" w:ascii="宋体" w:hAnsi="宋体" w:eastAsia="宋体" w:cs="宋体"/>
                <w:sz w:val="24"/>
              </w:rPr>
              <w:t>隔音量≥45dB(A)</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3</w:t>
            </w:r>
          </w:p>
        </w:tc>
        <w:tc>
          <w:tcPr>
            <w:tcW w:w="1903" w:type="pct"/>
            <w:vAlign w:val="center"/>
          </w:tcPr>
          <w:p>
            <w:pPr>
              <w:pStyle w:val="82"/>
              <w:jc w:val="center"/>
              <w:rPr>
                <w:rFonts w:ascii="宋体" w:hAnsi="宋体" w:eastAsia="宋体" w:cs="宋体"/>
                <w:sz w:val="24"/>
              </w:rPr>
            </w:pPr>
            <w:r>
              <w:rPr>
                <w:rFonts w:ascii="宋体" w:hAnsi="宋体" w:eastAsia="宋体" w:cs="宋体"/>
                <w:sz w:val="24"/>
              </w:rPr>
              <w:t>观察窗：1m*1.6m，</w:t>
            </w:r>
            <w:r>
              <w:rPr>
                <w:rFonts w:hint="eastAsia" w:ascii="宋体" w:hAnsi="宋体" w:eastAsia="宋体" w:cs="宋体"/>
                <w:sz w:val="24"/>
              </w:rPr>
              <w:t>, 隔音量≥45dB(A)</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4</w:t>
            </w:r>
          </w:p>
        </w:tc>
        <w:tc>
          <w:tcPr>
            <w:tcW w:w="1903" w:type="pct"/>
            <w:vAlign w:val="center"/>
          </w:tcPr>
          <w:p>
            <w:pPr>
              <w:pStyle w:val="82"/>
              <w:jc w:val="center"/>
              <w:rPr>
                <w:rFonts w:ascii="宋体" w:hAnsi="宋体" w:eastAsia="宋体" w:cs="宋体"/>
                <w:sz w:val="24"/>
              </w:rPr>
            </w:pPr>
            <w:r>
              <w:rPr>
                <w:rFonts w:ascii="宋体" w:hAnsi="宋体" w:eastAsia="宋体" w:cs="宋体"/>
                <w:sz w:val="24"/>
              </w:rPr>
              <w:t>电缆桥架：200*150</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5</w:t>
            </w:r>
          </w:p>
        </w:tc>
        <w:tc>
          <w:tcPr>
            <w:tcW w:w="1903" w:type="pct"/>
            <w:vAlign w:val="center"/>
          </w:tcPr>
          <w:p>
            <w:pPr>
              <w:pStyle w:val="82"/>
              <w:jc w:val="center"/>
              <w:rPr>
                <w:rFonts w:ascii="宋体" w:hAnsi="宋体" w:eastAsia="宋体" w:cs="宋体"/>
                <w:sz w:val="24"/>
              </w:rPr>
            </w:pPr>
            <w:r>
              <w:rPr>
                <w:rFonts w:ascii="宋体" w:hAnsi="宋体" w:eastAsia="宋体" w:cs="宋体"/>
                <w:sz w:val="24"/>
              </w:rPr>
              <w:t>冷却水管：镀锌钢管，</w:t>
            </w:r>
            <w:r>
              <w:rPr>
                <w:rFonts w:hint="eastAsia" w:ascii="宋体" w:hAnsi="宋体" w:eastAsia="宋体" w:cs="宋体"/>
                <w:sz w:val="24"/>
              </w:rPr>
              <w:t>DN50</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6</w:t>
            </w:r>
          </w:p>
        </w:tc>
        <w:tc>
          <w:tcPr>
            <w:tcW w:w="1903" w:type="pct"/>
            <w:vAlign w:val="center"/>
          </w:tcPr>
          <w:p>
            <w:pPr>
              <w:pStyle w:val="82"/>
              <w:jc w:val="center"/>
              <w:rPr>
                <w:rFonts w:ascii="宋体" w:hAnsi="宋体" w:eastAsia="宋体" w:cs="宋体"/>
                <w:sz w:val="24"/>
              </w:rPr>
            </w:pPr>
            <w:r>
              <w:rPr>
                <w:rFonts w:ascii="宋体" w:hAnsi="宋体" w:eastAsia="宋体" w:cs="宋体"/>
                <w:sz w:val="24"/>
              </w:rPr>
              <w:t>照明灯：</w:t>
            </w:r>
            <w:r>
              <w:rPr>
                <w:rFonts w:hint="eastAsia" w:ascii="宋体" w:hAnsi="宋体" w:eastAsia="宋体" w:cs="宋体"/>
                <w:sz w:val="24"/>
              </w:rPr>
              <w:t>100W射灯，每两个灯一个控制开关</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7</w:t>
            </w:r>
          </w:p>
        </w:tc>
        <w:tc>
          <w:tcPr>
            <w:tcW w:w="1903" w:type="pct"/>
            <w:vAlign w:val="center"/>
          </w:tcPr>
          <w:p>
            <w:pPr>
              <w:pStyle w:val="82"/>
              <w:jc w:val="center"/>
              <w:rPr>
                <w:rFonts w:ascii="宋体" w:hAnsi="宋体" w:eastAsia="宋体" w:cs="宋体"/>
                <w:sz w:val="24"/>
              </w:rPr>
            </w:pPr>
            <w:r>
              <w:rPr>
                <w:rFonts w:ascii="宋体" w:hAnsi="宋体" w:eastAsia="宋体" w:cs="宋体"/>
                <w:sz w:val="24"/>
              </w:rPr>
              <w:t>房间内外插座：线</w:t>
            </w:r>
            <w:r>
              <w:rPr>
                <w:rFonts w:hint="eastAsia" w:ascii="宋体" w:hAnsi="宋体" w:eastAsia="宋体" w:cs="宋体"/>
                <w:sz w:val="24"/>
              </w:rPr>
              <w:t>2.5平，房间内4个，房间外4个插座</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ascii="宋体" w:hAnsi="宋体" w:eastAsia="宋体" w:cs="宋体"/>
                <w:sz w:val="24"/>
              </w:rPr>
            </w:pPr>
            <w:r>
              <w:rPr>
                <w:rFonts w:hint="eastAsia" w:ascii="宋体" w:hAnsi="宋体" w:eastAsia="宋体" w:cs="宋体"/>
                <w:sz w:val="24"/>
              </w:rPr>
              <w:t>8</w:t>
            </w:r>
          </w:p>
        </w:tc>
        <w:tc>
          <w:tcPr>
            <w:tcW w:w="1903" w:type="pct"/>
            <w:vAlign w:val="center"/>
          </w:tcPr>
          <w:p>
            <w:pPr>
              <w:pStyle w:val="82"/>
              <w:jc w:val="center"/>
              <w:rPr>
                <w:rFonts w:ascii="宋体" w:hAnsi="宋体" w:eastAsia="宋体" w:cs="宋体"/>
                <w:sz w:val="24"/>
              </w:rPr>
            </w:pPr>
            <w:r>
              <w:rPr>
                <w:rFonts w:ascii="宋体" w:hAnsi="宋体" w:eastAsia="宋体" w:cs="宋体"/>
                <w:sz w:val="24"/>
              </w:rPr>
              <w:t>叉车</w:t>
            </w:r>
            <w:r>
              <w:rPr>
                <w:rFonts w:hint="eastAsia" w:ascii="宋体" w:hAnsi="宋体" w:eastAsia="宋体" w:cs="宋体"/>
                <w:sz w:val="24"/>
              </w:rPr>
              <w:t>:30T、10T各一台（含司机）</w:t>
            </w: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p>
        </w:tc>
        <w:tc>
          <w:tcPr>
            <w:tcW w:w="1903" w:type="pct"/>
            <w:vAlign w:val="center"/>
          </w:tcPr>
          <w:p>
            <w:pPr>
              <w:pStyle w:val="82"/>
              <w:jc w:val="center"/>
              <w:rPr>
                <w:rFonts w:ascii="宋体" w:hAnsi="宋体" w:eastAsia="宋体" w:cs="宋体"/>
                <w:sz w:val="24"/>
              </w:rPr>
            </w:pP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ascii="宋体" w:hAnsi="宋体" w:eastAsia="宋体" w:cs="宋体"/>
                <w:sz w:val="24"/>
              </w:rPr>
            </w:pPr>
          </w:p>
        </w:tc>
        <w:tc>
          <w:tcPr>
            <w:tcW w:w="1903" w:type="pct"/>
            <w:vAlign w:val="center"/>
          </w:tcPr>
          <w:p>
            <w:pPr>
              <w:pStyle w:val="82"/>
              <w:jc w:val="center"/>
              <w:rPr>
                <w:rFonts w:ascii="宋体" w:hAnsi="宋体" w:eastAsia="宋体" w:cs="宋体"/>
                <w:sz w:val="24"/>
              </w:rPr>
            </w:pP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p>
        </w:tc>
        <w:tc>
          <w:tcPr>
            <w:tcW w:w="1903" w:type="pct"/>
            <w:vAlign w:val="center"/>
          </w:tcPr>
          <w:p>
            <w:pPr>
              <w:pStyle w:val="82"/>
              <w:jc w:val="center"/>
              <w:rPr>
                <w:rFonts w:ascii="宋体" w:hAnsi="宋体" w:eastAsia="宋体" w:cs="宋体"/>
                <w:sz w:val="24"/>
              </w:rPr>
            </w:pP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ascii="宋体" w:hAnsi="宋体" w:eastAsia="宋体" w:cs="宋体"/>
                <w:sz w:val="24"/>
              </w:rPr>
            </w:pPr>
          </w:p>
        </w:tc>
        <w:tc>
          <w:tcPr>
            <w:tcW w:w="1903" w:type="pct"/>
            <w:vAlign w:val="center"/>
          </w:tcPr>
          <w:p>
            <w:pPr>
              <w:pStyle w:val="82"/>
              <w:jc w:val="center"/>
              <w:rPr>
                <w:rFonts w:ascii="宋体" w:hAnsi="宋体" w:eastAsia="宋体" w:cs="宋体"/>
                <w:sz w:val="24"/>
              </w:rPr>
            </w:pP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p>
        </w:tc>
        <w:tc>
          <w:tcPr>
            <w:tcW w:w="1903" w:type="pct"/>
            <w:vAlign w:val="center"/>
          </w:tcPr>
          <w:p>
            <w:pPr>
              <w:pStyle w:val="82"/>
              <w:jc w:val="center"/>
              <w:rPr>
                <w:rFonts w:ascii="宋体" w:hAnsi="宋体" w:eastAsia="宋体" w:cs="宋体"/>
                <w:sz w:val="24"/>
              </w:rPr>
            </w:pP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ascii="宋体" w:hAnsi="宋体" w:eastAsia="宋体" w:cs="宋体"/>
                <w:sz w:val="24"/>
              </w:rPr>
            </w:pPr>
          </w:p>
        </w:tc>
        <w:tc>
          <w:tcPr>
            <w:tcW w:w="1903" w:type="pct"/>
            <w:vAlign w:val="center"/>
          </w:tcPr>
          <w:p>
            <w:pPr>
              <w:pStyle w:val="82"/>
              <w:jc w:val="center"/>
              <w:rPr>
                <w:rFonts w:ascii="宋体" w:hAnsi="宋体" w:eastAsia="宋体" w:cs="宋体"/>
                <w:sz w:val="24"/>
              </w:rPr>
            </w:pPr>
          </w:p>
        </w:tc>
        <w:tc>
          <w:tcPr>
            <w:tcW w:w="1332" w:type="pct"/>
            <w:vAlign w:val="center"/>
          </w:tcPr>
          <w:p>
            <w:pPr>
              <w:pStyle w:val="82"/>
              <w:jc w:val="center"/>
              <w:rPr>
                <w:rFonts w:ascii="宋体" w:hAnsi="宋体" w:eastAsia="宋体" w:cs="宋体"/>
                <w:sz w:val="24"/>
              </w:rPr>
            </w:pPr>
          </w:p>
        </w:tc>
        <w:tc>
          <w:tcPr>
            <w:tcW w:w="888" w:type="pct"/>
            <w:vAlign w:val="center"/>
          </w:tcPr>
          <w:p>
            <w:pPr>
              <w:pStyle w:val="82"/>
              <w:jc w:val="center"/>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期：年月日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p>
    <w:p>
      <w:pPr>
        <w:spacing w:line="360" w:lineRule="auto"/>
        <w:rPr>
          <w:rFonts w:ascii="宋体" w:hAnsi="宋体" w:cs="宋体"/>
          <w:sz w:val="24"/>
          <w:u w:val="single"/>
        </w:rPr>
      </w:pPr>
      <w:r>
        <w:rPr>
          <w:rFonts w:hint="eastAsia" w:ascii="宋体" w:hAnsi="宋体" w:cs="宋体"/>
          <w:sz w:val="24"/>
        </w:rPr>
        <w:t xml:space="preserve">项目名称: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left="480"/>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期：年月日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0"/>
        <w:gridCol w:w="708"/>
        <w:gridCol w:w="674"/>
        <w:gridCol w:w="1207"/>
        <w:gridCol w:w="1543"/>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台架搬迁与实验间搭建报价单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4、本项目报价上限为7.5万元（含税）</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期：年月日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26556"/>
      <w:bookmarkStart w:id="11" w:name="_Toc353881017"/>
      <w:bookmarkStart w:id="12" w:name="_Toc639008"/>
      <w:r>
        <w:rPr>
          <w:rFonts w:hint="eastAsia" w:ascii="宋体" w:hAnsi="宋体" w:eastAsia="宋体" w:cs="宋体"/>
        </w:rPr>
        <w:t>附件8投标报价明细表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8575" w:type="dxa"/>
        <w:jc w:val="center"/>
        <w:tblLayout w:type="fixed"/>
        <w:tblCellMar>
          <w:top w:w="0" w:type="dxa"/>
          <w:left w:w="108" w:type="dxa"/>
          <w:bottom w:w="0" w:type="dxa"/>
          <w:right w:w="108" w:type="dxa"/>
        </w:tblCellMar>
      </w:tblPr>
      <w:tblGrid>
        <w:gridCol w:w="689"/>
        <w:gridCol w:w="1581"/>
        <w:gridCol w:w="1846"/>
        <w:gridCol w:w="1076"/>
        <w:gridCol w:w="923"/>
        <w:gridCol w:w="1076"/>
        <w:gridCol w:w="1384"/>
      </w:tblGrid>
      <w:tr>
        <w:tblPrEx>
          <w:tblCellMar>
            <w:top w:w="0" w:type="dxa"/>
            <w:left w:w="108" w:type="dxa"/>
            <w:bottom w:w="0" w:type="dxa"/>
            <w:right w:w="108" w:type="dxa"/>
          </w:tblCellMar>
        </w:tblPrEx>
        <w:trPr>
          <w:trHeight w:val="59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序号</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项目内容</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型号规格</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数量</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单价</w:t>
            </w:r>
            <w:r>
              <w:rPr>
                <w:rFonts w:hint="eastAsia" w:ascii="等线" w:hAnsi="等线" w:eastAsia="等线" w:cs="等线"/>
                <w:kern w:val="0"/>
                <w:sz w:val="21"/>
                <w:szCs w:val="21"/>
              </w:rPr>
              <w:br w:type="textWrapping"/>
            </w:r>
            <w:r>
              <w:rPr>
                <w:rFonts w:hint="eastAsia" w:ascii="等线" w:hAnsi="等线" w:eastAsia="等线" w:cs="等线"/>
                <w:kern w:val="0"/>
                <w:sz w:val="21"/>
                <w:szCs w:val="21"/>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合计</w:t>
            </w:r>
            <w:r>
              <w:rPr>
                <w:rFonts w:hint="eastAsia" w:ascii="等线" w:hAnsi="等线" w:eastAsia="等线" w:cs="等线"/>
                <w:kern w:val="0"/>
                <w:sz w:val="21"/>
                <w:szCs w:val="21"/>
              </w:rPr>
              <w:br w:type="textWrapping"/>
            </w:r>
            <w:r>
              <w:rPr>
                <w:rFonts w:hint="eastAsia" w:ascii="等线" w:hAnsi="等线" w:eastAsia="等线" w:cs="等线"/>
                <w:kern w:val="0"/>
                <w:sz w:val="21"/>
                <w:szCs w:val="21"/>
              </w:rPr>
              <w:t>(元)</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r>
              <w:rPr>
                <w:rFonts w:hint="eastAsia" w:ascii="等线" w:hAnsi="等线" w:eastAsia="等线" w:cs="等线"/>
                <w:kern w:val="0"/>
                <w:sz w:val="21"/>
                <w:szCs w:val="21"/>
              </w:rPr>
              <w:t>备注</w:t>
            </w:r>
          </w:p>
        </w:tc>
      </w:tr>
      <w:tr>
        <w:tblPrEx>
          <w:tblCellMar>
            <w:top w:w="0" w:type="dxa"/>
            <w:left w:w="108" w:type="dxa"/>
            <w:bottom w:w="0" w:type="dxa"/>
            <w:right w:w="108" w:type="dxa"/>
          </w:tblCellMar>
        </w:tblPrEx>
        <w:trPr>
          <w:trHeight w:val="59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color w:val="000000"/>
                <w:kern w:val="0"/>
                <w:sz w:val="21"/>
                <w:szCs w:val="21"/>
              </w:rPr>
              <w:t>1</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实验间墙壁</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净化板厚度0.5mm、总厚度5cm双白色</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140平方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6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color w:val="000000"/>
                <w:kern w:val="0"/>
                <w:sz w:val="21"/>
                <w:szCs w:val="21"/>
              </w:rPr>
              <w:t>2</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2m*2.6m</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1套</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6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color w:val="000000"/>
                <w:kern w:val="0"/>
                <w:sz w:val="21"/>
                <w:szCs w:val="21"/>
              </w:rPr>
              <w:t>3</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观察窗</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1m*1.6m</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1套</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6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4</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电缆桥架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200mm*150mm</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50米</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59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5</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电缆安装用工（高空作业证）</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59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6</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电缆安装用工（电工证）</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冷却水管</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DN50</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50米</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595"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水管安装用工</w:t>
            </w:r>
          </w:p>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（高空作业）</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2人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叉车租赁费</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30T（含司机）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叉车租赁费</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10T（含司机）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02"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搬迁费</w:t>
            </w:r>
          </w:p>
        </w:tc>
        <w:tc>
          <w:tcPr>
            <w:tcW w:w="1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30T</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6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12</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照明射灯</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100W</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4</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69"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13</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插座、网口安装</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r>
        <w:tblPrEx>
          <w:tblCellMar>
            <w:top w:w="0" w:type="dxa"/>
            <w:left w:w="108" w:type="dxa"/>
            <w:bottom w:w="0" w:type="dxa"/>
            <w:right w:w="108" w:type="dxa"/>
          </w:tblCellMar>
        </w:tblPrEx>
        <w:trPr>
          <w:trHeight w:val="387" w:hRule="atLeast"/>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14</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行车移动费用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等线" w:hAnsi="等线" w:eastAsia="等线" w:cs="等线"/>
                <w:kern w:val="0"/>
                <w:sz w:val="21"/>
                <w:szCs w:val="21"/>
              </w:rPr>
            </w:pPr>
            <w:r>
              <w:rPr>
                <w:rFonts w:hint="eastAsia" w:ascii="等线" w:hAnsi="等线" w:eastAsia="等线" w:cs="等线"/>
                <w:kern w:val="0"/>
                <w:sz w:val="21"/>
                <w:szCs w:val="21"/>
              </w:rPr>
              <w:t>1天</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21"/>
                <w:szCs w:val="21"/>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期：年月日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3"/>
        <w:gridCol w:w="2947"/>
        <w:gridCol w:w="2958"/>
        <w:gridCol w:w="16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r>
              <w:rPr>
                <w:rFonts w:hint="eastAsia" w:ascii="宋体" w:hAnsi="宋体" w:eastAsia="宋体" w:cs="宋体"/>
                <w:szCs w:val="21"/>
              </w:rPr>
              <w:t>施工完成后按实际工程量结算90%，10%作为质保金1年后支付</w:t>
            </w:r>
          </w:p>
        </w:tc>
        <w:tc>
          <w:tcPr>
            <w:tcW w:w="1594"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jc w:val="left"/>
              <w:rPr>
                <w:rFonts w:ascii="宋体" w:hAnsi="宋体" w:eastAsia="宋体" w:cs="宋体"/>
                <w:szCs w:val="21"/>
              </w:rPr>
            </w:pPr>
            <w:r>
              <w:rPr>
                <w:rFonts w:hint="eastAsia" w:ascii="宋体" w:hAnsi="宋体" w:eastAsia="宋体" w:cs="宋体"/>
                <w:szCs w:val="21"/>
              </w:rPr>
              <w:t>1.中标后3天内开工，总工期15天。</w:t>
            </w:r>
          </w:p>
          <w:p>
            <w:pPr>
              <w:pStyle w:val="82"/>
              <w:jc w:val="left"/>
              <w:rPr>
                <w:rFonts w:ascii="宋体" w:hAnsi="宋体" w:eastAsia="宋体" w:cs="宋体"/>
                <w:szCs w:val="21"/>
              </w:rPr>
            </w:pPr>
            <w:r>
              <w:rPr>
                <w:rFonts w:hint="eastAsia" w:ascii="宋体" w:hAnsi="宋体" w:eastAsia="宋体" w:cs="宋体"/>
                <w:szCs w:val="21"/>
              </w:rPr>
              <w:t>2.</w:t>
            </w:r>
            <w:r>
              <w:rPr>
                <w:rFonts w:ascii="宋体" w:hAnsi="宋体" w:eastAsia="宋体" w:cs="宋体"/>
                <w:szCs w:val="21"/>
              </w:rPr>
              <w:t>中标后将按照招标文件要求履行合同。</w:t>
            </w:r>
          </w:p>
          <w:p>
            <w:pPr>
              <w:pStyle w:val="82"/>
              <w:jc w:val="left"/>
              <w:rPr>
                <w:rFonts w:ascii="宋体" w:hAnsi="宋体" w:eastAsia="宋体" w:cs="宋体"/>
                <w:szCs w:val="21"/>
              </w:rPr>
            </w:pPr>
            <w:r>
              <w:rPr>
                <w:rFonts w:hint="eastAsia" w:ascii="宋体" w:hAnsi="宋体" w:eastAsia="宋体" w:cs="宋体"/>
                <w:szCs w:val="21"/>
              </w:rPr>
              <w:t>3.</w:t>
            </w:r>
            <w:r>
              <w:rPr>
                <w:rFonts w:ascii="宋体" w:hAnsi="宋体" w:eastAsia="宋体" w:cs="宋体"/>
                <w:szCs w:val="21"/>
              </w:rPr>
              <w:t>提供的产品或服务的质量符合国家标准。</w:t>
            </w:r>
          </w:p>
          <w:p>
            <w:pPr>
              <w:pStyle w:val="82"/>
              <w:jc w:val="left"/>
              <w:rPr>
                <w:rFonts w:ascii="宋体" w:hAnsi="宋体" w:eastAsia="宋体" w:cs="宋体"/>
                <w:szCs w:val="21"/>
              </w:rPr>
            </w:pPr>
            <w:r>
              <w:rPr>
                <w:rFonts w:hint="eastAsia" w:ascii="宋体" w:hAnsi="宋体" w:eastAsia="宋体" w:cs="宋体"/>
                <w:szCs w:val="21"/>
              </w:rPr>
              <w:t>4. 质保期为乙方安装完成并验收合格之日起12个月。</w:t>
            </w:r>
          </w:p>
          <w:p>
            <w:pPr>
              <w:pStyle w:val="82"/>
              <w:jc w:val="left"/>
              <w:rPr>
                <w:rFonts w:ascii="宋体" w:hAnsi="宋体" w:eastAsia="宋体" w:cs="宋体"/>
                <w:szCs w:val="21"/>
              </w:rPr>
            </w:pPr>
            <w:r>
              <w:rPr>
                <w:rFonts w:hint="eastAsia" w:ascii="宋体" w:hAnsi="宋体" w:eastAsia="宋体" w:cs="宋体"/>
                <w:szCs w:val="21"/>
              </w:rPr>
              <w:t>5.</w:t>
            </w:r>
            <w:r>
              <w:rPr>
                <w:rFonts w:hint="eastAsia"/>
              </w:rPr>
              <w:t xml:space="preserve"> 售后服务：</w:t>
            </w:r>
            <w:r>
              <w:rPr>
                <w:rFonts w:hint="eastAsia" w:ascii="宋体" w:hAnsi="宋体" w:eastAsia="宋体" w:cs="宋体"/>
                <w:szCs w:val="21"/>
              </w:rPr>
              <w:t>甲方有要求或必要时，乙方在接到甲方通知后应12小时内派员至甲方现场免费维修。</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9193"/>
      <w:bookmarkStart w:id="14" w:name="_Toc639013"/>
      <w:bookmarkStart w:id="15"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pPr>
        <w:spacing w:line="360" w:lineRule="auto"/>
        <w:rPr>
          <w:rFonts w:ascii="宋体" w:hAnsi="宋体" w:cs="宋体"/>
          <w:sz w:val="24"/>
          <w:szCs w:val="28"/>
        </w:rPr>
      </w:pP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附件14</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产品试验检测中心台架搬迁与实验间搭建项目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项目地点：潍坊市奎文区盛瑞街518号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本次设备搬迁包含台架1台、变频器1套；实验间搭建包含墙体的搭建、安装门、观察窗、电缆桥架、冷却水管；原有行吊框架移动。</w:t>
      </w:r>
    </w:p>
    <w:p>
      <w:pPr>
        <w:spacing w:line="360" w:lineRule="auto"/>
        <w:ind w:firstLine="480" w:firstLineChars="200"/>
        <w:rPr>
          <w:rFonts w:ascii="宋体" w:hAnsi="宋体" w:cs="宋体"/>
          <w:b/>
          <w:color w:val="000000"/>
          <w:sz w:val="24"/>
          <w:szCs w:val="24"/>
        </w:rPr>
      </w:pPr>
      <w:r>
        <w:rPr>
          <w:rFonts w:ascii="宋体" w:hAnsi="宋体" w:cs="宋体"/>
          <w:b/>
          <w:color w:val="000000"/>
          <w:sz w:val="24"/>
          <w:szCs w:val="24"/>
        </w:rPr>
        <w:t>项目</w:t>
      </w:r>
      <w:r>
        <w:rPr>
          <w:rFonts w:hint="eastAsia" w:ascii="宋体" w:hAnsi="宋体" w:cs="宋体"/>
          <w:b/>
          <w:color w:val="000000"/>
          <w:sz w:val="24"/>
          <w:szCs w:val="24"/>
        </w:rPr>
        <w:t>信息：</w:t>
      </w:r>
    </w:p>
    <w:tbl>
      <w:tblPr>
        <w:tblStyle w:val="32"/>
        <w:tblW w:w="9118" w:type="dxa"/>
        <w:tblInd w:w="0" w:type="dxa"/>
        <w:tblLayout w:type="fixed"/>
        <w:tblCellMar>
          <w:top w:w="0" w:type="dxa"/>
          <w:left w:w="108" w:type="dxa"/>
          <w:bottom w:w="0" w:type="dxa"/>
          <w:right w:w="108" w:type="dxa"/>
        </w:tblCellMar>
      </w:tblPr>
      <w:tblGrid>
        <w:gridCol w:w="720"/>
        <w:gridCol w:w="2455"/>
        <w:gridCol w:w="3695"/>
        <w:gridCol w:w="963"/>
        <w:gridCol w:w="1285"/>
      </w:tblGrid>
      <w:tr>
        <w:tblPrEx>
          <w:tblCellMar>
            <w:top w:w="0" w:type="dxa"/>
            <w:left w:w="108" w:type="dxa"/>
            <w:bottom w:w="0" w:type="dxa"/>
            <w:right w:w="108" w:type="dxa"/>
          </w:tblCellMar>
        </w:tblPrEx>
        <w:trPr>
          <w:trHeight w:val="42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4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项目内容</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型号规格</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数量</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备注</w:t>
            </w:r>
          </w:p>
        </w:tc>
      </w:tr>
      <w:tr>
        <w:tblPrEx>
          <w:tblCellMar>
            <w:top w:w="0" w:type="dxa"/>
            <w:left w:w="108" w:type="dxa"/>
            <w:bottom w:w="0" w:type="dxa"/>
            <w:right w:w="108" w:type="dxa"/>
          </w:tblCellMar>
        </w:tblPrEx>
        <w:trPr>
          <w:trHeight w:val="3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color w:val="000000"/>
                <w:kern w:val="0"/>
                <w:sz w:val="24"/>
                <w:szCs w:val="24"/>
              </w:rPr>
              <w:t>1</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ascii="宋体" w:hAnsi="宋体" w:cs="宋体"/>
                <w:kern w:val="0"/>
                <w:sz w:val="24"/>
                <w:szCs w:val="24"/>
              </w:rPr>
              <w:t>电缆桥架</w:t>
            </w:r>
            <w:r>
              <w:rPr>
                <w:rFonts w:hint="eastAsia" w:ascii="宋体" w:hAnsi="宋体" w:cs="宋体"/>
                <w:kern w:val="0"/>
                <w:sz w:val="24"/>
                <w:szCs w:val="24"/>
              </w:rPr>
              <w:t>+安装</w:t>
            </w:r>
          </w:p>
        </w:tc>
        <w:tc>
          <w:tcPr>
            <w:tcW w:w="3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200*150</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50m</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color w:val="000000"/>
                <w:kern w:val="0"/>
                <w:sz w:val="24"/>
                <w:szCs w:val="24"/>
              </w:rPr>
              <w:t>2</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冷却水管+安装</w:t>
            </w:r>
          </w:p>
        </w:tc>
        <w:tc>
          <w:tcPr>
            <w:tcW w:w="3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ascii="宋体" w:hAnsi="宋体" w:cs="宋体"/>
                <w:kern w:val="0"/>
                <w:sz w:val="24"/>
                <w:szCs w:val="24"/>
              </w:rPr>
              <w:t>镀锌钢管</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50m</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color w:val="000000"/>
                <w:kern w:val="0"/>
                <w:sz w:val="24"/>
                <w:szCs w:val="24"/>
              </w:rPr>
              <w:t>3</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ascii="宋体" w:hAnsi="宋体" w:cs="宋体"/>
                <w:kern w:val="0"/>
                <w:sz w:val="24"/>
                <w:szCs w:val="24"/>
              </w:rPr>
              <w:t>实验间墙壁</w:t>
            </w:r>
            <w:r>
              <w:rPr>
                <w:rFonts w:hint="eastAsia" w:ascii="宋体" w:hAnsi="宋体" w:cs="宋体"/>
                <w:kern w:val="0"/>
                <w:sz w:val="24"/>
                <w:szCs w:val="24"/>
              </w:rPr>
              <w:t>+安装</w:t>
            </w:r>
          </w:p>
        </w:tc>
        <w:tc>
          <w:tcPr>
            <w:tcW w:w="3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净化板厚度0.5mm、总厚度5cm双白色</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140㎡</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大门+安装</w:t>
            </w:r>
          </w:p>
        </w:tc>
        <w:tc>
          <w:tcPr>
            <w:tcW w:w="3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2m*2.6m</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1套</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ascii="宋体" w:hAnsi="宋体" w:cs="宋体"/>
                <w:kern w:val="0"/>
                <w:sz w:val="24"/>
                <w:szCs w:val="24"/>
              </w:rPr>
              <w:t>观察窗</w:t>
            </w:r>
            <w:r>
              <w:rPr>
                <w:rFonts w:hint="eastAsia" w:ascii="宋体" w:hAnsi="宋体" w:cs="宋体"/>
                <w:kern w:val="0"/>
                <w:sz w:val="24"/>
                <w:szCs w:val="24"/>
              </w:rPr>
              <w:t>+安装</w:t>
            </w:r>
          </w:p>
        </w:tc>
        <w:tc>
          <w:tcPr>
            <w:tcW w:w="3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1m*1.6m</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1</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07"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ascii="宋体" w:hAnsi="宋体" w:cs="宋体"/>
                <w:kern w:val="0"/>
                <w:sz w:val="24"/>
                <w:szCs w:val="24"/>
              </w:rPr>
              <w:t>射灯</w:t>
            </w:r>
            <w:r>
              <w:rPr>
                <w:rFonts w:hint="eastAsia" w:ascii="宋体" w:hAnsi="宋体" w:cs="宋体"/>
                <w:kern w:val="0"/>
                <w:sz w:val="24"/>
                <w:szCs w:val="24"/>
              </w:rPr>
              <w:t>+安装</w:t>
            </w:r>
          </w:p>
        </w:tc>
        <w:tc>
          <w:tcPr>
            <w:tcW w:w="3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功率：100W</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4</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07"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7</w:t>
            </w:r>
          </w:p>
        </w:tc>
        <w:tc>
          <w:tcPr>
            <w:tcW w:w="24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szCs w:val="24"/>
              </w:rPr>
            </w:pPr>
            <w:r>
              <w:rPr>
                <w:rFonts w:ascii="宋体" w:hAnsi="宋体" w:cs="宋体"/>
                <w:kern w:val="0"/>
                <w:sz w:val="24"/>
                <w:szCs w:val="24"/>
              </w:rPr>
              <w:t>电缆安装（人工费）</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szCs w:val="24"/>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603"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8</w:t>
            </w:r>
          </w:p>
        </w:tc>
        <w:tc>
          <w:tcPr>
            <w:tcW w:w="24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szCs w:val="24"/>
              </w:rPr>
            </w:pPr>
            <w:r>
              <w:rPr>
                <w:rFonts w:ascii="宋体" w:hAnsi="宋体" w:cs="宋体"/>
                <w:kern w:val="0"/>
                <w:sz w:val="24"/>
                <w:szCs w:val="24"/>
              </w:rPr>
              <w:t>房间内安装插座与网口</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szCs w:val="24"/>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r>
              <w:rPr>
                <w:rFonts w:ascii="宋体" w:hAnsi="宋体" w:cs="宋体"/>
                <w:kern w:val="0"/>
                <w:sz w:val="24"/>
                <w:szCs w:val="24"/>
              </w:rPr>
              <w:t>总长度</w:t>
            </w:r>
            <w:r>
              <w:rPr>
                <w:rFonts w:hint="eastAsia" w:ascii="宋体" w:hAnsi="宋体" w:cs="宋体"/>
                <w:kern w:val="0"/>
                <w:sz w:val="24"/>
                <w:szCs w:val="24"/>
              </w:rPr>
              <w:t>60m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07"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24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szCs w:val="24"/>
              </w:rPr>
            </w:pPr>
            <w:r>
              <w:rPr>
                <w:rFonts w:ascii="宋体" w:hAnsi="宋体" w:cs="宋体"/>
                <w:kern w:val="0"/>
                <w:sz w:val="24"/>
                <w:szCs w:val="24"/>
              </w:rPr>
              <w:t>行车框架移动</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szCs w:val="24"/>
              </w:rPr>
            </w:pPr>
            <w:r>
              <w:rPr>
                <w:rFonts w:ascii="宋体" w:hAnsi="宋体" w:cs="宋体"/>
                <w:kern w:val="0"/>
                <w:sz w:val="24"/>
                <w:szCs w:val="24"/>
              </w:rPr>
              <w:t>整体移动</w:t>
            </w:r>
            <w:r>
              <w:rPr>
                <w:rFonts w:hint="eastAsia" w:ascii="宋体" w:hAnsi="宋体" w:cs="宋体"/>
                <w:kern w:val="0"/>
                <w:sz w:val="24"/>
                <w:szCs w:val="24"/>
              </w:rPr>
              <w:t>0.5m</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4"/>
                <w:szCs w:val="24"/>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szCs w:val="24"/>
              </w:rPr>
            </w:pPr>
          </w:p>
        </w:tc>
      </w:tr>
    </w:tbl>
    <w:p>
      <w:pPr>
        <w:pStyle w:val="80"/>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本工程涉及1设备的搬迁与实验间的搭建，乙方按国家、地区和行业现行标准、规范的建设，建设期内乙方根据甲方技术要求进行。</w:t>
      </w:r>
    </w:p>
    <w:p>
      <w:pPr>
        <w:pStyle w:val="80"/>
        <w:rPr>
          <w:rFonts w:eastAsia="宋体" w:cs="宋体"/>
        </w:rPr>
      </w:pPr>
      <w:bookmarkStart w:id="23" w:name="_Toc31558"/>
      <w:bookmarkStart w:id="24" w:name="_Toc26699"/>
      <w:bookmarkStart w:id="25" w:name="_Toc490750820"/>
      <w:bookmarkStart w:id="26" w:name="_Toc24049"/>
      <w:bookmarkStart w:id="27" w:name="_Toc10152"/>
      <w:bookmarkStart w:id="28" w:name="_Toc385411768"/>
      <w:r>
        <w:rPr>
          <w:rFonts w:hint="eastAsia" w:eastAsia="宋体" w:cs="宋体"/>
        </w:rPr>
        <w:t>三、技术要求</w:t>
      </w:r>
      <w:bookmarkEnd w:id="23"/>
      <w:bookmarkEnd w:id="24"/>
      <w:bookmarkEnd w:id="25"/>
      <w:bookmarkEnd w:id="26"/>
      <w:bookmarkEnd w:id="27"/>
      <w:bookmarkEnd w:id="28"/>
    </w:p>
    <w:p>
      <w:pPr>
        <w:spacing w:line="360" w:lineRule="auto"/>
        <w:ind w:firstLine="480" w:firstLineChars="200"/>
        <w:rPr>
          <w:rFonts w:ascii="宋体" w:hAnsi="宋体" w:cs="宋体"/>
          <w:b/>
          <w:sz w:val="24"/>
          <w:szCs w:val="24"/>
        </w:rPr>
      </w:pPr>
      <w:r>
        <w:rPr>
          <w:rFonts w:hint="eastAsia" w:ascii="宋体" w:hAnsi="宋体" w:cs="宋体"/>
          <w:b/>
          <w:sz w:val="24"/>
          <w:szCs w:val="24"/>
        </w:rPr>
        <w:t>1、设备搬迁与实验间搭建内容</w:t>
      </w:r>
    </w:p>
    <w:p>
      <w:pPr>
        <w:pStyle w:val="2"/>
        <w:ind w:firstLine="480" w:firstLineChars="200"/>
        <w:rPr>
          <w:rFonts w:eastAsia="宋体"/>
          <w:b w:val="0"/>
          <w:lang w:val="en-US"/>
        </w:rPr>
      </w:pPr>
      <w:r>
        <w:rPr>
          <w:rFonts w:hint="eastAsia" w:ascii="宋体" w:hAnsi="宋体" w:eastAsia="宋体" w:cs="宋体"/>
          <w:b w:val="0"/>
          <w:sz w:val="24"/>
          <w:szCs w:val="24"/>
          <w:lang w:val="en-US"/>
        </w:rPr>
        <w:t>本工程包含设备搬迁与实验间搭建两部分，需搬迁设备包含：铁地板1块、试验台架1台、变频器1套；实验间搭建包含：1套行车框架整体移动约0.5米、电缆桥架铺设、电缆走线安装、冷却水管铺设，墙体、门、观察窗，照明灯等设施搭建。</w:t>
      </w:r>
    </w:p>
    <w:p>
      <w:pPr>
        <w:spacing w:line="360" w:lineRule="auto"/>
        <w:ind w:firstLine="480" w:firstLineChars="200"/>
        <w:rPr>
          <w:rFonts w:ascii="宋体" w:hAnsi="宋体" w:cs="宋体"/>
          <w:b/>
          <w:sz w:val="24"/>
          <w:szCs w:val="24"/>
        </w:rPr>
      </w:pPr>
      <w:r>
        <w:rPr>
          <w:rFonts w:hint="eastAsia" w:ascii="宋体" w:hAnsi="宋体" w:cs="宋体"/>
          <w:b/>
          <w:sz w:val="24"/>
          <w:szCs w:val="24"/>
        </w:rPr>
        <w:t>2、中标方施工费用</w:t>
      </w:r>
    </w:p>
    <w:p>
      <w:pPr>
        <w:tabs>
          <w:tab w:val="left" w:pos="425"/>
        </w:tabs>
        <w:spacing w:line="360" w:lineRule="auto"/>
        <w:rPr>
          <w:rFonts w:ascii="宋体" w:hAnsi="宋体" w:cs="宋体"/>
          <w:sz w:val="24"/>
          <w:szCs w:val="24"/>
        </w:rPr>
      </w:pPr>
      <w:r>
        <w:rPr>
          <w:rFonts w:hint="eastAsia" w:ascii="宋体" w:hAnsi="宋体" w:cs="宋体"/>
          <w:sz w:val="24"/>
          <w:szCs w:val="24"/>
        </w:rPr>
        <w:tab/>
      </w:r>
      <w:r>
        <w:rPr>
          <w:rFonts w:hint="eastAsia" w:ascii="宋体" w:hAnsi="宋体" w:cs="宋体"/>
          <w:sz w:val="24"/>
          <w:szCs w:val="24"/>
        </w:rPr>
        <w:t>中标方接到施工任务时，需48小时内派人到现场勘查，人工费据实结算，若需增加相关配件，配件所产生的费用另计。</w:t>
      </w:r>
    </w:p>
    <w:p>
      <w:pPr>
        <w:spacing w:line="360" w:lineRule="auto"/>
        <w:rPr>
          <w:rFonts w:ascii="宋体" w:hAnsi="宋体" w:cs="宋体"/>
          <w:b/>
          <w:sz w:val="24"/>
          <w:szCs w:val="24"/>
        </w:rPr>
      </w:pPr>
      <w:r>
        <w:rPr>
          <w:rFonts w:hint="eastAsia" w:ascii="宋体" w:hAnsi="宋体" w:cs="宋体"/>
          <w:b/>
          <w:sz w:val="24"/>
          <w:szCs w:val="24"/>
        </w:rPr>
        <w:tab/>
      </w:r>
      <w:r>
        <w:rPr>
          <w:rFonts w:hint="eastAsia" w:ascii="宋体" w:hAnsi="宋体" w:cs="宋体"/>
          <w:b/>
          <w:sz w:val="24"/>
          <w:szCs w:val="24"/>
        </w:rPr>
        <w:t>3、免费调换在服务期内因施工不当而损坏的配件。</w:t>
      </w:r>
    </w:p>
    <w:p>
      <w:pPr>
        <w:tabs>
          <w:tab w:val="left" w:pos="425"/>
        </w:tabs>
        <w:spacing w:line="360" w:lineRule="auto"/>
        <w:ind w:firstLine="480" w:firstLineChars="200"/>
        <w:rPr>
          <w:rFonts w:ascii="宋体" w:hAnsi="宋体" w:cs="宋体"/>
          <w:sz w:val="24"/>
        </w:rPr>
      </w:pPr>
      <w:r>
        <w:rPr>
          <w:rFonts w:hint="eastAsia" w:ascii="宋体" w:hAnsi="宋体" w:cs="宋体"/>
          <w:sz w:val="24"/>
          <w:szCs w:val="24"/>
        </w:rPr>
        <w:t>4、</w:t>
      </w:r>
      <w:r>
        <w:rPr>
          <w:rFonts w:hint="eastAsia" w:ascii="宋体" w:hAnsi="宋体" w:cs="宋体"/>
          <w:b/>
          <w:sz w:val="24"/>
          <w:szCs w:val="24"/>
        </w:rPr>
        <w:t>投标方必须列全配件价格表，作为双方维修价格的依据，配件及</w:t>
      </w:r>
      <w:r>
        <w:rPr>
          <w:rFonts w:hint="eastAsia" w:ascii="宋体" w:hAnsi="宋体" w:cs="宋体"/>
          <w:b/>
          <w:sz w:val="24"/>
        </w:rPr>
        <w:t>维修价格不在明细中的，甲、乙双方协商解决，费用由甲方承担。</w:t>
      </w:r>
    </w:p>
    <w:p>
      <w:pPr>
        <w:rPr>
          <w:rFonts w:ascii="宋体" w:hAnsi="宋体" w:cs="宋体"/>
          <w:sz w:val="24"/>
          <w:szCs w:val="24"/>
        </w:rPr>
      </w:pPr>
    </w:p>
    <w:p>
      <w:pPr>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0000000000000000000"/>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path/>
          <v:fill on="f" focussize="0,0"/>
          <v:stroke on="f" weight="0.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- 3 -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path/>
          <v:fill on="f" focussize="0,0"/>
          <v:stroke on="f" weight="0.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ZiZjhjZjUxYjg2N2Y1ZjY0NTc5ZGMxYTcwNjRmNWYifQ=="/>
  </w:docVars>
  <w:rsids>
    <w:rsidRoot w:val="00905A82"/>
    <w:rsid w:val="00024754"/>
    <w:rsid w:val="000561A0"/>
    <w:rsid w:val="00063A2A"/>
    <w:rsid w:val="00085C7B"/>
    <w:rsid w:val="0008617A"/>
    <w:rsid w:val="00131D97"/>
    <w:rsid w:val="00150060"/>
    <w:rsid w:val="00197B36"/>
    <w:rsid w:val="001B75B5"/>
    <w:rsid w:val="001E707E"/>
    <w:rsid w:val="001F2266"/>
    <w:rsid w:val="002275E6"/>
    <w:rsid w:val="0023059D"/>
    <w:rsid w:val="00273036"/>
    <w:rsid w:val="002775B3"/>
    <w:rsid w:val="002C6E72"/>
    <w:rsid w:val="002E532E"/>
    <w:rsid w:val="0030350D"/>
    <w:rsid w:val="00304F68"/>
    <w:rsid w:val="003134B3"/>
    <w:rsid w:val="00322008"/>
    <w:rsid w:val="00346541"/>
    <w:rsid w:val="00371AEF"/>
    <w:rsid w:val="00390ED1"/>
    <w:rsid w:val="003D73D0"/>
    <w:rsid w:val="003E5615"/>
    <w:rsid w:val="004064A0"/>
    <w:rsid w:val="00420D5F"/>
    <w:rsid w:val="004D0906"/>
    <w:rsid w:val="00542D3E"/>
    <w:rsid w:val="00590E82"/>
    <w:rsid w:val="005A1122"/>
    <w:rsid w:val="005B7331"/>
    <w:rsid w:val="005C5A41"/>
    <w:rsid w:val="00604D5D"/>
    <w:rsid w:val="00604FCE"/>
    <w:rsid w:val="00605B5F"/>
    <w:rsid w:val="00614AAA"/>
    <w:rsid w:val="006261DD"/>
    <w:rsid w:val="006267CE"/>
    <w:rsid w:val="006510F1"/>
    <w:rsid w:val="006557BE"/>
    <w:rsid w:val="0065652E"/>
    <w:rsid w:val="006741F4"/>
    <w:rsid w:val="006925C1"/>
    <w:rsid w:val="006B348C"/>
    <w:rsid w:val="006C36D4"/>
    <w:rsid w:val="006D1602"/>
    <w:rsid w:val="007505DC"/>
    <w:rsid w:val="00796E6F"/>
    <w:rsid w:val="007B4CA4"/>
    <w:rsid w:val="007C225E"/>
    <w:rsid w:val="007C5AFB"/>
    <w:rsid w:val="00854791"/>
    <w:rsid w:val="008D7FC2"/>
    <w:rsid w:val="00902196"/>
    <w:rsid w:val="00905A82"/>
    <w:rsid w:val="00950EBD"/>
    <w:rsid w:val="00985073"/>
    <w:rsid w:val="009B5617"/>
    <w:rsid w:val="009D2601"/>
    <w:rsid w:val="00A53FBB"/>
    <w:rsid w:val="00A62F3D"/>
    <w:rsid w:val="00A8245D"/>
    <w:rsid w:val="00AA5F2D"/>
    <w:rsid w:val="00AC6826"/>
    <w:rsid w:val="00AE7AA6"/>
    <w:rsid w:val="00B17E5B"/>
    <w:rsid w:val="00B25EF2"/>
    <w:rsid w:val="00B941C5"/>
    <w:rsid w:val="00BA7190"/>
    <w:rsid w:val="00BA797B"/>
    <w:rsid w:val="00C206C5"/>
    <w:rsid w:val="00CB7FC5"/>
    <w:rsid w:val="00CC1EFC"/>
    <w:rsid w:val="00CD207B"/>
    <w:rsid w:val="00CD2590"/>
    <w:rsid w:val="00D663CA"/>
    <w:rsid w:val="00E10662"/>
    <w:rsid w:val="00E540EB"/>
    <w:rsid w:val="00E5434E"/>
    <w:rsid w:val="00E86C65"/>
    <w:rsid w:val="00EA37A5"/>
    <w:rsid w:val="00F204CA"/>
    <w:rsid w:val="00F47F06"/>
    <w:rsid w:val="00F6270D"/>
    <w:rsid w:val="00F702D9"/>
    <w:rsid w:val="00F71910"/>
    <w:rsid w:val="00F94AA9"/>
    <w:rsid w:val="034D0622"/>
    <w:rsid w:val="038C4D5A"/>
    <w:rsid w:val="047E2524"/>
    <w:rsid w:val="14A15C19"/>
    <w:rsid w:val="164675DC"/>
    <w:rsid w:val="17EB3444"/>
    <w:rsid w:val="17EC378B"/>
    <w:rsid w:val="18076BC0"/>
    <w:rsid w:val="20863DC6"/>
    <w:rsid w:val="25132C86"/>
    <w:rsid w:val="2EB771D0"/>
    <w:rsid w:val="34F7633C"/>
    <w:rsid w:val="39086FC9"/>
    <w:rsid w:val="4C3A530E"/>
    <w:rsid w:val="51D2577C"/>
    <w:rsid w:val="548E6067"/>
    <w:rsid w:val="60AE53F2"/>
    <w:rsid w:val="636F4F70"/>
    <w:rsid w:val="65AD6236"/>
    <w:rsid w:val="69006FA7"/>
    <w:rsid w:val="6BEEF84B"/>
    <w:rsid w:val="720E4873"/>
    <w:rsid w:val="750940E9"/>
    <w:rsid w:val="77EF6C01"/>
    <w:rsid w:val="7D4635F6"/>
    <w:rsid w:val="7DFE286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Char1"/>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Char"/>
    <w:basedOn w:val="34"/>
    <w:link w:val="2"/>
    <w:qFormat/>
    <w:uiPriority w:val="0"/>
    <w:rPr>
      <w:rFonts w:ascii="Arial" w:hAnsi="Arial" w:eastAsia="黑体" w:cs="Times New Roman"/>
      <w:b/>
      <w:bCs/>
      <w:sz w:val="32"/>
      <w:szCs w:val="32"/>
      <w:lang w:val="zh-CN" w:eastAsia="zh-CN"/>
    </w:rPr>
  </w:style>
  <w:style w:type="character" w:customStyle="1" w:styleId="42">
    <w:name w:val="标题 3 Char"/>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Char"/>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Char"/>
    <w:link w:val="31"/>
    <w:qFormat/>
    <w:uiPriority w:val="0"/>
    <w:rPr>
      <w:b/>
      <w:bCs/>
    </w:rPr>
  </w:style>
  <w:style w:type="character" w:customStyle="1" w:styleId="47">
    <w:name w:val="批注文字 Char"/>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Char"/>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Char"/>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Char"/>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Char"/>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Char3"/>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Char"/>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Char"/>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Char"/>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Char1"/>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Char"/>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Char"/>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P R C</Company>
  <Pages>30</Pages>
  <Words>7074</Words>
  <Characters>7350</Characters>
  <Lines>80</Lines>
  <Paragraphs>22</Paragraphs>
  <TotalTime>0</TotalTime>
  <ScaleCrop>false</ScaleCrop>
  <LinksUpToDate>false</LinksUpToDate>
  <CharactersWithSpaces>7837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2025-08-19T17:23:33Z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