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1000kW级电池系统试验台项目</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pStyle w:val="20"/>
      </w:pPr>
    </w:p>
    <w:p>
      <w:pPr>
        <w:pStyle w:val="20"/>
      </w:pPr>
    </w:p>
    <w:p>
      <w:pPr>
        <w:pStyle w:val="20"/>
      </w:pPr>
    </w:p>
    <w:p>
      <w:pPr>
        <w:pStyle w:val="20"/>
      </w:pPr>
    </w:p>
    <w:p>
      <w:pPr>
        <w:jc w:val="right"/>
        <w:rPr>
          <w:rFonts w:ascii="Calibri" w:hAnsi="Calibri" w:eastAsia="宋体" w:cs="Times New Roman"/>
          <w:color w:val="000000"/>
          <w:sz w:val="28"/>
          <w:szCs w:val="28"/>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0"/>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8月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hint="eastAsia" w:cs="宋体"/>
              <w:b/>
              <w:bCs/>
              <w:sz w:val="48"/>
              <w:szCs w:val="48"/>
            </w:rPr>
          </w:pPr>
          <w:r>
            <w:rPr>
              <w:rFonts w:ascii="宋体" w:hAnsi="宋体" w:eastAsia="宋体" w:cs="宋体"/>
              <w:b/>
              <w:bCs/>
              <w:sz w:val="48"/>
              <w:szCs w:val="48"/>
            </w:rPr>
            <w:t>目录</w:t>
          </w:r>
        </w:p>
        <w:p>
          <w:pPr>
            <w:pStyle w:val="27"/>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7"/>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7"/>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7"/>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7"/>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65</w:t>
          </w:r>
        </w:p>
        <w:p>
          <w:pPr>
            <w:pStyle w:val="27"/>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83</w:t>
          </w:r>
        </w:p>
        <w:p>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0"/>
        <w:jc w:val="center"/>
        <w:rPr>
          <w:rFonts w:ascii="Calibri" w:hAnsi="Calibri" w:eastAsia="宋体" w:cs="Times New Roman"/>
          <w:b/>
          <w:bCs/>
          <w:kern w:val="44"/>
          <w:sz w:val="36"/>
          <w:szCs w:val="44"/>
        </w:rPr>
      </w:pP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1000kW级电池系统试验台项目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yellow"/>
              </w:rPr>
              <w:t>：</w:t>
            </w:r>
            <w:r>
              <w:rPr>
                <w:rFonts w:hint="eastAsia" w:ascii="宋体" w:hAnsi="宋体" w:eastAsia="宋体" w:cs="宋体"/>
                <w:b/>
                <w:bCs/>
                <w:sz w:val="24"/>
                <w:szCs w:val="24"/>
                <w:highlight w:val="yellow"/>
                <w:u w:val="single"/>
              </w:rPr>
              <w:t>CGZX2025080120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sz w:val="24"/>
                <w:szCs w:val="24"/>
                <w:highlight w:val="yellow"/>
              </w:rPr>
            </w:pPr>
            <w:r>
              <w:rPr>
                <w:rFonts w:hint="eastAsia" w:ascii="宋体" w:hAnsi="宋体" w:eastAsia="宋体" w:cs="宋体"/>
                <w:b/>
                <w:bCs/>
                <w:sz w:val="24"/>
                <w:szCs w:val="24"/>
              </w:rPr>
              <w:t>招标内容：</w:t>
            </w:r>
            <w:r>
              <w:rPr>
                <w:rFonts w:hint="eastAsia" w:ascii="宋体" w:hAnsi="宋体" w:eastAsia="宋体" w:cs="宋体"/>
                <w:b/>
                <w:bCs/>
                <w:sz w:val="24"/>
                <w:szCs w:val="24"/>
                <w:u w:val="single"/>
              </w:rPr>
              <w:t>1000kW级电池系统试验台项目</w:t>
            </w:r>
          </w:p>
          <w:p>
            <w:pPr>
              <w:ind w:firstLine="482" w:firstLineChars="200"/>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pPr>
              <w:ind w:firstLine="482" w:firstLineChars="200"/>
              <w:rPr>
                <w:rFonts w:hint="eastAsia" w:ascii="宋体" w:hAnsi="宋体" w:eastAsia="宋体" w:cs="宋体"/>
                <w:sz w:val="24"/>
                <w:szCs w:val="24"/>
              </w:rPr>
            </w:pPr>
            <w:r>
              <w:rPr>
                <w:rFonts w:hint="eastAsia" w:ascii="宋体" w:hAnsi="宋体" w:eastAsia="宋体" w:cs="Times New Roman"/>
                <w:b/>
                <w:bCs/>
                <w:color w:val="000000"/>
                <w:sz w:val="24"/>
                <w:szCs w:val="24"/>
              </w:rPr>
              <w:t>建设地点：</w:t>
            </w:r>
            <w:r>
              <w:rPr>
                <w:rFonts w:hint="eastAsia" w:ascii="宋体" w:hAnsi="宋体" w:eastAsia="宋体" w:cs="宋体"/>
                <w:color w:val="000000"/>
                <w:sz w:val="24"/>
                <w:szCs w:val="24"/>
                <w:highlight w:val="yellow"/>
                <w:u w:val="single"/>
              </w:rPr>
              <w:t>济南市莱芜区产品试验检测中心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pPr>
              <w:ind w:firstLine="482" w:firstLineChars="200"/>
              <w:rPr>
                <w:rFonts w:hint="eastAsia" w:ascii="宋体" w:hAnsi="宋体" w:eastAsia="宋体" w:cs="宋体"/>
                <w:sz w:val="24"/>
                <w:szCs w:val="24"/>
                <w:highlight w:val="yellow"/>
                <w:lang w:val="en-US" w:eastAsia="zh-CN"/>
              </w:rPr>
            </w:pPr>
            <w:r>
              <w:rPr>
                <w:rFonts w:hint="eastAsia" w:ascii="宋体" w:hAnsi="宋体" w:eastAsia="宋体" w:cs="宋体"/>
                <w:b/>
                <w:bCs/>
                <w:sz w:val="24"/>
                <w:szCs w:val="24"/>
                <w:highlight w:val="yellow"/>
              </w:rPr>
              <w:t>商务联系人：</w:t>
            </w:r>
            <w:r>
              <w:rPr>
                <w:rFonts w:hint="eastAsia" w:ascii="宋体" w:hAnsi="宋体" w:eastAsia="宋体" w:cs="宋体"/>
                <w:b/>
                <w:bCs/>
                <w:sz w:val="24"/>
                <w:szCs w:val="24"/>
                <w:highlight w:val="yellow"/>
                <w:lang w:val="en-US" w:eastAsia="zh-CN"/>
              </w:rPr>
              <w:t>赵力</w:t>
            </w:r>
          </w:p>
          <w:p>
            <w:pPr>
              <w:pStyle w:val="20"/>
              <w:ind w:firstLine="482" w:firstLineChars="200"/>
              <w:rPr>
                <w:rFonts w:hint="default" w:eastAsia="宋体"/>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17860606595</w:t>
            </w:r>
          </w:p>
          <w:p>
            <w:pPr>
              <w:ind w:firstLine="482" w:firstLineChars="200"/>
              <w:rPr>
                <w:rFonts w:hint="eastAsia" w:ascii="宋体" w:hAnsi="宋体" w:eastAsia="宋体" w:cs="宋体"/>
                <w:b/>
                <w:snapToGrid w:val="0"/>
                <w:kern w:val="0"/>
                <w:sz w:val="24"/>
                <w:szCs w:val="24"/>
                <w:highlight w:val="yellow"/>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snapToGrid w:val="0"/>
                <w:kern w:val="0"/>
                <w:sz w:val="24"/>
                <w:szCs w:val="24"/>
                <w:highlight w:val="yellow"/>
              </w:rPr>
              <w:fldChar w:fldCharType="begin"/>
            </w:r>
            <w:r>
              <w:rPr>
                <w:rFonts w:hint="eastAsia" w:ascii="宋体" w:hAnsi="宋体" w:eastAsia="宋体" w:cs="宋体"/>
                <w:b/>
                <w:snapToGrid w:val="0"/>
                <w:kern w:val="0"/>
                <w:sz w:val="24"/>
                <w:szCs w:val="24"/>
                <w:highlight w:val="yellow"/>
              </w:rPr>
              <w:instrText xml:space="preserve"> HYPERLINK "mailto:zhaoli@sinotruk.com" </w:instrText>
            </w:r>
            <w:r>
              <w:rPr>
                <w:rFonts w:hint="eastAsia" w:ascii="宋体" w:hAnsi="宋体" w:eastAsia="宋体" w:cs="宋体"/>
                <w:b/>
                <w:snapToGrid w:val="0"/>
                <w:kern w:val="0"/>
                <w:sz w:val="24"/>
                <w:szCs w:val="24"/>
                <w:highlight w:val="yellow"/>
              </w:rPr>
              <w:fldChar w:fldCharType="separate"/>
            </w:r>
            <w:r>
              <w:rPr>
                <w:rStyle w:val="47"/>
                <w:rFonts w:hint="eastAsia" w:ascii="宋体" w:hAnsi="宋体" w:eastAsia="宋体" w:cs="宋体"/>
                <w:b/>
                <w:snapToGrid w:val="0"/>
                <w:kern w:val="0"/>
                <w:sz w:val="24"/>
                <w:szCs w:val="24"/>
                <w:highlight w:val="yellow"/>
              </w:rPr>
              <w:t>zhaoli@sinotruk.com</w:t>
            </w:r>
            <w:r>
              <w:rPr>
                <w:rFonts w:hint="eastAsia" w:ascii="宋体" w:hAnsi="宋体" w:eastAsia="宋体" w:cs="宋体"/>
                <w:b/>
                <w:snapToGrid w:val="0"/>
                <w:kern w:val="0"/>
                <w:sz w:val="24"/>
                <w:szCs w:val="24"/>
                <w:highlight w:val="yellow"/>
              </w:rPr>
              <w:fldChar w:fldCharType="end"/>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技术联系人：</w:t>
            </w:r>
            <w:r>
              <w:rPr>
                <w:rFonts w:hint="eastAsia" w:ascii="宋体" w:hAnsi="宋体" w:eastAsia="宋体" w:cs="宋体"/>
                <w:sz w:val="24"/>
                <w:szCs w:val="24"/>
                <w:highlight w:val="yellow"/>
              </w:rPr>
              <w:t>魏斌</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17526894343</w:t>
            </w:r>
          </w:p>
          <w:p>
            <w:pPr>
              <w:ind w:firstLine="482" w:firstLineChars="200"/>
              <w:rPr>
                <w:rFonts w:hint="eastAsia"/>
              </w:rPr>
            </w:pPr>
            <w:r>
              <w:rPr>
                <w:rFonts w:hint="eastAsia" w:ascii="宋体" w:hAnsi="宋体" w:eastAsia="宋体" w:cs="宋体"/>
                <w:b/>
                <w:bCs/>
                <w:sz w:val="24"/>
                <w:szCs w:val="24"/>
              </w:rPr>
              <w:t>邮箱：</w:t>
            </w:r>
            <w:r>
              <w:rPr>
                <w:rFonts w:hint="eastAsia" w:ascii="宋体" w:hAnsi="宋体" w:eastAsia="宋体" w:cs="宋体"/>
                <w:sz w:val="24"/>
                <w:szCs w:val="24"/>
              </w:rPr>
              <w:t>weibin3@sinotruk.com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ind w:firstLine="482" w:firstLineChars="200"/>
              <w:rPr>
                <w:rFonts w:hint="eastAsia" w:ascii="宋体" w:hAnsi="宋体" w:eastAsia="宋体" w:cs="宋体"/>
                <w:sz w:val="24"/>
                <w:szCs w:val="24"/>
              </w:rPr>
            </w:pPr>
            <w:r>
              <w:rPr>
                <w:rFonts w:hint="eastAsia" w:hAnsi="宋体" w:eastAsia="宋体" w:cs="Times New Roman"/>
                <w:b/>
                <w:bCs/>
                <w:color w:val="000000"/>
                <w:sz w:val="24"/>
                <w:szCs w:val="24"/>
              </w:rPr>
              <w:t>投标限价：</w:t>
            </w:r>
            <w:r>
              <w:rPr>
                <w:rFonts w:hint="eastAsia" w:hAnsi="宋体" w:eastAsia="宋体" w:cs="Times New Roman"/>
                <w:b/>
                <w:bCs/>
                <w:color w:val="000000"/>
                <w:sz w:val="24"/>
                <w:szCs w:val="24"/>
                <w:highlight w:val="yellow"/>
              </w:rPr>
              <w:t>人民币381万元（含税，税率13%），超过投标限价无法投标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1.拟投标人为在中华人民共和国依照《中华人民共和国公司法》注册的、具有法人资格的有能力提供招标产品的制造厂商，并提供营业执照副本。投标方注册资金及实缴资金均不低于1000万元（或等值其他货币）。</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2.拟投标人必须为国内外知名品牌；截至2025年8月，具有5年以上充放电设备完全自主设计及生产制造能力。本项目不接受代理商或贸易商参与投标，且必须通过ISO9001、ISO14001等质量体系认证，环境管理体系认证和高新技术企业证（提供复印件并加盖公章）；</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3.国内品牌具有依法缴纳社会保障资金的良好记录，社保缴纳人数需≥100人（提供2025年6月份社会保险的凭据证明材料复印件）；国外品牌具备良好的信用和业绩。</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4.拟投标人信用记录良好，无失信被执行人记录、无采购违法、受行政处罚等行为。（提供在信用中国官网、中国政府采购网、中国执行信息公开网、国家税务总局网站的信息查询结果截屏，并加盖单位公章，做入投标文件中）；</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5.拟投标人不存在严重违规或被列入招标人“黑名单”的声明；</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6.拟投标人2022年-2024年经会计师事务所审计且出具无保留意见的财务审计报告，并加盖公章，包括但不限于报告页、经审计的资产负债表、利润表、现金流量表及报表附注；</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7.企业人员与能力：具备博士学位或高级工程师及以上职称人员，且硕士研究生及以上学历或中级工程师职称及以上人员的数量超过20人。</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业绩：2023年8月-2025年8月期间，拟投标人在国家级权威检测机构或整车企业至少有10份1MW测试设备业绩，其中至少1份业绩不低于400万元；具备充放电设备和温箱或水冷设备集成能力并提供相关证明；报名及投标时需提供用户清单，同时需提供用户合同复印件或发票。业绩以合同签订时间为准。</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8.拟投标人近三年内在经营活动中无与本项目有关的违法及重大违规情况；</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9.拟投标人须认可招标人的工作指令，包括节、假日能正常开展工作的要求；</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10.拟投标人最近半年纳税正常；</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11.没有被我公司列入黑名单；</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12.拟投标人信用证明材料（信用报告）未显示异常；</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13.拟投标人的直接或间接股东、法定代表人、董事、监事、高管非重汽员工及其亲属；</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14.投标方在本项目所使用控制软件必须具备完全的自主知识产权，投标方需提供相关证明材料，包括软件的专利证书、著作权登记证明等，以证明其软件具备自主知识产权。</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15.本项目不接受联合体投标，拟投标人必须是最终投标单位和签订合同单位，不得以任何理由将已中标项目以任何形式分包或转包给其他单位。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8</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21</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前；</w:t>
            </w:r>
          </w:p>
          <w:p>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sz w:val="24"/>
                <w:szCs w:val="24"/>
              </w:rPr>
              <w:t>前；</w:t>
            </w:r>
          </w:p>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1.13准备资料并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highlight w:val="yellow"/>
              </w:rPr>
            </w:pPr>
            <w:r>
              <w:rPr>
                <w:rFonts w:hint="eastAsia" w:eastAsia="宋体" w:cs="宋体"/>
                <w:b/>
                <w:bCs/>
              </w:rPr>
              <w:t>应标截止时间：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p>
          <w:p>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（电子版为纸质盖章版的扫描件或加盖电子章）</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ind w:firstLine="480" w:firstLineChars="200"/>
              <w:rPr>
                <w:rFonts w:hint="eastAsia" w:eastAsia="宋体" w:cs="宋体"/>
                <w:bCs/>
                <w:sz w:val="24"/>
                <w:szCs w:val="24"/>
              </w:rPr>
            </w:pPr>
            <w:r>
              <w:rPr>
                <w:rFonts w:hint="eastAsia" w:eastAsia="宋体" w:cs="宋体"/>
                <w:bCs/>
                <w:sz w:val="24"/>
                <w:szCs w:val="24"/>
              </w:rPr>
              <w:t>如选择到场参与开标，自行携带纸质投标文件于开标前至开标地点即可。</w:t>
            </w:r>
          </w:p>
          <w:p>
            <w:pPr>
              <w:ind w:firstLine="480" w:firstLineChars="200"/>
              <w:rPr>
                <w:rFonts w:hint="eastAsia" w:eastAsia="宋体" w:cs="宋体"/>
                <w:bCs/>
                <w:sz w:val="24"/>
                <w:szCs w:val="24"/>
              </w:rPr>
            </w:pPr>
            <w:r>
              <w:rPr>
                <w:rFonts w:hint="eastAsia" w:eastAsia="宋体" w:cs="宋体"/>
                <w:bCs/>
                <w:sz w:val="24"/>
                <w:szCs w:val="24"/>
              </w:rPr>
              <w:t>如选择线上参与开标，纸质投标文件需在开标日前两天，邮寄到指定地址。</w:t>
            </w:r>
          </w:p>
          <w:p>
            <w:pPr>
              <w:pStyle w:val="20"/>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pPr>
              <w:pStyle w:val="20"/>
              <w:rPr>
                <w:rFonts w:hint="eastAsia"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hAnsi="宋体" w:eastAsia="宋体" w:cs="Times New Roman"/>
                <w:b/>
                <w:bCs/>
                <w:color w:val="000000"/>
                <w:sz w:val="24"/>
                <w:szCs w:val="24"/>
                <w:lang w:val="en-US" w:eastAsia="zh-CN"/>
              </w:rPr>
              <w:t>赵力/17860606595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同时要求投标人对纸版标书做出修正或澄清。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0"/>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9</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4</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pPr>
              <w:pStyle w:val="20"/>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人民币20000.00元</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中国建设银行股份有限公司济南天桥支行</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pPr>
              <w:ind w:firstLine="482" w:firstLineChars="200"/>
              <w:rPr>
                <w:rFonts w:hint="eastAsia"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9</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4</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r>
              <w:rPr>
                <w:rFonts w:hint="eastAsia" w:ascii="宋体" w:hAnsi="宋体" w:eastAsia="宋体" w:cs="宋体"/>
                <w:kern w:val="0"/>
                <w:sz w:val="24"/>
                <w:szCs w:val="24"/>
                <w:highlight w:val="yellow"/>
              </w:rPr>
              <w:t>。</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评标方法：资质标审核→唱标→技术标评审→商务标评审。综合评分最高</w:t>
            </w:r>
            <w:r>
              <w:rPr>
                <w:rFonts w:hint="eastAsia" w:ascii="宋体" w:hAnsi="宋体" w:eastAsia="宋体" w:cs="Times New Roman"/>
                <w:b/>
                <w:bCs/>
                <w:color w:val="000000"/>
                <w:sz w:val="24"/>
                <w:szCs w:val="24"/>
              </w:rPr>
              <w:t>中标</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pPr>
              <w:pStyle w:val="20"/>
              <w:ind w:firstLine="480" w:firstLineChars="200"/>
              <w:rPr>
                <w:rFonts w:hint="eastAsia" w:hAnsi="宋体" w:eastAsia="宋体" w:cs="宋体"/>
                <w:color w:val="000000"/>
                <w:sz w:val="24"/>
                <w:szCs w:val="24"/>
              </w:rPr>
            </w:pPr>
            <w:r>
              <w:rPr>
                <w:rFonts w:hint="eastAsia" w:hAnsi="宋体" w:eastAsia="宋体" w:cs="宋体"/>
                <w:sz w:val="24"/>
                <w:szCs w:val="24"/>
              </w:rPr>
              <w:t>2025年</w:t>
            </w:r>
            <w:r>
              <w:rPr>
                <w:rFonts w:hint="eastAsia" w:hAnsi="宋体" w:eastAsia="宋体" w:cs="宋体"/>
                <w:sz w:val="24"/>
                <w:szCs w:val="24"/>
                <w:highlight w:val="yellow"/>
              </w:rPr>
              <w:t>12</w:t>
            </w:r>
            <w:r>
              <w:rPr>
                <w:rFonts w:hint="eastAsia" w:hAnsi="宋体" w:eastAsia="宋体" w:cs="宋体"/>
                <w:sz w:val="24"/>
                <w:szCs w:val="24"/>
              </w:rPr>
              <w:t>月底之前交货至供货地点</w:t>
            </w:r>
            <w:r>
              <w:rPr>
                <w:rFonts w:hint="eastAsia" w:hAnsi="宋体" w:eastAsia="宋体" w:cs="宋体"/>
                <w:color w:val="000000"/>
                <w:sz w:val="24"/>
                <w:szCs w:val="24"/>
              </w:rPr>
              <w:t>。</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rPr>
              <w:t>45个日历日</w:t>
            </w:r>
            <w:r>
              <w:rPr>
                <w:rFonts w:hint="eastAsia" w:hAnsi="宋体" w:eastAsia="宋体" w:cs="宋体"/>
                <w:color w:val="000000"/>
                <w:sz w:val="24"/>
                <w:szCs w:val="24"/>
              </w:rPr>
              <w:t>之内安装调试完毕。</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接续80个日历日内，完成终验收。</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20"/>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highlight w:val="yellow"/>
                <w:u w:val="single"/>
              </w:rPr>
              <w:t>济南市莱芜区口镇重汽工业园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0"/>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pStyle w:val="20"/>
              <w:shd w:val="clear" w:color="auto" w:fill="FFFF00"/>
              <w:ind w:firstLine="482"/>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A.合同签订生效后，中标人提交金额为合同价款</w:t>
            </w:r>
            <w:r>
              <w:rPr>
                <w:rFonts w:hint="eastAsia" w:ascii="宋体" w:hAnsi="宋体" w:eastAsia="宋体" w:cs="宋体"/>
                <w:b/>
                <w:bCs/>
                <w:color w:val="000000"/>
                <w:sz w:val="24"/>
                <w:szCs w:val="24"/>
                <w:highlight w:val="yellow"/>
              </w:rPr>
              <w:t>30%</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rPr>
              <w:t>30%</w:t>
            </w:r>
            <w:r>
              <w:rPr>
                <w:rFonts w:hint="eastAsia" w:ascii="宋体" w:hAnsi="宋体" w:eastAsia="宋体" w:cs="宋体"/>
                <w:color w:val="000000"/>
                <w:sz w:val="24"/>
                <w:szCs w:val="24"/>
                <w:highlight w:val="yellow"/>
              </w:rPr>
              <w:t>的增值税专用发票（含复印件二份），经招标人依照财务制度审核通过后30日支付；</w:t>
            </w:r>
          </w:p>
          <w:p>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B.设备全部到齐，且验收合格后，中标人提交金额为合同价款</w:t>
            </w:r>
            <w:r>
              <w:rPr>
                <w:rFonts w:hint="eastAsia" w:ascii="宋体" w:hAnsi="宋体" w:eastAsia="宋体" w:cs="宋体"/>
                <w:b/>
                <w:bCs/>
                <w:color w:val="000000"/>
                <w:sz w:val="24"/>
                <w:szCs w:val="24"/>
                <w:highlight w:val="yellow"/>
              </w:rPr>
              <w:t>60%</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rPr>
              <w:t>70%</w:t>
            </w:r>
            <w:r>
              <w:rPr>
                <w:rFonts w:hint="eastAsia" w:ascii="宋体" w:hAnsi="宋体" w:eastAsia="宋体" w:cs="宋体"/>
                <w:color w:val="000000"/>
                <w:sz w:val="24"/>
                <w:szCs w:val="24"/>
                <w:highlight w:val="yellow"/>
              </w:rPr>
              <w:t>的增值税专用发票（含复印件二份），经招标人依照财务制度审核通过后30日支付；</w:t>
            </w:r>
          </w:p>
          <w:p>
            <w:pPr>
              <w:ind w:firstLine="480" w:firstLineChars="200"/>
              <w:rPr>
                <w:rFonts w:hint="eastAsia" w:ascii="宋体" w:hAnsi="宋体" w:eastAsia="宋体" w:cs="宋体"/>
                <w:sz w:val="24"/>
                <w:szCs w:val="24"/>
              </w:rPr>
            </w:pPr>
            <w:r>
              <w:rPr>
                <w:rFonts w:hint="eastAsia" w:hAnsi="宋体" w:eastAsia="宋体" w:cs="宋体"/>
                <w:color w:val="000000"/>
                <w:sz w:val="24"/>
                <w:szCs w:val="24"/>
                <w:highlight w:val="yellow"/>
              </w:rPr>
              <w:t>C.合同总价款的10</w:t>
            </w:r>
            <w:r>
              <w:rPr>
                <w:rFonts w:hint="eastAsia" w:ascii="宋体" w:hAnsi="宋体" w:eastAsia="宋体" w:cs="宋体"/>
                <w:b/>
                <w:bCs/>
                <w:color w:val="000000"/>
                <w:sz w:val="24"/>
                <w:szCs w:val="24"/>
                <w:highlight w:val="yellow"/>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rPr>
              <w:t>10%</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rPr>
              <w:t>（本项目开票信息，由合同签约单位提供）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3"/>
              <w:jc w:val="center"/>
              <w:rPr>
                <w:rFonts w:hint="eastAsia"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pPr>
        <w:pStyle w:val="20"/>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0"/>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0"/>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0"/>
        <w:spacing w:line="360" w:lineRule="auto"/>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pPr>
        <w:pStyle w:val="20"/>
        <w:spacing w:line="360" w:lineRule="auto"/>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—2020）。</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5"/>
        <w:ind w:firstLine="480"/>
        <w:rPr>
          <w:rFonts w:hint="eastAsia" w:eastAsia="宋体" w:cs="宋体"/>
        </w:rPr>
      </w:pPr>
      <w:r>
        <w:rPr>
          <w:rFonts w:hint="eastAsia" w:eastAsia="宋体" w:cs="宋体"/>
        </w:rPr>
        <w:t>4.2招标人银行账户信息如下：见《投标须知前附表》4.2。</w:t>
      </w:r>
    </w:p>
    <w:p>
      <w:pPr>
        <w:pStyle w:val="115"/>
        <w:ind w:firstLine="480"/>
        <w:rPr>
          <w:rFonts w:hint="eastAsia" w:eastAsia="宋体" w:cs="宋体"/>
        </w:rPr>
      </w:pPr>
      <w:r>
        <w:rPr>
          <w:rFonts w:hint="eastAsia" w:eastAsia="宋体" w:cs="宋体"/>
        </w:rPr>
        <w:t>转账附言：公司名称+项目名称+投标保证金；</w:t>
      </w:r>
    </w:p>
    <w:p>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5"/>
        <w:ind w:firstLine="480"/>
        <w:rPr>
          <w:rFonts w:hint="eastAsia" w:eastAsia="宋体" w:cs="宋体"/>
        </w:rPr>
      </w:pPr>
      <w:r>
        <w:rPr>
          <w:rFonts w:hint="eastAsia" w:eastAsia="宋体" w:cs="宋体"/>
        </w:rPr>
        <w:t>4.3说明</w:t>
      </w:r>
    </w:p>
    <w:p>
      <w:pPr>
        <w:pStyle w:val="115"/>
        <w:ind w:firstLine="480"/>
        <w:rPr>
          <w:rFonts w:hint="eastAsia" w:eastAsia="宋体" w:cs="宋体"/>
        </w:rPr>
      </w:pPr>
      <w:r>
        <w:rPr>
          <w:rFonts w:hint="eastAsia" w:eastAsia="宋体" w:cs="宋体"/>
        </w:rPr>
        <w:t>4.3.1 投标人在向招标人出示《投标保证金缴纳凭证》后方可进行投标；</w:t>
      </w:r>
    </w:p>
    <w:p>
      <w:pPr>
        <w:pStyle w:val="115"/>
        <w:ind w:firstLine="480"/>
        <w:rPr>
          <w:rFonts w:hint="eastAsia" w:eastAsia="宋体" w:cs="宋体"/>
        </w:rPr>
      </w:pPr>
      <w:r>
        <w:rPr>
          <w:rFonts w:hint="eastAsia" w:eastAsia="宋体" w:cs="宋体"/>
        </w:rPr>
        <w:t>4.3.2 发生以下情况时，招标人有权没收保证金：</w:t>
      </w:r>
    </w:p>
    <w:p>
      <w:pPr>
        <w:pStyle w:val="115"/>
        <w:ind w:firstLine="480"/>
        <w:rPr>
          <w:rFonts w:hint="eastAsia" w:eastAsia="宋体" w:cs="宋体"/>
        </w:rPr>
      </w:pPr>
      <w:r>
        <w:rPr>
          <w:rFonts w:hint="eastAsia" w:eastAsia="宋体" w:cs="宋体"/>
        </w:rPr>
        <w:t>4.3.2.1 截至开标前3天，投标人无正当理由且未以书面形式递交说明而在投标截止日不来投标的；</w:t>
      </w:r>
    </w:p>
    <w:p>
      <w:pPr>
        <w:pStyle w:val="115"/>
        <w:ind w:firstLine="480"/>
        <w:rPr>
          <w:rFonts w:hint="eastAsia" w:eastAsia="宋体" w:cs="宋体"/>
        </w:rPr>
      </w:pPr>
      <w:r>
        <w:rPr>
          <w:rFonts w:hint="eastAsia" w:eastAsia="宋体" w:cs="宋体"/>
        </w:rPr>
        <w:t>4.3.2.2 投标人递送投标文件后，无正当理由放弃投标的；</w:t>
      </w:r>
    </w:p>
    <w:p>
      <w:pPr>
        <w:pStyle w:val="115"/>
        <w:ind w:firstLine="480"/>
        <w:rPr>
          <w:rFonts w:hint="eastAsia" w:eastAsia="宋体" w:cs="宋体"/>
        </w:rPr>
      </w:pPr>
      <w:r>
        <w:rPr>
          <w:rFonts w:hint="eastAsia" w:eastAsia="宋体" w:cs="宋体"/>
        </w:rPr>
        <w:t>4.3.2.3若为视频开标，招标过程中澄清函等资料原件未按要求提交的；</w:t>
      </w:r>
    </w:p>
    <w:p>
      <w:pPr>
        <w:pStyle w:val="115"/>
        <w:ind w:firstLine="480"/>
        <w:rPr>
          <w:rFonts w:hint="eastAsia" w:eastAsia="宋体" w:cs="宋体"/>
        </w:rPr>
      </w:pPr>
      <w:r>
        <w:rPr>
          <w:rFonts w:hint="eastAsia" w:eastAsia="宋体" w:cs="宋体"/>
        </w:rPr>
        <w:t>4.3.2.4自中标通知书发出之日起30日内，中标人无正当理由不签订合同的；</w:t>
      </w:r>
    </w:p>
    <w:p>
      <w:pPr>
        <w:pStyle w:val="115"/>
        <w:ind w:firstLine="480"/>
        <w:rPr>
          <w:rFonts w:hint="eastAsia" w:eastAsia="宋体" w:cs="宋体"/>
        </w:rPr>
      </w:pPr>
      <w:r>
        <w:rPr>
          <w:rFonts w:hint="eastAsia" w:eastAsia="宋体" w:cs="宋体"/>
        </w:rPr>
        <w:t>4.3.2.5供应商在响应文件中提供虚假材料的；</w:t>
      </w:r>
    </w:p>
    <w:p>
      <w:pPr>
        <w:pStyle w:val="115"/>
        <w:ind w:firstLine="480"/>
        <w:rPr>
          <w:rFonts w:hint="eastAsia" w:eastAsia="宋体" w:cs="宋体"/>
        </w:rPr>
      </w:pPr>
      <w:r>
        <w:rPr>
          <w:rFonts w:hint="eastAsia" w:eastAsia="宋体" w:cs="宋体"/>
        </w:rPr>
        <w:t>4.3.2.6投标人在投标过程中被查实有串标、围标、陪标等违规违纪行为的；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4.3.2.7投标人有违约违规行为或被投诉、举报的，在调查处理期间，保证金暂不退还，待调查处理结束后按有关规定处理。</w:t>
      </w:r>
    </w:p>
    <w:p>
      <w:pPr>
        <w:pStyle w:val="115"/>
        <w:ind w:firstLine="480"/>
        <w:rPr>
          <w:rFonts w:hint="eastAsia" w:eastAsia="宋体" w:cs="宋体"/>
        </w:rPr>
      </w:pPr>
      <w:r>
        <w:rPr>
          <w:rFonts w:hint="eastAsia" w:eastAsia="宋体" w:cs="宋体"/>
        </w:rPr>
        <w:t>4.4投标报名截止时间</w:t>
      </w:r>
    </w:p>
    <w:p>
      <w:pPr>
        <w:pStyle w:val="115"/>
        <w:ind w:firstLine="480"/>
        <w:rPr>
          <w:rFonts w:hint="eastAsia" w:eastAsia="宋体" w:cs="宋体"/>
        </w:rPr>
      </w:pPr>
      <w:r>
        <w:rPr>
          <w:rFonts w:hint="eastAsia" w:eastAsia="宋体" w:cs="宋体"/>
        </w:rPr>
        <w:t>报名方式：见《投标须知前附表》2.3。</w:t>
      </w:r>
    </w:p>
    <w:p>
      <w:pPr>
        <w:pStyle w:val="115"/>
        <w:ind w:firstLine="480"/>
        <w:rPr>
          <w:rFonts w:hint="eastAsia"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pPr>
        <w:spacing w:line="360" w:lineRule="auto"/>
        <w:jc w:val="left"/>
        <w:outlineLvl w:val="1"/>
        <w:rPr>
          <w:rFonts w:hint="eastAsia" w:ascii="宋体" w:hAnsi="宋体" w:eastAsia="宋体" w:cs="宋体"/>
          <w:b/>
          <w:sz w:val="24"/>
          <w:szCs w:val="24"/>
        </w:rPr>
      </w:pPr>
      <w:bookmarkStart w:id="6" w:name="_Toc33265752"/>
      <w:bookmarkStart w:id="7" w:name="_Toc33285487"/>
      <w:bookmarkStart w:id="8" w:name="_Toc33267001"/>
      <w:bookmarkStart w:id="9" w:name="_Toc33266950"/>
      <w:bookmarkStart w:id="10" w:name="_Toc33266914"/>
      <w:bookmarkStart w:id="11" w:name="_Toc33266627"/>
      <w:bookmarkStart w:id="12" w:name="_Toc33265653"/>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pPr>
        <w:adjustRightInd w:val="0"/>
        <w:snapToGrid w:val="0"/>
        <w:spacing w:line="360" w:lineRule="auto"/>
        <w:ind w:firstLine="480" w:firstLineChars="200"/>
        <w:rPr>
          <w:rFonts w:hint="eastAsia" w:ascii="宋体" w:hAnsi="宋体" w:eastAsia="宋体" w:cs="宋体"/>
          <w:b/>
          <w:color w:val="000000"/>
          <w:sz w:val="24"/>
          <w:szCs w:val="24"/>
        </w:rPr>
      </w:pPr>
      <w:bookmarkStart w:id="14" w:name="_Toc33267002"/>
      <w:bookmarkStart w:id="15" w:name="_Toc33266628"/>
      <w:bookmarkStart w:id="16" w:name="_Toc33285489"/>
      <w:bookmarkStart w:id="17" w:name="_Toc33265654"/>
      <w:bookmarkStart w:id="18" w:name="_Toc33266915"/>
      <w:bookmarkStart w:id="19" w:name="_Toc33266951"/>
      <w:bookmarkStart w:id="20" w:name="_Toc395116634"/>
      <w:bookmarkStart w:id="21" w:name="_Toc33265753"/>
      <w:r>
        <w:rPr>
          <w:rFonts w:hint="eastAsia" w:ascii="宋体" w:hAnsi="宋体" w:eastAsia="宋体" w:cs="宋体"/>
          <w:sz w:val="24"/>
          <w:szCs w:val="24"/>
        </w:rPr>
        <w:t>本次招标采用</w:t>
      </w:r>
      <w:r>
        <w:rPr>
          <w:rFonts w:hint="eastAsia" w:ascii="宋体" w:hAnsi="宋体" w:eastAsia="宋体" w:cs="Times New Roman"/>
          <w:sz w:val="24"/>
          <w:szCs w:val="24"/>
        </w:rPr>
        <w:t>综合评价法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w:t>
      </w:r>
      <w:r>
        <w:rPr>
          <w:rFonts w:hint="eastAsia" w:ascii="宋体" w:hAnsi="宋体" w:eastAsia="宋体" w:cs="Times New Roman"/>
          <w:color w:val="000000"/>
          <w:sz w:val="24"/>
          <w:szCs w:val="24"/>
          <w:highlight w:val="yellow"/>
        </w:rPr>
        <w:t>对招标</w:t>
      </w:r>
      <w:r>
        <w:rPr>
          <w:rFonts w:hint="eastAsia" w:ascii="Calibri" w:hAnsi="Calibri" w:eastAsia="宋体" w:cs="Times New Roman"/>
          <w:color w:val="000000"/>
          <w:sz w:val="24"/>
          <w:szCs w:val="24"/>
          <w:highlight w:val="yellow"/>
        </w:rPr>
        <w:t>文件中规定的各项因素进行综合评审，</w:t>
      </w:r>
      <w:r>
        <w:rPr>
          <w:rFonts w:hint="eastAsia" w:ascii="Calibri" w:hAnsi="宋体" w:eastAsia="宋体" w:cs="Times New Roman"/>
          <w:color w:val="000000"/>
          <w:sz w:val="24"/>
          <w:szCs w:val="24"/>
          <w:highlight w:val="yellow"/>
        </w:rPr>
        <w:t>确定中标人</w:t>
      </w:r>
      <w:r>
        <w:rPr>
          <w:rFonts w:hint="eastAsia" w:ascii="Calibri" w:hAnsi="宋体" w:eastAsia="宋体" w:cs="Times New Roman"/>
          <w:b/>
          <w:color w:val="000000"/>
          <w:sz w:val="24"/>
          <w:szCs w:val="24"/>
          <w:highlight w:val="yellow"/>
        </w:rPr>
        <w:t>（不保证最低价格中标）</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0"/>
        <w:spacing w:line="360" w:lineRule="auto"/>
        <w:ind w:firstLine="482" w:firstLineChars="200"/>
        <w:rPr>
          <w:rFonts w:hint="eastAsia"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pPr>
        <w:numPr>
          <w:ilvl w:val="0"/>
          <w:numId w:val="7"/>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pPr>
        <w:numPr>
          <w:ilvl w:val="0"/>
          <w:numId w:val="8"/>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9"/>
        </w:numPr>
        <w:spacing w:line="360" w:lineRule="auto"/>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10"/>
        </w:numPr>
        <w:spacing w:line="360" w:lineRule="auto"/>
        <w:rPr>
          <w:rFonts w:hint="eastAsia" w:ascii="宋体" w:hAnsi="宋体" w:eastAsia="宋体" w:cs="宋体"/>
          <w:b/>
          <w:sz w:val="24"/>
          <w:szCs w:val="24"/>
        </w:rPr>
      </w:pPr>
      <w:r>
        <w:rPr>
          <w:rFonts w:hint="eastAsia" w:ascii="宋体" w:hAnsi="宋体" w:eastAsia="宋体" w:cs="Times New Roman"/>
          <w:b/>
          <w:color w:val="000000"/>
          <w:sz w:val="24"/>
          <w:szCs w:val="24"/>
          <w:highlight w:val="yellow"/>
        </w:rPr>
        <w:t>综合评价</w:t>
      </w:r>
      <w:r>
        <w:rPr>
          <w:rFonts w:hint="eastAsia" w:ascii="宋体" w:hAnsi="宋体" w:eastAsia="宋体" w:cs="宋体"/>
          <w:b/>
          <w:sz w:val="24"/>
          <w:szCs w:val="24"/>
          <w:highlight w:val="yellow"/>
        </w:rPr>
        <w:t>：</w:t>
      </w:r>
      <w:r>
        <w:rPr>
          <w:rFonts w:hint="eastAsia" w:ascii="宋体" w:hAnsi="宋体" w:eastAsia="宋体" w:cs="Times New Roman"/>
          <w:b/>
          <w:color w:val="000000"/>
          <w:sz w:val="24"/>
          <w:szCs w:val="24"/>
          <w:highlight w:val="yellow"/>
        </w:rPr>
        <w:t>根据技术标和商务标综合得分，择优选择供应商</w:t>
      </w:r>
      <w:r>
        <w:rPr>
          <w:rFonts w:hint="eastAsia" w:ascii="宋体" w:hAnsi="宋体" w:eastAsia="宋体" w:cs="宋体"/>
          <w:b/>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0"/>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5"/>
      <w:bookmarkStart w:id="24" w:name="OLE_LINK26"/>
      <w:bookmarkStart w:id="25" w:name="OLE_LINK28"/>
      <w:bookmarkStart w:id="26" w:name="OLE_LINK29"/>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0"/>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0"/>
        <w:spacing w:line="360" w:lineRule="auto"/>
        <w:jc w:val="center"/>
        <w:rPr>
          <w:rFonts w:hint="eastAsia"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eastAsia="宋体" w:cs="宋体"/>
          <w:bCs/>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r>
        <w:rPr>
          <w:rFonts w:hint="eastAsia" w:ascii="宋体" w:hAnsi="宋体" w:eastAsia="宋体" w:cs="宋体"/>
          <w:color w:val="000000"/>
          <w:sz w:val="24"/>
          <w:szCs w:val="24"/>
          <w:highlight w:val="yellow"/>
        </w:rPr>
        <w:t>国内拟投标人具有依法缴纳社会保障资金的良好记录，社保缴纳人数需≥100人（提供2025年6月份社会保险的凭据证明材料复印件）；国外品牌具备良好的信用和业绩</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hAnsi="宋体" w:eastAsia="宋体" w:cs="宋体"/>
          <w:color w:val="000000"/>
          <w:sz w:val="24"/>
          <w:szCs w:val="24"/>
          <w:highlight w:val="yellow"/>
        </w:rPr>
        <w:t>；</w:t>
      </w:r>
      <w:r>
        <w:rPr>
          <w:rFonts w:hint="eastAsia" w:ascii="宋体" w:hAnsi="宋体" w:eastAsia="宋体" w:cs="仿宋_GB2312"/>
          <w:sz w:val="24"/>
          <w:szCs w:val="24"/>
          <w:highlight w:val="yellow"/>
        </w:rPr>
        <w:t>拟投标人必须为国内外知名品牌；截至2025年8月，具有5年以上充放电设备完全自主设计及生产制造能力。本项目不接受代理商或贸易商参与投标，且必须通过ISO9001、ISO14001等质量体系认证，环境管理体系认证和高新技术企业证（提供复印件并加盖公章）</w:t>
      </w:r>
      <w:r>
        <w:rPr>
          <w:rFonts w:hint="eastAsia" w:ascii="宋体" w:hAnsi="宋体" w:eastAsia="宋体" w:cs="Times New Roman"/>
          <w:sz w:val="24"/>
          <w:szCs w:val="24"/>
          <w:highlight w:val="yellow"/>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Times New Roman"/>
          <w:sz w:val="24"/>
          <w:szCs w:val="24"/>
        </w:rPr>
        <w:t>投标方信用记录良好，无失信被执行人记录、无采购违法、受行政处罚等行为。（提供在信用中国官网、中国政府采购网、中国执行信息公开网、国家税务总局网站的信息查询结果截屏，并加盖单位公章，做入投标文件中</w:t>
      </w:r>
      <w:r>
        <w:rPr>
          <w:rFonts w:hint="eastAsia" w:ascii="宋体" w:hAnsi="宋体" w:eastAsia="宋体" w:cs="宋体"/>
          <w:color w:val="000000"/>
          <w:sz w:val="24"/>
          <w:szCs w:val="24"/>
        </w:rPr>
        <w:t>；</w:t>
      </w:r>
      <w:r>
        <w:rPr>
          <w:rFonts w:hint="eastAsia" w:ascii="宋体" w:hAnsi="宋体" w:eastAsia="宋体" w:cs="宋体"/>
          <w:color w:val="000000"/>
          <w:sz w:val="24"/>
          <w:szCs w:val="24"/>
          <w:highlight w:val="yellow"/>
        </w:rPr>
        <w:t>（附投标当日系统内相关截图）；</w:t>
      </w:r>
    </w:p>
    <w:p>
      <w:pPr>
        <w:spacing w:line="360" w:lineRule="auto"/>
        <w:ind w:firstLine="480" w:firstLineChars="200"/>
        <w:rPr>
          <w:rFonts w:hint="eastAsia"/>
        </w:rPr>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（信用报告）</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w:t>
      </w:r>
      <w:r>
        <w:rPr>
          <w:rFonts w:hint="eastAsia" w:ascii="宋体" w:hAnsi="宋体" w:eastAsia="宋体" w:cs="宋体"/>
          <w:sz w:val="24"/>
          <w:szCs w:val="24"/>
        </w:rPr>
        <w:t>投标方在本项目所使用控制软件必须具备完全的自主知识产权，投标方需提供相关证明材料，包括软件的专利证书、著作权登记证明等，以证明其软件具备自主知识产权</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highlight w:val="yellow"/>
        </w:rPr>
        <w:t>.12 2023年8月1日至今，企业同类项目业绩证明，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highlight w:val="yellow"/>
        </w:rPr>
        <w:t>；且</w:t>
      </w:r>
      <w:r>
        <w:rPr>
          <w:rFonts w:hint="eastAsia" w:ascii="宋体" w:hAnsi="宋体" w:eastAsia="宋体" w:cs="仿宋_GB2312"/>
          <w:sz w:val="24"/>
          <w:szCs w:val="24"/>
          <w:highlight w:val="yellow"/>
        </w:rPr>
        <w:t>拟投标人在国家级权威检测机构或整车企业至少有10份1MW测试设备业绩，其中至少1份业绩不低于400万元</w:t>
      </w:r>
      <w:r>
        <w:rPr>
          <w:rFonts w:hint="eastAsia" w:ascii="宋体" w:hAnsi="宋体" w:eastAsia="宋体" w:cs="宋体"/>
          <w:color w:val="FF0000"/>
          <w:sz w:val="24"/>
          <w:szCs w:val="24"/>
          <w:highlight w:val="yellow"/>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w:t>
      </w:r>
      <w:r>
        <w:rPr>
          <w:rFonts w:hint="eastAsia" w:hAnsi="宋体" w:eastAsia="宋体" w:cs="宋体"/>
          <w:b/>
          <w:color w:val="000000"/>
          <w:sz w:val="24"/>
          <w:szCs w:val="24"/>
          <w:highlight w:val="yellow"/>
        </w:rPr>
        <w:t>；</w:t>
      </w:r>
    </w:p>
    <w:p>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2.3</w:t>
      </w:r>
      <w:r>
        <w:rPr>
          <w:rFonts w:hint="eastAsia" w:ascii="宋体" w:hAnsi="宋体" w:eastAsia="宋体" w:cs="宋体"/>
          <w:b/>
          <w:bCs/>
          <w:kern w:val="0"/>
          <w:sz w:val="24"/>
          <w:szCs w:val="20"/>
        </w:rPr>
        <w:t>提供本项目生命周期内所涉及到所有备品备件、易损件和专用耗材明细表（附件5-3），用于质保期外，招标人能够根据清单快速找到同规格产品。</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2.4提供</w:t>
      </w:r>
      <w:r>
        <w:rPr>
          <w:rFonts w:hint="eastAsia" w:ascii="宋体" w:hAnsi="宋体" w:eastAsia="宋体" w:cs="宋体"/>
          <w:color w:val="000000"/>
          <w:sz w:val="24"/>
          <w:szCs w:val="24"/>
          <w:highlight w:val="yellow"/>
        </w:rPr>
        <w:t>2023年8月1日</w:t>
      </w:r>
      <w:r>
        <w:rPr>
          <w:rFonts w:hint="eastAsia" w:ascii="宋体" w:hAnsi="宋体" w:eastAsia="宋体" w:cs="宋体"/>
          <w:color w:val="000000"/>
          <w:sz w:val="24"/>
          <w:szCs w:val="24"/>
        </w:rPr>
        <w:t>以来同类产品的制造销售业绩（附件6，用户名单、联系方式），并附合同复印件。该同类项目业绩一览表必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2.8投标产品技术支持材料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2.10投标人需提交的其它资料；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2.10投标人需提交的其它资料。</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pPr>
        <w:pStyle w:val="20"/>
      </w:pPr>
    </w:p>
    <w:p>
      <w:pPr>
        <w:keepNext/>
        <w:keepLines/>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1000kW级电池系统试验台</w:t>
      </w:r>
    </w:p>
    <w:p>
      <w:pPr>
        <w:tabs>
          <w:tab w:val="left" w:pos="2769"/>
          <w:tab w:val="center" w:pos="4535"/>
        </w:tabs>
        <w:spacing w:line="276" w:lineRule="auto"/>
        <w:jc w:val="left"/>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ab/>
      </w:r>
      <w:r>
        <w:rPr>
          <w:rFonts w:hint="eastAsia" w:ascii="Calibri" w:hAnsi="宋体" w:eastAsia="宋体" w:cs="Times New Roman"/>
          <w:b/>
          <w:bCs/>
          <w:color w:val="000000"/>
          <w:spacing w:val="-8"/>
          <w:sz w:val="48"/>
          <w:szCs w:val="44"/>
        </w:rPr>
        <w:tab/>
      </w:r>
      <w:r>
        <w:rPr>
          <w:rFonts w:hint="eastAsia" w:ascii="Calibri" w:hAnsi="宋体" w:eastAsia="宋体" w:cs="Times New Roman"/>
          <w:b/>
          <w:bCs/>
          <w:color w:val="000000"/>
          <w:spacing w:val="-8"/>
          <w:sz w:val="48"/>
          <w:szCs w:val="44"/>
        </w:rPr>
        <w:t>招标项目</w:t>
      </w:r>
    </w:p>
    <w:p>
      <w:pPr>
        <w:jc w:val="right"/>
        <w:rPr>
          <w:rFonts w:ascii="Calibri" w:hAnsi="Calibri" w:eastAsia="宋体" w:cs="Times New Roman"/>
          <w:color w:val="000000"/>
          <w:sz w:val="28"/>
          <w:szCs w:val="28"/>
        </w:rPr>
      </w:pPr>
    </w:p>
    <w:p>
      <w:pPr>
        <w:pStyle w:val="20"/>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0"/>
      </w:pPr>
    </w:p>
    <w:p>
      <w:pPr>
        <w:pStyle w:val="20"/>
        <w:rPr>
          <w:rFonts w:hint="eastAsia" w:ascii="黑体" w:hAnsi="宋体" w:eastAsia="黑体" w:cs="Times New Roman"/>
          <w:color w:val="000000"/>
          <w:sz w:val="72"/>
          <w:szCs w:val="72"/>
        </w:rPr>
      </w:pPr>
    </w:p>
    <w:p>
      <w:pPr>
        <w:pStyle w:val="20"/>
        <w:rPr>
          <w:rFonts w:hint="eastAsia" w:ascii="黑体" w:hAnsi="宋体" w:eastAsia="黑体" w:cs="Times New Roman"/>
          <w:color w:val="000000"/>
          <w:sz w:val="72"/>
          <w:szCs w:val="72"/>
        </w:rPr>
      </w:pP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0"/>
        <w:rPr>
          <w:b/>
          <w:bCs/>
        </w:rPr>
      </w:pPr>
    </w:p>
    <w:p>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pStyle w:val="15"/>
      </w:pPr>
    </w:p>
    <w:p>
      <w:pPr>
        <w:jc w:val="center"/>
        <w:rPr>
          <w:rFonts w:ascii="Calibri"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rPr>
        <w:t>8月</w:t>
      </w:r>
    </w:p>
    <w:p>
      <w:pPr>
        <w:jc w:val="center"/>
        <w:rPr>
          <w:rFonts w:ascii="Calibri" w:hAnsi="Calibri" w:eastAsia="宋体" w:cs="Times New Roman"/>
          <w:color w:val="000000"/>
          <w:sz w:val="28"/>
          <w:szCs w:val="28"/>
        </w:rPr>
      </w:pPr>
    </w:p>
    <w:p>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480" w:lineRule="exact"/>
        <w:jc w:val="center"/>
        <w:outlineLvl w:val="2"/>
        <w:rPr>
          <w:rFonts w:ascii="Arial" w:hAnsi="Arial" w:eastAsia="宋体" w:cs="Times New Roman"/>
          <w:b/>
          <w:bCs/>
          <w:sz w:val="24"/>
          <w:szCs w:val="24"/>
        </w:rPr>
      </w:pPr>
      <w:bookmarkStart w:id="32"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2"/>
    </w:p>
    <w:p>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一、项目名称：1000kW级</w:t>
      </w:r>
      <w:r>
        <w:rPr>
          <w:rFonts w:hint="eastAsia" w:ascii="宋体" w:hAnsi="宋体" w:eastAsia="宋体"/>
          <w:color w:val="000000"/>
          <w:sz w:val="24"/>
          <w:szCs w:val="24"/>
          <w:u w:val="single"/>
        </w:rPr>
        <w:t>电池系统试验台项目</w:t>
      </w:r>
    </w:p>
    <w:p>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济南市莱芜区产品试验检测中心</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济南市莱芜区产品试验检测中心</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ascii="宋体" w:hAnsi="宋体" w:eastAsia="宋体" w:cs="宋体"/>
          <w:sz w:val="24"/>
          <w:szCs w:val="24"/>
        </w:rPr>
        <w:t>274天、两班制、设备年时基数4380小时</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1.海拔高度：</w:t>
      </w:r>
      <w:r>
        <w:rPr>
          <w:rFonts w:ascii="宋体" w:hAnsi="宋体" w:eastAsia="宋体" w:cs="宋体"/>
          <w:bCs/>
          <w:sz w:val="24"/>
          <w:szCs w:val="24"/>
        </w:rPr>
        <w:t>1000m以下</w:t>
      </w:r>
      <w:r>
        <w:rPr>
          <w:rFonts w:hint="eastAsia" w:ascii="宋体" w:hAnsi="宋体" w:eastAsia="宋体" w:cs="宋体"/>
          <w:bCs/>
          <w:sz w:val="24"/>
          <w:szCs w:val="24"/>
        </w:rPr>
        <w:t>。</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2.环境温度：室外极端最低温度</w:t>
      </w:r>
      <w:r>
        <w:rPr>
          <w:rFonts w:ascii="宋体" w:hAnsi="宋体" w:eastAsia="宋体" w:cs="宋体"/>
          <w:bCs/>
          <w:sz w:val="24"/>
          <w:szCs w:val="24"/>
        </w:rPr>
        <w:t>-20℃、极端最高温度45℃，昼夜最大温差25℃。</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3.相对湿度：年平均</w:t>
      </w:r>
      <w:r>
        <w:rPr>
          <w:rFonts w:ascii="宋体" w:hAnsi="宋体" w:eastAsia="宋体" w:cs="宋体"/>
          <w:bCs/>
          <w:sz w:val="24"/>
          <w:szCs w:val="24"/>
        </w:rPr>
        <w:t>59%，</w:t>
      </w:r>
      <w:r>
        <w:rPr>
          <w:rFonts w:hint="eastAsia" w:ascii="宋体" w:hAnsi="宋体" w:eastAsia="宋体" w:cs="宋体"/>
          <w:bCs/>
          <w:sz w:val="24"/>
          <w:szCs w:val="24"/>
        </w:rPr>
        <w:t>最大95%、最小15%。</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4.</w:t>
      </w:r>
      <w:r>
        <w:rPr>
          <w:rFonts w:ascii="宋体" w:hAnsi="宋体" w:eastAsia="宋体" w:cs="宋体"/>
          <w:bCs/>
          <w:sz w:val="24"/>
          <w:szCs w:val="24"/>
        </w:rPr>
        <w:t>地震设防裂度：七度</w:t>
      </w:r>
      <w:r>
        <w:rPr>
          <w:rFonts w:hint="eastAsia" w:ascii="宋体" w:hAnsi="宋体" w:eastAsia="宋体" w:cs="宋体"/>
          <w:bCs/>
          <w:sz w:val="24"/>
          <w:szCs w:val="24"/>
        </w:rPr>
        <w:t>。</w:t>
      </w:r>
    </w:p>
    <w:p>
      <w:pPr>
        <w:spacing w:line="360" w:lineRule="auto"/>
        <w:outlineLvl w:val="3"/>
        <w:rPr>
          <w:rFonts w:hint="eastAsia" w:ascii="宋体" w:hAnsi="宋体" w:eastAsia="宋体" w:cs="宋体"/>
          <w:bCs/>
          <w:sz w:val="24"/>
          <w:szCs w:val="24"/>
        </w:rPr>
      </w:pPr>
      <w:r>
        <w:rPr>
          <w:rFonts w:hint="eastAsia" w:ascii="宋体" w:hAnsi="宋体" w:eastAsia="宋体" w:cs="宋体"/>
          <w:bCs/>
          <w:sz w:val="24"/>
          <w:szCs w:val="24"/>
        </w:rPr>
        <w:t>六、使用试验室环境条件：</w:t>
      </w:r>
    </w:p>
    <w:p>
      <w:pPr>
        <w:pStyle w:val="20"/>
        <w:spacing w:line="360" w:lineRule="auto"/>
        <w:ind w:firstLine="480"/>
        <w:rPr>
          <w:rFonts w:hint="eastAsia" w:hAnsi="宋体" w:eastAsia="宋体" w:cs="宋体"/>
          <w:bCs/>
          <w:sz w:val="24"/>
          <w:szCs w:val="24"/>
        </w:rPr>
      </w:pPr>
      <w:r>
        <w:rPr>
          <w:rFonts w:hAnsi="宋体" w:eastAsia="宋体" w:cs="宋体"/>
          <w:bCs/>
          <w:sz w:val="24"/>
          <w:szCs w:val="24"/>
        </w:rPr>
        <w:t>1</w:t>
      </w:r>
      <w:r>
        <w:rPr>
          <w:rFonts w:hint="eastAsia" w:hAnsi="宋体" w:eastAsia="宋体" w:cs="宋体"/>
          <w:bCs/>
          <w:sz w:val="24"/>
          <w:szCs w:val="24"/>
        </w:rPr>
        <w:t>.</w:t>
      </w:r>
      <w:r>
        <w:rPr>
          <w:rFonts w:hAnsi="宋体" w:eastAsia="宋体" w:cs="宋体"/>
          <w:bCs/>
          <w:sz w:val="24"/>
          <w:szCs w:val="24"/>
        </w:rPr>
        <w:t>电力：中国制式，供电电压380V±15%。</w:t>
      </w:r>
    </w:p>
    <w:p>
      <w:pPr>
        <w:pStyle w:val="20"/>
        <w:spacing w:line="360" w:lineRule="auto"/>
        <w:ind w:firstLine="480"/>
        <w:rPr>
          <w:rFonts w:hint="eastAsia" w:hAnsi="宋体" w:eastAsia="宋体" w:cs="宋体"/>
          <w:bCs/>
          <w:sz w:val="24"/>
          <w:szCs w:val="24"/>
        </w:rPr>
      </w:pPr>
      <w:r>
        <w:rPr>
          <w:rFonts w:hAnsi="宋体" w:eastAsia="宋体" w:cs="宋体"/>
          <w:bCs/>
          <w:sz w:val="24"/>
          <w:szCs w:val="24"/>
        </w:rPr>
        <w:t>2</w:t>
      </w:r>
      <w:r>
        <w:rPr>
          <w:rFonts w:hint="eastAsia" w:hAnsi="宋体" w:eastAsia="宋体" w:cs="宋体"/>
          <w:bCs/>
          <w:sz w:val="24"/>
          <w:szCs w:val="24"/>
        </w:rPr>
        <w:t>.</w:t>
      </w:r>
      <w:r>
        <w:rPr>
          <w:rFonts w:hAnsi="宋体" w:eastAsia="宋体" w:cs="宋体"/>
          <w:bCs/>
          <w:sz w:val="24"/>
          <w:szCs w:val="24"/>
        </w:rPr>
        <w:t>电力：中国制式，供电电压220V±15%，50Hz±2%。</w:t>
      </w:r>
    </w:p>
    <w:p>
      <w:pPr>
        <w:pStyle w:val="20"/>
        <w:spacing w:line="360" w:lineRule="auto"/>
        <w:ind w:firstLine="480"/>
        <w:rPr>
          <w:rFonts w:hint="eastAsia" w:hAnsi="宋体" w:eastAsia="宋体" w:cs="宋体"/>
          <w:bCs/>
          <w:sz w:val="24"/>
          <w:szCs w:val="24"/>
        </w:rPr>
      </w:pPr>
      <w:r>
        <w:rPr>
          <w:rFonts w:hAnsi="宋体" w:eastAsia="宋体" w:cs="宋体"/>
          <w:bCs/>
          <w:sz w:val="24"/>
          <w:szCs w:val="24"/>
        </w:rPr>
        <w:t>3</w:t>
      </w:r>
      <w:r>
        <w:rPr>
          <w:rFonts w:hint="eastAsia" w:hAnsi="宋体" w:eastAsia="宋体" w:cs="宋体"/>
          <w:bCs/>
          <w:sz w:val="24"/>
          <w:szCs w:val="24"/>
        </w:rPr>
        <w:t>.</w:t>
      </w:r>
      <w:r>
        <w:rPr>
          <w:rFonts w:hAnsi="宋体" w:eastAsia="宋体" w:cs="宋体"/>
          <w:bCs/>
          <w:sz w:val="24"/>
          <w:szCs w:val="24"/>
        </w:rPr>
        <w:t>电力（消防）：中国制式，供电电压220V±15%，50Hz±2%。</w:t>
      </w:r>
    </w:p>
    <w:p>
      <w:pPr>
        <w:pStyle w:val="20"/>
        <w:spacing w:line="360" w:lineRule="auto"/>
        <w:ind w:firstLine="480"/>
        <w:rPr>
          <w:rFonts w:hint="eastAsia" w:hAnsi="宋体" w:eastAsia="宋体" w:cs="宋体"/>
          <w:bCs/>
          <w:sz w:val="24"/>
          <w:szCs w:val="24"/>
        </w:rPr>
      </w:pPr>
      <w:r>
        <w:rPr>
          <w:rFonts w:hAnsi="宋体" w:eastAsia="宋体" w:cs="宋体"/>
          <w:bCs/>
          <w:sz w:val="24"/>
          <w:szCs w:val="24"/>
        </w:rPr>
        <w:t>4</w:t>
      </w:r>
      <w:r>
        <w:rPr>
          <w:rFonts w:hint="eastAsia" w:hAnsi="宋体" w:eastAsia="宋体" w:cs="宋体"/>
          <w:bCs/>
          <w:sz w:val="24"/>
          <w:szCs w:val="24"/>
        </w:rPr>
        <w:t>.</w:t>
      </w:r>
      <w:r>
        <w:rPr>
          <w:rFonts w:hAnsi="宋体" w:eastAsia="宋体" w:cs="宋体"/>
          <w:bCs/>
          <w:sz w:val="24"/>
          <w:szCs w:val="24"/>
        </w:rPr>
        <w:t>给水：市政自来水</w:t>
      </w:r>
      <w:r>
        <w:rPr>
          <w:rFonts w:hint="eastAsia" w:hAnsi="宋体" w:eastAsia="宋体" w:cs="宋体"/>
          <w:bCs/>
          <w:sz w:val="24"/>
          <w:szCs w:val="24"/>
        </w:rPr>
        <w:t>/</w:t>
      </w:r>
      <w:r>
        <w:rPr>
          <w:rFonts w:hAnsi="宋体" w:eastAsia="宋体" w:cs="宋体"/>
          <w:bCs/>
          <w:sz w:val="24"/>
          <w:szCs w:val="24"/>
        </w:rPr>
        <w:t>消防水</w:t>
      </w:r>
      <w:r>
        <w:rPr>
          <w:rFonts w:hint="eastAsia" w:hAnsi="宋体" w:eastAsia="宋体" w:cs="宋体"/>
          <w:bCs/>
          <w:sz w:val="24"/>
          <w:szCs w:val="24"/>
        </w:rPr>
        <w:t>/</w:t>
      </w:r>
      <w:r>
        <w:rPr>
          <w:rFonts w:hAnsi="宋体" w:eastAsia="宋体" w:cs="宋体"/>
          <w:bCs/>
          <w:sz w:val="24"/>
          <w:szCs w:val="24"/>
        </w:rPr>
        <w:t>冷却水</w:t>
      </w:r>
      <w:r>
        <w:rPr>
          <w:rFonts w:hint="eastAsia" w:hAnsi="宋体" w:eastAsia="宋体" w:cs="宋体"/>
          <w:bCs/>
          <w:sz w:val="24"/>
          <w:szCs w:val="24"/>
        </w:rPr>
        <w:t>。</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一、货物名称：1000kW级</w:t>
      </w:r>
      <w:r>
        <w:rPr>
          <w:rFonts w:hint="eastAsia" w:ascii="宋体" w:hAnsi="宋体" w:eastAsia="宋体" w:cs="宋体"/>
          <w:sz w:val="24"/>
          <w:szCs w:val="24"/>
        </w:rPr>
        <w:t>电池系统试验台（详见下表）</w:t>
      </w:r>
    </w:p>
    <w:p>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9"/>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247"/>
        <w:gridCol w:w="3231"/>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2247" w:type="dxa"/>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3231" w:type="dxa"/>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单位</w:t>
            </w:r>
          </w:p>
        </w:tc>
        <w:tc>
          <w:tcPr>
            <w:tcW w:w="1105" w:type="dxa"/>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247" w:type="dxa"/>
          </w:tcPr>
          <w:p>
            <w:pPr>
              <w:spacing w:line="360" w:lineRule="exact"/>
              <w:jc w:val="center"/>
              <w:rPr>
                <w:rFonts w:hint="eastAsia" w:ascii="宋体" w:hAnsi="宋体" w:eastAsia="宋体" w:cs="宋体"/>
                <w:szCs w:val="21"/>
              </w:rPr>
            </w:pPr>
            <w:r>
              <w:rPr>
                <w:rFonts w:hint="eastAsia" w:ascii="宋体" w:hAnsi="宋体" w:eastAsia="宋体" w:cs="宋体"/>
                <w:szCs w:val="21"/>
              </w:rPr>
              <w:t>1000kW充放电机</w:t>
            </w:r>
          </w:p>
        </w:tc>
        <w:tc>
          <w:tcPr>
            <w:tcW w:w="3231"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见第二章技术要求</w:t>
            </w:r>
          </w:p>
        </w:tc>
        <w:tc>
          <w:tcPr>
            <w:tcW w:w="1513"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10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2</w:t>
            </w:r>
          </w:p>
        </w:tc>
        <w:tc>
          <w:tcPr>
            <w:tcW w:w="2247" w:type="dxa"/>
          </w:tcPr>
          <w:p>
            <w:pPr>
              <w:spacing w:line="360" w:lineRule="exact"/>
              <w:jc w:val="center"/>
              <w:rPr>
                <w:rFonts w:hint="eastAsia" w:ascii="宋体" w:hAnsi="宋体" w:eastAsia="宋体" w:cs="宋体"/>
                <w:szCs w:val="21"/>
              </w:rPr>
            </w:pPr>
            <w:r>
              <w:rPr>
                <w:rFonts w:hint="eastAsia" w:ascii="宋体" w:hAnsi="宋体" w:eastAsia="宋体" w:cs="宋体"/>
                <w:szCs w:val="21"/>
              </w:rPr>
              <w:t>电池系统安全环境舱</w:t>
            </w:r>
          </w:p>
        </w:tc>
        <w:tc>
          <w:tcPr>
            <w:tcW w:w="3231"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见第二章技术要求</w:t>
            </w:r>
          </w:p>
        </w:tc>
        <w:tc>
          <w:tcPr>
            <w:tcW w:w="1513"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10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3</w:t>
            </w:r>
          </w:p>
        </w:tc>
        <w:tc>
          <w:tcPr>
            <w:tcW w:w="2247" w:type="dxa"/>
          </w:tcPr>
          <w:p>
            <w:pPr>
              <w:spacing w:line="360" w:lineRule="exact"/>
              <w:jc w:val="center"/>
              <w:rPr>
                <w:rFonts w:hint="eastAsia" w:ascii="宋体" w:hAnsi="宋体" w:eastAsia="宋体" w:cs="宋体"/>
                <w:szCs w:val="21"/>
              </w:rPr>
            </w:pPr>
            <w:r>
              <w:rPr>
                <w:rFonts w:hint="eastAsia" w:ascii="宋体" w:hAnsi="宋体" w:eastAsia="宋体" w:cs="宋体"/>
                <w:szCs w:val="21"/>
              </w:rPr>
              <w:t>冷水机</w:t>
            </w:r>
          </w:p>
        </w:tc>
        <w:tc>
          <w:tcPr>
            <w:tcW w:w="3231"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见第二章技术要求</w:t>
            </w:r>
          </w:p>
        </w:tc>
        <w:tc>
          <w:tcPr>
            <w:tcW w:w="1513"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10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1.本项目由充放电厂家负责设备功能集成和供货，不允许分投分中。</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int="eastAsia" w:hAnsi="宋体" w:eastAsia="宋体" w:cs="宋体"/>
          <w:bCs/>
          <w:sz w:val="24"/>
          <w:szCs w:val="24"/>
        </w:rPr>
      </w:pPr>
      <w:r>
        <w:rPr>
          <w:rFonts w:hint="eastAsia" w:ascii="宋体" w:hAnsi="宋体" w:eastAsia="宋体" w:cs="宋体"/>
          <w:bCs/>
          <w:sz w:val="24"/>
          <w:szCs w:val="24"/>
        </w:rPr>
        <w:t>3.本表所列采购货物的“供货方式”为：交钥匙方式——包括制造、运输、定点卸货、安装、调试和协助验收以及约定培训等。</w:t>
      </w:r>
    </w:p>
    <w:p>
      <w:pPr>
        <w:pStyle w:val="20"/>
        <w:jc w:val="center"/>
        <w:rPr>
          <w:rFonts w:hint="eastAsia" w:hAnsi="宋体" w:eastAsia="宋体" w:cs="宋体"/>
          <w:bCs/>
          <w:sz w:val="24"/>
          <w:szCs w:val="24"/>
        </w:rPr>
      </w:pPr>
      <w:r>
        <w:rPr>
          <w:rFonts w:hint="eastAsia" w:hAnsi="宋体" w:eastAsia="宋体" w:cs="宋体"/>
          <w:bCs/>
          <w:sz w:val="24"/>
          <w:szCs w:val="24"/>
        </w:rPr>
        <w:t>环境舱主要器件品牌表（可选同等或更优质量品牌）</w:t>
      </w:r>
    </w:p>
    <w:p>
      <w:pPr>
        <w:pStyle w:val="20"/>
        <w:rPr>
          <w:rFonts w:hint="eastAsia" w:hAnsi="宋体" w:eastAsia="宋体" w:cs="宋体"/>
          <w:bCs/>
          <w:sz w:val="24"/>
          <w:szCs w:val="24"/>
        </w:rPr>
      </w:pPr>
    </w:p>
    <w:tbl>
      <w:tblPr>
        <w:tblStyle w:val="4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551"/>
        <w:gridCol w:w="3256"/>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olor w:val="000000"/>
                <w:szCs w:val="21"/>
              </w:rPr>
            </w:pPr>
            <w:r>
              <w:rPr>
                <w:rFonts w:ascii="宋体" w:hAnsi="宋体" w:eastAsia="宋体"/>
                <w:kern w:val="0"/>
                <w:szCs w:val="21"/>
              </w:rPr>
              <w:t>序号</w:t>
            </w:r>
          </w:p>
        </w:tc>
        <w:tc>
          <w:tcPr>
            <w:tcW w:w="2551" w:type="dxa"/>
          </w:tcPr>
          <w:p>
            <w:pPr>
              <w:spacing w:line="420" w:lineRule="exact"/>
              <w:jc w:val="center"/>
              <w:rPr>
                <w:rFonts w:hint="eastAsia" w:ascii="宋体" w:hAnsi="宋体" w:eastAsia="宋体"/>
                <w:color w:val="000000"/>
                <w:szCs w:val="21"/>
              </w:rPr>
            </w:pPr>
            <w:r>
              <w:rPr>
                <w:rFonts w:ascii="宋体" w:hAnsi="宋体" w:eastAsia="宋体"/>
                <w:kern w:val="0"/>
                <w:szCs w:val="21"/>
              </w:rPr>
              <w:t>器件名称</w:t>
            </w:r>
          </w:p>
        </w:tc>
        <w:tc>
          <w:tcPr>
            <w:tcW w:w="3256" w:type="dxa"/>
          </w:tcPr>
          <w:p>
            <w:pPr>
              <w:spacing w:line="420" w:lineRule="exact"/>
              <w:jc w:val="center"/>
              <w:rPr>
                <w:rFonts w:hint="eastAsia" w:ascii="宋体" w:hAnsi="宋体" w:eastAsia="宋体"/>
                <w:color w:val="000000"/>
                <w:szCs w:val="21"/>
              </w:rPr>
            </w:pPr>
            <w:r>
              <w:rPr>
                <w:rFonts w:ascii="宋体" w:hAnsi="宋体" w:eastAsia="宋体"/>
                <w:kern w:val="0"/>
                <w:szCs w:val="21"/>
              </w:rPr>
              <w:t>品牌</w:t>
            </w:r>
          </w:p>
        </w:tc>
        <w:tc>
          <w:tcPr>
            <w:tcW w:w="2265" w:type="dxa"/>
          </w:tcPr>
          <w:p>
            <w:pPr>
              <w:spacing w:line="420" w:lineRule="exact"/>
              <w:jc w:val="center"/>
              <w:rPr>
                <w:rFonts w:hint="eastAsia" w:ascii="宋体" w:hAnsi="宋体" w:eastAsia="宋体"/>
                <w:color w:val="000000"/>
                <w:szCs w:val="21"/>
              </w:rPr>
            </w:pPr>
            <w:r>
              <w:rPr>
                <w:rFonts w:ascii="宋体" w:hAnsi="宋体" w:eastAsia="宋体"/>
                <w:kern w:val="0"/>
                <w:szCs w:val="21"/>
              </w:rPr>
              <w:t>品牌原产地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olor w:val="000000"/>
                <w:szCs w:val="21"/>
              </w:rPr>
            </w:pPr>
            <w:r>
              <w:rPr>
                <w:rFonts w:ascii="宋体" w:hAnsi="宋体" w:eastAsia="宋体"/>
                <w:color w:val="000000"/>
                <w:szCs w:val="21"/>
              </w:rPr>
              <w:t>1</w:t>
            </w:r>
          </w:p>
        </w:tc>
        <w:tc>
          <w:tcPr>
            <w:tcW w:w="2551" w:type="dxa"/>
            <w:vAlign w:val="center"/>
          </w:tcPr>
          <w:p>
            <w:pPr>
              <w:spacing w:line="420" w:lineRule="exact"/>
              <w:jc w:val="center"/>
              <w:rPr>
                <w:rFonts w:hint="eastAsia" w:ascii="宋体" w:hAnsi="宋体" w:eastAsia="宋体"/>
                <w:color w:val="000000"/>
                <w:szCs w:val="21"/>
              </w:rPr>
            </w:pPr>
            <w:r>
              <w:rPr>
                <w:rFonts w:hint="eastAsia" w:ascii="宋体" w:hAnsi="宋体" w:eastAsia="宋体"/>
                <w:color w:val="000000"/>
                <w:szCs w:val="21"/>
              </w:rPr>
              <w:t>压缩机</w:t>
            </w:r>
          </w:p>
        </w:tc>
        <w:tc>
          <w:tcPr>
            <w:tcW w:w="3256" w:type="dxa"/>
            <w:vAlign w:val="center"/>
          </w:tcPr>
          <w:p>
            <w:pPr>
              <w:spacing w:line="420" w:lineRule="exact"/>
              <w:jc w:val="center"/>
              <w:rPr>
                <w:rFonts w:hint="eastAsia" w:ascii="宋体" w:hAnsi="宋体" w:eastAsia="宋体"/>
                <w:color w:val="000000"/>
                <w:szCs w:val="21"/>
              </w:rPr>
            </w:pPr>
            <w:r>
              <w:rPr>
                <w:rFonts w:hint="eastAsia" w:ascii="宋体" w:hAnsi="宋体" w:eastAsia="宋体" w:cs="宋体"/>
                <w:color w:val="000000"/>
                <w:kern w:val="0"/>
                <w:szCs w:val="21"/>
              </w:rPr>
              <w:t>B</w:t>
            </w:r>
            <w:r>
              <w:rPr>
                <w:rFonts w:ascii="宋体" w:hAnsi="宋体" w:eastAsia="宋体" w:cs="宋体"/>
                <w:color w:val="000000"/>
                <w:kern w:val="0"/>
                <w:szCs w:val="21"/>
              </w:rPr>
              <w:t>ITZER</w:t>
            </w:r>
          </w:p>
        </w:tc>
        <w:tc>
          <w:tcPr>
            <w:tcW w:w="2265" w:type="dxa"/>
          </w:tcPr>
          <w:p>
            <w:pPr>
              <w:spacing w:line="420" w:lineRule="exact"/>
              <w:jc w:val="center"/>
              <w:rPr>
                <w:rFonts w:hint="eastAsia" w:ascii="宋体" w:hAnsi="宋体" w:eastAsia="宋体"/>
                <w:color w:val="000000"/>
                <w:szCs w:val="21"/>
              </w:rPr>
            </w:pPr>
            <w:r>
              <w:rPr>
                <w:rFonts w:hint="eastAsia" w:ascii="宋体" w:hAnsi="宋体" w:eastAsia="宋体"/>
                <w:color w:val="000000"/>
                <w:szCs w:val="21"/>
              </w:rPr>
              <w:t>德国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olor w:val="000000"/>
                <w:szCs w:val="21"/>
              </w:rPr>
            </w:pPr>
            <w:r>
              <w:rPr>
                <w:rFonts w:ascii="宋体" w:hAnsi="宋体" w:eastAsia="宋体"/>
                <w:color w:val="000000"/>
                <w:szCs w:val="21"/>
              </w:rPr>
              <w:t>2</w:t>
            </w:r>
          </w:p>
        </w:tc>
        <w:tc>
          <w:tcPr>
            <w:tcW w:w="2551" w:type="dxa"/>
            <w:vAlign w:val="center"/>
          </w:tcPr>
          <w:p>
            <w:pPr>
              <w:spacing w:line="420" w:lineRule="exact"/>
              <w:jc w:val="center"/>
              <w:rPr>
                <w:rFonts w:hint="eastAsia" w:ascii="宋体" w:hAnsi="宋体" w:eastAsia="宋体"/>
                <w:color w:val="000000"/>
                <w:szCs w:val="21"/>
              </w:rPr>
            </w:pPr>
            <w:r>
              <w:rPr>
                <w:rFonts w:hint="eastAsia" w:ascii="宋体" w:hAnsi="宋体" w:eastAsia="宋体" w:cs="宋体"/>
                <w:color w:val="000000"/>
                <w:kern w:val="0"/>
                <w:szCs w:val="21"/>
              </w:rPr>
              <w:t>漏电断路器</w:t>
            </w:r>
          </w:p>
        </w:tc>
        <w:tc>
          <w:tcPr>
            <w:tcW w:w="3256" w:type="dxa"/>
            <w:vAlign w:val="center"/>
          </w:tcPr>
          <w:p>
            <w:pPr>
              <w:spacing w:line="420" w:lineRule="exact"/>
              <w:jc w:val="center"/>
              <w:rPr>
                <w:rFonts w:hint="eastAsia" w:ascii="宋体" w:hAnsi="宋体" w:eastAsia="宋体"/>
                <w:color w:val="000000"/>
                <w:szCs w:val="21"/>
              </w:rPr>
            </w:pPr>
            <w:r>
              <w:rPr>
                <w:rFonts w:hint="eastAsia" w:ascii="宋体" w:hAnsi="宋体" w:eastAsia="宋体" w:cs="宋体"/>
                <w:color w:val="000000"/>
                <w:kern w:val="0"/>
                <w:szCs w:val="21"/>
              </w:rPr>
              <w:t>施耐德</w:t>
            </w:r>
          </w:p>
        </w:tc>
        <w:tc>
          <w:tcPr>
            <w:tcW w:w="2265" w:type="dxa"/>
          </w:tcPr>
          <w:p>
            <w:pPr>
              <w:spacing w:line="420" w:lineRule="exact"/>
              <w:jc w:val="center"/>
              <w:rPr>
                <w:rFonts w:hint="eastAsia" w:ascii="宋体" w:hAnsi="宋体" w:eastAsia="宋体"/>
                <w:color w:val="000000"/>
                <w:szCs w:val="21"/>
              </w:rPr>
            </w:pPr>
            <w:r>
              <w:rPr>
                <w:rFonts w:hint="eastAsia" w:ascii="宋体" w:hAnsi="宋体" w:eastAsia="宋体"/>
                <w:color w:val="000000"/>
                <w:szCs w:val="21"/>
              </w:rPr>
              <w:t>法国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olor w:val="000000"/>
                <w:szCs w:val="21"/>
              </w:rPr>
            </w:pPr>
            <w:r>
              <w:rPr>
                <w:rFonts w:ascii="宋体" w:hAnsi="宋体" w:eastAsia="宋体"/>
                <w:color w:val="000000"/>
                <w:szCs w:val="21"/>
              </w:rPr>
              <w:t>3</w:t>
            </w:r>
          </w:p>
        </w:tc>
        <w:tc>
          <w:tcPr>
            <w:tcW w:w="2551" w:type="dxa"/>
            <w:vAlign w:val="center"/>
          </w:tcPr>
          <w:p>
            <w:pPr>
              <w:spacing w:line="420" w:lineRule="exact"/>
              <w:jc w:val="center"/>
              <w:rPr>
                <w:rFonts w:hint="eastAsia" w:ascii="宋体" w:hAnsi="宋体" w:eastAsia="宋体"/>
                <w:color w:val="000000"/>
                <w:szCs w:val="21"/>
              </w:rPr>
            </w:pPr>
            <w:r>
              <w:rPr>
                <w:rFonts w:hint="eastAsia" w:ascii="宋体" w:hAnsi="宋体" w:eastAsia="宋体" w:cs="宋体"/>
                <w:color w:val="000000"/>
                <w:kern w:val="0"/>
                <w:szCs w:val="21"/>
              </w:rPr>
              <w:t>空气开关</w:t>
            </w:r>
          </w:p>
        </w:tc>
        <w:tc>
          <w:tcPr>
            <w:tcW w:w="3256" w:type="dxa"/>
            <w:vAlign w:val="center"/>
          </w:tcPr>
          <w:p>
            <w:pPr>
              <w:spacing w:line="420" w:lineRule="exact"/>
              <w:jc w:val="center"/>
              <w:rPr>
                <w:rFonts w:hint="eastAsia" w:ascii="宋体" w:hAnsi="宋体" w:eastAsia="宋体"/>
                <w:color w:val="000000"/>
                <w:szCs w:val="21"/>
              </w:rPr>
            </w:pPr>
            <w:r>
              <w:rPr>
                <w:rFonts w:hint="eastAsia" w:ascii="宋体" w:hAnsi="宋体" w:eastAsia="宋体" w:cs="宋体"/>
                <w:color w:val="000000"/>
                <w:kern w:val="0"/>
                <w:szCs w:val="21"/>
              </w:rPr>
              <w:t>施耐德</w:t>
            </w:r>
          </w:p>
        </w:tc>
        <w:tc>
          <w:tcPr>
            <w:tcW w:w="2265" w:type="dxa"/>
          </w:tcPr>
          <w:p>
            <w:pPr>
              <w:spacing w:line="420" w:lineRule="exact"/>
              <w:jc w:val="center"/>
              <w:rPr>
                <w:rFonts w:hint="eastAsia" w:ascii="宋体" w:hAnsi="宋体" w:eastAsia="宋体"/>
                <w:color w:val="000000"/>
                <w:szCs w:val="21"/>
              </w:rPr>
            </w:pPr>
            <w:r>
              <w:rPr>
                <w:rFonts w:hint="eastAsia" w:ascii="宋体" w:hAnsi="宋体" w:eastAsia="宋体"/>
                <w:color w:val="000000"/>
                <w:szCs w:val="21"/>
              </w:rPr>
              <w:t>法国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olor w:val="000000"/>
                <w:szCs w:val="21"/>
              </w:rPr>
            </w:pPr>
            <w:r>
              <w:rPr>
                <w:rFonts w:ascii="宋体" w:hAnsi="宋体" w:eastAsia="宋体"/>
                <w:color w:val="000000"/>
                <w:szCs w:val="21"/>
              </w:rPr>
              <w:t>4</w:t>
            </w:r>
          </w:p>
        </w:tc>
        <w:tc>
          <w:tcPr>
            <w:tcW w:w="2551" w:type="dxa"/>
            <w:vAlign w:val="center"/>
          </w:tcPr>
          <w:p>
            <w:pPr>
              <w:spacing w:line="420" w:lineRule="exact"/>
              <w:jc w:val="center"/>
              <w:rPr>
                <w:rFonts w:hint="eastAsia" w:ascii="宋体" w:hAnsi="宋体" w:eastAsia="宋体"/>
                <w:color w:val="000000"/>
                <w:szCs w:val="21"/>
              </w:rPr>
            </w:pPr>
            <w:r>
              <w:rPr>
                <w:rFonts w:hint="eastAsia" w:ascii="宋体" w:hAnsi="宋体" w:eastAsia="宋体" w:cs="宋体"/>
                <w:color w:val="000000"/>
                <w:kern w:val="0"/>
                <w:szCs w:val="21"/>
              </w:rPr>
              <w:t>交流接触器</w:t>
            </w:r>
          </w:p>
        </w:tc>
        <w:tc>
          <w:tcPr>
            <w:tcW w:w="3256" w:type="dxa"/>
            <w:vAlign w:val="center"/>
          </w:tcPr>
          <w:p>
            <w:pPr>
              <w:spacing w:line="420" w:lineRule="exact"/>
              <w:jc w:val="center"/>
              <w:rPr>
                <w:rFonts w:hint="eastAsia" w:ascii="宋体" w:hAnsi="宋体" w:eastAsia="宋体"/>
                <w:color w:val="000000"/>
                <w:szCs w:val="21"/>
              </w:rPr>
            </w:pPr>
            <w:r>
              <w:rPr>
                <w:rFonts w:hint="eastAsia" w:ascii="宋体" w:hAnsi="宋体" w:eastAsia="宋体" w:cs="宋体"/>
                <w:color w:val="000000"/>
                <w:kern w:val="0"/>
                <w:szCs w:val="21"/>
              </w:rPr>
              <w:t>施耐德</w:t>
            </w:r>
          </w:p>
        </w:tc>
        <w:tc>
          <w:tcPr>
            <w:tcW w:w="2265" w:type="dxa"/>
          </w:tcPr>
          <w:p>
            <w:pPr>
              <w:spacing w:line="420" w:lineRule="exact"/>
              <w:jc w:val="center"/>
              <w:rPr>
                <w:rFonts w:hint="eastAsia" w:ascii="宋体" w:hAnsi="宋体" w:eastAsia="宋体"/>
                <w:color w:val="000000"/>
                <w:szCs w:val="21"/>
              </w:rPr>
            </w:pPr>
            <w:r>
              <w:rPr>
                <w:rFonts w:hint="eastAsia" w:ascii="宋体" w:hAnsi="宋体" w:eastAsia="宋体"/>
                <w:color w:val="000000"/>
                <w:szCs w:val="21"/>
              </w:rPr>
              <w:t>法国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olor w:val="000000"/>
                <w:szCs w:val="21"/>
              </w:rPr>
            </w:pPr>
            <w:r>
              <w:rPr>
                <w:rFonts w:ascii="宋体" w:hAnsi="宋体" w:eastAsia="宋体"/>
                <w:color w:val="000000"/>
                <w:szCs w:val="21"/>
              </w:rPr>
              <w:t>5</w:t>
            </w:r>
          </w:p>
        </w:tc>
        <w:tc>
          <w:tcPr>
            <w:tcW w:w="2551" w:type="dxa"/>
          </w:tcPr>
          <w:p>
            <w:pPr>
              <w:spacing w:line="420" w:lineRule="exact"/>
              <w:jc w:val="center"/>
              <w:rPr>
                <w:rFonts w:hint="eastAsia" w:ascii="宋体" w:hAnsi="宋体" w:eastAsia="宋体"/>
                <w:color w:val="000000"/>
                <w:szCs w:val="21"/>
              </w:rPr>
            </w:pPr>
            <w:r>
              <w:rPr>
                <w:rFonts w:hint="eastAsia" w:ascii="宋体" w:hAnsi="宋体" w:eastAsia="宋体"/>
                <w:szCs w:val="21"/>
              </w:rPr>
              <w:t>继电器</w:t>
            </w:r>
          </w:p>
        </w:tc>
        <w:tc>
          <w:tcPr>
            <w:tcW w:w="3256" w:type="dxa"/>
          </w:tcPr>
          <w:p>
            <w:pPr>
              <w:spacing w:line="420" w:lineRule="exact"/>
              <w:jc w:val="center"/>
              <w:rPr>
                <w:rFonts w:hint="eastAsia" w:ascii="宋体" w:hAnsi="宋体" w:eastAsia="宋体"/>
                <w:color w:val="000000"/>
                <w:szCs w:val="21"/>
              </w:rPr>
            </w:pPr>
            <w:r>
              <w:rPr>
                <w:rFonts w:ascii="宋体" w:hAnsi="宋体" w:eastAsia="宋体"/>
                <w:szCs w:val="21"/>
              </w:rPr>
              <w:t>OMRON</w:t>
            </w:r>
          </w:p>
        </w:tc>
        <w:tc>
          <w:tcPr>
            <w:tcW w:w="2265" w:type="dxa"/>
          </w:tcPr>
          <w:p>
            <w:pPr>
              <w:spacing w:line="420" w:lineRule="exact"/>
              <w:jc w:val="center"/>
              <w:rPr>
                <w:rFonts w:hint="eastAsia" w:ascii="宋体" w:hAnsi="宋体" w:eastAsia="宋体"/>
                <w:color w:val="000000"/>
                <w:szCs w:val="21"/>
              </w:rPr>
            </w:pPr>
            <w:r>
              <w:rPr>
                <w:rFonts w:hint="eastAsia" w:ascii="宋体" w:hAnsi="宋体" w:eastAsia="宋体"/>
                <w:color w:val="000000"/>
                <w:szCs w:val="21"/>
              </w:rPr>
              <w:t>日本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olor w:val="000000"/>
                <w:szCs w:val="21"/>
              </w:rPr>
            </w:pPr>
            <w:r>
              <w:rPr>
                <w:rFonts w:ascii="宋体" w:hAnsi="宋体" w:eastAsia="宋体"/>
                <w:color w:val="000000"/>
                <w:szCs w:val="21"/>
              </w:rPr>
              <w:t>6</w:t>
            </w:r>
          </w:p>
        </w:tc>
        <w:tc>
          <w:tcPr>
            <w:tcW w:w="2551" w:type="dxa"/>
          </w:tcPr>
          <w:p>
            <w:pPr>
              <w:spacing w:line="420" w:lineRule="exact"/>
              <w:jc w:val="center"/>
              <w:rPr>
                <w:rFonts w:hint="eastAsia" w:ascii="宋体" w:hAnsi="宋体" w:eastAsia="宋体"/>
                <w:color w:val="000000"/>
                <w:szCs w:val="21"/>
              </w:rPr>
            </w:pPr>
            <w:r>
              <w:rPr>
                <w:rFonts w:ascii="宋体" w:hAnsi="宋体" w:eastAsia="宋体"/>
                <w:szCs w:val="21"/>
              </w:rPr>
              <w:t>PLC控制器</w:t>
            </w:r>
          </w:p>
        </w:tc>
        <w:tc>
          <w:tcPr>
            <w:tcW w:w="3256" w:type="dxa"/>
          </w:tcPr>
          <w:p>
            <w:pPr>
              <w:spacing w:line="420" w:lineRule="exact"/>
              <w:jc w:val="center"/>
              <w:rPr>
                <w:rFonts w:hint="eastAsia" w:ascii="宋体" w:hAnsi="宋体" w:eastAsia="宋体"/>
                <w:color w:val="000000"/>
                <w:szCs w:val="21"/>
              </w:rPr>
            </w:pPr>
            <w:r>
              <w:rPr>
                <w:rFonts w:ascii="宋体" w:hAnsi="宋体" w:eastAsia="宋体"/>
                <w:szCs w:val="21"/>
              </w:rPr>
              <w:t>SIEMENS</w:t>
            </w:r>
          </w:p>
        </w:tc>
        <w:tc>
          <w:tcPr>
            <w:tcW w:w="2265" w:type="dxa"/>
          </w:tcPr>
          <w:p>
            <w:pPr>
              <w:spacing w:line="420" w:lineRule="exact"/>
              <w:jc w:val="center"/>
              <w:rPr>
                <w:rFonts w:hint="eastAsia" w:ascii="宋体" w:hAnsi="宋体" w:eastAsia="宋体"/>
                <w:color w:val="000000"/>
                <w:szCs w:val="21"/>
              </w:rPr>
            </w:pPr>
            <w:r>
              <w:rPr>
                <w:rFonts w:hint="eastAsia" w:ascii="宋体" w:hAnsi="宋体" w:eastAsia="宋体"/>
                <w:color w:val="000000"/>
                <w:szCs w:val="21"/>
              </w:rPr>
              <w:t>德国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olor w:val="000000"/>
                <w:szCs w:val="21"/>
              </w:rPr>
            </w:pPr>
            <w:r>
              <w:rPr>
                <w:rFonts w:hint="eastAsia" w:ascii="宋体" w:hAnsi="宋体" w:eastAsia="宋体"/>
                <w:color w:val="000000"/>
                <w:szCs w:val="21"/>
              </w:rPr>
              <w:t>7</w:t>
            </w:r>
          </w:p>
        </w:tc>
        <w:tc>
          <w:tcPr>
            <w:tcW w:w="2551" w:type="dxa"/>
          </w:tcPr>
          <w:p>
            <w:pPr>
              <w:spacing w:line="420" w:lineRule="exact"/>
              <w:jc w:val="center"/>
              <w:rPr>
                <w:rFonts w:hint="eastAsia" w:ascii="宋体" w:hAnsi="宋体" w:eastAsia="宋体"/>
                <w:szCs w:val="21"/>
              </w:rPr>
            </w:pPr>
            <w:r>
              <w:rPr>
                <w:rFonts w:hint="eastAsia" w:ascii="宋体" w:hAnsi="宋体" w:eastAsia="宋体"/>
                <w:szCs w:val="21"/>
              </w:rPr>
              <w:t>油分离器</w:t>
            </w:r>
          </w:p>
        </w:tc>
        <w:tc>
          <w:tcPr>
            <w:tcW w:w="3256" w:type="dxa"/>
          </w:tcPr>
          <w:p>
            <w:pPr>
              <w:spacing w:line="420" w:lineRule="exact"/>
              <w:jc w:val="center"/>
              <w:rPr>
                <w:rFonts w:hint="eastAsia" w:ascii="宋体" w:hAnsi="宋体" w:eastAsia="宋体"/>
                <w:szCs w:val="21"/>
              </w:rPr>
            </w:pPr>
            <w:r>
              <w:rPr>
                <w:rFonts w:ascii="宋体" w:hAnsi="宋体" w:eastAsia="宋体"/>
                <w:szCs w:val="21"/>
              </w:rPr>
              <w:t>EMERSON</w:t>
            </w:r>
          </w:p>
        </w:tc>
        <w:tc>
          <w:tcPr>
            <w:tcW w:w="2265" w:type="dxa"/>
          </w:tcPr>
          <w:p>
            <w:pPr>
              <w:spacing w:line="420" w:lineRule="exact"/>
              <w:jc w:val="center"/>
              <w:rPr>
                <w:rFonts w:hint="eastAsia" w:ascii="宋体" w:hAnsi="宋体" w:eastAsia="宋体"/>
                <w:color w:val="000000"/>
                <w:szCs w:val="21"/>
              </w:rPr>
            </w:pPr>
            <w:r>
              <w:rPr>
                <w:rFonts w:hint="eastAsia" w:ascii="宋体" w:hAnsi="宋体" w:eastAsia="宋体"/>
                <w:color w:val="000000"/>
                <w:szCs w:val="21"/>
              </w:rPr>
              <w:t>美国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olor w:val="000000"/>
                <w:szCs w:val="21"/>
              </w:rPr>
            </w:pPr>
            <w:r>
              <w:rPr>
                <w:rFonts w:hint="eastAsia" w:ascii="宋体" w:hAnsi="宋体" w:eastAsia="宋体"/>
                <w:color w:val="000000"/>
                <w:szCs w:val="21"/>
              </w:rPr>
              <w:t>8</w:t>
            </w:r>
          </w:p>
        </w:tc>
        <w:tc>
          <w:tcPr>
            <w:tcW w:w="2551" w:type="dxa"/>
          </w:tcPr>
          <w:p>
            <w:pPr>
              <w:spacing w:line="420" w:lineRule="exact"/>
              <w:jc w:val="center"/>
              <w:rPr>
                <w:rFonts w:hint="eastAsia" w:ascii="宋体" w:hAnsi="宋体" w:eastAsia="宋体"/>
                <w:szCs w:val="21"/>
              </w:rPr>
            </w:pPr>
            <w:r>
              <w:rPr>
                <w:rFonts w:hint="eastAsia" w:ascii="宋体" w:hAnsi="宋体" w:eastAsia="宋体"/>
                <w:szCs w:val="21"/>
              </w:rPr>
              <w:t>板式换热器</w:t>
            </w:r>
          </w:p>
        </w:tc>
        <w:tc>
          <w:tcPr>
            <w:tcW w:w="3256" w:type="dxa"/>
          </w:tcPr>
          <w:p>
            <w:pPr>
              <w:spacing w:line="420" w:lineRule="exact"/>
              <w:jc w:val="center"/>
              <w:rPr>
                <w:rFonts w:hint="eastAsia" w:ascii="宋体" w:hAnsi="宋体" w:eastAsia="宋体"/>
                <w:szCs w:val="21"/>
              </w:rPr>
            </w:pPr>
            <w:r>
              <w:rPr>
                <w:rFonts w:ascii="宋体" w:hAnsi="宋体" w:eastAsia="宋体"/>
                <w:szCs w:val="21"/>
              </w:rPr>
              <w:t>Alfa laval</w:t>
            </w:r>
          </w:p>
        </w:tc>
        <w:tc>
          <w:tcPr>
            <w:tcW w:w="2265" w:type="dxa"/>
          </w:tcPr>
          <w:p>
            <w:pPr>
              <w:spacing w:line="420" w:lineRule="exact"/>
              <w:jc w:val="center"/>
              <w:rPr>
                <w:rFonts w:hint="eastAsia" w:ascii="宋体" w:hAnsi="宋体" w:eastAsia="宋体"/>
                <w:color w:val="000000"/>
                <w:szCs w:val="21"/>
              </w:rPr>
            </w:pPr>
            <w:r>
              <w:rPr>
                <w:rFonts w:hint="eastAsia" w:ascii="宋体" w:hAnsi="宋体" w:eastAsia="宋体"/>
                <w:color w:val="000000"/>
                <w:szCs w:val="21"/>
              </w:rPr>
              <w:t>瑞典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olor w:val="000000"/>
                <w:szCs w:val="21"/>
              </w:rPr>
            </w:pPr>
            <w:r>
              <w:rPr>
                <w:rFonts w:hint="eastAsia" w:ascii="宋体" w:hAnsi="宋体" w:eastAsia="宋体"/>
                <w:color w:val="000000"/>
                <w:szCs w:val="21"/>
              </w:rPr>
              <w:t>9</w:t>
            </w:r>
          </w:p>
        </w:tc>
        <w:tc>
          <w:tcPr>
            <w:tcW w:w="2551" w:type="dxa"/>
          </w:tcPr>
          <w:p>
            <w:pPr>
              <w:spacing w:line="420" w:lineRule="exact"/>
              <w:jc w:val="center"/>
              <w:rPr>
                <w:rFonts w:hint="eastAsia" w:ascii="宋体" w:hAnsi="宋体" w:eastAsia="宋体"/>
                <w:szCs w:val="21"/>
              </w:rPr>
            </w:pPr>
            <w:r>
              <w:rPr>
                <w:rFonts w:hint="eastAsia" w:ascii="宋体" w:hAnsi="宋体" w:eastAsia="宋体"/>
                <w:szCs w:val="21"/>
              </w:rPr>
              <w:t>电磁阀</w:t>
            </w:r>
          </w:p>
        </w:tc>
        <w:tc>
          <w:tcPr>
            <w:tcW w:w="3256" w:type="dxa"/>
          </w:tcPr>
          <w:p>
            <w:pPr>
              <w:spacing w:line="420" w:lineRule="exact"/>
              <w:jc w:val="center"/>
              <w:rPr>
                <w:rFonts w:hint="eastAsia" w:ascii="宋体" w:hAnsi="宋体" w:eastAsia="宋体"/>
                <w:szCs w:val="21"/>
              </w:rPr>
            </w:pPr>
            <w:r>
              <w:rPr>
                <w:rFonts w:ascii="宋体" w:hAnsi="宋体" w:eastAsia="宋体"/>
                <w:szCs w:val="21"/>
              </w:rPr>
              <w:t>DANFOSS</w:t>
            </w:r>
          </w:p>
        </w:tc>
        <w:tc>
          <w:tcPr>
            <w:tcW w:w="2265" w:type="dxa"/>
          </w:tcPr>
          <w:p>
            <w:pPr>
              <w:spacing w:line="420" w:lineRule="exact"/>
              <w:jc w:val="center"/>
              <w:rPr>
                <w:rFonts w:hint="eastAsia" w:ascii="宋体" w:hAnsi="宋体" w:eastAsia="宋体"/>
                <w:color w:val="000000"/>
                <w:szCs w:val="21"/>
              </w:rPr>
            </w:pPr>
            <w:r>
              <w:rPr>
                <w:rFonts w:hint="eastAsia" w:ascii="宋体" w:hAnsi="宋体" w:eastAsia="宋体"/>
                <w:color w:val="000000"/>
                <w:szCs w:val="21"/>
              </w:rPr>
              <w:t>丹麦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olor w:val="000000"/>
                <w:szCs w:val="21"/>
              </w:rPr>
            </w:pPr>
            <w:r>
              <w:rPr>
                <w:rFonts w:hint="eastAsia" w:ascii="宋体" w:hAnsi="宋体" w:eastAsia="宋体"/>
                <w:color w:val="000000"/>
                <w:szCs w:val="21"/>
              </w:rPr>
              <w:t>10</w:t>
            </w:r>
          </w:p>
        </w:tc>
        <w:tc>
          <w:tcPr>
            <w:tcW w:w="2551" w:type="dxa"/>
          </w:tcPr>
          <w:p>
            <w:pPr>
              <w:spacing w:line="420" w:lineRule="exact"/>
              <w:jc w:val="center"/>
              <w:rPr>
                <w:rFonts w:hint="eastAsia" w:ascii="宋体" w:hAnsi="宋体" w:eastAsia="宋体"/>
                <w:szCs w:val="21"/>
              </w:rPr>
            </w:pPr>
            <w:r>
              <w:rPr>
                <w:rFonts w:hint="eastAsia" w:ascii="宋体" w:hAnsi="宋体" w:eastAsia="宋体"/>
                <w:szCs w:val="21"/>
              </w:rPr>
              <w:t>膨胀阀</w:t>
            </w:r>
          </w:p>
        </w:tc>
        <w:tc>
          <w:tcPr>
            <w:tcW w:w="3256" w:type="dxa"/>
          </w:tcPr>
          <w:p>
            <w:pPr>
              <w:spacing w:line="420" w:lineRule="exact"/>
              <w:jc w:val="center"/>
              <w:rPr>
                <w:rFonts w:hint="eastAsia" w:ascii="宋体" w:hAnsi="宋体" w:eastAsia="宋体"/>
                <w:szCs w:val="21"/>
              </w:rPr>
            </w:pPr>
            <w:r>
              <w:rPr>
                <w:rFonts w:ascii="宋体" w:hAnsi="宋体" w:eastAsia="宋体"/>
                <w:szCs w:val="21"/>
              </w:rPr>
              <w:t>DANFOSS</w:t>
            </w:r>
          </w:p>
        </w:tc>
        <w:tc>
          <w:tcPr>
            <w:tcW w:w="2265" w:type="dxa"/>
          </w:tcPr>
          <w:p>
            <w:pPr>
              <w:spacing w:line="420" w:lineRule="exact"/>
              <w:jc w:val="center"/>
              <w:rPr>
                <w:rFonts w:hint="eastAsia" w:ascii="宋体" w:hAnsi="宋体" w:eastAsia="宋体"/>
                <w:color w:val="000000"/>
                <w:szCs w:val="21"/>
              </w:rPr>
            </w:pPr>
            <w:r>
              <w:rPr>
                <w:rFonts w:hint="eastAsia" w:ascii="宋体" w:hAnsi="宋体" w:eastAsia="宋体"/>
                <w:color w:val="000000"/>
                <w:szCs w:val="21"/>
              </w:rPr>
              <w:t>丹麦</w:t>
            </w:r>
          </w:p>
        </w:tc>
      </w:tr>
    </w:tbl>
    <w:p>
      <w:pPr>
        <w:pStyle w:val="20"/>
        <w:rPr>
          <w:rFonts w:hint="eastAsia" w:hAnsi="宋体" w:eastAsia="宋体" w:cs="宋体"/>
          <w:bCs/>
          <w:sz w:val="24"/>
          <w:szCs w:val="24"/>
          <w:highlight w:val="red"/>
        </w:rPr>
      </w:pP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pPr>
        <w:pStyle w:val="15"/>
        <w:spacing w:before="0" w:after="0" w:afterLines="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pPr>
        <w:widowControl/>
        <w:jc w:val="left"/>
        <w:rPr>
          <w:rFonts w:hint="eastAsia"/>
        </w:rPr>
      </w:pPr>
      <w:r>
        <w:br w:type="page"/>
      </w:r>
    </w:p>
    <w:p>
      <w:pPr>
        <w:keepNext/>
        <w:keepLines/>
        <w:spacing w:before="120" w:after="120" w:line="480" w:lineRule="exact"/>
        <w:jc w:val="center"/>
        <w:outlineLvl w:val="1"/>
        <w:rPr>
          <w:rFonts w:hint="eastAsia" w:ascii="宋体" w:hAnsi="宋体" w:eastAsia="宋体" w:cs="宋体"/>
          <w:bCs/>
          <w:kern w:val="44"/>
          <w:sz w:val="24"/>
          <w:szCs w:val="24"/>
        </w:rPr>
      </w:pPr>
      <w:r>
        <w:rPr>
          <w:rFonts w:hint="eastAsia" w:ascii="宋体" w:hAnsi="宋体" w:eastAsia="宋体" w:cs="宋体"/>
          <w:b/>
          <w:bCs/>
          <w:kern w:val="44"/>
          <w:sz w:val="24"/>
          <w:szCs w:val="24"/>
        </w:rPr>
        <w:t>第二章  技术要求</w:t>
      </w:r>
    </w:p>
    <w:p>
      <w:pPr>
        <w:pStyle w:val="4"/>
        <w:spacing w:before="20" w:after="20" w:line="360" w:lineRule="auto"/>
        <w:ind w:firstLine="420"/>
        <w:rPr>
          <w:rFonts w:hint="eastAsia" w:ascii="宋体" w:hAnsi="宋体" w:cs="宋体"/>
          <w:b w:val="0"/>
          <w:bCs w:val="0"/>
          <w:sz w:val="24"/>
          <w:szCs w:val="24"/>
        </w:rPr>
      </w:pPr>
      <w:r>
        <w:rPr>
          <w:rFonts w:hint="eastAsia" w:ascii="宋体" w:hAnsi="宋体" w:cs="宋体"/>
          <w:sz w:val="24"/>
          <w:szCs w:val="24"/>
        </w:rPr>
        <w:t>一、特别提示</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1.本章技术要求，仅对功能、设计、结构、性能、安装和试验检验等方面，提出了最低和一般性的技术要求，并未对一切技术细节作出规定。</w:t>
      </w:r>
    </w:p>
    <w:p>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.为避免投标人在招标评审时漏项，质保期超出本技术标书要求的，应当在投标文件“技术偏离”中特别注明。</w:t>
      </w:r>
    </w:p>
    <w:p>
      <w:pPr>
        <w:spacing w:line="420" w:lineRule="exact"/>
        <w:ind w:firstLine="480" w:firstLineChars="200"/>
        <w:rPr>
          <w:rFonts w:hint="eastAsia" w:ascii="宋体" w:hAnsi="宋体" w:eastAsia="宋体" w:cs="宋体"/>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r>
        <w:rPr>
          <w:rFonts w:hint="eastAsia" w:ascii="宋体" w:hAnsi="宋体" w:eastAsia="宋体" w:cs="宋体"/>
          <w:sz w:val="24"/>
          <w:szCs w:val="24"/>
        </w:rPr>
        <w:t>。</w:t>
      </w:r>
    </w:p>
    <w:p>
      <w:pPr>
        <w:pStyle w:val="4"/>
        <w:spacing w:before="20" w:after="20" w:line="360" w:lineRule="auto"/>
        <w:ind w:firstLine="420"/>
        <w:rPr>
          <w:rFonts w:hint="eastAsia" w:ascii="宋体" w:hAnsi="宋体" w:cs="宋体"/>
          <w:sz w:val="24"/>
          <w:szCs w:val="24"/>
        </w:rPr>
      </w:pPr>
      <w:r>
        <w:rPr>
          <w:rFonts w:hint="eastAsia" w:ascii="宋体" w:hAnsi="宋体" w:cs="宋体"/>
          <w:sz w:val="24"/>
          <w:szCs w:val="24"/>
        </w:rPr>
        <w:t>二、基本要求</w:t>
      </w:r>
    </w:p>
    <w:p>
      <w:pPr>
        <w:spacing w:line="360" w:lineRule="auto"/>
        <w:rPr>
          <w:rFonts w:hint="eastAsia" w:ascii="宋体" w:hAnsi="宋体" w:eastAsia="宋体" w:cs="宋体"/>
          <w:b/>
          <w:sz w:val="24"/>
          <w:szCs w:val="18"/>
        </w:rPr>
      </w:pPr>
      <w:r>
        <w:rPr>
          <w:rFonts w:hint="eastAsia" w:ascii="宋体" w:hAnsi="宋体" w:eastAsia="宋体" w:cs="宋体"/>
          <w:b/>
          <w:sz w:val="24"/>
          <w:szCs w:val="18"/>
        </w:rPr>
        <w:t>（一）能效要求</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1、</w:t>
      </w:r>
      <w:r>
        <w:rPr>
          <w:rFonts w:hint="eastAsia" w:ascii="宋体" w:hAnsi="宋体" w:eastAsia="宋体" w:cs="宋体"/>
          <w:sz w:val="24"/>
          <w:szCs w:val="24"/>
        </w:rPr>
        <w:t>原则上，电机功率≥7.5kW，必须选用一级能效。电机功率＜7.5kW，优先选用一级能效；其中对于能源供应类设备及年运行时间≥2000h工艺设备的电机必须选用一级能效。杜绝选用三级及以下能效。</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2、</w:t>
      </w:r>
      <w:r>
        <w:rPr>
          <w:rFonts w:hint="eastAsia" w:ascii="宋体" w:hAnsi="宋体" w:eastAsia="宋体" w:cs="宋体"/>
          <w:sz w:val="24"/>
          <w:szCs w:val="24"/>
        </w:rPr>
        <w:t>空调必须选用一级能效，变压器最低选用二级能效，对于特殊场景、特殊用途其他设备结合性价比综合考虑、充分论证。</w:t>
      </w:r>
    </w:p>
    <w:p>
      <w:pPr>
        <w:spacing w:line="360" w:lineRule="auto"/>
        <w:rPr>
          <w:rFonts w:hint="eastAsia" w:ascii="宋体" w:hAnsi="宋体" w:eastAsia="宋体" w:cs="宋体"/>
          <w:b/>
          <w:sz w:val="24"/>
          <w:szCs w:val="18"/>
        </w:rPr>
      </w:pPr>
      <w:r>
        <w:rPr>
          <w:rFonts w:hint="eastAsia" w:ascii="宋体" w:hAnsi="宋体" w:eastAsia="宋体" w:cs="宋体"/>
          <w:b/>
          <w:sz w:val="24"/>
          <w:szCs w:val="18"/>
        </w:rPr>
        <w:t>（二）新增设备技术文件要求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rPr>
        <w:t>、</w:t>
      </w:r>
      <w:r>
        <w:rPr>
          <w:rFonts w:hint="eastAsia" w:ascii="宋体" w:hAnsi="宋体" w:eastAsia="宋体" w:cs="宋体"/>
          <w:sz w:val="24"/>
          <w:szCs w:val="24"/>
        </w:rPr>
        <w:t>程序源码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供方须提供设备对应软件程序的完整源代码（包括但不限于上位机程序、SCADA程序、产线MES程序等），并免费提供相应的参数点位信息。带有明确注释，能够通过注释理解程序运行过程，包含触摸屏、PLC、CNC等；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cs="宋体"/>
          <w:sz w:val="24"/>
          <w:szCs w:val="24"/>
        </w:rPr>
        <w:t>、</w:t>
      </w:r>
      <w:r>
        <w:rPr>
          <w:rFonts w:hint="eastAsia" w:ascii="宋体" w:hAnsi="宋体" w:eastAsia="宋体" w:cs="宋体"/>
          <w:sz w:val="24"/>
          <w:szCs w:val="24"/>
        </w:rPr>
        <w:t>程序权限</w:t>
      </w:r>
      <w:r>
        <w:rPr>
          <w:rFonts w:hint="eastAsia" w:ascii="宋体" w:hAnsi="宋体" w:eastAsia="宋体" w:cs="宋体"/>
          <w:sz w:val="24"/>
          <w:szCs w:val="24"/>
        </w:rPr>
        <w:br w:type="textWrapping"/>
      </w:r>
      <w:r>
        <w:rPr>
          <w:rFonts w:hint="eastAsia" w:ascii="宋体" w:hAnsi="宋体" w:eastAsia="宋体" w:cs="宋体"/>
          <w:sz w:val="24"/>
          <w:szCs w:val="24"/>
        </w:rPr>
        <w:t>供方提供的软件程序不得设置任何密码或保护措施；程序不得限制修改等权限，功能模块亦不得设定密码保护。</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3、</w:t>
      </w:r>
      <w:r>
        <w:rPr>
          <w:rFonts w:hint="eastAsia" w:ascii="宋体" w:hAnsi="宋体" w:eastAsia="宋体" w:cs="宋体"/>
          <w:sz w:val="24"/>
          <w:szCs w:val="24"/>
        </w:rPr>
        <w:t>设备入场资料</w:t>
      </w:r>
      <w:r>
        <w:rPr>
          <w:rFonts w:hint="eastAsia" w:ascii="宋体" w:hAnsi="宋体" w:eastAsia="宋体" w:cs="宋体"/>
          <w:sz w:val="24"/>
          <w:szCs w:val="24"/>
        </w:rPr>
        <w:br w:type="textWrapping"/>
      </w:r>
      <w:r>
        <w:rPr>
          <w:rFonts w:hint="eastAsia" w:ascii="宋体" w:hAnsi="宋体" w:eastAsia="宋体" w:cs="宋体"/>
          <w:sz w:val="24"/>
          <w:szCs w:val="24"/>
        </w:rPr>
        <w:t>设备入场前，供方需提供软件程序源码及各级用户名和密码，确保与现场程序一致。</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4、</w:t>
      </w:r>
      <w:r>
        <w:rPr>
          <w:rFonts w:hint="eastAsia" w:ascii="宋体" w:hAnsi="宋体" w:eastAsia="宋体" w:cs="宋体"/>
          <w:sz w:val="24"/>
          <w:szCs w:val="24"/>
        </w:rPr>
        <w:t>设备模型图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提供二维模型图和轻量化处理的后的GLTF格式的三维模型图；</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5、</w:t>
      </w:r>
      <w:r>
        <w:rPr>
          <w:rFonts w:hint="eastAsia" w:ascii="宋体" w:hAnsi="宋体" w:eastAsia="宋体" w:cs="宋体"/>
          <w:sz w:val="24"/>
          <w:szCs w:val="24"/>
        </w:rPr>
        <w:t>设备点址表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提供电子版和纸质版的设备点位表，具体要求参照下文标准格式；设备应提供专门用于和IOT平台进行数据交互的地址空间，该地址空间应包含但不限于重汽对该类型设备的需求数据，同时应保证与需求点位的逻辑一致性。通过提供的点位地址，平台能够读写设备实时数据。</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6、</w:t>
      </w:r>
      <w:r>
        <w:rPr>
          <w:rFonts w:hint="eastAsia" w:ascii="宋体" w:hAnsi="宋体" w:eastAsia="宋体" w:cs="宋体"/>
          <w:sz w:val="24"/>
          <w:szCs w:val="24"/>
        </w:rPr>
        <w:t>电气原理图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提供电器原理图电子版和纸质版；</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7、</w:t>
      </w:r>
      <w:r>
        <w:rPr>
          <w:rFonts w:hint="eastAsia" w:ascii="宋体" w:hAnsi="宋体" w:eastAsia="宋体" w:cs="宋体"/>
          <w:sz w:val="24"/>
          <w:szCs w:val="24"/>
        </w:rPr>
        <w:t>布局图和工艺流程图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提供生产线布局图和产线工艺流程图</w:t>
      </w:r>
    </w:p>
    <w:p>
      <w:pPr>
        <w:spacing w:line="360" w:lineRule="auto"/>
        <w:ind w:left="479" w:leftChars="228"/>
        <w:rPr>
          <w:rFonts w:hint="eastAsia" w:ascii="宋体" w:hAnsi="宋体" w:eastAsia="宋体" w:cs="宋体"/>
          <w:sz w:val="24"/>
          <w:szCs w:val="24"/>
        </w:rPr>
      </w:pPr>
      <w:r>
        <w:rPr>
          <w:rFonts w:hint="eastAsia" w:ascii="宋体" w:hAnsi="宋体" w:cs="宋体"/>
          <w:sz w:val="24"/>
          <w:szCs w:val="24"/>
        </w:rPr>
        <w:t>8、</w:t>
      </w:r>
      <w:r>
        <w:rPr>
          <w:rFonts w:hint="eastAsia" w:ascii="宋体" w:hAnsi="宋体" w:eastAsia="宋体" w:cs="宋体"/>
          <w:sz w:val="24"/>
          <w:szCs w:val="24"/>
        </w:rPr>
        <w:t>终验收资料</w:t>
      </w:r>
      <w:r>
        <w:rPr>
          <w:rFonts w:hint="eastAsia" w:ascii="宋体" w:hAnsi="宋体" w:eastAsia="宋体" w:cs="宋体"/>
          <w:sz w:val="24"/>
          <w:szCs w:val="24"/>
        </w:rPr>
        <w:br w:type="textWrapping"/>
      </w:r>
      <w:r>
        <w:rPr>
          <w:rFonts w:hint="eastAsia" w:ascii="宋体" w:hAnsi="宋体" w:eastAsia="宋体" w:cs="宋体"/>
          <w:sz w:val="24"/>
          <w:szCs w:val="24"/>
        </w:rPr>
        <w:t>在终验收前，供方需提供最新的软件程序源码，并须与实际现场一致。</w:t>
      </w:r>
    </w:p>
    <w:p>
      <w:pPr>
        <w:spacing w:line="360" w:lineRule="auto"/>
        <w:rPr>
          <w:rFonts w:hint="eastAsia" w:ascii="宋体" w:hAnsi="宋体" w:eastAsia="宋体" w:cs="宋体"/>
          <w:b/>
          <w:sz w:val="24"/>
          <w:szCs w:val="18"/>
        </w:rPr>
      </w:pPr>
      <w:r>
        <w:rPr>
          <w:rFonts w:hint="eastAsia" w:ascii="宋体" w:hAnsi="宋体" w:eastAsia="宋体" w:cs="宋体"/>
          <w:b/>
          <w:sz w:val="24"/>
          <w:szCs w:val="18"/>
        </w:rPr>
        <w:t>（三）接口协议数采要求</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1、</w:t>
      </w:r>
      <w:r>
        <w:rPr>
          <w:rFonts w:hint="eastAsia" w:ascii="宋体" w:hAnsi="宋体" w:eastAsia="宋体" w:cs="宋体"/>
          <w:sz w:val="24"/>
          <w:szCs w:val="24"/>
        </w:rPr>
        <w:t>接口开放</w:t>
      </w:r>
      <w:r>
        <w:rPr>
          <w:rFonts w:hint="eastAsia" w:ascii="宋体" w:hAnsi="宋体" w:eastAsia="宋体" w:cs="宋体"/>
          <w:sz w:val="24"/>
          <w:szCs w:val="24"/>
        </w:rPr>
        <w:br w:type="textWrapping"/>
      </w:r>
      <w:r>
        <w:rPr>
          <w:rFonts w:hint="eastAsia" w:ascii="宋体" w:hAnsi="宋体" w:eastAsia="宋体" w:cs="宋体"/>
          <w:sz w:val="24"/>
          <w:szCs w:val="24"/>
        </w:rPr>
        <w:t>供方应免费开放所有通讯接口，包括但不限于以太网、RS232、RS485、PROFIBUS、PROFINET、MODBUS等常见接口，以及设备专有接口，接口支持实时读写设备数据。</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2、</w:t>
      </w:r>
      <w:r>
        <w:rPr>
          <w:rFonts w:hint="eastAsia" w:ascii="宋体" w:hAnsi="宋体" w:eastAsia="宋体" w:cs="宋体"/>
          <w:sz w:val="24"/>
          <w:szCs w:val="24"/>
        </w:rPr>
        <w:t>工控网络接入</w:t>
      </w:r>
      <w:r>
        <w:rPr>
          <w:rFonts w:hint="eastAsia" w:ascii="宋体" w:hAnsi="宋体" w:eastAsia="宋体" w:cs="宋体"/>
          <w:sz w:val="24"/>
          <w:szCs w:val="24"/>
        </w:rPr>
        <w:br w:type="textWrapping"/>
      </w:r>
      <w:r>
        <w:rPr>
          <w:rFonts w:hint="eastAsia" w:ascii="宋体" w:hAnsi="宋体" w:eastAsia="宋体" w:cs="宋体"/>
          <w:sz w:val="24"/>
          <w:szCs w:val="24"/>
        </w:rPr>
        <w:t>设备及上位控制系统（工控机）应接入工厂工控网络，以实现数据采集。</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3、</w:t>
      </w:r>
      <w:r>
        <w:rPr>
          <w:rFonts w:hint="eastAsia" w:ascii="宋体" w:hAnsi="宋体" w:eastAsia="宋体" w:cs="宋体"/>
          <w:sz w:val="24"/>
          <w:szCs w:val="24"/>
        </w:rPr>
        <w:t>系统接口</w:t>
      </w:r>
      <w:r>
        <w:rPr>
          <w:rFonts w:hint="eastAsia" w:ascii="宋体" w:hAnsi="宋体" w:eastAsia="宋体" w:cs="宋体"/>
          <w:sz w:val="24"/>
          <w:szCs w:val="24"/>
        </w:rPr>
        <w:br w:type="textWrapping"/>
      </w:r>
      <w:r>
        <w:rPr>
          <w:rFonts w:hint="eastAsia" w:ascii="宋体" w:hAnsi="宋体" w:eastAsia="宋体" w:cs="宋体"/>
          <w:sz w:val="24"/>
          <w:szCs w:val="24"/>
        </w:rPr>
        <w:t>供方应免费提供应用层系统接口，包括WebAPI、MQTT（具体接口要求详见第三部分）。</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4、</w:t>
      </w:r>
      <w:r>
        <w:rPr>
          <w:rFonts w:hint="eastAsia" w:ascii="宋体" w:hAnsi="宋体" w:eastAsia="宋体" w:cs="宋体"/>
          <w:sz w:val="24"/>
          <w:szCs w:val="24"/>
        </w:rPr>
        <w:t>反控接口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除自身运行模式外，还需要一个远程控制模式，提供额外的控制接口，用于产线自动化改造或远程控制（远程控制按照实际生产设备的需求确定）。可以使用该接口控制设备启停、加工等操作，实现仅在远程控制的条件下完成生产过程。</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5、</w:t>
      </w:r>
      <w:r>
        <w:rPr>
          <w:rFonts w:hint="eastAsia" w:ascii="宋体" w:hAnsi="宋体" w:eastAsia="宋体" w:cs="宋体"/>
          <w:sz w:val="24"/>
          <w:szCs w:val="24"/>
        </w:rPr>
        <w:t>通信速率</w:t>
      </w:r>
      <w:r>
        <w:rPr>
          <w:rFonts w:hint="eastAsia" w:ascii="宋体" w:hAnsi="宋体" w:eastAsia="宋体" w:cs="宋体"/>
          <w:sz w:val="24"/>
          <w:szCs w:val="24"/>
        </w:rPr>
        <w:br w:type="textWrapping"/>
      </w:r>
      <w:r>
        <w:rPr>
          <w:rFonts w:hint="eastAsia" w:ascii="宋体" w:hAnsi="宋体" w:eastAsia="宋体" w:cs="宋体"/>
          <w:sz w:val="24"/>
          <w:szCs w:val="24"/>
        </w:rPr>
        <w:t>用于数据采集的接口应保证平台请求所有需求点位数据并作出应答的周期小于1秒。</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6、</w:t>
      </w:r>
      <w:r>
        <w:rPr>
          <w:rFonts w:hint="eastAsia" w:ascii="宋体" w:hAnsi="宋体" w:eastAsia="宋体" w:cs="宋体"/>
          <w:sz w:val="24"/>
          <w:szCs w:val="24"/>
        </w:rPr>
        <w:t>数据交互功能</w:t>
      </w:r>
      <w:r>
        <w:rPr>
          <w:rFonts w:hint="eastAsia" w:ascii="宋体" w:hAnsi="宋体" w:eastAsia="宋体" w:cs="宋体"/>
          <w:sz w:val="24"/>
          <w:szCs w:val="24"/>
        </w:rPr>
        <w:br w:type="textWrapping"/>
      </w:r>
      <w:r>
        <w:rPr>
          <w:rFonts w:hint="eastAsia" w:ascii="宋体" w:hAnsi="宋体" w:eastAsia="宋体" w:cs="宋体"/>
          <w:sz w:val="24"/>
          <w:szCs w:val="24"/>
        </w:rPr>
        <w:t>供方应免费提供数据交互功能，支持实时数据、历史数据、报警信息等的交互。</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7、</w:t>
      </w:r>
      <w:r>
        <w:rPr>
          <w:rFonts w:hint="eastAsia" w:ascii="宋体" w:hAnsi="宋体" w:eastAsia="宋体" w:cs="宋体"/>
          <w:sz w:val="24"/>
          <w:szCs w:val="24"/>
        </w:rPr>
        <w:t>数据采集连续性</w:t>
      </w:r>
      <w:r>
        <w:rPr>
          <w:rFonts w:hint="eastAsia" w:ascii="宋体" w:hAnsi="宋体" w:eastAsia="宋体" w:cs="宋体"/>
          <w:sz w:val="24"/>
          <w:szCs w:val="24"/>
        </w:rPr>
        <w:br w:type="textWrapping"/>
      </w:r>
      <w:r>
        <w:rPr>
          <w:rFonts w:hint="eastAsia" w:ascii="宋体" w:hAnsi="宋体" w:eastAsia="宋体" w:cs="宋体"/>
          <w:sz w:val="24"/>
          <w:szCs w:val="24"/>
        </w:rPr>
        <w:t>设备在上电状态下必须持续采集数据，不受设备待机、休眠等状态的影响（主动上传设备除外）。</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8、</w:t>
      </w:r>
      <w:r>
        <w:rPr>
          <w:rFonts w:hint="eastAsia" w:ascii="宋体" w:hAnsi="宋体" w:eastAsia="宋体" w:cs="宋体"/>
          <w:sz w:val="24"/>
          <w:szCs w:val="24"/>
        </w:rPr>
        <w:t>上位机权限</w:t>
      </w:r>
      <w:r>
        <w:rPr>
          <w:rFonts w:hint="eastAsia" w:ascii="宋体" w:hAnsi="宋体" w:eastAsia="宋体" w:cs="宋体"/>
          <w:sz w:val="24"/>
          <w:szCs w:val="24"/>
        </w:rPr>
        <w:br w:type="textWrapping"/>
      </w:r>
      <w:r>
        <w:rPr>
          <w:rFonts w:hint="eastAsia" w:ascii="宋体" w:hAnsi="宋体" w:eastAsia="宋体" w:cs="宋体"/>
          <w:sz w:val="24"/>
          <w:szCs w:val="24"/>
        </w:rPr>
        <w:t>所有上位机程序、专用软件及数据库必须提供全部权限的用户名和密码。</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9、</w:t>
      </w:r>
      <w:r>
        <w:rPr>
          <w:rFonts w:hint="eastAsia" w:ascii="宋体" w:hAnsi="宋体" w:eastAsia="宋体" w:cs="宋体"/>
          <w:sz w:val="24"/>
          <w:szCs w:val="24"/>
        </w:rPr>
        <w:t>调试支持</w:t>
      </w:r>
      <w:r>
        <w:rPr>
          <w:rFonts w:hint="eastAsia" w:ascii="宋体" w:hAnsi="宋体" w:eastAsia="宋体" w:cs="宋体"/>
          <w:sz w:val="24"/>
          <w:szCs w:val="24"/>
        </w:rPr>
        <w:br w:type="textWrapping"/>
      </w:r>
      <w:r>
        <w:rPr>
          <w:rFonts w:hint="eastAsia" w:ascii="宋体" w:hAnsi="宋体" w:eastAsia="宋体" w:cs="宋体"/>
          <w:sz w:val="24"/>
          <w:szCs w:val="24"/>
        </w:rPr>
        <w:t>在设备使用期间，供方需免费派遣技术人员与甲方调试团队协同进行设备通讯接口调试工作。</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10、</w:t>
      </w:r>
      <w:r>
        <w:rPr>
          <w:rFonts w:hint="eastAsia" w:ascii="宋体" w:hAnsi="宋体" w:eastAsia="宋体" w:cs="宋体"/>
          <w:sz w:val="24"/>
          <w:szCs w:val="24"/>
        </w:rPr>
        <w:t>技术文档</w:t>
      </w:r>
      <w:r>
        <w:rPr>
          <w:rFonts w:hint="eastAsia" w:ascii="宋体" w:hAnsi="宋体" w:eastAsia="宋体" w:cs="宋体"/>
          <w:sz w:val="24"/>
          <w:szCs w:val="24"/>
        </w:rPr>
        <w:br w:type="textWrapping"/>
      </w:r>
      <w:r>
        <w:rPr>
          <w:rFonts w:hint="eastAsia" w:ascii="宋体" w:hAnsi="宋体" w:eastAsia="宋体" w:cs="宋体"/>
          <w:sz w:val="24"/>
          <w:szCs w:val="24"/>
        </w:rPr>
        <w:t>设备入场前，供方必须提供接口技术文档及参数说明，内容包括但不限于接口协议、通讯速率、数据格式等。</w:t>
      </w:r>
    </w:p>
    <w:p>
      <w:pPr>
        <w:spacing w:line="360" w:lineRule="auto"/>
        <w:ind w:firstLine="482" w:firstLineChars="200"/>
        <w:rPr>
          <w:rFonts w:hint="eastAsia" w:ascii="宋体" w:hAnsi="宋体" w:eastAsia="宋体" w:cs="Times New Roman"/>
          <w:b/>
          <w:bCs/>
          <w:sz w:val="24"/>
          <w:szCs w:val="24"/>
        </w:rPr>
      </w:pPr>
      <w:r>
        <w:rPr>
          <w:rFonts w:hint="eastAsia" w:ascii="宋体" w:hAnsi="宋体" w:eastAsia="宋体" w:cs="Times New Roman"/>
          <w:b/>
          <w:bCs/>
          <w:sz w:val="24"/>
          <w:szCs w:val="24"/>
        </w:rPr>
        <w:t>11、投标方提供设备通讯协议（包括联调后），满足招标方远程监控管理；</w:t>
      </w:r>
    </w:p>
    <w:p>
      <w:pPr>
        <w:spacing w:line="360" w:lineRule="auto"/>
        <w:ind w:firstLine="482" w:firstLineChars="200"/>
        <w:rPr>
          <w:rFonts w:hint="eastAsia" w:ascii="宋体" w:hAnsi="宋体" w:eastAsia="宋体" w:cs="Times New Roman"/>
          <w:b/>
          <w:bCs/>
          <w:sz w:val="24"/>
          <w:szCs w:val="24"/>
        </w:rPr>
      </w:pPr>
      <w:r>
        <w:rPr>
          <w:rFonts w:hint="eastAsia" w:ascii="宋体" w:hAnsi="宋体" w:eastAsia="宋体" w:cs="Times New Roman"/>
          <w:b/>
          <w:bCs/>
          <w:sz w:val="24"/>
          <w:szCs w:val="24"/>
        </w:rPr>
        <w:t>12、投标方应用软件安装包（包括联调后），满足招标方软件可重装；</w:t>
      </w:r>
    </w:p>
    <w:p>
      <w:pPr>
        <w:spacing w:line="360" w:lineRule="auto"/>
        <w:ind w:firstLine="482" w:firstLineChars="200"/>
        <w:rPr>
          <w:rFonts w:hint="eastAsia" w:ascii="宋体" w:hAnsi="宋体" w:eastAsia="宋体" w:cs="Times New Roman"/>
          <w:b/>
          <w:bCs/>
          <w:sz w:val="24"/>
          <w:szCs w:val="24"/>
        </w:rPr>
      </w:pPr>
      <w:r>
        <w:rPr>
          <w:rFonts w:hint="eastAsia" w:ascii="宋体" w:hAnsi="宋体" w:eastAsia="宋体" w:cs="Times New Roman"/>
          <w:b/>
          <w:bCs/>
          <w:sz w:val="24"/>
          <w:szCs w:val="24"/>
        </w:rPr>
        <w:t>13、投标方提供一套设备操作规程、点检记录、设备关键校准参数等相关资料</w:t>
      </w:r>
    </w:p>
    <w:p>
      <w:pPr>
        <w:spacing w:line="360" w:lineRule="auto"/>
        <w:rPr>
          <w:rFonts w:hint="eastAsia" w:ascii="宋体" w:hAnsi="宋体" w:eastAsia="宋体" w:cs="宋体"/>
          <w:b/>
          <w:sz w:val="24"/>
          <w:szCs w:val="18"/>
        </w:rPr>
      </w:pPr>
      <w:r>
        <w:rPr>
          <w:rFonts w:hint="eastAsia" w:ascii="宋体" w:hAnsi="宋体" w:eastAsia="宋体" w:cs="宋体"/>
          <w:b/>
          <w:sz w:val="24"/>
          <w:szCs w:val="18"/>
        </w:rPr>
        <w:t>（四）点位需求</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1、</w:t>
      </w:r>
      <w:r>
        <w:rPr>
          <w:rFonts w:hint="eastAsia" w:ascii="宋体" w:hAnsi="宋体" w:eastAsia="宋体" w:cs="宋体"/>
          <w:sz w:val="24"/>
          <w:szCs w:val="24"/>
        </w:rPr>
        <w:t>点位属性：按照需求提供设备点位地址、点位名称、点位含义说明、数据类型、单位，字符串、数组等要标明长度；</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2、</w:t>
      </w:r>
      <w:r>
        <w:rPr>
          <w:rFonts w:hint="eastAsia" w:ascii="宋体" w:hAnsi="宋体" w:eastAsia="宋体" w:cs="宋体"/>
          <w:sz w:val="24"/>
          <w:szCs w:val="24"/>
        </w:rPr>
        <w:t>数据格式：接口提供的物理量点位应为不包含系数、以标准单位标称的工程量数据，如果需要数据格式转换或系数转换的在设备内部进行。例如部分设备只提供整形数据，某点位温度数值为215，系数为0.1，单位为℃。需要提供的数据类型为浮点型数据，值为21.5，单位为℃。</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3、</w:t>
      </w:r>
      <w:r>
        <w:rPr>
          <w:rFonts w:hint="eastAsia" w:ascii="宋体" w:hAnsi="宋体" w:eastAsia="宋体" w:cs="宋体"/>
          <w:sz w:val="24"/>
          <w:szCs w:val="24"/>
        </w:rPr>
        <w:t>数据：设备需求数据包含通用数据和专用数据两部分，通用数据所有设备都需要提供，专用数据需要根据具体设备类型确认需求点位。通用点位包含三类，一是实时状态数据，二是生产结果数据，三是设备能耗数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(1)实时状态数据：数据能够反映设备实时运行状态；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rPr>
        <w:t>2</w:t>
      </w:r>
      <w:r>
        <w:rPr>
          <w:rFonts w:hint="eastAsia" w:ascii="宋体" w:hAnsi="宋体" w:eastAsia="宋体" w:cs="宋体"/>
          <w:sz w:val="24"/>
          <w:szCs w:val="24"/>
        </w:rPr>
        <w:t>)生产结果数据：以固定结构提供生产结果数据，包含工件编码、入站时间、入口、出站时间、出口、操作员、配件编码、质量状态等，所有数据应在加工完成后统一刷新，即所有数据都是绑定到同一工件，按照此组数据能够完成对工件加工过程的追溯。多工位设备按每个工位提供一组生产数据点位；</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rPr>
        <w:t>3</w:t>
      </w:r>
      <w:r>
        <w:rPr>
          <w:rFonts w:hint="eastAsia" w:ascii="宋体" w:hAnsi="宋体" w:eastAsia="宋体" w:cs="宋体"/>
          <w:sz w:val="24"/>
          <w:szCs w:val="24"/>
        </w:rPr>
        <w:t>)对于生产结果数据，设备本身必须保留最近一定量生产数据的备份，以预防设备和SCADA通道连接中断时生产数据丢失。</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4、</w:t>
      </w:r>
      <w:r>
        <w:rPr>
          <w:rFonts w:hint="eastAsia" w:ascii="宋体" w:hAnsi="宋体" w:eastAsia="宋体" w:cs="宋体"/>
          <w:sz w:val="24"/>
          <w:szCs w:val="24"/>
        </w:rPr>
        <w:t>以报警代码的方式提供报警信息，需要提供报警代码、报警状态、报警说明以及报警处理办法，报警代码以纯数值格式表示，报警等级符合重汽告警管理规范。</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5、</w:t>
      </w:r>
      <w:r>
        <w:rPr>
          <w:rFonts w:hint="eastAsia" w:ascii="宋体" w:hAnsi="宋体" w:eastAsia="宋体" w:cs="宋体"/>
          <w:sz w:val="24"/>
          <w:szCs w:val="24"/>
        </w:rPr>
        <w:t>提供的设备状态数据应当是连续变化、不间断的，以符合数据采集的需求。即点位不能只在部分时间存有实时数据，其他时间数据回归初始值或无意义；</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6、</w:t>
      </w:r>
      <w:r>
        <w:rPr>
          <w:rFonts w:hint="eastAsia" w:ascii="宋体" w:hAnsi="宋体" w:eastAsia="宋体" w:cs="宋体"/>
          <w:sz w:val="24"/>
          <w:szCs w:val="24"/>
        </w:rPr>
        <w:t>在设备状态信息中提供报警状态和报警代码之外，还需要提供报警代码对应的报警等级、报警内容和处理办法。设备当前报警代码、报警等级、报警文本和处理办法均绑定设备指定点位，读取相应点位即可获得当前报警的报警代码、报警等级、说明文本、报警参数和处理办法。PLC等接口不支持中文文本传输的设备，需提供报警代码、报警等级、报警文本和处理办法等的对应关系表。从设备中读取报警代码和报警参数，通过查找报警明细表能够获得报警等级、报警文本和处理办法等报警相关的所有信息。</w:t>
      </w:r>
    </w:p>
    <w:p>
      <w:pPr>
        <w:spacing w:line="360" w:lineRule="auto"/>
        <w:rPr>
          <w:rFonts w:hint="eastAsia" w:ascii="宋体" w:hAnsi="宋体" w:eastAsia="宋体" w:cs="宋体"/>
          <w:b/>
          <w:sz w:val="24"/>
          <w:szCs w:val="18"/>
        </w:rPr>
      </w:pPr>
      <w:r>
        <w:rPr>
          <w:rFonts w:hint="eastAsia" w:ascii="宋体" w:hAnsi="宋体" w:eastAsia="宋体" w:cs="宋体"/>
          <w:b/>
          <w:sz w:val="24"/>
          <w:szCs w:val="18"/>
        </w:rPr>
        <w:t>（五）数采接口要求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rPr>
        <w:t>、</w:t>
      </w:r>
      <w:r>
        <w:rPr>
          <w:rFonts w:hint="eastAsia" w:ascii="宋体" w:hAnsi="宋体" w:eastAsia="宋体" w:cs="宋体"/>
          <w:sz w:val="24"/>
          <w:szCs w:val="24"/>
        </w:rPr>
        <w:t xml:space="preserve"> 接口基本要求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标准化接口调用：各供应商必须严格按照本标准调用接口，确保数据格式统一。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接口地址与访问方式：接口采用HTTP风格，并支持HTTPS加密传输。</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cs="宋体"/>
          <w:sz w:val="24"/>
          <w:szCs w:val="24"/>
        </w:rPr>
        <w:t>、</w:t>
      </w:r>
      <w:r>
        <w:rPr>
          <w:rFonts w:hint="eastAsia" w:ascii="宋体" w:hAnsi="宋体" w:eastAsia="宋体" w:cs="宋体"/>
          <w:sz w:val="24"/>
          <w:szCs w:val="24"/>
        </w:rPr>
        <w:t>数据上传WebAPI接口说明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(1)设备状态接口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接口地址：https:// ***/api/params</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数据格式：JSON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示例：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"controller": "MFG-001-2025",</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"timestamp": "2025-02-20 14:30:00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"params":{</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"device_state": "0",</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"tag1": "TEMP_01",</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"tag2": "TEMP_02",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"tag3": "TEMP_03"}</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(2)设备报警接口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接口地址：https:// ***/api/alarm</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数据格式：JSON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示例：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"controller": "MFG-001-2025",</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"alarm_code": "001",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"alarm_detail":"报警描述",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"alarm_type": "报警类型",</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"alarm_level": "级别",</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"alarm_time": "2025-02-20 14:30:00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"alarm_1": "预留1",</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"alarm_2": "预留2",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p>
      <w:pPr>
        <w:widowControl/>
        <w:numPr>
          <w:ilvl w:val="0"/>
          <w:numId w:val="11"/>
        </w:numPr>
        <w:spacing w:line="360" w:lineRule="auto"/>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 xml:space="preserve">请求报文格式：采用JSON格式，主要字段包括： </w:t>
      </w:r>
    </w:p>
    <w:p>
      <w:pPr>
        <w:widowControl/>
        <w:spacing w:line="360" w:lineRule="auto"/>
        <w:ind w:left="420" w:leftChars="200"/>
        <w:rPr>
          <w:rFonts w:hint="eastAsia" w:ascii="宋体" w:hAnsi="宋体" w:eastAsia="宋体" w:cs="宋体"/>
          <w:bCs/>
          <w:sz w:val="24"/>
          <w:szCs w:val="24"/>
        </w:rPr>
      </w:pPr>
      <w:r>
        <w:rPr>
          <w:rFonts w:hint="eastAsia" w:ascii="宋体" w:hAnsi="宋体" w:eastAsia="宋体" w:cs="宋体"/>
          <w:bCs/>
          <w:sz w:val="24"/>
          <w:szCs w:val="24"/>
        </w:rPr>
        <w:t>controller: 字符串，设备唯一标识。</w:t>
      </w:r>
    </w:p>
    <w:p>
      <w:pPr>
        <w:widowControl/>
        <w:spacing w:line="360" w:lineRule="auto"/>
        <w:ind w:left="420" w:leftChars="200"/>
        <w:rPr>
          <w:rFonts w:hint="eastAsia" w:ascii="宋体" w:hAnsi="宋体" w:eastAsia="宋体" w:cs="宋体"/>
          <w:bCs/>
          <w:sz w:val="24"/>
          <w:szCs w:val="24"/>
        </w:rPr>
      </w:pPr>
      <w:r>
        <w:rPr>
          <w:rFonts w:hint="eastAsia" w:ascii="宋体" w:hAnsi="宋体" w:eastAsia="宋体" w:cs="宋体"/>
          <w:bCs/>
          <w:sz w:val="24"/>
          <w:szCs w:val="24"/>
        </w:rPr>
        <w:t>timestamp：数据采集时间。</w:t>
      </w:r>
    </w:p>
    <w:p>
      <w:pPr>
        <w:widowControl/>
        <w:spacing w:line="360" w:lineRule="auto"/>
        <w:ind w:left="420" w:leftChars="200"/>
        <w:rPr>
          <w:rFonts w:hint="eastAsia" w:ascii="宋体" w:hAnsi="宋体" w:eastAsia="宋体" w:cs="宋体"/>
          <w:bCs/>
          <w:sz w:val="24"/>
          <w:szCs w:val="24"/>
        </w:rPr>
      </w:pPr>
      <w:r>
        <w:rPr>
          <w:rFonts w:hint="eastAsia" w:ascii="宋体" w:hAnsi="宋体" w:eastAsia="宋体" w:cs="宋体"/>
          <w:bCs/>
          <w:sz w:val="24"/>
          <w:szCs w:val="24"/>
        </w:rPr>
        <w:t>Params：参数块，用于包含设备采集的各项数据（例如设备运行模式、信号强度、在线状态等可根据采集内容需要增补）；</w:t>
      </w:r>
    </w:p>
    <w:p>
      <w:pPr>
        <w:widowControl/>
        <w:spacing w:line="360" w:lineRule="auto"/>
        <w:ind w:left="420" w:leftChars="200"/>
        <w:rPr>
          <w:rFonts w:hint="eastAsia" w:ascii="宋体" w:hAnsi="宋体" w:eastAsia="宋体" w:cs="宋体"/>
          <w:bCs/>
          <w:sz w:val="24"/>
          <w:szCs w:val="24"/>
        </w:rPr>
      </w:pPr>
      <w:r>
        <w:rPr>
          <w:rFonts w:hint="eastAsia" w:ascii="宋体" w:hAnsi="宋体" w:eastAsia="宋体" w:cs="宋体"/>
          <w:bCs/>
          <w:sz w:val="24"/>
          <w:szCs w:val="24"/>
        </w:rPr>
        <w:t>device_state：设备运行状态（0：运行，1：停止，2：待机）；</w:t>
      </w:r>
    </w:p>
    <w:p>
      <w:pPr>
        <w:widowControl/>
        <w:spacing w:line="360" w:lineRule="auto"/>
        <w:ind w:left="420" w:leftChars="200"/>
        <w:rPr>
          <w:rFonts w:hint="eastAsia" w:ascii="宋体" w:hAnsi="宋体" w:eastAsia="宋体" w:cs="宋体"/>
          <w:bCs/>
          <w:sz w:val="24"/>
          <w:szCs w:val="24"/>
        </w:rPr>
      </w:pPr>
      <w:r>
        <w:rPr>
          <w:rFonts w:hint="eastAsia" w:ascii="宋体" w:hAnsi="宋体" w:eastAsia="宋体" w:cs="宋体"/>
          <w:bCs/>
          <w:sz w:val="24"/>
          <w:szCs w:val="24"/>
        </w:rPr>
        <w:t>tag1：根据实际采集的内容，确定的属性</w:t>
      </w:r>
    </w:p>
    <w:p>
      <w:pPr>
        <w:widowControl/>
        <w:spacing w:line="360" w:lineRule="auto"/>
        <w:ind w:left="420" w:leftChars="200"/>
        <w:rPr>
          <w:rFonts w:hint="eastAsia" w:ascii="宋体" w:hAnsi="宋体" w:eastAsia="宋体" w:cs="宋体"/>
          <w:bCs/>
          <w:sz w:val="24"/>
          <w:szCs w:val="24"/>
        </w:rPr>
      </w:pPr>
      <w:r>
        <w:rPr>
          <w:rFonts w:hint="eastAsia" w:ascii="宋体" w:hAnsi="宋体" w:eastAsia="宋体" w:cs="宋体"/>
          <w:bCs/>
          <w:sz w:val="24"/>
          <w:szCs w:val="24"/>
        </w:rPr>
        <w:t>对报警信息字段：如alarm_code（报警编号）、alarm_detail（报警描述）、alarm_type（报警类型）、alarm_level（报警级别）。</w:t>
      </w:r>
    </w:p>
    <w:p>
      <w:pPr>
        <w:widowControl/>
        <w:numPr>
          <w:ilvl w:val="0"/>
          <w:numId w:val="11"/>
        </w:numPr>
        <w:spacing w:line="360" w:lineRule="auto"/>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 xml:space="preserve">响应格式： </w:t>
      </w:r>
    </w:p>
    <w:p>
      <w:pPr>
        <w:widowControl/>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返回统一状态码及说明信息，示例：成功返回200和“上传成功”，错误时返回相应错误码及描述。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cs="宋体"/>
          <w:sz w:val="24"/>
          <w:szCs w:val="24"/>
        </w:rPr>
        <w:t>、</w:t>
      </w:r>
      <w:r>
        <w:rPr>
          <w:rFonts w:hint="eastAsia" w:ascii="宋体" w:hAnsi="宋体" w:eastAsia="宋体" w:cs="宋体"/>
          <w:sz w:val="24"/>
          <w:szCs w:val="24"/>
        </w:rPr>
        <w:t>安全认证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认证机制：采用Token进行身份认证。所有请求必须在HTTP Header中附带合法的认证信息。</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数据加密：必须使用HTTPS协议，确保数据传输安全。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cs="宋体"/>
          <w:sz w:val="24"/>
          <w:szCs w:val="24"/>
        </w:rPr>
        <w:t>、</w:t>
      </w:r>
      <w:r>
        <w:rPr>
          <w:rFonts w:hint="eastAsia" w:ascii="宋体" w:hAnsi="宋体" w:eastAsia="宋体" w:cs="宋体"/>
          <w:sz w:val="24"/>
          <w:szCs w:val="24"/>
        </w:rPr>
        <w:t>异常处理与日志记录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错误码：标准定义各类错误码（如401、404、500等），并附带详细错误说明，便于调试。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日志记录：所有接口调用均需记录详细日志（包括请求、响应及异常信息），以便后续问题追踪。</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cs="宋体"/>
          <w:sz w:val="24"/>
          <w:szCs w:val="24"/>
        </w:rPr>
        <w:t>、</w:t>
      </w:r>
      <w:r>
        <w:rPr>
          <w:rFonts w:hint="eastAsia" w:ascii="宋体" w:hAnsi="宋体" w:eastAsia="宋体" w:cs="宋体"/>
          <w:sz w:val="24"/>
          <w:szCs w:val="24"/>
        </w:rPr>
        <w:t>MQTT接口（实时通道）说明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主题规范：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mqtt/000000/{采集模型(重汽提供)}/{设备编码(重汽提供)}</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QoS等级：Level 1</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报文示例：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"controller": "MFG-001-2025",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"timestamp":"Fri Mar 08 09:50:00 CST 2024"</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"params":{</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"device_state":"0"</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"tag1": "TEMP_01",</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"tag2": "TEMP_02",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"tag3": "TEMP_03",</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"alarm_code": "001",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"alarm_detail": “报警描述”,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"alarm_type": "报警类型",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"alarm_level": "级别",</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"alarm_time":"2025-02-20 14:30:00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"alarm_info":[],</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报文格式：主要字段包括：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controller：字符串，设备唯一标识。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timestamp：时间戳。</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params：参数块，用于包含设备采集的各项数据（例如设备运行模式、信号强度、在线状态等可根据采集内容需要增补）；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device_state：必须字段，设备状态（0：开机，1：关机，2：待机）；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以及报警相关字段（alarm_code、alarm_detail、alarm_type、alarm_level、alarm_time）。</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cs="宋体"/>
          <w:sz w:val="24"/>
          <w:szCs w:val="24"/>
        </w:rPr>
        <w:t>、</w:t>
      </w:r>
      <w:r>
        <w:rPr>
          <w:rFonts w:hint="eastAsia" w:ascii="宋体" w:hAnsi="宋体" w:eastAsia="宋体" w:cs="宋体"/>
          <w:sz w:val="24"/>
          <w:szCs w:val="24"/>
        </w:rPr>
        <w:t>发布与订阅规范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(1)连接前，设备供应商必须通过认证，确保连接合法。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(2)建议使用QoS 1，确保消息至少一次送达，并支持重传机制。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cs="宋体"/>
          <w:sz w:val="24"/>
          <w:szCs w:val="24"/>
        </w:rPr>
        <w:t>、</w:t>
      </w:r>
      <w:r>
        <w:rPr>
          <w:rFonts w:hint="eastAsia" w:ascii="宋体" w:hAnsi="宋体" w:eastAsia="宋体" w:cs="宋体"/>
          <w:sz w:val="24"/>
          <w:szCs w:val="24"/>
        </w:rPr>
        <w:t>异常处理与重连机制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(1)定义MQTT连接中断后的重连策略。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(2)对于消息发送失败情况，要求设备或网关具备自动重发机制，并记录失败原因以便分析。</w:t>
      </w:r>
    </w:p>
    <w:p>
      <w:pPr>
        <w:spacing w:line="360" w:lineRule="auto"/>
        <w:rPr>
          <w:rFonts w:hint="eastAsia" w:ascii="宋体" w:hAnsi="宋体" w:eastAsia="宋体" w:cs="宋体"/>
          <w:b/>
          <w:sz w:val="24"/>
          <w:szCs w:val="18"/>
        </w:rPr>
      </w:pPr>
      <w:r>
        <w:rPr>
          <w:rFonts w:hint="eastAsia" w:ascii="宋体" w:hAnsi="宋体" w:eastAsia="宋体" w:cs="宋体"/>
          <w:b/>
          <w:sz w:val="24"/>
          <w:szCs w:val="18"/>
        </w:rPr>
        <w:t>（六）空压机要求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空压机必须协助买方进行压力容器登记注册，并提供资料，包括但不限于：</w:t>
      </w:r>
    </w:p>
    <w:p>
      <w:pPr>
        <w:numPr>
          <w:ilvl w:val="0"/>
          <w:numId w:val="12"/>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w:t>
      </w:r>
    </w:p>
    <w:p>
      <w:pPr>
        <w:numPr>
          <w:ilvl w:val="0"/>
          <w:numId w:val="12"/>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压力容器产品证明书，包含：</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锅炉压力容器安全质量监督检验证书（副本）、压力容器产品合格证、压力容器产品数据表、压力容器制造质量计划、压力容器外观及几何尺寸检验报告、产品主要受压元件使用材料一览、产品质量证明书、机组名牌照片、压力试验检验报告、（焊接）工艺过程卡、无损探伤报告单、焊缝射线检测报告、X射线摄片记录、压力容器强度计算书、系列管板应力分析报告、总图。</w:t>
      </w:r>
    </w:p>
    <w:p>
      <w:pPr>
        <w:spacing w:line="360" w:lineRule="auto"/>
        <w:rPr>
          <w:rFonts w:hint="eastAsia" w:ascii="宋体" w:hAnsi="宋体" w:eastAsia="宋体" w:cs="宋体"/>
          <w:b/>
          <w:sz w:val="24"/>
          <w:szCs w:val="18"/>
        </w:rPr>
      </w:pPr>
      <w:r>
        <w:rPr>
          <w:rFonts w:hint="eastAsia" w:ascii="宋体" w:hAnsi="宋体" w:eastAsia="宋体" w:cs="宋体"/>
          <w:b/>
          <w:sz w:val="24"/>
          <w:szCs w:val="18"/>
        </w:rPr>
        <w:t>（七）急停按钮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1、原则上应布置至少一个急停按键，位于控制桌（控制桌的中轴线上，距离桌边55cm）或者试验间内侧人行出入口旁（距离门框20cm，标高130cm），或者两个位置都布置。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2、按钮开关选用施耐德XB2BS545C，开关盒选用施耐德XALB01YC塑料按钮盒，防护罩选用施耐德ZB2BZ1605C。</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3、舱体和中小设备本体急停按键按实际需要配置。</w:t>
      </w:r>
    </w:p>
    <w:p>
      <w:pPr>
        <w:spacing w:line="360" w:lineRule="auto"/>
        <w:rPr>
          <w:rFonts w:hint="eastAsia" w:ascii="宋体" w:hAnsi="宋体" w:eastAsia="宋体" w:cs="宋体"/>
          <w:b/>
          <w:sz w:val="24"/>
          <w:szCs w:val="18"/>
        </w:rPr>
      </w:pPr>
      <w:r>
        <w:rPr>
          <w:rFonts w:hint="eastAsia" w:ascii="宋体" w:hAnsi="宋体" w:eastAsia="宋体" w:cs="宋体"/>
          <w:b/>
          <w:sz w:val="24"/>
          <w:szCs w:val="18"/>
        </w:rPr>
        <w:t>（八）屏幕尺寸</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1、设备主控台架屏幕横向放置，监控屏幕置于桌面最右侧</w:t>
      </w:r>
      <w:r>
        <w:rPr>
          <w:rFonts w:hint="eastAsia" w:ascii="宋体" w:hAnsi="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2、屏幕尺寸为34英寸，16:9比例。</w:t>
      </w:r>
    </w:p>
    <w:p>
      <w:pPr>
        <w:spacing w:line="360" w:lineRule="auto"/>
        <w:rPr>
          <w:rFonts w:hint="eastAsia" w:ascii="宋体" w:hAnsi="宋体" w:eastAsia="宋体" w:cs="宋体"/>
          <w:b/>
          <w:sz w:val="24"/>
          <w:szCs w:val="18"/>
        </w:rPr>
      </w:pPr>
      <w:r>
        <w:rPr>
          <w:rFonts w:hint="eastAsia" w:ascii="宋体" w:hAnsi="宋体" w:eastAsia="宋体" w:cs="宋体"/>
          <w:b/>
          <w:sz w:val="24"/>
          <w:szCs w:val="18"/>
        </w:rPr>
        <w:t>（九）主控柜位置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原则上放置于主控台架一侧（远离试验室人行门入口）</w:t>
      </w:r>
      <w:r>
        <w:rPr>
          <w:rFonts w:hint="eastAsia" w:ascii="宋体" w:hAnsi="宋体" w:cs="宋体"/>
          <w:sz w:val="24"/>
          <w:szCs w:val="24"/>
        </w:rPr>
        <w:t>。</w:t>
      </w:r>
    </w:p>
    <w:p>
      <w:pPr>
        <w:spacing w:line="360" w:lineRule="auto"/>
        <w:rPr>
          <w:rFonts w:hint="eastAsia" w:ascii="宋体" w:hAnsi="宋体" w:eastAsia="宋体" w:cs="宋体"/>
          <w:b/>
          <w:sz w:val="24"/>
          <w:szCs w:val="18"/>
        </w:rPr>
      </w:pPr>
      <w:r>
        <w:rPr>
          <w:rFonts w:hint="eastAsia" w:ascii="宋体" w:hAnsi="宋体" w:eastAsia="宋体" w:cs="宋体"/>
          <w:b/>
          <w:sz w:val="24"/>
          <w:szCs w:val="18"/>
        </w:rPr>
        <w:t>（十）其它要求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w:t>
      </w:r>
      <w:r>
        <w:rPr>
          <w:rFonts w:hint="eastAsia" w:ascii="宋体" w:hAnsi="宋体" w:eastAsia="宋体" w:cs="宋体"/>
          <w:sz w:val="24"/>
          <w:szCs w:val="24"/>
        </w:rPr>
        <w:t>所有设备外观喷涂颜色按中国重型汽车集团有限公司Q/ZZ 30070—2020《设备设施颜色标识》规定执行</w:t>
      </w:r>
      <w:r>
        <w:rPr>
          <w:rFonts w:hint="eastAsia" w:ascii="宋体" w:hAnsi="宋体" w:cs="宋体"/>
          <w:sz w:val="24"/>
          <w:szCs w:val="24"/>
        </w:rPr>
        <w:t>。</w:t>
      </w:r>
    </w:p>
    <w:p>
      <w:pPr>
        <w:spacing w:line="360" w:lineRule="auto"/>
        <w:ind w:firstLine="480" w:firstLineChars="200"/>
        <w:rPr>
          <w:rFonts w:hint="eastAsia" w:ascii="宋体" w:hAnsi="宋体" w:cs="宋体"/>
          <w:sz w:val="24"/>
          <w:szCs w:val="24"/>
        </w:rPr>
      </w:pPr>
      <w:r>
        <w:rPr>
          <w:rFonts w:hint="eastAsia" w:ascii="宋体" w:hAnsi="宋体" w:cs="宋体"/>
          <w:sz w:val="24"/>
        </w:rPr>
        <w:t>2、</w:t>
      </w:r>
      <w:r>
        <w:rPr>
          <w:rFonts w:hint="eastAsia" w:ascii="宋体" w:hAnsi="宋体" w:cs="宋体"/>
          <w:sz w:val="24"/>
          <w:szCs w:val="24"/>
        </w:rPr>
        <w:t>设备验收前需符合</w:t>
      </w:r>
      <w:r>
        <w:rPr>
          <w:rFonts w:hint="eastAsia" w:ascii="宋体" w:hAnsi="宋体" w:eastAsia="宋体" w:cs="宋体"/>
          <w:sz w:val="24"/>
          <w:szCs w:val="24"/>
        </w:rPr>
        <w:t>中国重型汽车集团有限公司</w:t>
      </w:r>
      <w:r>
        <w:rPr>
          <w:rFonts w:hint="eastAsia" w:ascii="宋体" w:hAnsi="宋体" w:cs="宋体"/>
          <w:sz w:val="24"/>
          <w:szCs w:val="24"/>
        </w:rPr>
        <w:t>JNATCB0117A2-2025《设备通用技术标准管理办法》规范。</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3</w:t>
      </w:r>
      <w:r>
        <w:rPr>
          <w:rFonts w:hint="eastAsia" w:ascii="宋体" w:hAnsi="宋体" w:eastAsia="宋体" w:cs="宋体"/>
          <w:sz w:val="24"/>
          <w:szCs w:val="24"/>
        </w:rPr>
        <w:t>、嵌入式软件必须免费升级。</w:t>
      </w:r>
    </w:p>
    <w:p>
      <w:pPr>
        <w:pStyle w:val="116"/>
        <w:spacing w:line="360" w:lineRule="auto"/>
        <w:outlineLvl w:val="2"/>
        <w:rPr>
          <w:rFonts w:hint="eastAsia" w:eastAsia="宋体" w:cs="宋体"/>
          <w:b/>
          <w:bCs w:val="0"/>
          <w:sz w:val="24"/>
          <w:szCs w:val="24"/>
        </w:rPr>
      </w:pPr>
      <w:bookmarkStart w:id="33" w:name="_Hlk132112785"/>
      <w:r>
        <w:rPr>
          <w:rFonts w:hint="eastAsia" w:eastAsia="宋体" w:cs="宋体"/>
          <w:b/>
          <w:bCs w:val="0"/>
          <w:sz w:val="24"/>
          <w:szCs w:val="24"/>
        </w:rPr>
        <w:t>三、技术要求</w:t>
      </w:r>
    </w:p>
    <w:p>
      <w:pPr>
        <w:ind w:firstLine="482" w:firstLineChars="200"/>
        <w:jc w:val="left"/>
        <w:rPr>
          <w:rFonts w:hint="eastAsia" w:ascii="宋体" w:hAnsi="宋体" w:eastAsia="宋体" w:cs="宋体"/>
          <w:b/>
          <w:sz w:val="24"/>
          <w:szCs w:val="24"/>
        </w:rPr>
      </w:pPr>
      <w:r>
        <w:rPr>
          <w:rFonts w:hint="eastAsia" w:ascii="宋体" w:hAnsi="宋体" w:eastAsia="宋体" w:cs="宋体"/>
          <w:b/>
          <w:sz w:val="24"/>
          <w:szCs w:val="24"/>
        </w:rPr>
        <w:t>说明：本章内容中凡标有“★”号的，均须无条件的满足，如果某个标题前标有“★”的，则该标题下的所有内容都须无条件的满足。</w:t>
      </w:r>
    </w:p>
    <w:p>
      <w:pPr>
        <w:jc w:val="left"/>
        <w:rPr>
          <w:rFonts w:hint="eastAsia" w:ascii="宋体" w:hAnsi="宋体" w:eastAsia="宋体" w:cs="宋体"/>
          <w:b/>
          <w:sz w:val="24"/>
          <w:szCs w:val="24"/>
        </w:rPr>
      </w:pPr>
    </w:p>
    <w:p>
      <w:pPr>
        <w:spacing w:line="420" w:lineRule="exact"/>
        <w:outlineLvl w:val="3"/>
        <w:rPr>
          <w:rFonts w:hint="eastAsia" w:ascii="宋体" w:hAnsi="宋体" w:eastAsia="宋体" w:cs="宋体"/>
          <w:b/>
          <w:bCs/>
          <w:sz w:val="24"/>
          <w:szCs w:val="24"/>
        </w:rPr>
      </w:pPr>
      <w:r>
        <w:rPr>
          <w:rFonts w:hint="eastAsia" w:ascii="宋体" w:hAnsi="宋体" w:eastAsia="宋体" w:cs="宋体"/>
          <w:b/>
          <w:bCs/>
          <w:sz w:val="24"/>
          <w:szCs w:val="24"/>
        </w:rPr>
        <w:t>1功能用途、生产能力、使用寿命要求</w:t>
      </w:r>
    </w:p>
    <w:p>
      <w:pPr>
        <w:tabs>
          <w:tab w:val="left" w:pos="709"/>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1000kW级电池系统试验台主要包含1000kW充放电机、电池系统安全环境舱和冷水机，三套设备联控联调用于车用动力锂电池包及系统的各种性能测试。环境舱用于为电池提供恒定温湿度、温度循环、温度冲击等气候环境和功能，按照</w:t>
      </w:r>
      <w:r>
        <w:rPr>
          <w:rFonts w:ascii="宋体" w:hAnsi="宋体" w:eastAsia="宋体" w:cs="宋体"/>
          <w:color w:val="000000"/>
          <w:sz w:val="24"/>
          <w:szCs w:val="24"/>
        </w:rPr>
        <w:t>GB/T 38031-2020</w:t>
      </w:r>
      <w:r>
        <w:rPr>
          <w:rFonts w:hint="eastAsia" w:ascii="宋体" w:hAnsi="宋体" w:eastAsia="宋体" w:cs="宋体"/>
          <w:color w:val="000000"/>
          <w:sz w:val="24"/>
          <w:szCs w:val="24"/>
        </w:rPr>
        <w:t>、GB/T31467.3-2015等标准进行相关试验，用于电池包在不同环境下的存储及充放电的可靠性，并设计有安全保护措施，保证试验过程中的安全。冷水机用于电池系统控温，该系统由压缩机制冷机组、制冷箱、循环泵组、换热容器、控制装置及辅助装置等组成。</w:t>
      </w:r>
    </w:p>
    <w:p>
      <w:pPr>
        <w:spacing w:line="420" w:lineRule="exact"/>
        <w:outlineLvl w:val="3"/>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w:t>
      </w:r>
      <w:r>
        <w:rPr>
          <w:rFonts w:hint="eastAsia" w:ascii="宋体" w:hAnsi="宋体" w:eastAsia="宋体" w:cs="宋体"/>
          <w:b/>
          <w:bCs/>
          <w:sz w:val="24"/>
          <w:szCs w:val="24"/>
        </w:rPr>
        <w:t>技术性能参数要求</w:t>
      </w:r>
    </w:p>
    <w:p>
      <w:pPr>
        <w:spacing w:line="420" w:lineRule="exact"/>
        <w:outlineLvl w:val="4"/>
        <w:rPr>
          <w:rFonts w:hint="eastAsia" w:ascii="宋体" w:hAnsi="宋体" w:eastAsia="宋体" w:cs="宋体"/>
          <w:b/>
          <w:bCs/>
          <w:sz w:val="24"/>
          <w:szCs w:val="24"/>
        </w:rPr>
      </w:pPr>
      <w:r>
        <w:rPr>
          <w:rFonts w:hint="eastAsia" w:ascii="宋体" w:hAnsi="宋体" w:eastAsia="宋体" w:cs="宋体"/>
          <w:b/>
          <w:bCs/>
          <w:sz w:val="24"/>
          <w:szCs w:val="24"/>
        </w:rPr>
        <w:t>2.1 1000kW充放电机</w:t>
      </w:r>
    </w:p>
    <w:tbl>
      <w:tblPr>
        <w:tblStyle w:val="39"/>
        <w:tblW w:w="850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771"/>
        <w:gridCol w:w="3616"/>
        <w:gridCol w:w="2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505" w:type="dxa"/>
            <w:gridSpan w:val="4"/>
            <w:vAlign w:val="center"/>
          </w:tcPr>
          <w:p>
            <w:pPr>
              <w:widowControl/>
              <w:jc w:val="left"/>
              <w:rPr>
                <w:rFonts w:hint="eastAsia" w:ascii="宋体" w:hAnsi="宋体" w:eastAsia="宋体" w:cs="华文中宋"/>
                <w:b/>
                <w:bCs/>
                <w:color w:val="000000"/>
                <w:kern w:val="0"/>
                <w:szCs w:val="21"/>
              </w:rPr>
            </w:pPr>
            <w:r>
              <w:rPr>
                <w:rFonts w:hint="eastAsia" w:ascii="宋体" w:hAnsi="宋体" w:eastAsia="宋体" w:cs="华文中宋"/>
                <w:b/>
                <w:bCs/>
                <w:color w:val="000000"/>
                <w:kern w:val="0"/>
                <w:szCs w:val="21"/>
              </w:rPr>
              <w:t>1设备综合指标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1.1</w:t>
            </w:r>
          </w:p>
        </w:tc>
        <w:tc>
          <w:tcPr>
            <w:tcW w:w="1771"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噪音</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≤75dB（背面1米测量）</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额定50%功率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1.2</w:t>
            </w:r>
          </w:p>
        </w:tc>
        <w:tc>
          <w:tcPr>
            <w:tcW w:w="1771"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散热方式</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风冷</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1.3</w:t>
            </w:r>
          </w:p>
        </w:tc>
        <w:tc>
          <w:tcPr>
            <w:tcW w:w="1771"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能量回馈功能</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电池能量放电至交流电网</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kern w:val="0"/>
                <w:szCs w:val="21"/>
              </w:rPr>
              <w:t>DC-AC模式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1.4</w:t>
            </w:r>
          </w:p>
        </w:tc>
        <w:tc>
          <w:tcPr>
            <w:tcW w:w="1771"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IP防护等级</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IP21</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1.5</w:t>
            </w:r>
          </w:p>
        </w:tc>
        <w:tc>
          <w:tcPr>
            <w:tcW w:w="1771"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充电最佳转换效率</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≥92%（电网侧到电池侧）</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1000V电压下测试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1.6</w:t>
            </w:r>
          </w:p>
        </w:tc>
        <w:tc>
          <w:tcPr>
            <w:tcW w:w="1771"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放电最佳转换效率</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≥92%（电池侧到电网侧）</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1000V电压下测试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1.7</w:t>
            </w:r>
          </w:p>
        </w:tc>
        <w:tc>
          <w:tcPr>
            <w:tcW w:w="1771"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输出线长度</w:t>
            </w:r>
          </w:p>
        </w:tc>
        <w:tc>
          <w:tcPr>
            <w:tcW w:w="3616" w:type="dxa"/>
            <w:vAlign w:val="center"/>
          </w:tcPr>
          <w:p>
            <w:pPr>
              <w:widowControl/>
              <w:jc w:val="left"/>
              <w:rPr>
                <w:rFonts w:hint="default" w:ascii="宋体" w:hAnsi="宋体" w:eastAsia="宋体" w:cs="华文中宋"/>
                <w:kern w:val="0"/>
                <w:szCs w:val="21"/>
                <w:lang w:val="en-US" w:eastAsia="zh-CN"/>
              </w:rPr>
            </w:pPr>
            <w:r>
              <w:rPr>
                <w:rFonts w:hint="eastAsia" w:ascii="宋体" w:hAnsi="宋体" w:eastAsia="宋体" w:cs="华文中宋"/>
                <w:kern w:val="0"/>
                <w:szCs w:val="21"/>
              </w:rPr>
              <w:t>≥20米铜线（铜鼻子、端子镀锡）</w:t>
            </w:r>
            <w:r>
              <w:rPr>
                <w:rFonts w:hint="eastAsia" w:ascii="宋体" w:hAnsi="宋体" w:eastAsia="宋体" w:cs="华文中宋"/>
                <w:kern w:val="0"/>
                <w:szCs w:val="21"/>
                <w:lang w:eastAsia="zh-CN"/>
              </w:rPr>
              <w:t>，</w:t>
            </w:r>
            <w:r>
              <w:rPr>
                <w:rFonts w:hint="eastAsia" w:ascii="宋体" w:hAnsi="宋体" w:eastAsia="宋体" w:cs="华文中宋"/>
                <w:kern w:val="0"/>
                <w:szCs w:val="21"/>
                <w:lang w:val="en-US" w:eastAsia="zh-CN"/>
              </w:rPr>
              <w:t>配3套输出线</w:t>
            </w:r>
            <w:bookmarkStart w:id="60" w:name="_GoBack"/>
            <w:bookmarkEnd w:id="60"/>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1.8</w:t>
            </w:r>
          </w:p>
        </w:tc>
        <w:tc>
          <w:tcPr>
            <w:tcW w:w="1771"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输入线长度</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≥2</w:t>
            </w:r>
            <w:r>
              <w:rPr>
                <w:rFonts w:ascii="宋体" w:hAnsi="宋体" w:eastAsia="宋体" w:cs="华文中宋"/>
                <w:kern w:val="0"/>
                <w:szCs w:val="21"/>
              </w:rPr>
              <w:t>5</w:t>
            </w:r>
            <w:r>
              <w:rPr>
                <w:rFonts w:hint="eastAsia" w:ascii="宋体" w:hAnsi="宋体" w:eastAsia="宋体" w:cs="华文中宋"/>
                <w:kern w:val="0"/>
                <w:szCs w:val="21"/>
              </w:rPr>
              <w:t>米或满足现场安装</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三相五线制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1.9</w:t>
            </w:r>
          </w:p>
        </w:tc>
        <w:tc>
          <w:tcPr>
            <w:tcW w:w="1771"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三色灯</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三色灯、蜂鸣器</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1.10</w:t>
            </w:r>
          </w:p>
        </w:tc>
        <w:tc>
          <w:tcPr>
            <w:tcW w:w="1771"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急停按钮</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标配</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1.11</w:t>
            </w:r>
          </w:p>
        </w:tc>
        <w:tc>
          <w:tcPr>
            <w:tcW w:w="1771" w:type="dxa"/>
            <w:vAlign w:val="center"/>
          </w:tcPr>
          <w:p>
            <w:pPr>
              <w:widowControl/>
              <w:jc w:val="left"/>
              <w:rPr>
                <w:rFonts w:hint="eastAsia" w:ascii="宋体" w:hAnsi="宋体" w:eastAsia="宋体" w:cs="华文中宋"/>
                <w:kern w:val="0"/>
                <w:szCs w:val="21"/>
              </w:rPr>
            </w:pPr>
            <w:r>
              <w:rPr>
                <w:rFonts w:hint="eastAsia" w:ascii="宋体" w:hAnsi="宋体" w:eastAsia="宋体" w:cs="宋体"/>
                <w:color w:val="000000"/>
                <w:szCs w:val="21"/>
              </w:rPr>
              <w:t>计量</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宋体"/>
                <w:color w:val="000000"/>
                <w:szCs w:val="21"/>
              </w:rPr>
              <w:t>出具省级及以上第三方计量报告</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505" w:type="dxa"/>
            <w:gridSpan w:val="4"/>
            <w:vAlign w:val="center"/>
          </w:tcPr>
          <w:p>
            <w:pPr>
              <w:widowControl/>
              <w:jc w:val="left"/>
              <w:rPr>
                <w:rFonts w:hint="eastAsia" w:ascii="宋体" w:hAnsi="宋体" w:eastAsia="宋体" w:cs="华文中宋"/>
                <w:b/>
                <w:bCs/>
                <w:kern w:val="0"/>
                <w:szCs w:val="21"/>
              </w:rPr>
            </w:pPr>
            <w:r>
              <w:rPr>
                <w:rFonts w:hint="eastAsia" w:ascii="宋体" w:hAnsi="宋体" w:eastAsia="宋体" w:cs="华文中宋"/>
                <w:b/>
                <w:bCs/>
                <w:kern w:val="0"/>
                <w:szCs w:val="21"/>
              </w:rPr>
              <w:t>2设备AC侧输入指标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2.1</w:t>
            </w:r>
          </w:p>
        </w:tc>
        <w:tc>
          <w:tcPr>
            <w:tcW w:w="1771"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输入电源</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 xml:space="preserve">380VAC±15% ,频率50Hz±2Hz </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三相五线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2.2</w:t>
            </w:r>
          </w:p>
        </w:tc>
        <w:tc>
          <w:tcPr>
            <w:tcW w:w="1771"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功率因数</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≥0.99（满载）</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2.3</w:t>
            </w:r>
          </w:p>
        </w:tc>
        <w:tc>
          <w:tcPr>
            <w:tcW w:w="1771" w:type="dxa"/>
            <w:vAlign w:val="center"/>
          </w:tcPr>
          <w:p>
            <w:pPr>
              <w:widowControl/>
              <w:rPr>
                <w:rFonts w:hint="eastAsia" w:ascii="宋体" w:hAnsi="宋体" w:eastAsia="宋体" w:cs="华文中宋"/>
                <w:kern w:val="0"/>
                <w:szCs w:val="21"/>
              </w:rPr>
            </w:pPr>
            <w:r>
              <w:rPr>
                <w:rFonts w:hint="eastAsia" w:ascii="宋体" w:hAnsi="宋体" w:eastAsia="宋体" w:cs="华文中宋"/>
                <w:color w:val="000000"/>
                <w:kern w:val="0"/>
                <w:szCs w:val="21"/>
              </w:rPr>
              <w:t>充放电电流谐波总畸变率（THD）</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≤5%（满载）</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2.4</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隔离方式</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AC DC高频隔离</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2.5</w:t>
            </w:r>
          </w:p>
        </w:tc>
        <w:tc>
          <w:tcPr>
            <w:tcW w:w="1771" w:type="dxa"/>
            <w:vAlign w:val="center"/>
          </w:tcPr>
          <w:p>
            <w:pPr>
              <w:widowControl/>
              <w:jc w:val="left"/>
              <w:rPr>
                <w:rFonts w:hint="eastAsia" w:ascii="宋体" w:hAnsi="宋体" w:eastAsia="宋体" w:cs="华文中宋"/>
                <w:kern w:val="0"/>
                <w:szCs w:val="21"/>
              </w:rPr>
            </w:pPr>
            <w:r>
              <w:rPr>
                <w:rFonts w:hint="eastAsia" w:ascii="宋体" w:hAnsi="宋体" w:eastAsia="宋体" w:cs="华文中宋"/>
                <w:color w:val="000000"/>
                <w:kern w:val="0"/>
                <w:szCs w:val="21"/>
              </w:rPr>
              <w:t>输入保护</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color w:val="000000"/>
                <w:kern w:val="0"/>
                <w:szCs w:val="21"/>
              </w:rPr>
              <w:t>防浪涌、防孤岛、过欠频保护、过欠压保护、缺相保护、交流短路保护</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505" w:type="dxa"/>
            <w:gridSpan w:val="4"/>
            <w:vAlign w:val="center"/>
          </w:tcPr>
          <w:p>
            <w:pPr>
              <w:widowControl/>
              <w:jc w:val="left"/>
              <w:rPr>
                <w:rFonts w:hint="eastAsia" w:ascii="宋体" w:hAnsi="宋体" w:eastAsia="宋体" w:cs="华文中宋"/>
                <w:b/>
                <w:bCs/>
                <w:kern w:val="0"/>
                <w:szCs w:val="21"/>
              </w:rPr>
            </w:pPr>
            <w:r>
              <w:rPr>
                <w:rFonts w:hint="eastAsia" w:ascii="宋体" w:hAnsi="宋体" w:eastAsia="宋体" w:cs="华文中宋"/>
                <w:b/>
                <w:bCs/>
                <w:color w:val="000000"/>
                <w:kern w:val="0"/>
                <w:szCs w:val="21"/>
              </w:rPr>
              <w:t>3设备DC侧输出指标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3.1</w:t>
            </w:r>
          </w:p>
        </w:tc>
        <w:tc>
          <w:tcPr>
            <w:tcW w:w="1771"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DC侧通道数</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每机柜通道数</w:t>
            </w:r>
            <w:r>
              <w:rPr>
                <w:rFonts w:ascii="宋体" w:hAnsi="宋体" w:eastAsia="宋体" w:cs="华文中宋"/>
                <w:kern w:val="0"/>
                <w:szCs w:val="21"/>
              </w:rPr>
              <w:t>2</w:t>
            </w:r>
            <w:r>
              <w:rPr>
                <w:rFonts w:hint="eastAsia" w:ascii="宋体" w:hAnsi="宋体" w:eastAsia="宋体" w:cs="华文中宋"/>
                <w:kern w:val="0"/>
                <w:szCs w:val="21"/>
              </w:rPr>
              <w:t>CH</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3.2</w:t>
            </w:r>
          </w:p>
        </w:tc>
        <w:tc>
          <w:tcPr>
            <w:tcW w:w="1771"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主通道</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控制方式</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kern w:val="0"/>
                <w:szCs w:val="21"/>
              </w:rPr>
              <w:t>每通道独立控制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3.3</w:t>
            </w:r>
          </w:p>
        </w:tc>
        <w:tc>
          <w:tcPr>
            <w:tcW w:w="1771"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单通道输入阻抗</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≥10MΩ</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3.4</w:t>
            </w:r>
          </w:p>
        </w:tc>
        <w:tc>
          <w:tcPr>
            <w:tcW w:w="1771"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电压范围（DC）</w:t>
            </w:r>
          </w:p>
        </w:tc>
        <w:tc>
          <w:tcPr>
            <w:tcW w:w="3616"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充电区间：≥（0V-</w:t>
            </w:r>
            <w:r>
              <w:rPr>
                <w:rFonts w:ascii="宋体" w:hAnsi="宋体" w:eastAsia="宋体" w:cs="华文中宋"/>
                <w:kern w:val="0"/>
                <w:szCs w:val="21"/>
              </w:rPr>
              <w:t>1000V</w:t>
            </w:r>
            <w:r>
              <w:rPr>
                <w:rFonts w:hint="eastAsia" w:ascii="宋体" w:hAnsi="宋体" w:eastAsia="宋体" w:cs="华文中宋"/>
                <w:kern w:val="0"/>
                <w:szCs w:val="21"/>
              </w:rPr>
              <w:t>）</w:t>
            </w:r>
          </w:p>
          <w:p>
            <w:pPr>
              <w:widowControl/>
              <w:jc w:val="left"/>
              <w:rPr>
                <w:rFonts w:hint="eastAsia" w:ascii="宋体" w:hAnsi="宋体" w:eastAsia="宋体" w:cs="华文中宋"/>
                <w:kern w:val="0"/>
                <w:szCs w:val="21"/>
              </w:rPr>
            </w:pPr>
            <w:r>
              <w:rPr>
                <w:rFonts w:hint="eastAsia" w:ascii="宋体" w:hAnsi="宋体" w:eastAsia="宋体" w:cs="华文中宋"/>
                <w:kern w:val="0"/>
                <w:szCs w:val="21"/>
              </w:rPr>
              <w:t>放电区间：≥（30V-1000V）</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kern w:val="0"/>
                <w:szCs w:val="21"/>
              </w:rPr>
            </w:pPr>
            <w:r>
              <w:rPr>
                <w:rFonts w:hint="eastAsia" w:ascii="宋体" w:hAnsi="宋体" w:eastAsia="宋体" w:cs="华文中宋"/>
                <w:kern w:val="0"/>
                <w:szCs w:val="21"/>
              </w:rPr>
              <w:t>3.5</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电压输出精度</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±0.02% FS</w:t>
            </w:r>
          </w:p>
        </w:tc>
        <w:tc>
          <w:tcPr>
            <w:tcW w:w="2414" w:type="dxa"/>
            <w:vAlign w:val="center"/>
          </w:tcPr>
          <w:p>
            <w:pPr>
              <w:widowControl/>
              <w:jc w:val="left"/>
              <w:rPr>
                <w:rFonts w:hint="eastAsia" w:ascii="宋体" w:hAnsi="宋体" w:eastAsia="宋体" w:cs="华文中宋"/>
                <w:color w:val="00B0F0"/>
                <w:kern w:val="0"/>
                <w:szCs w:val="21"/>
              </w:rPr>
            </w:pPr>
            <w:r>
              <w:rPr>
                <w:rFonts w:hint="eastAsia" w:ascii="宋体" w:hAnsi="宋体" w:eastAsia="宋体" w:cs="华文中宋"/>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3.6</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电压分辨率</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0.1mV</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3.7</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电流范围</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±1000A</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3.8</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可输出最小电流</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60mA</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3.9</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电流输出精度</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每档位±0.05% FS</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3.10</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电流分档</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300A/500A/1000A</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自动分档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3.11</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电流分辨率</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0.1mA</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3.12</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单通道最大功率</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1000kW</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3.13</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整机输出功率</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1000kW（max)</w:t>
            </w:r>
          </w:p>
        </w:tc>
        <w:tc>
          <w:tcPr>
            <w:tcW w:w="2414" w:type="dxa"/>
            <w:vAlign w:val="center"/>
          </w:tcPr>
          <w:p>
            <w:pPr>
              <w:widowControl/>
              <w:jc w:val="left"/>
              <w:rPr>
                <w:rFonts w:hint="eastAsia" w:ascii="宋体" w:hAnsi="宋体" w:eastAsia="宋体" w:cs="华文中宋"/>
                <w:kern w:val="0"/>
                <w:szCs w:val="21"/>
              </w:rPr>
            </w:pPr>
            <w:r>
              <w:rPr>
                <w:rFonts w:hint="eastAsia" w:ascii="宋体" w:hAnsi="宋体" w:eastAsia="宋体" w:cs="华文中宋"/>
                <w:kern w:val="0"/>
                <w:szCs w:val="21"/>
              </w:rPr>
              <w:t>动态均衡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3.14</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功率分辩率</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0.1mW</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3.15</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功率精度</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±0.1%FS</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3.16</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支持并联</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2</w:t>
            </w:r>
            <w:r>
              <w:rPr>
                <w:rFonts w:ascii="宋体" w:hAnsi="宋体" w:eastAsia="宋体" w:cs="华文中宋"/>
                <w:color w:val="000000"/>
                <w:kern w:val="0"/>
                <w:szCs w:val="21"/>
              </w:rPr>
              <w:t>000A</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3.17</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电流响应时间</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≤3ms（无超调）</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10%~90%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3.18</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电压切换时间</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≤5ms（无超调）</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+90%~-90%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3.19</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设备波纹系数</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≤0.2%FS（负载接电池）</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505" w:type="dxa"/>
            <w:gridSpan w:val="4"/>
            <w:vAlign w:val="center"/>
          </w:tcPr>
          <w:p>
            <w:pPr>
              <w:widowControl/>
              <w:jc w:val="left"/>
              <w:rPr>
                <w:rFonts w:hint="eastAsia" w:ascii="宋体" w:hAnsi="宋体" w:eastAsia="宋体" w:cs="华文中宋"/>
                <w:b/>
                <w:bCs/>
                <w:color w:val="000000"/>
                <w:kern w:val="0"/>
                <w:szCs w:val="21"/>
              </w:rPr>
            </w:pPr>
            <w:r>
              <w:rPr>
                <w:rFonts w:hint="eastAsia" w:ascii="宋体" w:hAnsi="宋体" w:eastAsia="宋体" w:cs="华文中宋"/>
                <w:b/>
                <w:bCs/>
                <w:color w:val="000000"/>
                <w:kern w:val="0"/>
                <w:szCs w:val="21"/>
              </w:rPr>
              <w:t>4通信方式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4.1</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上位机通信方式</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基于TCP/IP协议</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4.2</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通信接口</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以太网</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4.3</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下位机通信波特率</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100M-1000M自适应</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4.4</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上位机通信波特率</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10M-1000M自适应</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4.5</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组网方式</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通过交换机、路由器组建局域网</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restart"/>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4.6</w:t>
            </w:r>
          </w:p>
        </w:tc>
        <w:tc>
          <w:tcPr>
            <w:tcW w:w="1771"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通讯扩展</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支持CAN、CANFD接口和BMS通讯</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DBC导入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支持RS485和BMS通讯</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支持自定义文件编辑功能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4.7</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外设扩展</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支持各类温箱、冷水机、或其他外设联动</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505" w:type="dxa"/>
            <w:gridSpan w:val="4"/>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5分级保护机制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restart"/>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5.1</w:t>
            </w:r>
          </w:p>
        </w:tc>
        <w:tc>
          <w:tcPr>
            <w:tcW w:w="1771"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AC侧硬件级保护</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电网电压过欠压保护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防浪涌保护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防孤岛保护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过欠频保护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缺相保护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交流短路保护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防雷保护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硬件超温降额保护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自检测保护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急停按钮保护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restart"/>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5.2</w:t>
            </w:r>
          </w:p>
        </w:tc>
        <w:tc>
          <w:tcPr>
            <w:tcW w:w="1771"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DC侧硬件级保护</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母线过欠压保护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硬件超温保护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电池通道电压线反接保护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电池通道功率线反接保护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通道间电压线接错保护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通道间功率线接错保护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自检保护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电池线松动保护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restart"/>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5.3</w:t>
            </w:r>
          </w:p>
        </w:tc>
        <w:tc>
          <w:tcPr>
            <w:tcW w:w="1771"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电池侧综合保护</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电池总电压上、下限保护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电池单体电压上、下限保护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电池温度上限保护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电池电流上限保护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电池容量上、下限保护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压差保护1（主采样和辅助采样总压差保护）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压差保护2（主采集和BMS采样总压差保护）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电池BMS卡死掉线保护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CAN通讯掉线保护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电压异常波动保护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（可自定义范围）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电流异常波动保护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（可自定义范围）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温度异常波动保护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（可自定义范围）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restart"/>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5.4</w:t>
            </w:r>
          </w:p>
        </w:tc>
        <w:tc>
          <w:tcPr>
            <w:tcW w:w="1771"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外围设备保护</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温箱故障联动保护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（可自定义范围）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冷水机故障联动保护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（可自定义范围）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外围IO信号联动保护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辅助单体电压采样联动保护（独立冗余保护）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外围设备通讯断线联动保护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restart"/>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5.4</w:t>
            </w:r>
          </w:p>
        </w:tc>
        <w:tc>
          <w:tcPr>
            <w:tcW w:w="1771"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软件保护</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断电数据续接</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上位机离线脱机测试功能</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支持脱机12小时运行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ind w:left="425" w:hanging="425"/>
              <w:jc w:val="center"/>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支持通道数据迁移功能</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当通道损坏、可将未完成数据迁移到其他通道续接运行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505" w:type="dxa"/>
            <w:gridSpan w:val="4"/>
            <w:vAlign w:val="center"/>
          </w:tcPr>
          <w:p>
            <w:pPr>
              <w:widowControl/>
              <w:jc w:val="left"/>
              <w:rPr>
                <w:rFonts w:hint="eastAsia" w:ascii="宋体" w:hAnsi="宋体" w:eastAsia="宋体" w:cs="华文中宋"/>
                <w:b/>
                <w:bCs/>
                <w:color w:val="000000"/>
                <w:kern w:val="0"/>
                <w:szCs w:val="21"/>
              </w:rPr>
            </w:pPr>
            <w:r>
              <w:rPr>
                <w:rFonts w:hint="eastAsia" w:ascii="宋体" w:hAnsi="宋体" w:eastAsia="宋体" w:cs="华文中宋"/>
                <w:b/>
                <w:bCs/>
                <w:color w:val="000000"/>
                <w:kern w:val="0"/>
                <w:szCs w:val="21"/>
              </w:rPr>
              <w:t>6工步功能特性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6.1</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数据最小记录时间</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10ms</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rPr>
              <w:t>（1ms支持60s）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6.2</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工况时间最小间隔</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20ms</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6.3</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脉冲最小宽度</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20ms</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6.4</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可编程工步</w:t>
            </w:r>
          </w:p>
        </w:tc>
        <w:tc>
          <w:tcPr>
            <w:tcW w:w="3616" w:type="dxa"/>
            <w:vAlign w:val="center"/>
          </w:tcPr>
          <w:p>
            <w:pPr>
              <w:widowControl/>
              <w:jc w:val="left"/>
              <w:rPr>
                <w:rFonts w:hint="eastAsia" w:ascii="宋体" w:hAnsi="宋体" w:eastAsia="宋体" w:cs="华文中宋"/>
                <w:color w:val="000000"/>
                <w:kern w:val="0"/>
                <w:szCs w:val="21"/>
                <w:highlight w:val="yellow"/>
              </w:rPr>
            </w:pPr>
            <w:r>
              <w:rPr>
                <w:rFonts w:hint="eastAsia" w:ascii="宋体" w:hAnsi="宋体" w:eastAsia="宋体" w:cs="华文中宋"/>
                <w:color w:val="000000"/>
                <w:kern w:val="0"/>
                <w:szCs w:val="21"/>
              </w:rPr>
              <w:t>≧9999</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6.5</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循环次数</w:t>
            </w:r>
          </w:p>
        </w:tc>
        <w:tc>
          <w:tcPr>
            <w:tcW w:w="3616" w:type="dxa"/>
            <w:vAlign w:val="center"/>
          </w:tcPr>
          <w:p>
            <w:pPr>
              <w:widowControl/>
              <w:jc w:val="left"/>
              <w:rPr>
                <w:rFonts w:hint="eastAsia" w:ascii="宋体" w:hAnsi="宋体" w:eastAsia="宋体" w:cs="华文中宋"/>
                <w:color w:val="000000"/>
                <w:kern w:val="0"/>
                <w:szCs w:val="21"/>
                <w:highlight w:val="yellow"/>
              </w:rPr>
            </w:pPr>
            <w:r>
              <w:rPr>
                <w:rFonts w:hint="eastAsia" w:ascii="宋体" w:hAnsi="宋体" w:eastAsia="宋体" w:cs="华文中宋"/>
                <w:color w:val="000000"/>
                <w:kern w:val="0"/>
                <w:szCs w:val="21"/>
              </w:rPr>
              <w:t>≥9999</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6.6</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最大循环嵌套层数</w:t>
            </w:r>
          </w:p>
        </w:tc>
        <w:tc>
          <w:tcPr>
            <w:tcW w:w="3616" w:type="dxa"/>
            <w:vAlign w:val="center"/>
          </w:tcPr>
          <w:p>
            <w:pPr>
              <w:widowControl/>
              <w:jc w:val="left"/>
              <w:rPr>
                <w:rFonts w:hint="eastAsia" w:ascii="宋体" w:hAnsi="宋体" w:eastAsia="宋体" w:cs="华文中宋"/>
                <w:color w:val="000000"/>
                <w:kern w:val="0"/>
                <w:szCs w:val="21"/>
                <w:highlight w:val="yellow"/>
              </w:rPr>
            </w:pPr>
            <w:r>
              <w:rPr>
                <w:rFonts w:hint="eastAsia" w:ascii="宋体" w:hAnsi="宋体" w:eastAsia="宋体" w:cs="华文中宋"/>
                <w:color w:val="000000"/>
                <w:kern w:val="0"/>
                <w:szCs w:val="21"/>
              </w:rPr>
              <w:t>≧20层</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restart"/>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6.7</w:t>
            </w:r>
          </w:p>
        </w:tc>
        <w:tc>
          <w:tcPr>
            <w:tcW w:w="1771"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充放电模式</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恒流充电CC</w:t>
            </w:r>
          </w:p>
        </w:tc>
        <w:tc>
          <w:tcPr>
            <w:tcW w:w="2414"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参数支持数值、变量、表达式输入三种模式。</w:t>
            </w:r>
          </w:p>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电流另外还支持倍率输入模式。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恒压充电CV</w:t>
            </w:r>
          </w:p>
        </w:tc>
        <w:tc>
          <w:tcPr>
            <w:tcW w:w="2414" w:type="dxa"/>
            <w:vMerge w:val="continue"/>
            <w:vAlign w:val="center"/>
          </w:tcPr>
          <w:p>
            <w:pPr>
              <w:widowControl/>
              <w:jc w:val="left"/>
              <w:rPr>
                <w:rFonts w:hint="eastAsia" w:ascii="宋体" w:hAnsi="宋体" w:eastAsia="宋体" w:cs="华文中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恒流恒压充电CCCV</w:t>
            </w:r>
          </w:p>
        </w:tc>
        <w:tc>
          <w:tcPr>
            <w:tcW w:w="2414" w:type="dxa"/>
            <w:vMerge w:val="continue"/>
            <w:vAlign w:val="center"/>
          </w:tcPr>
          <w:p>
            <w:pPr>
              <w:widowControl/>
              <w:jc w:val="left"/>
              <w:rPr>
                <w:rFonts w:hint="eastAsia" w:ascii="宋体" w:hAnsi="宋体" w:eastAsia="宋体" w:cs="华文中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恒功率充电CP</w:t>
            </w:r>
          </w:p>
        </w:tc>
        <w:tc>
          <w:tcPr>
            <w:tcW w:w="2414" w:type="dxa"/>
            <w:vMerge w:val="continue"/>
            <w:vAlign w:val="center"/>
          </w:tcPr>
          <w:p>
            <w:pPr>
              <w:widowControl/>
              <w:jc w:val="left"/>
              <w:rPr>
                <w:rFonts w:hint="eastAsia" w:ascii="宋体" w:hAnsi="宋体" w:eastAsia="宋体" w:cs="华文中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恒流放电DC</w:t>
            </w:r>
          </w:p>
        </w:tc>
        <w:tc>
          <w:tcPr>
            <w:tcW w:w="2414" w:type="dxa"/>
            <w:vMerge w:val="continue"/>
            <w:vAlign w:val="center"/>
          </w:tcPr>
          <w:p>
            <w:pPr>
              <w:widowControl/>
              <w:jc w:val="left"/>
              <w:rPr>
                <w:rFonts w:hint="eastAsia" w:ascii="宋体" w:hAnsi="宋体" w:eastAsia="宋体" w:cs="华文中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恒功率放电DP</w:t>
            </w:r>
          </w:p>
        </w:tc>
        <w:tc>
          <w:tcPr>
            <w:tcW w:w="2414" w:type="dxa"/>
            <w:vMerge w:val="continue"/>
            <w:vAlign w:val="center"/>
          </w:tcPr>
          <w:p>
            <w:pPr>
              <w:widowControl/>
              <w:jc w:val="left"/>
              <w:rPr>
                <w:rFonts w:hint="eastAsia" w:ascii="宋体" w:hAnsi="宋体" w:eastAsia="宋体" w:cs="华文中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恒阻放电DR</w:t>
            </w:r>
          </w:p>
        </w:tc>
        <w:tc>
          <w:tcPr>
            <w:tcW w:w="2414" w:type="dxa"/>
            <w:vMerge w:val="continue"/>
            <w:vAlign w:val="center"/>
          </w:tcPr>
          <w:p>
            <w:pPr>
              <w:widowControl/>
              <w:jc w:val="left"/>
              <w:rPr>
                <w:rFonts w:hint="eastAsia" w:ascii="宋体" w:hAnsi="宋体" w:eastAsia="宋体" w:cs="华文中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脉冲模式</w:t>
            </w:r>
          </w:p>
        </w:tc>
        <w:tc>
          <w:tcPr>
            <w:tcW w:w="2414" w:type="dxa"/>
            <w:vMerge w:val="continue"/>
            <w:vAlign w:val="center"/>
          </w:tcPr>
          <w:p>
            <w:pPr>
              <w:widowControl/>
              <w:jc w:val="left"/>
              <w:rPr>
                <w:rFonts w:hint="eastAsia" w:ascii="宋体" w:hAnsi="宋体" w:eastAsia="宋体" w:cs="华文中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工况模式</w:t>
            </w:r>
          </w:p>
        </w:tc>
        <w:tc>
          <w:tcPr>
            <w:tcW w:w="2414" w:type="dxa"/>
            <w:vMerge w:val="continue"/>
            <w:vAlign w:val="center"/>
          </w:tcPr>
          <w:p>
            <w:pPr>
              <w:widowControl/>
              <w:jc w:val="left"/>
              <w:rPr>
                <w:rFonts w:hint="eastAsia" w:ascii="宋体" w:hAnsi="宋体" w:eastAsia="宋体" w:cs="华文中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电流斜坡</w:t>
            </w:r>
          </w:p>
        </w:tc>
        <w:tc>
          <w:tcPr>
            <w:tcW w:w="2414" w:type="dxa"/>
            <w:vMerge w:val="continue"/>
            <w:vAlign w:val="center"/>
          </w:tcPr>
          <w:p>
            <w:pPr>
              <w:widowControl/>
              <w:jc w:val="left"/>
              <w:rPr>
                <w:rFonts w:hint="eastAsia" w:ascii="宋体" w:hAnsi="宋体" w:eastAsia="宋体" w:cs="华文中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直流内阻测试（DCIR）</w:t>
            </w:r>
          </w:p>
        </w:tc>
        <w:tc>
          <w:tcPr>
            <w:tcW w:w="2414" w:type="dxa"/>
            <w:vMerge w:val="continue"/>
            <w:vAlign w:val="center"/>
          </w:tcPr>
          <w:p>
            <w:pPr>
              <w:widowControl/>
              <w:jc w:val="left"/>
              <w:rPr>
                <w:rFonts w:hint="eastAsia" w:ascii="宋体" w:hAnsi="宋体" w:eastAsia="宋体" w:cs="华文中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静置</w:t>
            </w:r>
          </w:p>
        </w:tc>
        <w:tc>
          <w:tcPr>
            <w:tcW w:w="2414" w:type="dxa"/>
            <w:vMerge w:val="continue"/>
            <w:vAlign w:val="center"/>
          </w:tcPr>
          <w:p>
            <w:pPr>
              <w:widowControl/>
              <w:jc w:val="left"/>
              <w:rPr>
                <w:rFonts w:hint="eastAsia" w:ascii="宋体" w:hAnsi="宋体" w:eastAsia="宋体" w:cs="华文中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restart"/>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6.8</w:t>
            </w:r>
          </w:p>
        </w:tc>
        <w:tc>
          <w:tcPr>
            <w:tcW w:w="1771"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截止条件</w:t>
            </w:r>
          </w:p>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（跳转条件、如果条件）</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电压</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电流</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温度</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容量（总容量、充电容量、放电容量）</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能量（总能量、放电能量、充电能量）</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时间（总时间、单工步时间）</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SOC（自带RT-SOC实时计算）</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功率</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变化率（电压、电流、温度任意变化率）</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循环次数</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辅助电芯压差</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辅助电芯温差</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DV压差</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CAN任意报文信号</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可自定义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COM任意报文信号（以太网、串口）</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 xml:space="preserve">可自定义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自定义变量</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可自定义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实时算式表达式</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可自定义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共享变量（其他通道状态信号）</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辅助电芯电压Min</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辅助电芯电压Max</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restart"/>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6.9</w:t>
            </w:r>
          </w:p>
        </w:tc>
        <w:tc>
          <w:tcPr>
            <w:tcW w:w="1771"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执行动作类型</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跳转</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暂停</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与条件</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告警</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数字IO信号控制</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可接外设、门禁、火警等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CAN指令发送</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可控任意外设、温箱、水冷、电池等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COM指令发送</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可控任意外设、温箱、水冷、电池等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设置变量（赋值）</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设置共享变量</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电池基础参数CAN报文发送</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SOC标定功能</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限值功能（电流、功率）</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restart"/>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6.9</w:t>
            </w:r>
          </w:p>
        </w:tc>
        <w:tc>
          <w:tcPr>
            <w:tcW w:w="1771"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工况工步</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电流工况（支持20ms工况）</w:t>
            </w:r>
          </w:p>
        </w:tc>
        <w:tc>
          <w:tcPr>
            <w:tcW w:w="2414"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单工步支持≥200万行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功率工况（支持20ms工况）</w:t>
            </w:r>
          </w:p>
        </w:tc>
        <w:tc>
          <w:tcPr>
            <w:tcW w:w="2414" w:type="dxa"/>
            <w:vMerge w:val="continue"/>
            <w:vAlign w:val="center"/>
          </w:tcPr>
          <w:p>
            <w:pPr>
              <w:widowControl/>
              <w:jc w:val="left"/>
              <w:rPr>
                <w:rFonts w:hint="eastAsia" w:ascii="宋体" w:hAnsi="宋体" w:eastAsia="宋体" w:cs="华文中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可导入EXCEL、TXT等文本工况文件，支持工况文件编辑</w:t>
            </w:r>
          </w:p>
        </w:tc>
        <w:tc>
          <w:tcPr>
            <w:tcW w:w="2414" w:type="dxa"/>
            <w:vAlign w:val="center"/>
          </w:tcPr>
          <w:p>
            <w:pPr>
              <w:widowControl/>
              <w:jc w:val="left"/>
              <w:rPr>
                <w:rFonts w:hint="eastAsia" w:ascii="宋体" w:hAnsi="宋体" w:eastAsia="宋体" w:cs="华文中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restart"/>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6.10</w:t>
            </w:r>
          </w:p>
        </w:tc>
        <w:tc>
          <w:tcPr>
            <w:tcW w:w="1771"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脉冲工步</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电流脉冲</w:t>
            </w:r>
          </w:p>
        </w:tc>
        <w:tc>
          <w:tcPr>
            <w:tcW w:w="2414"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单个脉冲工步支持100万个不同脉冲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功率脉冲</w:t>
            </w:r>
          </w:p>
        </w:tc>
        <w:tc>
          <w:tcPr>
            <w:tcW w:w="2414" w:type="dxa"/>
            <w:vMerge w:val="continue"/>
            <w:vAlign w:val="center"/>
          </w:tcPr>
          <w:p>
            <w:pPr>
              <w:widowControl/>
              <w:jc w:val="left"/>
              <w:rPr>
                <w:rFonts w:hint="eastAsia" w:ascii="宋体" w:hAnsi="宋体" w:eastAsia="宋体" w:cs="华文中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最小脉冲宽度 20ms</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一个脉冲工步支持充电到放电的连续切换</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支持脉冲工步编辑，图形预览</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restart"/>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6.11</w:t>
            </w:r>
          </w:p>
        </w:tc>
        <w:tc>
          <w:tcPr>
            <w:tcW w:w="1771"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DCIR工步</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支持自定义取点、硬件实时计算</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支持软件自定义取点、后期数据软件计算</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6.12</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工步颜色区分</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根据充电、放电、静置类型可自定义颜色</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6.15</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测试工步校对</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软件自动对编辑的工步进行逻辑校对、并自动弹出提示。</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6.16</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DBC文件导入</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支持文件编辑、保存和导入</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6.17</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串口协议自编辑功能</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支持文件编辑、保存和导入</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restart"/>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6.18</w:t>
            </w:r>
          </w:p>
        </w:tc>
        <w:tc>
          <w:tcPr>
            <w:tcW w:w="1771"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全局参数基本配置</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电压上限、下限</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电流上限、下限</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容量上限、下限</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温度上限、下限</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全局记录条件（时间、电压、电流间隔）</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6.19</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全局参数高级配置</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全局如果条件所有类型可配置、充电全局、放电全局、单工步类型全局。</w:t>
            </w:r>
          </w:p>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用户可通过全局参数配置电压变化率、电流变化率、温度变化率趋势异常保护。</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restart"/>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6.20</w:t>
            </w:r>
          </w:p>
        </w:tc>
        <w:tc>
          <w:tcPr>
            <w:tcW w:w="1771"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单工步参数配置</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电压上限、下限</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不设置时，全局生效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电流上限、下限</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容量上限、下限</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温度上限下限</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充电容量、能量清零</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单工步开始前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放电容量、能量清零</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单工步开始前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总容量清零、总能量清零</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单工步开始前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步时清零</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单工步开始前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restart"/>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6.21</w:t>
            </w:r>
          </w:p>
        </w:tc>
        <w:tc>
          <w:tcPr>
            <w:tcW w:w="1771"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单工步高级功能（部分机型支持）</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动态单体电压限值模式</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动态单体温度限值模式</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跟随BMS信号功能（电流跟随、功率跟随）</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恒流充电、放电过程中，直接调用BMS值做随动，允许最大充电和最大放电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矩阵查表功能（SOC\温度实时查表）</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单工步可绑定多个矩阵表、根据不同时间运行不同矩阵表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限值功能（BMS限值、查表限电流值、设定限值三种模式）</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6.22</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自定义变量</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可用常规变量、BMS变量、外设参数进入组合计算形成新的变量。</w:t>
            </w:r>
          </w:p>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lang w:bidi="ar"/>
              </w:rPr>
              <w:t>可提取特定工步的参数（电池参数、BMS值、外设参数）进行数据计算并作为后续工步的跳转、截止条件。</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支持四则运算、平均、求最大、求最小、求绝对值、取整、指数功能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6.23</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SOC实时计算功能</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工步编辑中，动作执行标定SOC后，后续步骤可直接调用SOC实时计算并作为判定条件</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6.24</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表达式</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可用常规实时变量、自定义变量或四则运算后作为如果条件使用</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表达式具有实时性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restart"/>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6.25</w:t>
            </w:r>
          </w:p>
        </w:tc>
        <w:tc>
          <w:tcPr>
            <w:tcW w:w="1771" w:type="dxa"/>
            <w:vMerge w:val="restart"/>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联动功能</w:t>
            </w: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温箱联动功能</w:t>
            </w:r>
          </w:p>
        </w:tc>
        <w:tc>
          <w:tcPr>
            <w:tcW w:w="2414" w:type="dxa"/>
            <w:vAlign w:val="center"/>
          </w:tcPr>
          <w:p>
            <w:pPr>
              <w:widowControl/>
              <w:numPr>
                <w:ilvl w:val="0"/>
                <w:numId w:val="13"/>
              </w:numPr>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当通道达到某个条件时、设置温箱温度。</w:t>
            </w:r>
          </w:p>
          <w:p>
            <w:pPr>
              <w:widowControl/>
              <w:numPr>
                <w:ilvl w:val="0"/>
                <w:numId w:val="13"/>
              </w:numPr>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当温箱故障时，停止充电。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多电池同一个温箱联动功能</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通道A电池运行到某个状态时，进入等待，当B电池也运行到某状态时，AB一起触发温箱调节温度。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水冷联动功能</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当通道达到某个条件时、设置水冷参数。</w:t>
            </w:r>
          </w:p>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当水冷故障时，停止充电。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通道间状态联动功能</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例如A通道充电某个状态，然后停止，B通道开始放电，放电至某个状态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Merge w:val="continue"/>
            <w:vAlign w:val="center"/>
          </w:tcPr>
          <w:p>
            <w:pPr>
              <w:widowControl/>
              <w:rPr>
                <w:rFonts w:hint="eastAsia" w:ascii="宋体" w:hAnsi="宋体" w:eastAsia="宋体" w:cs="华文中宋"/>
                <w:color w:val="000000"/>
                <w:kern w:val="0"/>
                <w:szCs w:val="21"/>
              </w:rPr>
            </w:pPr>
          </w:p>
        </w:tc>
        <w:tc>
          <w:tcPr>
            <w:tcW w:w="1771" w:type="dxa"/>
            <w:vMerge w:val="continue"/>
            <w:vAlign w:val="center"/>
          </w:tcPr>
          <w:p>
            <w:pPr>
              <w:widowControl/>
              <w:jc w:val="left"/>
              <w:rPr>
                <w:rFonts w:hint="eastAsia" w:ascii="宋体" w:hAnsi="宋体" w:eastAsia="宋体" w:cs="华文中宋"/>
                <w:color w:val="000000"/>
                <w:kern w:val="0"/>
                <w:szCs w:val="21"/>
              </w:rPr>
            </w:pPr>
          </w:p>
        </w:tc>
        <w:tc>
          <w:tcPr>
            <w:tcW w:w="3616"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外部系统联动功能</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外部系统信号（总线、IO)可参与本通道联动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6.26</w:t>
            </w:r>
          </w:p>
        </w:tc>
        <w:tc>
          <w:tcPr>
            <w:tcW w:w="1771" w:type="dxa"/>
            <w:vAlign w:val="center"/>
          </w:tcPr>
          <w:p>
            <w:pPr>
              <w:widowControl/>
              <w:jc w:val="left"/>
              <w:rPr>
                <w:rFonts w:hint="eastAsia" w:ascii="宋体" w:hAnsi="宋体" w:eastAsia="宋体"/>
                <w:szCs w:val="21"/>
              </w:rPr>
            </w:pPr>
            <w:r>
              <w:rPr>
                <w:rFonts w:hint="eastAsia" w:ascii="宋体" w:hAnsi="宋体" w:eastAsia="宋体" w:cs="华文中宋"/>
                <w:color w:val="000000"/>
                <w:kern w:val="0"/>
                <w:szCs w:val="21"/>
              </w:rPr>
              <w:t>闲时记录功能</w:t>
            </w:r>
          </w:p>
        </w:tc>
        <w:tc>
          <w:tcPr>
            <w:tcW w:w="3616" w:type="dxa"/>
            <w:vAlign w:val="center"/>
          </w:tcPr>
          <w:p>
            <w:pPr>
              <w:widowControl/>
              <w:jc w:val="left"/>
              <w:rPr>
                <w:rFonts w:hint="eastAsia" w:ascii="宋体" w:hAnsi="宋体" w:eastAsia="宋体"/>
                <w:szCs w:val="21"/>
              </w:rPr>
            </w:pPr>
            <w:r>
              <w:rPr>
                <w:rFonts w:hint="eastAsia" w:ascii="宋体" w:hAnsi="宋体" w:eastAsia="宋体" w:cs="华文中宋"/>
                <w:color w:val="000000"/>
                <w:kern w:val="0"/>
                <w:szCs w:val="21"/>
              </w:rPr>
              <w:t>当通道正常运行结束、或告警保护，设备会持续记录电池参数情况，当静置参数异常时（如热扩散、电压异常）可紧急关闭整柜所有运行通道，并告警。便于后期问题追溯</w:t>
            </w:r>
          </w:p>
        </w:tc>
        <w:tc>
          <w:tcPr>
            <w:tcW w:w="2414" w:type="dxa"/>
            <w:vAlign w:val="center"/>
          </w:tcPr>
          <w:p>
            <w:pPr>
              <w:widowControl/>
              <w:jc w:val="left"/>
              <w:rPr>
                <w:rFonts w:hint="eastAsia" w:ascii="宋体" w:hAnsi="宋体" w:eastAsia="宋体"/>
                <w:szCs w:val="21"/>
              </w:rPr>
            </w:pPr>
            <w:r>
              <w:rPr>
                <w:rFonts w:hint="eastAsia" w:ascii="宋体" w:hAnsi="宋体" w:eastAsia="宋体" w:cs="华文中宋"/>
                <w:color w:val="000000"/>
                <w:kern w:val="0"/>
                <w:szCs w:val="21"/>
              </w:rPr>
              <w:t>可设置开启、记录时间、动作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4" w:type="dxa"/>
            <w:vAlign w:val="center"/>
          </w:tcPr>
          <w:p>
            <w:pPr>
              <w:widowControl/>
              <w:rPr>
                <w:rFonts w:hint="eastAsia" w:ascii="宋体" w:hAnsi="宋体" w:eastAsia="宋体" w:cs="华文中宋"/>
                <w:color w:val="000000"/>
                <w:kern w:val="0"/>
                <w:szCs w:val="21"/>
              </w:rPr>
            </w:pPr>
            <w:r>
              <w:rPr>
                <w:rFonts w:hint="eastAsia" w:ascii="宋体" w:hAnsi="宋体" w:eastAsia="宋体" w:cs="华文中宋"/>
                <w:color w:val="000000"/>
                <w:kern w:val="0"/>
                <w:szCs w:val="21"/>
              </w:rPr>
              <w:t>6.27</w:t>
            </w:r>
          </w:p>
        </w:tc>
        <w:tc>
          <w:tcPr>
            <w:tcW w:w="1771"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rPr>
              <w:t>矩阵限值</w:t>
            </w:r>
          </w:p>
        </w:tc>
        <w:tc>
          <w:tcPr>
            <w:tcW w:w="3616" w:type="dxa"/>
            <w:vAlign w:val="center"/>
          </w:tcPr>
          <w:p>
            <w:pPr>
              <w:pStyle w:val="13"/>
              <w:rPr>
                <w:rFonts w:hint="eastAsia" w:ascii="宋体" w:hAnsi="宋体" w:eastAsia="宋体"/>
              </w:rPr>
            </w:pPr>
            <w:r>
              <w:rPr>
                <w:rFonts w:hint="eastAsia" w:ascii="宋体" w:hAnsi="宋体" w:eastAsia="宋体"/>
              </w:rPr>
              <w:t>根据实时电池状态（信息源可由设备本身、联动系统提供）进行查表计算输出对应的电流限值，可支持只在单工步中导入。即根据多条件（SOC、温度、电压、电流、自定义变量、自定义函数等）实现控制（跳转、保护、限值），充放电设备可支持一键导入此矩阵表格。具备电压、电流、功率的保护、跟随、限制功能，且限值可由二维表查表得出，例如电压限值可根据SOC、温度线性插值查表得出。</w:t>
            </w:r>
          </w:p>
        </w:tc>
        <w:tc>
          <w:tcPr>
            <w:tcW w:w="2414" w:type="dxa"/>
            <w:vAlign w:val="center"/>
          </w:tcPr>
          <w:p>
            <w:pPr>
              <w:widowControl/>
              <w:jc w:val="left"/>
              <w:rPr>
                <w:rFonts w:hint="eastAsia" w:ascii="宋体" w:hAnsi="宋体" w:eastAsia="宋体" w:cs="华文中宋"/>
                <w:color w:val="000000"/>
                <w:kern w:val="0"/>
                <w:szCs w:val="21"/>
              </w:rPr>
            </w:pPr>
            <w:r>
              <w:rPr>
                <w:rFonts w:hint="eastAsia" w:ascii="宋体" w:hAnsi="宋体" w:eastAsia="宋体" w:cs="华文中宋"/>
                <w:color w:val="000000"/>
                <w:kern w:val="0"/>
                <w:szCs w:val="21"/>
              </w:rPr>
              <w:t>\</w:t>
            </w:r>
          </w:p>
        </w:tc>
      </w:tr>
    </w:tbl>
    <w:p>
      <w:pPr>
        <w:rPr>
          <w:rFonts w:hint="eastAsia"/>
        </w:rPr>
      </w:pPr>
    </w:p>
    <w:p>
      <w:pPr>
        <w:widowControl/>
        <w:jc w:val="left"/>
        <w:rPr>
          <w:rFonts w:hint="eastAsia"/>
        </w:rPr>
      </w:pPr>
      <w:r>
        <w:rPr>
          <w:rFonts w:hint="eastAsia"/>
        </w:rPr>
        <w:br w:type="page"/>
      </w:r>
    </w:p>
    <w:p>
      <w:pPr>
        <w:spacing w:line="420" w:lineRule="exact"/>
        <w:outlineLvl w:val="4"/>
        <w:rPr>
          <w:rFonts w:hint="eastAsia"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2 电池系统安全环境舱技术规范</w:t>
      </w:r>
    </w:p>
    <w:tbl>
      <w:tblPr>
        <w:tblStyle w:val="39"/>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2113"/>
        <w:gridCol w:w="389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vAlign w:val="center"/>
          </w:tcPr>
          <w:p>
            <w:pPr>
              <w:spacing w:line="276"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1、基本参数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试验空间容积</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30</w:t>
            </w:r>
            <w:r>
              <w:rPr>
                <w:rFonts w:hint="eastAsia" w:ascii="宋体" w:hAnsi="宋体" w:eastAsia="宋体" w:cs="Times New Roman"/>
                <w:color w:val="000000"/>
                <w:szCs w:val="21"/>
              </w:rPr>
              <w:t>m³</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深宽高：推荐3*3.3*3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.2</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设备占地面积</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提供设计方案及图纸，符合试验室规划</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舱体下沉，投标方只提供尺寸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bookmarkStart w:id="34" w:name="_Hlk63708959"/>
            <w:r>
              <w:rPr>
                <w:rFonts w:hint="eastAsia" w:ascii="宋体" w:hAnsi="宋体" w:eastAsia="宋体" w:cs="Times New Roman"/>
                <w:color w:val="000000"/>
                <w:szCs w:val="21"/>
              </w:rPr>
              <w:t>1</w:t>
            </w:r>
            <w:r>
              <w:rPr>
                <w:rFonts w:ascii="宋体" w:hAnsi="宋体" w:eastAsia="宋体" w:cs="Times New Roman"/>
                <w:color w:val="000000"/>
                <w:szCs w:val="21"/>
              </w:rPr>
              <w:t>.3</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温度范围</w:t>
            </w:r>
          </w:p>
        </w:tc>
        <w:tc>
          <w:tcPr>
            <w:tcW w:w="3893" w:type="dxa"/>
            <w:vAlign w:val="center"/>
          </w:tcPr>
          <w:p>
            <w:pPr>
              <w:spacing w:line="276" w:lineRule="auto"/>
              <w:rPr>
                <w:rFonts w:hint="eastAsia" w:ascii="宋体" w:hAnsi="宋体" w:eastAsia="宋体" w:cs="Times New Roman"/>
                <w:color w:val="000000"/>
                <w:szCs w:val="21"/>
              </w:rPr>
            </w:pPr>
            <w:bookmarkStart w:id="35" w:name="_Toc85018059"/>
            <w:r>
              <w:rPr>
                <w:rFonts w:hint="eastAsia" w:ascii="宋体" w:hAnsi="宋体" w:eastAsia="宋体" w:cs="Times New Roman"/>
                <w:color w:val="000000"/>
                <w:szCs w:val="21"/>
              </w:rPr>
              <w:t>-</w:t>
            </w:r>
            <w:r>
              <w:rPr>
                <w:rFonts w:ascii="宋体" w:hAnsi="宋体" w:eastAsia="宋体" w:cs="Times New Roman"/>
                <w:color w:val="000000"/>
                <w:szCs w:val="21"/>
              </w:rPr>
              <w:t>5</w:t>
            </w:r>
            <w:r>
              <w:rPr>
                <w:rFonts w:hint="eastAsia" w:ascii="宋体" w:hAnsi="宋体" w:eastAsia="宋体" w:cs="Times New Roman"/>
                <w:color w:val="000000"/>
                <w:szCs w:val="21"/>
              </w:rPr>
              <w:t>0℃~</w:t>
            </w:r>
            <w:r>
              <w:rPr>
                <w:rFonts w:ascii="宋体" w:hAnsi="宋体" w:eastAsia="宋体" w:cs="Times New Roman"/>
                <w:color w:val="000000"/>
                <w:szCs w:val="21"/>
              </w:rPr>
              <w:t>1</w:t>
            </w:r>
            <w:r>
              <w:rPr>
                <w:rFonts w:hint="eastAsia" w:ascii="宋体" w:hAnsi="宋体" w:eastAsia="宋体" w:cs="Times New Roman"/>
                <w:color w:val="000000"/>
                <w:szCs w:val="21"/>
              </w:rPr>
              <w:t>0</w:t>
            </w:r>
            <w:r>
              <w:rPr>
                <w:rFonts w:ascii="宋体" w:hAnsi="宋体" w:eastAsia="宋体" w:cs="Times New Roman"/>
                <w:color w:val="000000"/>
                <w:szCs w:val="21"/>
              </w:rPr>
              <w:t>0</w:t>
            </w:r>
            <w:r>
              <w:rPr>
                <w:rFonts w:hint="eastAsia" w:ascii="宋体" w:hAnsi="宋体" w:eastAsia="宋体" w:cs="Times New Roman"/>
                <w:color w:val="000000"/>
                <w:szCs w:val="21"/>
              </w:rPr>
              <w:t>℃</w:t>
            </w:r>
            <w:bookmarkEnd w:id="35"/>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.4</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湿度范围</w:t>
            </w:r>
          </w:p>
        </w:tc>
        <w:tc>
          <w:tcPr>
            <w:tcW w:w="3893"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w:t>
            </w:r>
            <w:r>
              <w:rPr>
                <w:rFonts w:hint="eastAsia" w:ascii="宋体" w:hAnsi="宋体" w:eastAsia="宋体" w:cs="Times New Roman"/>
                <w:color w:val="000000"/>
                <w:szCs w:val="21"/>
              </w:rPr>
              <w:t>～</w:t>
            </w:r>
            <w:r>
              <w:rPr>
                <w:rFonts w:ascii="宋体" w:hAnsi="宋体" w:eastAsia="宋体" w:cs="Times New Roman"/>
                <w:color w:val="000000"/>
                <w:szCs w:val="21"/>
              </w:rPr>
              <w:t>98%</w:t>
            </w:r>
            <w:r>
              <w:rPr>
                <w:rFonts w:hint="eastAsia" w:ascii="宋体" w:hAnsi="宋体" w:eastAsia="宋体" w:cs="Times New Roman"/>
                <w:color w:val="000000"/>
                <w:szCs w:val="21"/>
              </w:rPr>
              <w:t>RH</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1.5</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温湿度范围</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常压、静态工况下温湿度MAP图：</w:t>
            </w:r>
          </w:p>
          <w:p>
            <w:pPr>
              <w:pStyle w:val="20"/>
              <w:ind w:firstLine="420"/>
            </w:pPr>
            <w:r>
              <w:drawing>
                <wp:inline distT="0" distB="0" distL="0" distR="0">
                  <wp:extent cx="2334895" cy="2213610"/>
                  <wp:effectExtent l="0" t="0" r="8255" b="15240"/>
                  <wp:docPr id="16411097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09706"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334895" cy="2213610"/>
                          </a:xfrm>
                          <a:prstGeom prst="rect">
                            <a:avLst/>
                          </a:prstGeom>
                          <a:noFill/>
                          <a:ln>
                            <a:noFill/>
                          </a:ln>
                        </pic:spPr>
                      </pic:pic>
                    </a:graphicData>
                  </a:graphic>
                </wp:inline>
              </w:drawing>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宋体" w:hAnsi="宋体" w:eastAsia="宋体" w:cs="Times New Roman"/>
                <w:color w:val="000000"/>
                <w:szCs w:val="21"/>
              </w:rPr>
              <w:t>6</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升温速率</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≥5℃/min（-</w:t>
            </w:r>
            <w:r>
              <w:rPr>
                <w:rFonts w:ascii="宋体" w:hAnsi="宋体" w:eastAsia="宋体" w:cs="Times New Roman"/>
                <w:color w:val="000000"/>
                <w:szCs w:val="21"/>
              </w:rPr>
              <w:t>4</w:t>
            </w:r>
            <w:r>
              <w:rPr>
                <w:rFonts w:hint="eastAsia" w:ascii="宋体" w:hAnsi="宋体" w:eastAsia="宋体" w:cs="Times New Roman"/>
                <w:color w:val="000000"/>
                <w:szCs w:val="21"/>
              </w:rPr>
              <w:t>0℃～+85℃范围，全程平均，样品放置于舱内，可负载1</w:t>
            </w:r>
            <w:r>
              <w:rPr>
                <w:rFonts w:ascii="宋体" w:hAnsi="宋体" w:eastAsia="宋体" w:cs="Times New Roman"/>
                <w:color w:val="000000"/>
                <w:szCs w:val="21"/>
              </w:rPr>
              <w:t>.5</w:t>
            </w:r>
            <w:r>
              <w:rPr>
                <w:rFonts w:hint="eastAsia" w:ascii="宋体" w:hAnsi="宋体" w:eastAsia="宋体" w:cs="Times New Roman"/>
                <w:color w:val="000000"/>
                <w:szCs w:val="21"/>
              </w:rPr>
              <w:t>吨电池包，发热</w:t>
            </w:r>
            <w:r>
              <w:rPr>
                <w:rFonts w:ascii="宋体" w:hAnsi="宋体" w:eastAsia="宋体" w:cs="Times New Roman"/>
                <w:color w:val="000000"/>
                <w:szCs w:val="21"/>
              </w:rPr>
              <w:t>5</w:t>
            </w:r>
            <w:r>
              <w:rPr>
                <w:rFonts w:hint="eastAsia" w:ascii="宋体" w:hAnsi="宋体" w:eastAsia="宋体" w:cs="Times New Roman"/>
                <w:color w:val="000000"/>
                <w:szCs w:val="21"/>
              </w:rPr>
              <w:t>kW）。</w:t>
            </w:r>
          </w:p>
        </w:tc>
        <w:tc>
          <w:tcPr>
            <w:tcW w:w="1276" w:type="dxa"/>
            <w:vMerge w:val="restart"/>
            <w:vAlign w:val="center"/>
          </w:tcPr>
          <w:p>
            <w:pPr>
              <w:spacing w:line="276" w:lineRule="auto"/>
              <w:jc w:val="left"/>
              <w:rPr>
                <w:rFonts w:hint="eastAsia" w:ascii="宋体" w:hAnsi="宋体" w:eastAsia="宋体" w:cs="Times New Roman"/>
                <w:color w:val="000000"/>
                <w:szCs w:val="21"/>
                <w:highlight w:val="yellow"/>
              </w:rPr>
            </w:pPr>
            <w:r>
              <w:rPr>
                <w:rFonts w:hint="eastAsia" w:ascii="宋体" w:hAnsi="宋体" w:eastAsia="宋体" w:cs="Times New Roman"/>
                <w:color w:val="000000"/>
                <w:szCs w:val="21"/>
              </w:rPr>
              <w:t>两种极端温度转换时间在3</w:t>
            </w:r>
            <w:r>
              <w:rPr>
                <w:rFonts w:ascii="宋体" w:hAnsi="宋体" w:eastAsia="宋体" w:cs="Times New Roman"/>
                <w:color w:val="000000"/>
                <w:szCs w:val="21"/>
              </w:rPr>
              <w:t>0</w:t>
            </w:r>
            <w:r>
              <w:rPr>
                <w:rFonts w:hint="eastAsia" w:ascii="宋体" w:hAnsi="宋体" w:eastAsia="宋体" w:cs="Times New Roman"/>
                <w:color w:val="000000"/>
                <w:szCs w:val="21"/>
              </w:rPr>
              <w:t>min以内，满足GB/T31467.3提供实际测试曲线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宋体" w:hAnsi="宋体" w:eastAsia="宋体" w:cs="Times New Roman"/>
                <w:color w:val="000000"/>
                <w:szCs w:val="21"/>
              </w:rPr>
              <w:t>7</w:t>
            </w:r>
          </w:p>
        </w:tc>
        <w:tc>
          <w:tcPr>
            <w:tcW w:w="2113"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降温速率</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≥5℃/min（+85℃～-</w:t>
            </w:r>
            <w:r>
              <w:rPr>
                <w:rFonts w:ascii="宋体" w:hAnsi="宋体" w:eastAsia="宋体" w:cs="Times New Roman"/>
                <w:color w:val="000000"/>
                <w:szCs w:val="21"/>
              </w:rPr>
              <w:t>4</w:t>
            </w:r>
            <w:r>
              <w:rPr>
                <w:rFonts w:hint="eastAsia" w:ascii="宋体" w:hAnsi="宋体" w:eastAsia="宋体" w:cs="Times New Roman"/>
                <w:color w:val="000000"/>
                <w:szCs w:val="21"/>
              </w:rPr>
              <w:t>0℃范围，全程平均，样品放置于舱内，可负载1</w:t>
            </w:r>
            <w:r>
              <w:rPr>
                <w:rFonts w:ascii="宋体" w:hAnsi="宋体" w:eastAsia="宋体" w:cs="Times New Roman"/>
                <w:color w:val="000000"/>
                <w:szCs w:val="21"/>
              </w:rPr>
              <w:t>.5</w:t>
            </w:r>
            <w:r>
              <w:rPr>
                <w:rFonts w:hint="eastAsia" w:ascii="宋体" w:hAnsi="宋体" w:eastAsia="宋体" w:cs="Times New Roman"/>
                <w:color w:val="000000"/>
                <w:szCs w:val="21"/>
              </w:rPr>
              <w:t>吨电池包，发热</w:t>
            </w:r>
            <w:r>
              <w:rPr>
                <w:rFonts w:ascii="宋体" w:hAnsi="宋体" w:eastAsia="宋体" w:cs="Times New Roman"/>
                <w:color w:val="000000"/>
                <w:szCs w:val="21"/>
              </w:rPr>
              <w:t>5</w:t>
            </w:r>
            <w:r>
              <w:rPr>
                <w:rFonts w:hint="eastAsia" w:ascii="宋体" w:hAnsi="宋体" w:eastAsia="宋体" w:cs="Times New Roman"/>
                <w:color w:val="000000"/>
                <w:szCs w:val="21"/>
              </w:rPr>
              <w:t>kW）。</w:t>
            </w:r>
          </w:p>
        </w:tc>
        <w:tc>
          <w:tcPr>
            <w:tcW w:w="1276" w:type="dxa"/>
            <w:vMerge w:val="continue"/>
            <w:vAlign w:val="center"/>
          </w:tcPr>
          <w:p>
            <w:pPr>
              <w:spacing w:line="276" w:lineRule="auto"/>
              <w:jc w:val="left"/>
              <w:rPr>
                <w:rFonts w:hint="eastAsia" w:ascii="宋体" w:hAnsi="宋体"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宋体" w:hAnsi="宋体" w:eastAsia="宋体" w:cs="Times New Roman"/>
                <w:color w:val="000000"/>
                <w:szCs w:val="21"/>
              </w:rPr>
              <w:t>8</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湿热循环</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10%～98%RH；</w:t>
            </w:r>
            <w:r>
              <w:rPr>
                <w:rFonts w:ascii="宋体" w:hAnsi="宋体" w:eastAsia="宋体" w:cs="Times New Roman"/>
                <w:color w:val="000000"/>
                <w:szCs w:val="21"/>
              </w:rPr>
              <w:t>20℃</w:t>
            </w:r>
            <w:r>
              <w:rPr>
                <w:rFonts w:hint="eastAsia" w:ascii="宋体" w:hAnsi="宋体" w:eastAsia="宋体" w:cs="Times New Roman"/>
                <w:color w:val="000000"/>
                <w:szCs w:val="21"/>
              </w:rPr>
              <w:t>-</w:t>
            </w:r>
            <w:r>
              <w:rPr>
                <w:rFonts w:ascii="宋体" w:hAnsi="宋体" w:eastAsia="宋体" w:cs="Times New Roman"/>
                <w:color w:val="000000"/>
                <w:szCs w:val="21"/>
              </w:rPr>
              <w:t>80℃范围内</w:t>
            </w:r>
            <w:r>
              <w:rPr>
                <w:rFonts w:hint="eastAsia" w:ascii="宋体" w:hAnsi="宋体" w:eastAsia="宋体" w:cs="Times New Roman"/>
                <w:color w:val="000000"/>
                <w:szCs w:val="21"/>
              </w:rPr>
              <w:t>，需满足G</w:t>
            </w:r>
            <w:r>
              <w:rPr>
                <w:rFonts w:ascii="宋体" w:hAnsi="宋体" w:eastAsia="宋体" w:cs="Times New Roman"/>
                <w:color w:val="000000"/>
                <w:szCs w:val="21"/>
              </w:rPr>
              <w:t>B 38031</w:t>
            </w:r>
            <w:r>
              <w:rPr>
                <w:rFonts w:hint="eastAsia" w:ascii="宋体" w:hAnsi="宋体" w:eastAsia="宋体" w:cs="Times New Roman"/>
                <w:color w:val="000000"/>
                <w:szCs w:val="21"/>
              </w:rPr>
              <w:t>中8</w:t>
            </w:r>
            <w:r>
              <w:rPr>
                <w:rFonts w:ascii="宋体" w:hAnsi="宋体" w:eastAsia="宋体" w:cs="Times New Roman"/>
                <w:color w:val="000000"/>
                <w:szCs w:val="21"/>
              </w:rPr>
              <w:t>.2.5</w:t>
            </w:r>
            <w:r>
              <w:rPr>
                <w:rFonts w:hint="eastAsia" w:ascii="宋体" w:hAnsi="宋体" w:eastAsia="宋体" w:cs="Times New Roman"/>
                <w:color w:val="000000"/>
                <w:szCs w:val="21"/>
              </w:rPr>
              <w:t>湿热循环试验测试曲线要求（</w:t>
            </w:r>
            <w:r>
              <w:rPr>
                <w:rFonts w:ascii="Times New Roman" w:hAnsi="Times New Roman" w:eastAsia="宋体" w:cs="Times New Roman"/>
                <w:szCs w:val="20"/>
              </w:rPr>
              <w:t>2小时完成升温，1.5小时完成降温，要求区间线性</w:t>
            </w:r>
            <w:r>
              <w:rPr>
                <w:rFonts w:hint="eastAsia" w:ascii="宋体" w:hAnsi="宋体" w:eastAsia="宋体" w:cs="Times New Roman"/>
                <w:color w:val="000000"/>
                <w:szCs w:val="21"/>
              </w:rPr>
              <w:t>）。</w:t>
            </w:r>
          </w:p>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投标方须</w:t>
            </w:r>
            <w:r>
              <w:rPr>
                <w:rFonts w:ascii="宋体" w:hAnsi="宋体" w:eastAsia="宋体" w:cs="Times New Roman"/>
                <w:color w:val="000000"/>
                <w:szCs w:val="21"/>
              </w:rPr>
              <w:t>提</w:t>
            </w:r>
            <w:r>
              <w:rPr>
                <w:rFonts w:hint="eastAsia" w:ascii="宋体" w:hAnsi="宋体" w:eastAsia="宋体" w:cs="Times New Roman"/>
                <w:color w:val="000000"/>
                <w:szCs w:val="21"/>
              </w:rPr>
              <w:t>供</w:t>
            </w:r>
            <w:r>
              <w:rPr>
                <w:rFonts w:ascii="宋体" w:hAnsi="宋体" w:eastAsia="宋体" w:cs="Times New Roman"/>
                <w:color w:val="000000"/>
                <w:szCs w:val="21"/>
              </w:rPr>
              <w:t>湿度和温度的MAP图，并作为验收时的标准。</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提供实际测试曲线</w:t>
            </w:r>
          </w:p>
        </w:tc>
      </w:tr>
      <w:bookmarkEnd w:id="3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.9</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温度波动度</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0.5</w:t>
            </w:r>
            <w:r>
              <w:rPr>
                <w:rFonts w:hint="eastAsia" w:ascii="宋体" w:hAnsi="宋体" w:eastAsia="宋体" w:cs="Times New Roman"/>
                <w:color w:val="000000"/>
                <w:szCs w:val="21"/>
              </w:rPr>
              <w:t>℃（空载、稳定状态下）</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.10</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温度均匀度</w:t>
            </w:r>
          </w:p>
        </w:tc>
        <w:tc>
          <w:tcPr>
            <w:tcW w:w="3893" w:type="dxa"/>
            <w:vAlign w:val="center"/>
          </w:tcPr>
          <w:p>
            <w:pPr>
              <w:spacing w:line="276" w:lineRule="auto"/>
              <w:rPr>
                <w:rFonts w:hint="eastAsia" w:ascii="宋体" w:hAnsi="宋体" w:eastAsia="宋体" w:cs="Times New Roman"/>
                <w:color w:val="000000"/>
                <w:szCs w:val="21"/>
              </w:rPr>
            </w:pPr>
            <w:bookmarkStart w:id="36" w:name="_Toc85018065"/>
            <w:r>
              <w:rPr>
                <w:rFonts w:hint="eastAsia" w:ascii="宋体" w:hAnsi="宋体" w:eastAsia="宋体" w:cs="Times New Roman"/>
                <w:color w:val="000000"/>
                <w:szCs w:val="21"/>
              </w:rPr>
              <w:t>≤2.0℃</w:t>
            </w:r>
            <w:bookmarkEnd w:id="36"/>
            <w:r>
              <w:rPr>
                <w:rFonts w:hint="eastAsia" w:ascii="宋体" w:hAnsi="宋体" w:eastAsia="宋体" w:cs="Times New Roman"/>
                <w:color w:val="000000"/>
                <w:szCs w:val="21"/>
              </w:rPr>
              <w:t>（空载、稳定状态下）</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.11</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温度偏差</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≤±2.0℃（空载、稳定状态下）</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.12</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温度分辨率</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0</w:t>
            </w:r>
            <w:r>
              <w:rPr>
                <w:rFonts w:ascii="宋体" w:hAnsi="宋体" w:eastAsia="宋体" w:cs="Times New Roman"/>
                <w:color w:val="000000"/>
                <w:szCs w:val="21"/>
              </w:rPr>
              <w:t>.1</w:t>
            </w:r>
            <w:r>
              <w:rPr>
                <w:rFonts w:hint="eastAsia" w:ascii="宋体" w:hAnsi="宋体" w:eastAsia="宋体" w:cs="Times New Roman"/>
                <w:color w:val="000000"/>
                <w:szCs w:val="21"/>
              </w:rPr>
              <w:t>℃</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.13</w:t>
            </w:r>
          </w:p>
        </w:tc>
        <w:tc>
          <w:tcPr>
            <w:tcW w:w="2113"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湿度</w:t>
            </w:r>
            <w:r>
              <w:rPr>
                <w:rFonts w:hint="eastAsia" w:ascii="宋体" w:hAnsi="宋体" w:eastAsia="宋体" w:cs="Times New Roman"/>
                <w:color w:val="000000"/>
                <w:szCs w:val="21"/>
              </w:rPr>
              <w:t>偏差</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-3~+2 %RH（湿度＞75%RH时）</w:t>
            </w:r>
          </w:p>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±5% RH（湿度≤75%RH时）</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szCs w:val="21"/>
              </w:rPr>
              <w:t>1</w:t>
            </w:r>
            <w:r>
              <w:rPr>
                <w:rFonts w:ascii="宋体" w:hAnsi="宋体" w:eastAsia="宋体" w:cs="Times New Roman"/>
                <w:szCs w:val="21"/>
              </w:rPr>
              <w:t>.14</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负载</w:t>
            </w:r>
          </w:p>
        </w:tc>
        <w:tc>
          <w:tcPr>
            <w:tcW w:w="3893"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szCs w:val="21"/>
              </w:rPr>
              <w:t>外壳钢铁材质</w:t>
            </w:r>
            <w:r>
              <w:rPr>
                <w:rFonts w:hint="eastAsia" w:ascii="宋体" w:hAnsi="宋体" w:eastAsia="宋体" w:cs="Times New Roman"/>
                <w:szCs w:val="21"/>
              </w:rPr>
              <w:t>，</w:t>
            </w:r>
            <w:r>
              <w:rPr>
                <w:rFonts w:ascii="宋体" w:hAnsi="宋体" w:eastAsia="宋体" w:cs="Times New Roman"/>
                <w:szCs w:val="21"/>
              </w:rPr>
              <w:t>2500mm*814mm*2100mm</w:t>
            </w:r>
            <w:r>
              <w:rPr>
                <w:rFonts w:hint="eastAsia" w:ascii="宋体" w:hAnsi="宋体" w:eastAsia="宋体" w:cs="Times New Roman"/>
                <w:szCs w:val="21"/>
              </w:rPr>
              <w:t>（</w:t>
            </w:r>
            <w:r>
              <w:rPr>
                <w:rFonts w:ascii="宋体" w:hAnsi="宋体" w:eastAsia="宋体" w:cs="Times New Roman"/>
                <w:szCs w:val="21"/>
              </w:rPr>
              <w:t>长</w:t>
            </w:r>
            <w:r>
              <w:rPr>
                <w:rFonts w:hint="eastAsia" w:ascii="宋体" w:hAnsi="宋体" w:eastAsia="宋体" w:cs="Times New Roman"/>
                <w:szCs w:val="21"/>
              </w:rPr>
              <w:t>*</w:t>
            </w:r>
            <w:r>
              <w:rPr>
                <w:rFonts w:ascii="宋体" w:hAnsi="宋体" w:eastAsia="宋体" w:cs="Times New Roman"/>
                <w:szCs w:val="21"/>
              </w:rPr>
              <w:t>宽</w:t>
            </w:r>
            <w:r>
              <w:rPr>
                <w:rFonts w:hint="eastAsia" w:ascii="宋体" w:hAnsi="宋体" w:eastAsia="宋体" w:cs="Times New Roman"/>
                <w:szCs w:val="21"/>
              </w:rPr>
              <w:t>*</w:t>
            </w:r>
            <w:r>
              <w:rPr>
                <w:rFonts w:ascii="宋体" w:hAnsi="宋体" w:eastAsia="宋体" w:cs="Times New Roman"/>
                <w:szCs w:val="21"/>
              </w:rPr>
              <w:t>高</w:t>
            </w:r>
            <w:r>
              <w:rPr>
                <w:rFonts w:hint="eastAsia" w:ascii="宋体" w:hAnsi="宋体" w:eastAsia="宋体" w:cs="Times New Roman"/>
                <w:szCs w:val="21"/>
              </w:rPr>
              <w:t>）</w:t>
            </w:r>
            <w:r>
              <w:rPr>
                <w:rFonts w:ascii="宋体" w:hAnsi="宋体" w:eastAsia="宋体" w:cs="Times New Roman"/>
                <w:szCs w:val="21"/>
              </w:rPr>
              <w:t>，质量3吨</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舱体结构尺寸参考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szCs w:val="21"/>
              </w:rPr>
            </w:pPr>
            <w:bookmarkStart w:id="37" w:name="_Hlk63708572"/>
            <w:r>
              <w:rPr>
                <w:rFonts w:hint="eastAsia" w:ascii="宋体" w:hAnsi="宋体" w:eastAsia="宋体" w:cs="Times New Roman"/>
                <w:szCs w:val="21"/>
              </w:rPr>
              <w:t>1</w:t>
            </w:r>
            <w:r>
              <w:rPr>
                <w:rFonts w:ascii="宋体" w:hAnsi="宋体" w:eastAsia="宋体" w:cs="Times New Roman"/>
                <w:szCs w:val="21"/>
              </w:rPr>
              <w:t>.15</w:t>
            </w:r>
          </w:p>
        </w:tc>
        <w:tc>
          <w:tcPr>
            <w:tcW w:w="2113" w:type="dxa"/>
            <w:vAlign w:val="center"/>
          </w:tcPr>
          <w:p>
            <w:pPr>
              <w:spacing w:line="276" w:lineRule="auto"/>
              <w:rPr>
                <w:rFonts w:hint="eastAsia" w:ascii="宋体" w:hAnsi="宋体" w:eastAsia="宋体" w:cs="Times New Roman"/>
                <w:szCs w:val="21"/>
              </w:rPr>
            </w:pPr>
            <w:r>
              <w:rPr>
                <w:rFonts w:hint="eastAsia" w:ascii="宋体" w:hAnsi="宋体" w:eastAsia="宋体" w:cs="Times New Roman"/>
                <w:szCs w:val="21"/>
              </w:rPr>
              <w:t>纯水机</w:t>
            </w:r>
          </w:p>
        </w:tc>
        <w:tc>
          <w:tcPr>
            <w:tcW w:w="3893" w:type="dxa"/>
            <w:vAlign w:val="center"/>
          </w:tcPr>
          <w:p>
            <w:pPr>
              <w:spacing w:line="276" w:lineRule="auto"/>
              <w:rPr>
                <w:rFonts w:hint="eastAsia" w:ascii="宋体" w:hAnsi="宋体" w:eastAsia="宋体" w:cs="Times New Roman"/>
                <w:szCs w:val="21"/>
              </w:rPr>
            </w:pPr>
            <w:r>
              <w:rPr>
                <w:rFonts w:hint="eastAsia" w:ascii="宋体" w:hAnsi="宋体" w:eastAsia="宋体" w:cs="Times New Roman"/>
                <w:szCs w:val="21"/>
              </w:rPr>
              <w:t>满足两台系统舱共用</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bookmarkEnd w:id="3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.16</w:t>
            </w:r>
          </w:p>
        </w:tc>
        <w:tc>
          <w:tcPr>
            <w:tcW w:w="2113" w:type="dxa"/>
            <w:vAlign w:val="center"/>
          </w:tcPr>
          <w:p>
            <w:pPr>
              <w:spacing w:line="276" w:lineRule="auto"/>
              <w:rPr>
                <w:rFonts w:hint="eastAsia" w:ascii="宋体" w:hAnsi="宋体" w:eastAsia="宋体" w:cs="Times New Roman"/>
                <w:szCs w:val="21"/>
              </w:rPr>
            </w:pPr>
            <w:r>
              <w:rPr>
                <w:rFonts w:hint="eastAsia" w:ascii="宋体" w:hAnsi="宋体" w:eastAsia="宋体" w:cs="Times New Roman"/>
                <w:szCs w:val="21"/>
              </w:rPr>
              <w:t>噪音</w:t>
            </w:r>
          </w:p>
        </w:tc>
        <w:tc>
          <w:tcPr>
            <w:tcW w:w="3893" w:type="dxa"/>
            <w:vAlign w:val="center"/>
          </w:tcPr>
          <w:p>
            <w:pPr>
              <w:spacing w:line="276" w:lineRule="auto"/>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7</w:t>
            </w:r>
            <w:r>
              <w:rPr>
                <w:rFonts w:hint="eastAsia" w:ascii="宋体" w:hAnsi="宋体" w:eastAsia="宋体" w:cs="Times New Roman"/>
                <w:szCs w:val="21"/>
              </w:rPr>
              <w:t>2db（距舱门1m处）</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90" w:type="dxa"/>
            <w:vAlign w:val="center"/>
          </w:tcPr>
          <w:p>
            <w:pPr>
              <w:spacing w:line="276" w:lineRule="auto"/>
              <w:rPr>
                <w:rFonts w:hint="eastAsia" w:ascii="宋体" w:hAnsi="宋体" w:eastAsia="宋体" w:cs="Times New Roman"/>
                <w:szCs w:val="21"/>
              </w:rPr>
            </w:pPr>
            <w:r>
              <w:rPr>
                <w:rFonts w:hint="eastAsia" w:ascii="宋体" w:hAnsi="宋体" w:eastAsia="宋体" w:cs="Times New Roman"/>
                <w:color w:val="000000"/>
                <w:szCs w:val="21"/>
              </w:rPr>
              <w:t>1.17</w:t>
            </w:r>
          </w:p>
        </w:tc>
        <w:tc>
          <w:tcPr>
            <w:tcW w:w="2113" w:type="dxa"/>
            <w:vAlign w:val="center"/>
          </w:tcPr>
          <w:p>
            <w:pPr>
              <w:spacing w:line="276" w:lineRule="auto"/>
              <w:rPr>
                <w:rFonts w:hint="eastAsia" w:ascii="宋体" w:hAnsi="宋体" w:eastAsia="宋体" w:cs="Times New Roman"/>
                <w:szCs w:val="21"/>
              </w:rPr>
            </w:pPr>
            <w:r>
              <w:rPr>
                <w:rFonts w:hint="eastAsia" w:ascii="宋体" w:hAnsi="宋体" w:eastAsia="宋体" w:cs="Times New Roman"/>
                <w:szCs w:val="21"/>
              </w:rPr>
              <w:t>冷却方式</w:t>
            </w:r>
          </w:p>
        </w:tc>
        <w:tc>
          <w:tcPr>
            <w:tcW w:w="3893" w:type="dxa"/>
            <w:vAlign w:val="center"/>
          </w:tcPr>
          <w:p>
            <w:pPr>
              <w:spacing w:line="276" w:lineRule="auto"/>
              <w:rPr>
                <w:rFonts w:hint="eastAsia" w:ascii="宋体" w:hAnsi="宋体" w:eastAsia="宋体" w:cs="Times New Roman"/>
                <w:szCs w:val="21"/>
              </w:rPr>
            </w:pPr>
            <w:r>
              <w:rPr>
                <w:rFonts w:hint="eastAsia" w:ascii="宋体" w:hAnsi="宋体" w:eastAsia="宋体" w:cs="Times New Roman"/>
                <w:szCs w:val="21"/>
              </w:rPr>
              <w:t>水冷</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1.18</w:t>
            </w:r>
          </w:p>
        </w:tc>
        <w:tc>
          <w:tcPr>
            <w:tcW w:w="2113" w:type="dxa"/>
            <w:vAlign w:val="center"/>
          </w:tcPr>
          <w:p>
            <w:pPr>
              <w:spacing w:line="276" w:lineRule="auto"/>
              <w:rPr>
                <w:rFonts w:hint="eastAsia" w:ascii="宋体" w:hAnsi="宋体" w:eastAsia="宋体" w:cs="Times New Roman"/>
                <w:szCs w:val="21"/>
              </w:rPr>
            </w:pPr>
            <w:r>
              <w:rPr>
                <w:rFonts w:hint="eastAsia" w:ascii="宋体" w:hAnsi="宋体" w:eastAsia="宋体" w:cs="Times New Roman"/>
                <w:szCs w:val="21"/>
              </w:rPr>
              <w:t>电源线束</w:t>
            </w:r>
          </w:p>
        </w:tc>
        <w:tc>
          <w:tcPr>
            <w:tcW w:w="3893" w:type="dxa"/>
            <w:vAlign w:val="center"/>
          </w:tcPr>
          <w:p>
            <w:pPr>
              <w:spacing w:line="276" w:lineRule="auto"/>
              <w:rPr>
                <w:rFonts w:hint="eastAsia" w:ascii="宋体" w:hAnsi="宋体" w:eastAsia="宋体" w:cs="Times New Roman"/>
                <w:szCs w:val="21"/>
              </w:rPr>
            </w:pPr>
            <w:r>
              <w:rPr>
                <w:rFonts w:hint="eastAsia" w:ascii="宋体" w:hAnsi="宋体" w:eastAsia="宋体" w:cs="Times New Roman"/>
                <w:szCs w:val="21"/>
              </w:rPr>
              <w:t>≥10米</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90" w:type="dxa"/>
            <w:vAlign w:val="center"/>
          </w:tcPr>
          <w:p>
            <w:pPr>
              <w:spacing w:line="276" w:lineRule="auto"/>
              <w:rPr>
                <w:rFonts w:hint="eastAsia" w:ascii="宋体" w:hAnsi="宋体" w:eastAsia="宋体" w:cs="Times New Roman"/>
                <w:szCs w:val="21"/>
              </w:rPr>
            </w:pPr>
            <w:r>
              <w:rPr>
                <w:rFonts w:hint="eastAsia" w:ascii="宋体" w:hAnsi="宋体" w:eastAsia="宋体" w:cs="Times New Roman"/>
                <w:color w:val="000000"/>
                <w:szCs w:val="21"/>
              </w:rPr>
              <w:t>1.19</w:t>
            </w:r>
          </w:p>
        </w:tc>
        <w:tc>
          <w:tcPr>
            <w:tcW w:w="2113" w:type="dxa"/>
            <w:vAlign w:val="center"/>
          </w:tcPr>
          <w:p>
            <w:pPr>
              <w:spacing w:line="276" w:lineRule="auto"/>
              <w:rPr>
                <w:rFonts w:hint="eastAsia" w:ascii="宋体" w:hAnsi="宋体" w:eastAsia="宋体" w:cs="Times New Roman"/>
                <w:szCs w:val="21"/>
              </w:rPr>
            </w:pPr>
            <w:r>
              <w:rPr>
                <w:rFonts w:hint="eastAsia" w:ascii="宋体" w:hAnsi="宋体" w:eastAsia="宋体" w:cs="Times New Roman"/>
                <w:color w:val="000000"/>
                <w:szCs w:val="21"/>
              </w:rPr>
              <w:t>计量</w:t>
            </w:r>
          </w:p>
        </w:tc>
        <w:tc>
          <w:tcPr>
            <w:tcW w:w="3893" w:type="dxa"/>
            <w:vAlign w:val="center"/>
          </w:tcPr>
          <w:p>
            <w:pPr>
              <w:spacing w:line="276" w:lineRule="auto"/>
              <w:rPr>
                <w:rFonts w:hint="eastAsia" w:ascii="宋体" w:hAnsi="宋体" w:eastAsia="宋体" w:cs="Times New Roman"/>
                <w:szCs w:val="21"/>
              </w:rPr>
            </w:pPr>
            <w:r>
              <w:rPr>
                <w:rFonts w:hint="eastAsia" w:ascii="宋体" w:hAnsi="宋体" w:eastAsia="宋体" w:cs="Times New Roman"/>
                <w:color w:val="000000"/>
                <w:szCs w:val="21"/>
              </w:rPr>
              <w:t>出具省级及以上第三方计量报告。</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1.20</w:t>
            </w:r>
          </w:p>
        </w:tc>
        <w:tc>
          <w:tcPr>
            <w:tcW w:w="6006" w:type="dxa"/>
            <w:gridSpan w:val="2"/>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选用国内外一线品牌，伟思、爱斯派克、银河、阿泰可、BIA等。</w:t>
            </w:r>
          </w:p>
        </w:tc>
        <w:tc>
          <w:tcPr>
            <w:tcW w:w="1276" w:type="dxa"/>
            <w:vAlign w:val="center"/>
          </w:tcPr>
          <w:p>
            <w:pPr>
              <w:spacing w:line="276" w:lineRule="auto"/>
              <w:jc w:val="left"/>
              <w:rPr>
                <w:rFonts w:hint="eastAsia" w:ascii="宋体" w:hAnsi="宋体"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vAlign w:val="center"/>
          </w:tcPr>
          <w:p>
            <w:pPr>
              <w:spacing w:line="276" w:lineRule="auto"/>
              <w:rPr>
                <w:rFonts w:hint="eastAsia" w:ascii="宋体" w:hAnsi="宋体" w:eastAsia="宋体" w:cs="Times New Roman"/>
                <w:color w:val="000000"/>
                <w:szCs w:val="21"/>
              </w:rPr>
            </w:pPr>
            <w:r>
              <w:rPr>
                <w:rFonts w:ascii="宋体" w:hAnsi="宋体" w:eastAsia="宋体" w:cs="Times New Roman"/>
                <w:b/>
                <w:color w:val="000000"/>
                <w:szCs w:val="21"/>
              </w:rPr>
              <w:t>2</w:t>
            </w:r>
            <w:r>
              <w:rPr>
                <w:rFonts w:hint="eastAsia" w:ascii="宋体" w:hAnsi="宋体" w:eastAsia="宋体" w:cs="Times New Roman"/>
                <w:b/>
                <w:color w:val="000000"/>
                <w:szCs w:val="21"/>
              </w:rPr>
              <w:t>、结构及功能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2.1</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整体结构</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内胆平整，使用无异味</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2.2</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内箱材料</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≥1.2mm厚SUS304不锈钢板</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2.3</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外箱材料</w:t>
            </w:r>
          </w:p>
        </w:tc>
        <w:tc>
          <w:tcPr>
            <w:tcW w:w="3893" w:type="dxa"/>
            <w:vAlign w:val="center"/>
          </w:tcPr>
          <w:p>
            <w:pPr>
              <w:spacing w:line="276" w:lineRule="auto"/>
              <w:rPr>
                <w:rFonts w:hint="eastAsia" w:ascii="楷体" w:hAnsi="楷体" w:eastAsia="楷体" w:cs="宋体"/>
                <w:kern w:val="0"/>
                <w:sz w:val="24"/>
                <w:szCs w:val="20"/>
              </w:rPr>
            </w:pPr>
            <w:r>
              <w:rPr>
                <w:rFonts w:hint="eastAsia" w:ascii="宋体" w:hAnsi="宋体" w:eastAsia="宋体" w:cs="Times New Roman"/>
                <w:color w:val="000000"/>
                <w:szCs w:val="21"/>
              </w:rPr>
              <w:t>≥1.5mm冷轧钢板，表面喷塑处理，颜色能够按需定制。</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2.4</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底板材料</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采用防滑称重S</w:t>
            </w:r>
            <w:r>
              <w:rPr>
                <w:rFonts w:ascii="宋体" w:hAnsi="宋体" w:eastAsia="宋体" w:cs="Times New Roman"/>
                <w:color w:val="000000"/>
                <w:szCs w:val="21"/>
              </w:rPr>
              <w:t>US304</w:t>
            </w:r>
            <w:r>
              <w:rPr>
                <w:rFonts w:hint="eastAsia" w:ascii="宋体" w:hAnsi="宋体" w:eastAsia="宋体" w:cs="Times New Roman"/>
                <w:color w:val="000000"/>
                <w:szCs w:val="21"/>
              </w:rPr>
              <w:t>不锈钢，底板厚度≥3mm，承重≥</w:t>
            </w:r>
            <w:r>
              <w:rPr>
                <w:rFonts w:ascii="宋体" w:hAnsi="宋体" w:eastAsia="宋体" w:cs="Times New Roman"/>
                <w:color w:val="000000"/>
                <w:szCs w:val="21"/>
              </w:rPr>
              <w:t>2000K</w:t>
            </w:r>
            <w:r>
              <w:rPr>
                <w:rFonts w:hint="eastAsia" w:ascii="宋体" w:hAnsi="宋体" w:eastAsia="宋体" w:cs="Times New Roman"/>
                <w:color w:val="000000"/>
                <w:szCs w:val="21"/>
              </w:rPr>
              <w:t>g</w:t>
            </w:r>
            <w:r>
              <w:rPr>
                <w:rFonts w:ascii="宋体" w:hAnsi="宋体" w:eastAsia="宋体" w:cs="Times New Roman"/>
                <w:color w:val="000000"/>
                <w:szCs w:val="21"/>
              </w:rPr>
              <w:t>/</w:t>
            </w:r>
            <w:r>
              <w:rPr>
                <w:rFonts w:hint="eastAsia" w:ascii="宋体" w:hAnsi="宋体" w:eastAsia="宋体" w:cs="Times New Roman"/>
                <w:color w:val="000000"/>
                <w:szCs w:val="21"/>
              </w:rPr>
              <w:t>㎡，满足样品放置于舱内无形变。</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2.5</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保温材料</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硬质聚氨酯+岩棉</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2.6</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密封条</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双层耐高低温的硅橡胶密封条</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2.7</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舱门</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双开门，门洞尺寸投标方提供，满足电池包进入舱内。</w:t>
            </w:r>
          </w:p>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具备防结霜凝露功能，根据工况自动开启。</w:t>
            </w:r>
          </w:p>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内外对开、双开防爆铰链门，确保进入内箱的工作人员能够从内向外开门，保证人员安全。</w:t>
            </w:r>
          </w:p>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舱门不留观察窗。</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bookmarkStart w:id="38" w:name="_Hlk63529743"/>
            <w:r>
              <w:rPr>
                <w:rFonts w:ascii="宋体" w:hAnsi="宋体" w:eastAsia="宋体" w:cs="Times New Roman"/>
                <w:color w:val="000000"/>
                <w:szCs w:val="21"/>
              </w:rPr>
              <w:t>2.9</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照明灯</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内箱顶部配防潮防爆照明灯，确保箱内明亮，控制面板开关控制。</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bookmarkEnd w:id="3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90" w:type="dxa"/>
            <w:vAlign w:val="center"/>
          </w:tcPr>
          <w:p>
            <w:pPr>
              <w:spacing w:line="276" w:lineRule="auto"/>
              <w:rPr>
                <w:rFonts w:hint="eastAsia" w:ascii="宋体" w:hAnsi="宋体" w:eastAsia="宋体" w:cs="Times New Roman"/>
                <w:color w:val="000000"/>
                <w:szCs w:val="21"/>
              </w:rPr>
            </w:pPr>
            <w:bookmarkStart w:id="39" w:name="_Hlk63530169"/>
            <w:r>
              <w:rPr>
                <w:rFonts w:hint="eastAsia" w:ascii="宋体" w:hAnsi="宋体" w:eastAsia="宋体" w:cs="Times New Roman"/>
                <w:color w:val="000000"/>
                <w:szCs w:val="21"/>
              </w:rPr>
              <w:t>2</w:t>
            </w:r>
            <w:r>
              <w:rPr>
                <w:rFonts w:ascii="宋体" w:hAnsi="宋体" w:eastAsia="宋体" w:cs="Times New Roman"/>
                <w:color w:val="000000"/>
                <w:szCs w:val="21"/>
              </w:rPr>
              <w:t>.10</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气压平衡</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箱内设有平衡窗/阀，自动平衡箱内气压。</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bookmarkEnd w:id="3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bookmarkStart w:id="40" w:name="_Hlk63530192"/>
            <w:r>
              <w:rPr>
                <w:rFonts w:ascii="宋体" w:hAnsi="宋体" w:eastAsia="宋体" w:cs="Times New Roman"/>
                <w:color w:val="000000"/>
                <w:szCs w:val="21"/>
              </w:rPr>
              <w:t>2.11</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测试孔</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箱体侧面设置5个测试孔（2个用于充放电电缆，2个用于液冷管道，1个备用），孔径尺寸φ100mm；均需配备密封孔塞和孔盖，开孔位置在试验箱侧面。(甲方现场指定具体位置)</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2.12</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舱体排水</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设计有排水孔，将箱内的冷凝水排出。</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bookmarkEnd w:id="4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2.13</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防凝露</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设备的低温管路、门缝等部位必须有防凝露设计，避免管路凝露滴水。</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.14</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外观颜色</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满足Q/ZZ30070-2020《设备设施颜色标识》中Ral 9002。环境舱正面（大门侧）不能出现环境舱供应商名称或LOGO标识。</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2.15</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铜管</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全部系统所采用的铜管均为高纯度的紫铜材质。</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vAlign w:val="center"/>
          </w:tcPr>
          <w:p>
            <w:pPr>
              <w:spacing w:line="276" w:lineRule="auto"/>
              <w:rPr>
                <w:rFonts w:hint="eastAsia" w:ascii="宋体" w:hAnsi="宋体" w:eastAsia="宋体" w:cs="Times New Roman"/>
                <w:b/>
                <w:bCs/>
                <w:color w:val="000000"/>
                <w:szCs w:val="21"/>
              </w:rPr>
            </w:pPr>
            <w:r>
              <w:rPr>
                <w:rFonts w:ascii="宋体" w:hAnsi="宋体" w:eastAsia="宋体" w:cs="Times New Roman"/>
                <w:b/>
                <w:bCs/>
                <w:color w:val="000000"/>
                <w:szCs w:val="21"/>
              </w:rPr>
              <w:t>3</w:t>
            </w:r>
            <w:r>
              <w:rPr>
                <w:rFonts w:hint="eastAsia" w:ascii="宋体" w:hAnsi="宋体" w:eastAsia="宋体" w:cs="Times New Roman"/>
                <w:b/>
                <w:bCs/>
                <w:color w:val="000000"/>
                <w:szCs w:val="21"/>
              </w:rPr>
              <w:t>、空气内循环系统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3.1</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空气内循环系统</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采用长轴离心风机对箱内空气进行强制内循环</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.2</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循环方式</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上出风下回风的风道结构</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vAlign w:val="center"/>
          </w:tcPr>
          <w:p>
            <w:pPr>
              <w:spacing w:line="276" w:lineRule="auto"/>
              <w:rPr>
                <w:rFonts w:hint="eastAsia" w:ascii="宋体" w:hAnsi="宋体" w:eastAsia="宋体" w:cs="Times New Roman"/>
                <w:b/>
                <w:bCs/>
                <w:color w:val="000000"/>
                <w:szCs w:val="21"/>
              </w:rPr>
            </w:pPr>
            <w:r>
              <w:rPr>
                <w:rFonts w:hint="eastAsia" w:ascii="宋体" w:hAnsi="宋体" w:eastAsia="宋体" w:cs="Times New Roman"/>
                <w:b/>
                <w:bCs/>
                <w:color w:val="000000"/>
                <w:szCs w:val="21"/>
              </w:rPr>
              <w:t>4、加热系统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4.1</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加热方式</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镍铬合金电热丝式电加热</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.2</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控制方式</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采用SSR（固态继电器）周期脉冲调宽</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.3</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加热负荷计算</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投标方需提供加热负荷及配置选型计算依据</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vAlign w:val="center"/>
          </w:tcPr>
          <w:p>
            <w:pPr>
              <w:spacing w:line="276" w:lineRule="auto"/>
              <w:rPr>
                <w:rFonts w:hint="eastAsia" w:ascii="宋体" w:hAnsi="宋体" w:eastAsia="宋体" w:cs="Times New Roman"/>
                <w:b/>
                <w:bCs/>
                <w:color w:val="000000"/>
                <w:szCs w:val="21"/>
              </w:rPr>
            </w:pPr>
            <w:r>
              <w:rPr>
                <w:rFonts w:hint="eastAsia" w:ascii="宋体" w:hAnsi="宋体" w:eastAsia="宋体" w:cs="Times New Roman"/>
                <w:b/>
                <w:bCs/>
                <w:color w:val="000000"/>
                <w:szCs w:val="21"/>
              </w:rPr>
              <w:t>5、加湿除湿系统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5.1</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加湿方式</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电加热加湿</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.2</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除湿方式</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机械制冷除湿</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.3</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加湿控制方式</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采用SSR（固态继电器）周期脉冲调宽</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.4</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补水及缺水保护功能</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具备自动补水、缺水保护功能</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vAlign w:val="center"/>
          </w:tcPr>
          <w:p>
            <w:pPr>
              <w:spacing w:line="276" w:lineRule="auto"/>
              <w:rPr>
                <w:rFonts w:hint="eastAsia" w:ascii="宋体" w:hAnsi="宋体" w:eastAsia="宋体" w:cs="Times New Roman"/>
                <w:b/>
                <w:bCs/>
                <w:color w:val="000000"/>
                <w:szCs w:val="21"/>
              </w:rPr>
            </w:pPr>
            <w:r>
              <w:rPr>
                <w:rFonts w:hint="eastAsia" w:ascii="宋体" w:hAnsi="宋体" w:eastAsia="宋体" w:cs="Times New Roman"/>
                <w:b/>
                <w:bCs/>
                <w:color w:val="000000"/>
                <w:szCs w:val="21"/>
              </w:rPr>
              <w:t>6、制冷系统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.1</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压缩机配置</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6FE-44Y，4台40匹</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.2</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制冷方式</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机械压缩复叠制冷方式</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.3</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制冷压缩机</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复叠式，选用国际一流品牌</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.4</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节流装置</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电磁阀、膨胀阀，选用国际一流品牌</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.5</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控制方式</w:t>
            </w:r>
          </w:p>
        </w:tc>
        <w:tc>
          <w:tcPr>
            <w:tcW w:w="3893" w:type="dxa"/>
            <w:vAlign w:val="center"/>
          </w:tcPr>
          <w:p>
            <w:pPr>
              <w:widowControl/>
              <w:spacing w:line="276" w:lineRule="auto"/>
              <w:rPr>
                <w:rFonts w:hint="eastAsia" w:ascii="楷体" w:hAnsi="楷体" w:eastAsia="楷体" w:cs="宋体"/>
                <w:kern w:val="0"/>
                <w:sz w:val="24"/>
                <w:szCs w:val="20"/>
              </w:rPr>
            </w:pPr>
            <w:r>
              <w:rPr>
                <w:rFonts w:hint="eastAsia" w:ascii="宋体" w:hAnsi="宋体" w:eastAsia="宋体" w:cs="Times New Roman"/>
                <w:color w:val="000000"/>
                <w:szCs w:val="21"/>
              </w:rPr>
              <w:t>采用冷端P</w:t>
            </w:r>
            <w:r>
              <w:rPr>
                <w:rFonts w:ascii="宋体" w:hAnsi="宋体" w:eastAsia="宋体" w:cs="Times New Roman"/>
                <w:color w:val="000000"/>
                <w:szCs w:val="21"/>
              </w:rPr>
              <w:t>ID</w:t>
            </w:r>
            <w:r>
              <w:rPr>
                <w:rFonts w:hint="eastAsia" w:ascii="宋体" w:hAnsi="宋体" w:eastAsia="宋体" w:cs="Times New Roman"/>
                <w:color w:val="000000"/>
                <w:szCs w:val="21"/>
              </w:rPr>
              <w:t>调节方式，避免冷热对冲，根据试验条件自动调节制冷机的运行工况。</w:t>
            </w:r>
            <w:r>
              <w:rPr>
                <w:rFonts w:hint="eastAsia" w:ascii="宋体" w:hAnsi="宋体" w:eastAsia="宋体" w:cs="Times New Roman"/>
                <w:b/>
                <w:bCs/>
                <w:color w:val="000000"/>
                <w:szCs w:val="21"/>
              </w:rPr>
              <w:t>提供证明材料。</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.6</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制冷剂</w:t>
            </w:r>
          </w:p>
        </w:tc>
        <w:tc>
          <w:tcPr>
            <w:tcW w:w="3893" w:type="dxa"/>
            <w:vAlign w:val="center"/>
          </w:tcPr>
          <w:p>
            <w:pPr>
              <w:widowControl/>
              <w:spacing w:line="276" w:lineRule="auto"/>
              <w:rPr>
                <w:rFonts w:hint="eastAsia" w:ascii="楷体" w:hAnsi="楷体" w:eastAsia="楷体" w:cs="宋体"/>
                <w:kern w:val="0"/>
                <w:sz w:val="24"/>
                <w:szCs w:val="20"/>
              </w:rPr>
            </w:pPr>
            <w:r>
              <w:rPr>
                <w:rFonts w:hint="eastAsia" w:ascii="宋体" w:hAnsi="宋体" w:eastAsia="宋体" w:cs="Times New Roman"/>
                <w:color w:val="000000"/>
                <w:szCs w:val="21"/>
              </w:rPr>
              <w:t>R404a/R23（臭氧耗损指数为0）</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6.7</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蒸发器</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翅片式换热器，选用国内外一线品牌</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.8</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冷凝器</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壳管式冷凝器，选用国内外一线品牌</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w:t>
            </w:r>
            <w:r>
              <w:rPr>
                <w:rFonts w:hint="eastAsia" w:ascii="宋体" w:hAnsi="宋体" w:eastAsia="宋体" w:cs="Times New Roman"/>
                <w:color w:val="000000"/>
                <w:szCs w:val="21"/>
              </w:rPr>
              <w:t>9</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制冷负荷计算</w:t>
            </w:r>
          </w:p>
        </w:tc>
        <w:tc>
          <w:tcPr>
            <w:tcW w:w="3893" w:type="dxa"/>
            <w:vAlign w:val="center"/>
          </w:tcPr>
          <w:p>
            <w:pPr>
              <w:widowControl/>
              <w:spacing w:line="276" w:lineRule="auto"/>
              <w:rPr>
                <w:rFonts w:hint="eastAsia" w:ascii="宋体" w:hAnsi="宋体" w:eastAsia="宋体" w:cs="Times New Roman"/>
                <w:b/>
                <w:bCs/>
                <w:color w:val="000000"/>
                <w:szCs w:val="21"/>
              </w:rPr>
            </w:pPr>
            <w:r>
              <w:rPr>
                <w:rFonts w:hint="eastAsia" w:ascii="宋体" w:hAnsi="宋体" w:eastAsia="宋体" w:cs="Times New Roman"/>
                <w:b/>
                <w:bCs/>
                <w:color w:val="000000"/>
                <w:szCs w:val="21"/>
              </w:rPr>
              <w:t>投标方需提供制冷负荷及配置选型计算依据</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b/>
                <w:bCs/>
                <w:color w:val="000000"/>
                <w:szCs w:val="21"/>
              </w:rPr>
              <w:t>7、安全及消防功能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.1</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声光报警</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设备具有声光报警功能，通过指示灯颜色能够辨识设备状态。</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.2</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烟雾检测</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至少配置1个烟雾探测器，用于舱内烟雾浓度检测报警，能够与环境舱消防系统联动，可自动打开舱的消防喷淋和注水浸没功能。</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.3</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有害气体检测</w:t>
            </w:r>
          </w:p>
        </w:tc>
        <w:tc>
          <w:tcPr>
            <w:tcW w:w="3893" w:type="dxa"/>
            <w:vAlign w:val="center"/>
          </w:tcPr>
          <w:p>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H2</w:t>
            </w:r>
            <w:r>
              <w:rPr>
                <w:rFonts w:hint="eastAsia" w:ascii="宋体" w:hAnsi="宋体" w:eastAsia="宋体" w:cs="Times New Roman"/>
                <w:color w:val="000000"/>
                <w:szCs w:val="21"/>
              </w:rPr>
              <w:t>、C</w:t>
            </w:r>
            <w:r>
              <w:rPr>
                <w:rFonts w:ascii="宋体" w:hAnsi="宋体" w:eastAsia="宋体" w:cs="Times New Roman"/>
                <w:color w:val="000000"/>
                <w:szCs w:val="21"/>
              </w:rPr>
              <w:t>O</w:t>
            </w:r>
            <w:r>
              <w:rPr>
                <w:rFonts w:hint="eastAsia" w:ascii="宋体" w:hAnsi="宋体" w:eastAsia="宋体" w:cs="Times New Roman"/>
                <w:color w:val="000000"/>
                <w:szCs w:val="21"/>
              </w:rPr>
              <w:t>、C</w:t>
            </w:r>
            <w:r>
              <w:rPr>
                <w:rFonts w:ascii="宋体" w:hAnsi="宋体" w:eastAsia="宋体" w:cs="Times New Roman"/>
                <w:color w:val="000000"/>
                <w:szCs w:val="21"/>
              </w:rPr>
              <w:t>O2</w:t>
            </w:r>
            <w:r>
              <w:rPr>
                <w:rFonts w:hint="eastAsia" w:ascii="宋体" w:hAnsi="宋体" w:eastAsia="宋体" w:cs="Times New Roman"/>
                <w:color w:val="000000"/>
                <w:szCs w:val="21"/>
              </w:rPr>
              <w:t>浓度检测</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.4</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强排烟</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烟雾、</w:t>
            </w:r>
            <w:r>
              <w:rPr>
                <w:rFonts w:ascii="宋体" w:hAnsi="宋体" w:eastAsia="宋体" w:cs="Times New Roman"/>
                <w:color w:val="000000"/>
                <w:szCs w:val="21"/>
              </w:rPr>
              <w:t>H2</w:t>
            </w:r>
            <w:r>
              <w:rPr>
                <w:rFonts w:hint="eastAsia" w:ascii="宋体" w:hAnsi="宋体" w:eastAsia="宋体" w:cs="Times New Roman"/>
                <w:color w:val="000000"/>
                <w:szCs w:val="21"/>
              </w:rPr>
              <w:t>、C</w:t>
            </w:r>
            <w:r>
              <w:rPr>
                <w:rFonts w:ascii="宋体" w:hAnsi="宋体" w:eastAsia="宋体" w:cs="Times New Roman"/>
                <w:color w:val="000000"/>
                <w:szCs w:val="21"/>
              </w:rPr>
              <w:t>O</w:t>
            </w:r>
            <w:r>
              <w:rPr>
                <w:rFonts w:hint="eastAsia" w:ascii="宋体" w:hAnsi="宋体" w:eastAsia="宋体" w:cs="Times New Roman"/>
                <w:color w:val="000000"/>
                <w:szCs w:val="21"/>
              </w:rPr>
              <w:t>、C</w:t>
            </w:r>
            <w:r>
              <w:rPr>
                <w:rFonts w:ascii="宋体" w:hAnsi="宋体" w:eastAsia="宋体" w:cs="Times New Roman"/>
                <w:color w:val="000000"/>
                <w:szCs w:val="21"/>
              </w:rPr>
              <w:t>O2</w:t>
            </w:r>
            <w:r>
              <w:rPr>
                <w:rFonts w:hint="eastAsia" w:ascii="宋体" w:hAnsi="宋体" w:eastAsia="宋体" w:cs="Times New Roman"/>
                <w:color w:val="000000"/>
                <w:szCs w:val="21"/>
              </w:rPr>
              <w:t>浓度达到阈值，设备自动停机并开启强排烟功能。</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.5</w:t>
            </w:r>
          </w:p>
        </w:tc>
        <w:tc>
          <w:tcPr>
            <w:tcW w:w="2113" w:type="dxa"/>
            <w:vAlign w:val="center"/>
          </w:tcPr>
          <w:p>
            <w:pPr>
              <w:spacing w:line="276" w:lineRule="auto"/>
              <w:rPr>
                <w:rFonts w:hint="eastAsia" w:ascii="宋体" w:hAnsi="宋体" w:eastAsia="宋体" w:cs="Times New Roman"/>
                <w:szCs w:val="21"/>
              </w:rPr>
            </w:pPr>
            <w:r>
              <w:rPr>
                <w:rFonts w:hint="eastAsia" w:ascii="宋体" w:hAnsi="宋体" w:eastAsia="宋体" w:cs="Times New Roman"/>
                <w:szCs w:val="21"/>
              </w:rPr>
              <w:t>温度检测</w:t>
            </w:r>
          </w:p>
        </w:tc>
        <w:tc>
          <w:tcPr>
            <w:tcW w:w="3893" w:type="dxa"/>
            <w:vAlign w:val="center"/>
          </w:tcPr>
          <w:p>
            <w:pPr>
              <w:widowControl/>
              <w:spacing w:line="276" w:lineRule="auto"/>
              <w:rPr>
                <w:rFonts w:hint="eastAsia" w:ascii="宋体" w:hAnsi="宋体" w:eastAsia="宋体" w:cs="Times New Roman"/>
                <w:szCs w:val="21"/>
              </w:rPr>
            </w:pPr>
            <w:r>
              <w:rPr>
                <w:rFonts w:hint="eastAsia" w:ascii="宋体" w:hAnsi="宋体" w:eastAsia="宋体" w:cs="Times New Roman"/>
                <w:szCs w:val="21"/>
              </w:rPr>
              <w:t>具备舱内温度检测功能；</w:t>
            </w:r>
          </w:p>
          <w:p>
            <w:pPr>
              <w:widowControl/>
              <w:spacing w:line="276" w:lineRule="auto"/>
              <w:rPr>
                <w:rFonts w:hint="eastAsia" w:ascii="宋体" w:hAnsi="宋体" w:eastAsia="宋体" w:cs="Times New Roman"/>
                <w:szCs w:val="21"/>
              </w:rPr>
            </w:pPr>
            <w:r>
              <w:rPr>
                <w:rFonts w:hint="eastAsia" w:ascii="宋体" w:hAnsi="宋体" w:eastAsia="宋体" w:cs="Times New Roman"/>
                <w:szCs w:val="21"/>
              </w:rPr>
              <w:t>至少</w:t>
            </w:r>
            <w:r>
              <w:rPr>
                <w:rFonts w:ascii="宋体" w:hAnsi="宋体" w:eastAsia="宋体" w:cs="Times New Roman"/>
                <w:szCs w:val="21"/>
              </w:rPr>
              <w:t>6</w:t>
            </w:r>
            <w:r>
              <w:rPr>
                <w:rFonts w:hint="eastAsia" w:ascii="宋体" w:hAnsi="宋体" w:eastAsia="宋体" w:cs="Times New Roman"/>
                <w:szCs w:val="21"/>
              </w:rPr>
              <w:t>路电池包表面温度检测。</w:t>
            </w:r>
          </w:p>
        </w:tc>
        <w:tc>
          <w:tcPr>
            <w:tcW w:w="1276" w:type="dxa"/>
            <w:vAlign w:val="center"/>
          </w:tcPr>
          <w:p>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.6</w:t>
            </w:r>
          </w:p>
        </w:tc>
        <w:tc>
          <w:tcPr>
            <w:tcW w:w="2113" w:type="dxa"/>
            <w:vAlign w:val="center"/>
          </w:tcPr>
          <w:p>
            <w:pPr>
              <w:spacing w:line="276" w:lineRule="auto"/>
              <w:rPr>
                <w:rFonts w:hint="eastAsia" w:ascii="宋体" w:hAnsi="宋体" w:eastAsia="宋体" w:cs="Times New Roman"/>
                <w:szCs w:val="21"/>
              </w:rPr>
            </w:pPr>
            <w:r>
              <w:rPr>
                <w:rFonts w:hint="eastAsia" w:ascii="宋体" w:hAnsi="宋体" w:eastAsia="宋体" w:cs="Times New Roman"/>
                <w:szCs w:val="21"/>
              </w:rPr>
              <w:t>消防喷淋</w:t>
            </w:r>
          </w:p>
        </w:tc>
        <w:tc>
          <w:tcPr>
            <w:tcW w:w="3893" w:type="dxa"/>
            <w:vAlign w:val="center"/>
          </w:tcPr>
          <w:p>
            <w:pPr>
              <w:widowControl/>
              <w:spacing w:line="276" w:lineRule="auto"/>
              <w:rPr>
                <w:rFonts w:hint="eastAsia" w:ascii="宋体" w:hAnsi="宋体" w:eastAsia="宋体" w:cs="Times New Roman"/>
                <w:szCs w:val="21"/>
              </w:rPr>
            </w:pPr>
            <w:r>
              <w:rPr>
                <w:rFonts w:hint="eastAsia" w:ascii="宋体" w:hAnsi="宋体" w:eastAsia="宋体" w:cs="Times New Roman"/>
                <w:szCs w:val="21"/>
              </w:rPr>
              <w:t>舱顶设置有消防喷淋，喷淋时可覆盖舱内重点区域，可自动和手动控制。</w:t>
            </w:r>
          </w:p>
        </w:tc>
        <w:tc>
          <w:tcPr>
            <w:tcW w:w="1276" w:type="dxa"/>
            <w:vAlign w:val="center"/>
          </w:tcPr>
          <w:p>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7.</w:t>
            </w:r>
            <w:r>
              <w:rPr>
                <w:rFonts w:hint="eastAsia" w:ascii="宋体" w:hAnsi="宋体" w:eastAsia="宋体" w:cs="Times New Roman"/>
                <w:color w:val="000000"/>
                <w:szCs w:val="21"/>
              </w:rPr>
              <w:t>7</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注水浸没和排水</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具有注水浸没功能，当发生事故后，消防水需在10min内注入箱体，注水高度1.2m,进行产品淹没；</w:t>
            </w:r>
          </w:p>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当招标方确认安全风险排除后进行排水，排水时间≤20min。厂家需计算出管径，流量等要求。</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(水量根据消防喷淋，消防注水两者水量结合演算)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w:t>
            </w:r>
            <w:r>
              <w:rPr>
                <w:rFonts w:hint="eastAsia" w:ascii="宋体" w:hAnsi="宋体" w:eastAsia="宋体" w:cs="Times New Roman"/>
                <w:color w:val="000000"/>
                <w:szCs w:val="21"/>
              </w:rPr>
              <w:t>8</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防爆泄压窗</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配防爆泄压窗，当内部压力急剧上升时自动泄压，确保人员及箱体安全。</w:t>
            </w:r>
            <w:r>
              <w:rPr>
                <w:rFonts w:hint="eastAsia" w:ascii="宋体" w:hAnsi="宋体" w:eastAsia="宋体" w:cs="Times New Roman"/>
                <w:b/>
                <w:bCs/>
                <w:color w:val="000000"/>
                <w:szCs w:val="21"/>
              </w:rPr>
              <w:t>投标方提供泄压面积计算依据。</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w:t>
            </w:r>
            <w:r>
              <w:rPr>
                <w:rFonts w:hint="eastAsia" w:ascii="宋体" w:hAnsi="宋体" w:eastAsia="宋体" w:cs="Times New Roman"/>
                <w:color w:val="000000"/>
                <w:szCs w:val="21"/>
              </w:rPr>
              <w:t>9</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紧急停机</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设备至少设置2个紧急停止按钮（控制桌中轴线距桌边55cm+舱体）。</w:t>
            </w:r>
          </w:p>
        </w:tc>
        <w:tc>
          <w:tcPr>
            <w:tcW w:w="1276"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按钮开关选用施耐德XB2BS545C，开关盒选用施耐德XALB01YC塑料按钮盒。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.1</w:t>
            </w:r>
            <w:r>
              <w:rPr>
                <w:rFonts w:hint="eastAsia" w:ascii="宋体" w:hAnsi="宋体" w:eastAsia="宋体" w:cs="Times New Roman"/>
                <w:color w:val="000000"/>
                <w:szCs w:val="21"/>
              </w:rPr>
              <w:t>0</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消防安全供电</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单独接消防用电</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vAlign w:val="center"/>
          </w:tcPr>
          <w:p>
            <w:pPr>
              <w:spacing w:line="276" w:lineRule="auto"/>
              <w:rPr>
                <w:rFonts w:hint="eastAsia" w:ascii="宋体" w:hAnsi="宋体" w:eastAsia="宋体" w:cs="Times New Roman"/>
                <w:b/>
                <w:bCs/>
                <w:color w:val="000000"/>
                <w:szCs w:val="21"/>
              </w:rPr>
            </w:pPr>
            <w:r>
              <w:rPr>
                <w:rFonts w:ascii="宋体" w:hAnsi="宋体" w:eastAsia="宋体" w:cs="Times New Roman"/>
                <w:b/>
                <w:bCs/>
                <w:color w:val="000000"/>
                <w:szCs w:val="21"/>
              </w:rPr>
              <w:t>8</w:t>
            </w:r>
            <w:r>
              <w:rPr>
                <w:rFonts w:hint="eastAsia" w:ascii="宋体" w:hAnsi="宋体" w:eastAsia="宋体" w:cs="Times New Roman"/>
                <w:b/>
                <w:bCs/>
                <w:color w:val="000000"/>
                <w:szCs w:val="21"/>
              </w:rPr>
              <w:t>、控制系统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bookmarkStart w:id="41" w:name="_Hlk63709540"/>
            <w:r>
              <w:rPr>
                <w:rFonts w:ascii="宋体" w:hAnsi="宋体" w:eastAsia="宋体" w:cs="Times New Roman"/>
                <w:color w:val="000000"/>
                <w:szCs w:val="21"/>
              </w:rPr>
              <w:t>8.1</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操作方式</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触摸屏操作、设置和显示</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8.2</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运行方式</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程序方式、定值方式</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8.3</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程序运行</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能够有用户编辑和存储程序，容量在5</w:t>
            </w:r>
            <w:r>
              <w:rPr>
                <w:rFonts w:ascii="宋体" w:hAnsi="宋体" w:eastAsia="宋体" w:cs="Times New Roman"/>
                <w:color w:val="000000"/>
                <w:szCs w:val="21"/>
              </w:rPr>
              <w:t>0</w:t>
            </w:r>
            <w:r>
              <w:rPr>
                <w:rFonts w:hint="eastAsia" w:ascii="宋体" w:hAnsi="宋体" w:eastAsia="宋体" w:cs="Times New Roman"/>
                <w:color w:val="000000"/>
                <w:szCs w:val="21"/>
              </w:rPr>
              <w:t>组以上，每组1</w:t>
            </w:r>
            <w:r>
              <w:rPr>
                <w:rFonts w:ascii="宋体" w:hAnsi="宋体" w:eastAsia="宋体" w:cs="Times New Roman"/>
                <w:color w:val="000000"/>
                <w:szCs w:val="21"/>
              </w:rPr>
              <w:t>00</w:t>
            </w:r>
            <w:r>
              <w:rPr>
                <w:rFonts w:hint="eastAsia" w:ascii="宋体" w:hAnsi="宋体" w:eastAsia="宋体" w:cs="Times New Roman"/>
                <w:color w:val="000000"/>
                <w:szCs w:val="21"/>
              </w:rPr>
              <w:t>段，程序组可进行循环。</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8.4</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设定范围</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根据设备的温湿度范围。</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8.5</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显示分辨率</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温度0.1℃，时间</w:t>
            </w:r>
            <w:r>
              <w:rPr>
                <w:rFonts w:ascii="宋体" w:hAnsi="宋体" w:eastAsia="宋体" w:cs="Times New Roman"/>
                <w:color w:val="000000"/>
                <w:szCs w:val="21"/>
              </w:rPr>
              <w:t>1</w:t>
            </w:r>
            <w:r>
              <w:rPr>
                <w:rFonts w:hint="eastAsia" w:ascii="宋体" w:hAnsi="宋体" w:eastAsia="宋体" w:cs="Times New Roman"/>
                <w:color w:val="000000"/>
                <w:szCs w:val="21"/>
              </w:rPr>
              <w:t>s,湿度0.1％RH。</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8.6</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试验数据及曲线</w:t>
            </w:r>
          </w:p>
        </w:tc>
        <w:tc>
          <w:tcPr>
            <w:tcW w:w="389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与充放电设备、冷水机设备联调后，支持试验数据和曲线实时导出到本地和试验管理平台数据库。</w:t>
            </w:r>
          </w:p>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系统需在控制系统中记录报警信息（如：报警代码，问题描述，参数状况等）。</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数据库接口目前待定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8.7</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其它功能</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故障报警及原因、断电保护功能、日历定时功能(自动启动及自动停止运行)、自诊断功能等</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8.9</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软件能力</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投标方需具备自研控制系统（包括控制程序及人机交互系统</w:t>
            </w:r>
            <w:r>
              <w:rPr>
                <w:rFonts w:ascii="宋体" w:hAnsi="宋体" w:eastAsia="宋体" w:cs="Times New Roman"/>
                <w:color w:val="000000"/>
                <w:szCs w:val="21"/>
              </w:rPr>
              <w:t>）</w:t>
            </w:r>
            <w:r>
              <w:rPr>
                <w:rFonts w:hint="eastAsia" w:ascii="宋体" w:hAnsi="宋体" w:eastAsia="宋体" w:cs="Times New Roman"/>
                <w:color w:val="000000"/>
                <w:szCs w:val="21"/>
              </w:rPr>
              <w:t>和上位机软件的能力，提供相关证明材料。系统软件终身免费升级。</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8.10</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联动控制</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环境舱可开放通讯协议（C</w:t>
            </w:r>
            <w:r>
              <w:rPr>
                <w:rFonts w:ascii="宋体" w:hAnsi="宋体" w:eastAsia="宋体" w:cs="Times New Roman"/>
                <w:color w:val="000000"/>
                <w:szCs w:val="21"/>
              </w:rPr>
              <w:t>AN</w:t>
            </w:r>
            <w:r>
              <w:rPr>
                <w:rFonts w:hint="eastAsia" w:ascii="宋体" w:hAnsi="宋体" w:eastAsia="宋体" w:cs="Times New Roman"/>
                <w:color w:val="000000"/>
                <w:szCs w:val="21"/>
              </w:rPr>
              <w:t>），与充放电设备、冷水机联动控制。投标方需提供技术支持，并负责完成对充放电机、环境舱、冷水机基础控制功能的集成。</w:t>
            </w:r>
          </w:p>
          <w:p>
            <w:pPr>
              <w:pStyle w:val="20"/>
              <w:rPr>
                <w:rFonts w:hint="eastAsia" w:hAnsi="宋体" w:eastAsia="宋体" w:cs="Times New Roman"/>
                <w:color w:val="000000"/>
                <w:szCs w:val="21"/>
              </w:rPr>
            </w:pPr>
            <w:r>
              <w:rPr>
                <w:rFonts w:hint="eastAsia" w:hAnsi="宋体" w:eastAsia="宋体" w:cs="Times New Roman"/>
                <w:color w:val="000000"/>
                <w:szCs w:val="21"/>
              </w:rPr>
              <w:t>设备联调后需释放设备状态监控和试验采集数据的相关接口并提供通讯协议，满足招标方试验室信息化管理要求。</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.11</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通讯接口</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RS-485物理接口或RJ-45以太网物理接口、LAN、USB接口等功能。</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trPr>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.12</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主控机</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可实现PC机与控制器双向传输，可通过计算机对设备实现运行，报警信息等参数的连续监控。</w:t>
            </w:r>
          </w:p>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硬件配置：国际主流品牌，2GB独立显卡，处理器intel core i7及以上，运行内存≥32G，1T及以上固态硬盘，</w:t>
            </w:r>
            <w:r>
              <w:rPr>
                <w:rFonts w:ascii="宋体" w:hAnsi="宋体" w:eastAsia="宋体" w:cs="Times New Roman"/>
                <w:color w:val="000000"/>
                <w:szCs w:val="21"/>
              </w:rPr>
              <w:t>3</w:t>
            </w:r>
            <w:r>
              <w:rPr>
                <w:rFonts w:hint="eastAsia" w:ascii="宋体" w:hAnsi="宋体" w:eastAsia="宋体" w:cs="Times New Roman"/>
                <w:color w:val="000000"/>
                <w:szCs w:val="21"/>
              </w:rPr>
              <w:t>4</w:t>
            </w:r>
            <w:r>
              <w:rPr>
                <w:rFonts w:hint="eastAsia" w:ascii="Times New Roman" w:hAnsi="Times New Roman" w:eastAsia="宋体" w:cs="Times New Roman"/>
                <w:szCs w:val="20"/>
              </w:rPr>
              <w:t>英</w:t>
            </w:r>
            <w:r>
              <w:rPr>
                <w:rFonts w:hint="eastAsia" w:ascii="宋体" w:hAnsi="宋体" w:eastAsia="宋体" w:cs="Times New Roman"/>
                <w:color w:val="000000"/>
                <w:szCs w:val="21"/>
              </w:rPr>
              <w:t>寸液晶显示器，</w:t>
            </w:r>
            <w:r>
              <w:rPr>
                <w:rFonts w:hint="eastAsia" w:ascii="Times New Roman" w:hAnsi="Times New Roman" w:eastAsia="宋体" w:cs="Times New Roman"/>
                <w:szCs w:val="20"/>
              </w:rPr>
              <w:t>显示比例16:9</w:t>
            </w:r>
            <w:r>
              <w:rPr>
                <w:rFonts w:hint="eastAsia" w:ascii="宋体" w:hAnsi="宋体" w:eastAsia="宋体" w:cs="Times New Roman"/>
                <w:color w:val="000000"/>
                <w:szCs w:val="21"/>
              </w:rPr>
              <w:t>。</w:t>
            </w:r>
          </w:p>
          <w:p>
            <w:pPr>
              <w:spacing w:line="276" w:lineRule="auto"/>
              <w:rPr>
                <w:rFonts w:hint="eastAsia" w:ascii="宋体" w:hAnsi="宋体" w:eastAsia="宋体" w:cs="Times New Roman"/>
                <w:color w:val="000000"/>
                <w:szCs w:val="21"/>
              </w:rPr>
            </w:pPr>
            <w:r>
              <w:rPr>
                <w:rFonts w:hint="eastAsia" w:ascii="宋体" w:hAnsi="宋体" w:eastAsia="宋体" w:cs="宋体"/>
                <w:color w:val="000000"/>
                <w:szCs w:val="21"/>
              </w:rPr>
              <w:t>配置UPS电源，用于上位机控制系统不间断供电。</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.1</w:t>
            </w:r>
            <w:r>
              <w:rPr>
                <w:rFonts w:hint="eastAsia" w:ascii="宋体" w:hAnsi="宋体" w:eastAsia="宋体" w:cs="Times New Roman"/>
                <w:color w:val="000000"/>
                <w:szCs w:val="21"/>
              </w:rPr>
              <w:t>3</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视频监控系统</w:t>
            </w:r>
          </w:p>
        </w:tc>
        <w:tc>
          <w:tcPr>
            <w:tcW w:w="3893" w:type="dxa"/>
            <w:vAlign w:val="center"/>
          </w:tcPr>
          <w:p>
            <w:pPr>
              <w:widowControl/>
              <w:spacing w:line="276" w:lineRule="auto"/>
              <w:rPr>
                <w:rFonts w:ascii="Times New Roman" w:hAnsi="Times New Roman" w:eastAsia="宋体" w:cs="Times New Roman"/>
                <w:szCs w:val="20"/>
              </w:rPr>
            </w:pPr>
            <w:r>
              <w:rPr>
                <w:rFonts w:hint="eastAsia" w:ascii="Times New Roman" w:hAnsi="Times New Roman" w:eastAsia="宋体" w:cs="Times New Roman"/>
                <w:szCs w:val="20"/>
              </w:rPr>
              <w:t>舱内安装定焦防爆摄像头2个，能够覆盖舱内各个位置的视频监控需求，可耐高低温（-40℃至85℃）高湿（≥95% R.H）的工作环境。</w:t>
            </w:r>
          </w:p>
          <w:p>
            <w:pPr>
              <w:widowControl/>
              <w:spacing w:line="276" w:lineRule="auto"/>
              <w:rPr>
                <w:rFonts w:hint="eastAsia" w:ascii="宋体" w:hAnsi="宋体" w:eastAsia="宋体" w:cs="Times New Roman"/>
                <w:color w:val="000000"/>
                <w:szCs w:val="21"/>
              </w:rPr>
            </w:pPr>
            <w:r>
              <w:rPr>
                <w:rFonts w:hint="eastAsia" w:ascii="Times New Roman" w:hAnsi="Times New Roman" w:eastAsia="宋体" w:cs="Times New Roman"/>
                <w:szCs w:val="20"/>
              </w:rPr>
              <w:t>提供硬盘录像机、视频记录硬盘和一个单独视频监控显示器；能够存储1个月以上的视频记录，支持视频回放、快进等功能；显示器要求≥</w:t>
            </w:r>
            <w:r>
              <w:rPr>
                <w:rFonts w:ascii="Times New Roman" w:hAnsi="Times New Roman" w:eastAsia="宋体" w:cs="Times New Roman"/>
                <w:szCs w:val="20"/>
              </w:rPr>
              <w:t>3</w:t>
            </w:r>
            <w:r>
              <w:rPr>
                <w:rFonts w:hint="eastAsia" w:ascii="Times New Roman" w:hAnsi="Times New Roman" w:eastAsia="宋体" w:cs="Times New Roman"/>
                <w:szCs w:val="20"/>
              </w:rPr>
              <w:t>4英寸，显示比例16:9。</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.1</w:t>
            </w:r>
            <w:r>
              <w:rPr>
                <w:rFonts w:hint="eastAsia" w:ascii="宋体" w:hAnsi="宋体" w:eastAsia="宋体" w:cs="Times New Roman"/>
                <w:color w:val="000000"/>
                <w:szCs w:val="21"/>
              </w:rPr>
              <w:t>4</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远程监控</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可通过PC端、手机端对设备实现运行、报警信息等参数的连续监控。</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bookmarkEnd w:id="4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9</w:t>
            </w:r>
            <w:r>
              <w:rPr>
                <w:rFonts w:hint="eastAsia" w:ascii="宋体" w:hAnsi="宋体" w:eastAsia="宋体" w:cs="Times New Roman"/>
                <w:color w:val="000000"/>
                <w:szCs w:val="21"/>
              </w:rPr>
              <w:t>、</w:t>
            </w:r>
            <w:r>
              <w:rPr>
                <w:rFonts w:hint="eastAsia" w:ascii="宋体" w:hAnsi="宋体" w:eastAsia="宋体" w:cs="Times New Roman"/>
                <w:b/>
                <w:color w:val="000000"/>
                <w:szCs w:val="21"/>
              </w:rPr>
              <w:t>安全保护及</w:t>
            </w:r>
            <w:r>
              <w:rPr>
                <w:rFonts w:ascii="宋体" w:hAnsi="宋体" w:eastAsia="宋体" w:cs="Times New Roman"/>
                <w:b/>
                <w:color w:val="000000"/>
                <w:szCs w:val="21"/>
              </w:rPr>
              <w:t>报警系统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9.1</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设备保护</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控制器内置超温保护</w:t>
            </w:r>
          </w:p>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空气调节通道超温保护</w:t>
            </w:r>
          </w:p>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风机电机过热保护</w:t>
            </w:r>
          </w:p>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漏电保护</w:t>
            </w:r>
          </w:p>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急停按钮</w:t>
            </w:r>
          </w:p>
          <w:p>
            <w:pPr>
              <w:widowControl/>
              <w:spacing w:line="276" w:lineRule="auto"/>
              <w:rPr>
                <w:rFonts w:ascii="Times New Roman" w:hAnsi="Times New Roman" w:eastAsia="宋体" w:cs="Times New Roman"/>
                <w:szCs w:val="20"/>
              </w:rPr>
            </w:pPr>
            <w:r>
              <w:rPr>
                <w:rFonts w:hint="eastAsia" w:ascii="宋体" w:hAnsi="宋体" w:eastAsia="宋体" w:cs="Times New Roman"/>
                <w:color w:val="000000"/>
                <w:szCs w:val="21"/>
              </w:rPr>
              <w:t>烟雾报警</w:t>
            </w:r>
          </w:p>
        </w:tc>
        <w:tc>
          <w:tcPr>
            <w:tcW w:w="1276"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9.2</w:t>
            </w:r>
          </w:p>
        </w:tc>
        <w:tc>
          <w:tcPr>
            <w:tcW w:w="2113"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制冷系统</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压缩机过热保护</w:t>
            </w:r>
          </w:p>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压缩机过流保护</w:t>
            </w:r>
          </w:p>
          <w:p>
            <w:pPr>
              <w:widowControl/>
              <w:autoSpaceDE w:val="0"/>
              <w:autoSpaceDN w:val="0"/>
              <w:adjustRightIn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压缩机超压保护</w:t>
            </w:r>
          </w:p>
        </w:tc>
        <w:tc>
          <w:tcPr>
            <w:tcW w:w="1276"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9.3</w:t>
            </w:r>
          </w:p>
        </w:tc>
        <w:tc>
          <w:tcPr>
            <w:tcW w:w="211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加湿系统</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加湿热管干烧保护</w:t>
            </w:r>
          </w:p>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水箱低水位预警</w:t>
            </w:r>
          </w:p>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缺水报警</w:t>
            </w:r>
          </w:p>
        </w:tc>
        <w:tc>
          <w:tcPr>
            <w:tcW w:w="1276"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9</w:t>
            </w:r>
            <w:r>
              <w:rPr>
                <w:rFonts w:ascii="宋体" w:hAnsi="宋体" w:eastAsia="宋体" w:cs="Times New Roman"/>
                <w:color w:val="000000"/>
                <w:szCs w:val="21"/>
              </w:rPr>
              <w:t>.4</w:t>
            </w:r>
          </w:p>
        </w:tc>
        <w:tc>
          <w:tcPr>
            <w:tcW w:w="211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电源系统</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电源断相及逆相保护</w:t>
            </w:r>
          </w:p>
        </w:tc>
        <w:tc>
          <w:tcPr>
            <w:tcW w:w="1276"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9</w:t>
            </w:r>
            <w:r>
              <w:rPr>
                <w:rFonts w:ascii="宋体" w:hAnsi="宋体" w:eastAsia="宋体" w:cs="Times New Roman"/>
                <w:color w:val="000000"/>
                <w:szCs w:val="21"/>
              </w:rPr>
              <w:t>.5</w:t>
            </w:r>
          </w:p>
        </w:tc>
        <w:tc>
          <w:tcPr>
            <w:tcW w:w="211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全自动双重超温报警</w:t>
            </w:r>
          </w:p>
        </w:tc>
        <w:tc>
          <w:tcPr>
            <w:tcW w:w="3893" w:type="dxa"/>
            <w:vAlign w:val="center"/>
          </w:tcPr>
          <w:p>
            <w:pPr>
              <w:widowControl/>
              <w:spacing w:line="276" w:lineRule="auto"/>
              <w:rPr>
                <w:rFonts w:hint="eastAsia" w:ascii="宋体" w:hAnsi="宋体" w:eastAsia="宋体" w:cs="Times New Roman"/>
                <w:color w:val="000000"/>
                <w:szCs w:val="21"/>
                <w:highlight w:val="yellow"/>
              </w:rPr>
            </w:pPr>
            <w:r>
              <w:rPr>
                <w:rFonts w:hint="eastAsia" w:ascii="宋体" w:hAnsi="宋体" w:eastAsia="宋体" w:cs="Times New Roman"/>
                <w:color w:val="000000"/>
                <w:szCs w:val="21"/>
              </w:rPr>
              <w:t>超温报警系统与温控系统隔离独立，实现双路异常监控，并具有声光报警、显示屏异常报警、远程监控报警功能。</w:t>
            </w:r>
          </w:p>
        </w:tc>
        <w:tc>
          <w:tcPr>
            <w:tcW w:w="1276"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w:t>
            </w:r>
            <w:r>
              <w:rPr>
                <w:rFonts w:hint="eastAsia" w:ascii="宋体" w:hAnsi="宋体" w:eastAsia="宋体" w:cs="Times New Roman"/>
                <w:color w:val="000000"/>
                <w:szCs w:val="21"/>
              </w:rPr>
              <w:t>、</w:t>
            </w:r>
            <w:r>
              <w:rPr>
                <w:rFonts w:hint="eastAsia" w:ascii="宋体" w:hAnsi="宋体" w:eastAsia="宋体" w:cs="Times New Roman"/>
                <w:b/>
                <w:color w:val="000000"/>
                <w:szCs w:val="21"/>
              </w:rPr>
              <w:t>主要配置清单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序号</w:t>
            </w:r>
          </w:p>
        </w:tc>
        <w:tc>
          <w:tcPr>
            <w:tcW w:w="211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名称</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型号规格</w:t>
            </w:r>
          </w:p>
        </w:tc>
        <w:tc>
          <w:tcPr>
            <w:tcW w:w="1276" w:type="dxa"/>
            <w:vAlign w:val="center"/>
          </w:tcPr>
          <w:p>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w:t>
            </w:r>
            <w:r>
              <w:rPr>
                <w:rFonts w:hint="eastAsia" w:ascii="宋体" w:hAnsi="宋体" w:eastAsia="宋体" w:cs="Times New Roman"/>
                <w:color w:val="000000"/>
                <w:szCs w:val="21"/>
              </w:rPr>
              <w:t>1</w:t>
            </w:r>
          </w:p>
        </w:tc>
        <w:tc>
          <w:tcPr>
            <w:tcW w:w="211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电池系统环境舱主体</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详见技术要求</w:t>
            </w:r>
          </w:p>
        </w:tc>
        <w:tc>
          <w:tcPr>
            <w:tcW w:w="1276"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10.2</w:t>
            </w:r>
          </w:p>
        </w:tc>
        <w:tc>
          <w:tcPr>
            <w:tcW w:w="211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主控机</w:t>
            </w:r>
          </w:p>
        </w:tc>
        <w:tc>
          <w:tcPr>
            <w:tcW w:w="3893" w:type="dxa"/>
            <w:vAlign w:val="center"/>
          </w:tcPr>
          <w:p>
            <w:pPr>
              <w:widowControl/>
              <w:spacing w:line="276" w:lineRule="auto"/>
              <w:rPr>
                <w:rFonts w:hint="eastAsia" w:ascii="宋体" w:hAnsi="宋体" w:eastAsia="宋体" w:cs="宋体"/>
                <w:color w:val="000000"/>
                <w:szCs w:val="21"/>
              </w:rPr>
            </w:pPr>
            <w:r>
              <w:rPr>
                <w:rFonts w:hint="eastAsia" w:ascii="宋体" w:hAnsi="宋体" w:eastAsia="宋体" w:cs="Times New Roman"/>
                <w:color w:val="000000"/>
                <w:szCs w:val="21"/>
              </w:rPr>
              <w:t>详见技术要求</w:t>
            </w:r>
          </w:p>
        </w:tc>
        <w:tc>
          <w:tcPr>
            <w:tcW w:w="1276"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10.3</w:t>
            </w:r>
          </w:p>
        </w:tc>
        <w:tc>
          <w:tcPr>
            <w:tcW w:w="2113" w:type="dxa"/>
          </w:tcPr>
          <w:p>
            <w:pPr>
              <w:widowControl/>
              <w:spacing w:line="276" w:lineRule="auto"/>
              <w:rPr>
                <w:rFonts w:hint="eastAsia" w:ascii="宋体" w:hAnsi="宋体" w:eastAsia="宋体" w:cs="Times New Roman"/>
                <w:color w:val="000000"/>
                <w:szCs w:val="21"/>
              </w:rPr>
            </w:pPr>
            <w:r>
              <w:rPr>
                <w:rFonts w:hint="eastAsia" w:ascii="宋体" w:hAnsi="宋体" w:eastAsia="宋体" w:cs="宋体"/>
                <w:color w:val="000000"/>
                <w:szCs w:val="21"/>
              </w:rPr>
              <w:t>UPS电源</w:t>
            </w:r>
          </w:p>
        </w:tc>
        <w:tc>
          <w:tcPr>
            <w:tcW w:w="3893" w:type="dxa"/>
          </w:tcPr>
          <w:p>
            <w:pPr>
              <w:widowControl/>
              <w:spacing w:line="276" w:lineRule="auto"/>
              <w:rPr>
                <w:rFonts w:hint="eastAsia" w:ascii="宋体" w:hAnsi="宋体" w:eastAsia="宋体" w:cs="Times New Roman"/>
                <w:color w:val="000000"/>
                <w:szCs w:val="21"/>
              </w:rPr>
            </w:pPr>
            <w:r>
              <w:rPr>
                <w:rFonts w:hint="eastAsia" w:ascii="宋体" w:hAnsi="宋体" w:eastAsia="宋体" w:cs="宋体"/>
                <w:color w:val="000000"/>
                <w:szCs w:val="21"/>
              </w:rPr>
              <w:t>用于上位机控制系统不间断供电</w:t>
            </w:r>
          </w:p>
        </w:tc>
        <w:tc>
          <w:tcPr>
            <w:tcW w:w="1276"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0.4</w:t>
            </w:r>
          </w:p>
        </w:tc>
        <w:tc>
          <w:tcPr>
            <w:tcW w:w="211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视频监控系统</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详见技术要求</w:t>
            </w:r>
          </w:p>
        </w:tc>
        <w:tc>
          <w:tcPr>
            <w:tcW w:w="1276"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0.5</w:t>
            </w:r>
          </w:p>
        </w:tc>
        <w:tc>
          <w:tcPr>
            <w:tcW w:w="211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控制软件</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详见技术要求</w:t>
            </w:r>
          </w:p>
        </w:tc>
        <w:tc>
          <w:tcPr>
            <w:tcW w:w="1276"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10.6</w:t>
            </w:r>
          </w:p>
        </w:tc>
        <w:tc>
          <w:tcPr>
            <w:tcW w:w="211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数据分析和程序刷写设备</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Times New Roman" w:hAnsi="Times New Roman" w:eastAsia="宋体" w:cs="Times New Roman"/>
                <w:szCs w:val="20"/>
              </w:rPr>
              <w:t>数据分析和</w:t>
            </w:r>
            <w:r>
              <w:rPr>
                <w:rFonts w:hint="eastAsia" w:ascii="宋体" w:hAnsi="宋体" w:eastAsia="宋体" w:cs="Times New Roman"/>
                <w:color w:val="000000"/>
                <w:szCs w:val="21"/>
              </w:rPr>
              <w:t>程序刷写设备</w:t>
            </w:r>
            <w:r>
              <w:rPr>
                <w:rFonts w:hint="eastAsia" w:ascii="Times New Roman" w:hAnsi="Times New Roman" w:eastAsia="宋体" w:cs="Times New Roman"/>
                <w:szCs w:val="20"/>
              </w:rPr>
              <w:t>1台，配置：国际主流品牌，</w:t>
            </w:r>
            <w:r>
              <w:rPr>
                <w:rFonts w:hint="eastAsia" w:ascii="宋体" w:hAnsi="宋体" w:eastAsia="宋体" w:cs="Times New Roman"/>
                <w:color w:val="000000"/>
                <w:szCs w:val="21"/>
              </w:rPr>
              <w:t>处理器intel core i7及以上，屏幕尺寸14.0英寸及以上，硬盘SSD 1TB及以上，内存32GB及以上，2GB及以上独立显卡，系统windows10及以上。</w:t>
            </w:r>
          </w:p>
        </w:tc>
        <w:tc>
          <w:tcPr>
            <w:tcW w:w="1276" w:type="dxa"/>
            <w:vAlign w:val="center"/>
          </w:tcPr>
          <w:p>
            <w:pPr>
              <w:spacing w:line="276" w:lineRule="auto"/>
              <w:rPr>
                <w:rFonts w:hint="eastAsia" w:ascii="宋体" w:hAnsi="宋体" w:eastAsia="宋体" w:cs="Times New Roman"/>
                <w:color w:val="000000"/>
                <w:szCs w:val="21"/>
              </w:rPr>
            </w:pPr>
            <w:r>
              <w:rPr>
                <w:rFonts w:hint="eastAsia" w:ascii="Times New Roman" w:hAnsi="Times New Roman" w:eastAsia="宋体" w:cs="Times New Roman"/>
                <w:szCs w:val="20"/>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10.7</w:t>
            </w:r>
          </w:p>
        </w:tc>
        <w:tc>
          <w:tcPr>
            <w:tcW w:w="211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数据便携采集和标定设备</w:t>
            </w:r>
          </w:p>
        </w:tc>
        <w:tc>
          <w:tcPr>
            <w:tcW w:w="389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szCs w:val="20"/>
              </w:rPr>
              <w:t>数据便携采集和标定设备2台，新能源汽车USB转CAN智能接口卡（如ZLG USBCANFD-200U双通道等）。</w:t>
            </w:r>
          </w:p>
        </w:tc>
        <w:tc>
          <w:tcPr>
            <w:tcW w:w="1276"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szCs w:val="20"/>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10.8</w:t>
            </w:r>
          </w:p>
        </w:tc>
        <w:tc>
          <w:tcPr>
            <w:tcW w:w="211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数据监控设备</w:t>
            </w:r>
          </w:p>
        </w:tc>
        <w:tc>
          <w:tcPr>
            <w:tcW w:w="3893" w:type="dxa"/>
            <w:vAlign w:val="center"/>
          </w:tcPr>
          <w:p>
            <w:pPr>
              <w:widowControl/>
              <w:spacing w:line="276" w:lineRule="auto"/>
              <w:rPr>
                <w:rFonts w:hint="eastAsia" w:ascii="宋体" w:hAnsi="宋体" w:eastAsia="宋体" w:cs="Times New Roman"/>
                <w:szCs w:val="20"/>
              </w:rPr>
            </w:pPr>
            <w:r>
              <w:rPr>
                <w:rFonts w:hint="eastAsia" w:ascii="Times New Roman" w:hAnsi="Times New Roman" w:eastAsia="宋体" w:cs="Times New Roman"/>
                <w:szCs w:val="20"/>
              </w:rPr>
              <w:t>要求显示器≥75英寸，国内一线品牌，带支架，显示比例</w:t>
            </w:r>
            <w:r>
              <w:rPr>
                <w:rFonts w:ascii="Times New Roman" w:hAnsi="Times New Roman" w:eastAsia="宋体" w:cs="Times New Roman"/>
                <w:szCs w:val="20"/>
              </w:rPr>
              <w:t>16</w:t>
            </w:r>
            <w:r>
              <w:rPr>
                <w:rFonts w:hint="eastAsia" w:ascii="Times New Roman" w:hAnsi="Times New Roman" w:eastAsia="宋体" w:cs="Times New Roman"/>
                <w:szCs w:val="20"/>
              </w:rPr>
              <w:t>:9。</w:t>
            </w:r>
          </w:p>
        </w:tc>
        <w:tc>
          <w:tcPr>
            <w:tcW w:w="1276" w:type="dxa"/>
            <w:vAlign w:val="center"/>
          </w:tcPr>
          <w:p>
            <w:pPr>
              <w:spacing w:line="276" w:lineRule="auto"/>
              <w:rPr>
                <w:rFonts w:hint="eastAsia" w:ascii="宋体" w:hAnsi="宋体" w:eastAsia="宋体" w:cs="Times New Roman"/>
                <w:szCs w:val="20"/>
              </w:rPr>
            </w:pPr>
            <w:r>
              <w:rPr>
                <w:rFonts w:hint="eastAsia" w:ascii="宋体" w:hAnsi="宋体" w:eastAsia="宋体" w:cs="Times New Roman"/>
                <w:color w:val="00000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10.9</w:t>
            </w:r>
          </w:p>
        </w:tc>
        <w:tc>
          <w:tcPr>
            <w:tcW w:w="211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低压电源</w:t>
            </w:r>
          </w:p>
        </w:tc>
        <w:tc>
          <w:tcPr>
            <w:tcW w:w="3893" w:type="dxa"/>
            <w:vAlign w:val="center"/>
          </w:tcPr>
          <w:p>
            <w:pPr>
              <w:widowControl/>
              <w:spacing w:line="276" w:lineRule="auto"/>
              <w:rPr>
                <w:rFonts w:ascii="Times New Roman" w:hAnsi="Times New Roman" w:eastAsia="宋体" w:cs="Times New Roman"/>
                <w:szCs w:val="20"/>
              </w:rPr>
            </w:pPr>
            <w:r>
              <w:rPr>
                <w:rFonts w:hint="eastAsia" w:ascii="Times New Roman" w:hAnsi="Times New Roman" w:eastAsia="宋体" w:cs="Times New Roman"/>
                <w:szCs w:val="20"/>
              </w:rPr>
              <w:t>电压≥40V；电流≥20A；功率≥800W</w:t>
            </w:r>
          </w:p>
        </w:tc>
        <w:tc>
          <w:tcPr>
            <w:tcW w:w="1276"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10.10</w:t>
            </w:r>
          </w:p>
        </w:tc>
        <w:tc>
          <w:tcPr>
            <w:tcW w:w="211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气密测试仪</w:t>
            </w:r>
          </w:p>
        </w:tc>
        <w:tc>
          <w:tcPr>
            <w:tcW w:w="3893" w:type="dxa"/>
            <w:vAlign w:val="center"/>
          </w:tcPr>
          <w:p>
            <w:pPr>
              <w:widowControl/>
              <w:spacing w:line="276" w:lineRule="auto"/>
              <w:rPr>
                <w:rFonts w:ascii="Times New Roman" w:hAnsi="Times New Roman" w:eastAsia="宋体" w:cs="Times New Roman"/>
                <w:szCs w:val="20"/>
              </w:rPr>
            </w:pPr>
            <w:r>
              <w:rPr>
                <w:rFonts w:hint="eastAsia" w:ascii="Times New Roman" w:hAnsi="Times New Roman" w:eastAsia="宋体" w:cs="Times New Roman"/>
                <w:szCs w:val="20"/>
              </w:rPr>
              <w:t>压力范围：</w:t>
            </w:r>
            <w:r>
              <w:rPr>
                <w:rFonts w:hint="eastAsia" w:ascii="宋体" w:hAnsi="宋体" w:eastAsia="宋体" w:cs="华文中宋"/>
                <w:kern w:val="0"/>
                <w:szCs w:val="21"/>
              </w:rPr>
              <w:t>0.01MPa～0.5MPa；</w:t>
            </w:r>
            <w:r>
              <w:rPr>
                <w:rFonts w:hint="eastAsia" w:ascii="Times New Roman" w:hAnsi="Times New Roman" w:eastAsia="宋体" w:cs="Times New Roman"/>
                <w:szCs w:val="20"/>
              </w:rPr>
              <w:t>配备三联过滤和管路接头等配件，选用一线品牌如ATEQ F670。</w:t>
            </w:r>
          </w:p>
        </w:tc>
        <w:tc>
          <w:tcPr>
            <w:tcW w:w="1276"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10.11</w:t>
            </w:r>
          </w:p>
        </w:tc>
        <w:tc>
          <w:tcPr>
            <w:tcW w:w="211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安规测试仪</w:t>
            </w:r>
          </w:p>
        </w:tc>
        <w:tc>
          <w:tcPr>
            <w:tcW w:w="3893" w:type="dxa"/>
            <w:vAlign w:val="center"/>
          </w:tcPr>
          <w:p>
            <w:pPr>
              <w:widowControl/>
              <w:spacing w:line="276" w:lineRule="auto"/>
              <w:rPr>
                <w:rFonts w:ascii="Times New Roman" w:hAnsi="Times New Roman" w:eastAsia="宋体" w:cs="Times New Roman"/>
                <w:szCs w:val="20"/>
              </w:rPr>
            </w:pPr>
            <w:r>
              <w:rPr>
                <w:rFonts w:hint="eastAsia" w:ascii="Times New Roman" w:hAnsi="Times New Roman" w:eastAsia="宋体" w:cs="Times New Roman"/>
                <w:szCs w:val="20"/>
              </w:rPr>
              <w:t>耐压测试输出电压：</w:t>
            </w:r>
            <w:r>
              <w:rPr>
                <w:rFonts w:hint="eastAsia" w:ascii="宋体" w:hAnsi="宋体" w:eastAsia="宋体" w:cs="华文中宋"/>
                <w:kern w:val="0"/>
                <w:szCs w:val="21"/>
              </w:rPr>
              <w:t>AC: 0.05～5KV，DC: 0.05～6KV，输出频率50Hz～600Hz</w:t>
            </w:r>
            <w:r>
              <w:rPr>
                <w:rFonts w:hint="eastAsia" w:ascii="Times New Roman" w:hAnsi="Times New Roman" w:eastAsia="宋体" w:cs="Times New Roman"/>
                <w:szCs w:val="20"/>
              </w:rPr>
              <w:t>；绝缘电阻测试输出电压DC：</w:t>
            </w:r>
            <w:r>
              <w:rPr>
                <w:rFonts w:hint="eastAsia" w:ascii="宋体" w:hAnsi="宋体" w:eastAsia="宋体" w:cs="华文中宋"/>
                <w:kern w:val="0"/>
                <w:szCs w:val="21"/>
              </w:rPr>
              <w:t>0.05～5kV，电阻范围0.1MΩ～50GΩ</w:t>
            </w:r>
            <w:r>
              <w:rPr>
                <w:rFonts w:hint="eastAsia" w:ascii="Times New Roman" w:hAnsi="Times New Roman" w:eastAsia="宋体" w:cs="Times New Roman"/>
                <w:szCs w:val="20"/>
              </w:rPr>
              <w:t>；选用一线品牌如Chroma 19055。</w:t>
            </w:r>
          </w:p>
        </w:tc>
        <w:tc>
          <w:tcPr>
            <w:tcW w:w="1276"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10.12</w:t>
            </w:r>
          </w:p>
        </w:tc>
        <w:tc>
          <w:tcPr>
            <w:tcW w:w="211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等电位测试仪</w:t>
            </w:r>
          </w:p>
        </w:tc>
        <w:tc>
          <w:tcPr>
            <w:tcW w:w="3893" w:type="dxa"/>
            <w:vAlign w:val="center"/>
          </w:tcPr>
          <w:p>
            <w:pPr>
              <w:widowControl/>
              <w:spacing w:line="276" w:lineRule="auto"/>
              <w:rPr>
                <w:rFonts w:ascii="Times New Roman" w:hAnsi="Times New Roman" w:eastAsia="宋体" w:cs="Times New Roman"/>
                <w:szCs w:val="20"/>
              </w:rPr>
            </w:pPr>
            <w:r>
              <w:rPr>
                <w:rFonts w:hint="eastAsia" w:ascii="Times New Roman" w:hAnsi="Times New Roman" w:eastAsia="宋体" w:cs="Times New Roman"/>
                <w:szCs w:val="20"/>
              </w:rPr>
              <w:t>电流测量范围</w:t>
            </w:r>
            <w:r>
              <w:rPr>
                <w:rFonts w:hint="eastAsia" w:ascii="宋体" w:hAnsi="宋体" w:eastAsia="宋体" w:cs="华文中宋"/>
                <w:kern w:val="0"/>
                <w:szCs w:val="21"/>
              </w:rPr>
              <w:t>1～40A；阻抗测量范围0～600mΩ；选用一线品牌如</w:t>
            </w:r>
            <w:r>
              <w:rPr>
                <w:rFonts w:hint="eastAsia" w:ascii="Times New Roman" w:hAnsi="Times New Roman" w:eastAsia="宋体" w:cs="Times New Roman"/>
                <w:szCs w:val="20"/>
              </w:rPr>
              <w:t>华仪 EGB-300 GB。</w:t>
            </w:r>
          </w:p>
        </w:tc>
        <w:tc>
          <w:tcPr>
            <w:tcW w:w="1276"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10.13</w:t>
            </w:r>
          </w:p>
        </w:tc>
        <w:tc>
          <w:tcPr>
            <w:tcW w:w="2113" w:type="dxa"/>
            <w:vAlign w:val="center"/>
          </w:tcPr>
          <w:p>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电压温度数采</w:t>
            </w:r>
          </w:p>
        </w:tc>
        <w:tc>
          <w:tcPr>
            <w:tcW w:w="3893" w:type="dxa"/>
            <w:vAlign w:val="center"/>
          </w:tcPr>
          <w:p>
            <w:pPr>
              <w:widowControl/>
              <w:spacing w:line="276" w:lineRule="auto"/>
              <w:rPr>
                <w:rFonts w:ascii="Times New Roman" w:hAnsi="Times New Roman" w:eastAsia="宋体" w:cs="Times New Roman"/>
                <w:szCs w:val="20"/>
              </w:rPr>
            </w:pPr>
            <w:r>
              <w:rPr>
                <w:rFonts w:hint="eastAsia" w:ascii="Times New Roman" w:hAnsi="Times New Roman" w:eastAsia="宋体" w:cs="Times New Roman"/>
                <w:szCs w:val="20"/>
              </w:rPr>
              <w:t>10通道，电压范围：</w:t>
            </w:r>
            <w:r>
              <w:rPr>
                <w:rFonts w:hint="eastAsia" w:ascii="宋体" w:hAnsi="宋体" w:eastAsia="宋体" w:cs="华文中宋"/>
                <w:kern w:val="0"/>
                <w:szCs w:val="21"/>
              </w:rPr>
              <w:t>100mV～60V；温度范围：-200℃～2000℃，含温度传感器；       选用一线品牌如日置</w:t>
            </w:r>
            <w:r>
              <w:rPr>
                <w:rFonts w:hint="eastAsia" w:ascii="Times New Roman" w:hAnsi="Times New Roman" w:eastAsia="宋体" w:cs="Times New Roman"/>
                <w:szCs w:val="20"/>
              </w:rPr>
              <w:t>LRB431-30。</w:t>
            </w:r>
          </w:p>
        </w:tc>
        <w:tc>
          <w:tcPr>
            <w:tcW w:w="1276" w:type="dxa"/>
            <w:vAlign w:val="center"/>
          </w:tcPr>
          <w:p>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1台</w:t>
            </w:r>
          </w:p>
        </w:tc>
      </w:tr>
    </w:tbl>
    <w:p>
      <w:pPr>
        <w:spacing w:line="420" w:lineRule="exact"/>
        <w:outlineLvl w:val="4"/>
        <w:rPr>
          <w:rFonts w:hint="eastAsia" w:ascii="宋体" w:hAnsi="宋体" w:eastAsia="宋体" w:cs="宋体"/>
          <w:b/>
          <w:bCs/>
          <w:sz w:val="24"/>
          <w:szCs w:val="24"/>
        </w:rPr>
      </w:pPr>
      <w:r>
        <w:rPr>
          <w:rFonts w:ascii="宋体" w:hAnsi="宋体" w:eastAsia="宋体" w:cs="宋体"/>
          <w:b/>
          <w:bCs/>
          <w:sz w:val="24"/>
          <w:szCs w:val="24"/>
        </w:rPr>
        <w:br w:type="page"/>
      </w: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3</w:t>
      </w:r>
      <w:r>
        <w:rPr>
          <w:rFonts w:ascii="宋体" w:hAnsi="宋体" w:eastAsia="宋体" w:cs="宋体"/>
          <w:b/>
          <w:bCs/>
          <w:sz w:val="24"/>
          <w:szCs w:val="24"/>
        </w:rPr>
        <w:t xml:space="preserve"> </w:t>
      </w:r>
      <w:r>
        <w:rPr>
          <w:rFonts w:hint="eastAsia" w:ascii="宋体" w:hAnsi="宋体" w:eastAsia="宋体" w:cs="宋体"/>
          <w:b/>
          <w:bCs/>
          <w:sz w:val="24"/>
          <w:szCs w:val="24"/>
        </w:rPr>
        <w:t>50kW冷水机技术规范</w:t>
      </w:r>
    </w:p>
    <w:p>
      <w:pPr>
        <w:pStyle w:val="111"/>
        <w:rPr>
          <w:rFonts w:hint="eastAsia" w:ascii="宋体" w:hAnsi="宋体" w:eastAsia="宋体"/>
          <w:b/>
          <w:bCs/>
        </w:rPr>
      </w:pPr>
      <w:r>
        <w:rPr>
          <w:rFonts w:hint="eastAsia" w:ascii="宋体" w:hAnsi="宋体" w:eastAsia="宋体"/>
          <w:b/>
          <w:bCs/>
        </w:rPr>
        <w:t>主要技术参数</w:t>
      </w:r>
    </w:p>
    <w:tbl>
      <w:tblPr>
        <w:tblStyle w:val="39"/>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2036"/>
        <w:gridCol w:w="6436"/>
        <w:gridCol w:w="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Times New Roman"/>
                <w:b/>
                <w:bCs/>
                <w:color w:val="000000"/>
                <w:szCs w:val="21"/>
              </w:rPr>
            </w:pPr>
            <w:r>
              <w:rPr>
                <w:rFonts w:ascii="宋体" w:hAnsi="宋体" w:eastAsia="宋体" w:cs="Times New Roman"/>
                <w:b/>
                <w:bCs/>
                <w:color w:val="000000"/>
                <w:szCs w:val="21"/>
              </w:rPr>
              <w:t>项目</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Times New Roman"/>
                <w:b/>
                <w:bCs/>
                <w:color w:val="000000"/>
                <w:szCs w:val="21"/>
              </w:rPr>
            </w:pPr>
            <w:r>
              <w:rPr>
                <w:rFonts w:ascii="宋体" w:hAnsi="宋体" w:eastAsia="宋体" w:cs="Times New Roman"/>
                <w:b/>
                <w:bCs/>
                <w:color w:val="000000"/>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温度控制范围</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-40℃～+90℃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温度控制精度</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升降温速率</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空载满足温度平均转换速率≥4℃/min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温度控制方式</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温度随时间变化可自由编辑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流量控制范围</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2～40L/min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流量控制精度</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±0.2L/min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流量控制位置</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设备出水口位置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压力检测位置</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监测设备进出水口压力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设备压力范围</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0-300kpa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压力控制精度</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±5kpa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设备输入电压</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AC 380V±10%、50 Hz三相五线制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计量</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出具省级及以上第三方计量报告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制冷量</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rPr>
              <w:t>≥</w:t>
            </w:r>
            <w:r>
              <w:fldChar w:fldCharType="begin"/>
            </w:r>
            <w:r>
              <w:instrText xml:space="preserve">HYPERLINK "mailto:7.5kw@25℃"</w:instrText>
            </w:r>
            <w:r>
              <w:rPr>
                <w:rFonts w:hint="eastAsia"/>
              </w:rPr>
              <w:fldChar w:fldCharType="separate"/>
            </w:r>
            <w:r>
              <w:rPr>
                <w:rStyle w:val="47"/>
                <w:rFonts w:hint="eastAsia" w:ascii="宋体" w:hAnsi="宋体" w:eastAsia="宋体" w:cs="宋体"/>
                <w:color w:val="auto"/>
                <w:szCs w:val="21"/>
              </w:rPr>
              <w:t>50kW@25℃</w:t>
            </w:r>
            <w:r>
              <w:fldChar w:fldCharType="end"/>
            </w:r>
            <w:r>
              <w:rPr>
                <w:rStyle w:val="47"/>
                <w:rFonts w:hint="eastAsia" w:ascii="宋体" w:hAnsi="宋体" w:eastAsia="宋体" w:cs="宋体"/>
                <w:color w:val="auto"/>
                <w:szCs w:val="21"/>
              </w:rPr>
              <w:t>，</w:t>
            </w:r>
            <w:r>
              <w:rPr>
                <w:rFonts w:hint="eastAsia" w:ascii="宋体" w:hAnsi="宋体" w:eastAsia="宋体" w:cs="Times New Roman"/>
                <w:color w:val="000000"/>
                <w:szCs w:val="21"/>
              </w:rPr>
              <w:t>制冷功率可调，</w:t>
            </w:r>
            <w:r>
              <w:rPr>
                <w:rStyle w:val="47"/>
                <w:rFonts w:hint="eastAsia" w:ascii="宋体" w:hAnsi="宋体" w:eastAsia="宋体" w:cs="宋体"/>
                <w:color w:val="auto"/>
                <w:szCs w:val="21"/>
              </w:rPr>
              <w:t>非名义制冷量，即相同功率加热管热对抗能维持恒温的制冷量。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制冷剂</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R404A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制热功率</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≥40kW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设备冷却方式</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水冷式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吹扫方式</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自动吹扫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通讯方式</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Times New Roman"/>
                <w:szCs w:val="21"/>
              </w:rPr>
            </w:pPr>
            <w:r>
              <w:rPr>
                <w:rFonts w:hint="eastAsia" w:ascii="宋体" w:hAnsi="宋体" w:eastAsia="宋体" w:cs="宋体"/>
                <w:color w:val="000000"/>
                <w:szCs w:val="21"/>
              </w:rPr>
              <w:t>满足与环境舱、充放电机联调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4" w:hRule="atLeast"/>
        </w:trPr>
        <w:tc>
          <w:tcPr>
            <w:tcW w:w="2036" w:type="dxa"/>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温度工装</w:t>
            </w:r>
          </w:p>
        </w:tc>
        <w:tc>
          <w:tcPr>
            <w:tcW w:w="6469" w:type="dxa"/>
            <w:gridSpan w:val="2"/>
            <w:shd w:val="clear" w:color="auto" w:fill="FFFFFF" w:themeFill="background1"/>
            <w:tcMar>
              <w:top w:w="0" w:type="dxa"/>
              <w:left w:w="108" w:type="dxa"/>
              <w:bottom w:w="0" w:type="dxa"/>
              <w:right w:w="108" w:type="dxa"/>
            </w:tcMar>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监测电池包进出水口温度，实时传输数据到上位机，数据传输时间间隔＞1S</w:t>
            </w:r>
          </w:p>
          <w:p>
            <w:pPr>
              <w:jc w:val="left"/>
              <w:rPr>
                <w:rFonts w:hint="eastAsia" w:ascii="宋体" w:hAnsi="宋体" w:eastAsia="宋体" w:cs="宋体"/>
                <w:color w:val="000000"/>
                <w:szCs w:val="21"/>
              </w:rPr>
            </w:pPr>
            <w:r>
              <w:rPr>
                <w:rFonts w:hint="eastAsia" w:ascii="宋体" w:hAnsi="宋体" w:eastAsia="宋体" w:cs="宋体"/>
                <w:color w:val="000000"/>
                <w:szCs w:val="21"/>
              </w:rPr>
              <w:t>工装放在温箱中，温箱温度范围-40℃-90℃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结构方式</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要求：一体式结构，便于移动、便于维修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外壳材质</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镀锌板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喷涂颜色</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RAL7035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管道材质</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SUS304不锈钢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水箱材质</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SUS304不锈钢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绝热材料</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橡塑保温，要求绝热材料阻燃、设备内部不凝露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水冷管保温材料</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橡塑保温，要求水冷液输送管外表面不凝露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设备进出口径</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DN25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设备柜门</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铰链+机柜锁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加液方式</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自动加手动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溢流口位置</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溢流口位于水箱最高位，溢流口接口：G1/2”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排液口位置</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排液口位于管路最低处，排液口接口：G1/2”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噪音值</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≤72db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电源插座</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每台设备一个，设备标配AC220V/50HZ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安全/提示标识</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中英文标识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移动/固定装置</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移动脚轮/固定地脚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gridAfter w:val="1"/>
          <w:wAfter w:w="33" w:type="dxa"/>
          <w:trHeight w:val="454" w:hRule="atLeast"/>
        </w:trPr>
        <w:tc>
          <w:tcPr>
            <w:tcW w:w="20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品牌</w:t>
            </w:r>
          </w:p>
        </w:tc>
        <w:tc>
          <w:tcPr>
            <w:tcW w:w="6436" w:type="dxa"/>
            <w:shd w:val="clear" w:color="auto" w:fill="FFFFFF" w:themeFill="background1"/>
            <w:tcMar>
              <w:top w:w="0" w:type="dxa"/>
              <w:left w:w="108" w:type="dxa"/>
              <w:bottom w:w="0" w:type="dxa"/>
              <w:right w:w="108" w:type="dxa"/>
            </w:tcMar>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选用国内一线品牌，凌工、冠亚等</w:t>
            </w:r>
          </w:p>
        </w:tc>
      </w:tr>
    </w:tbl>
    <w:p>
      <w:pPr>
        <w:rPr>
          <w:rFonts w:hint="eastAsia" w:ascii="宋体" w:hAnsi="宋体" w:eastAsia="宋体"/>
          <w:b/>
          <w:bCs/>
          <w:sz w:val="24"/>
          <w:szCs w:val="24"/>
        </w:rPr>
      </w:pPr>
      <w:r>
        <w:rPr>
          <w:rFonts w:hint="eastAsia" w:ascii="宋体" w:hAnsi="宋体" w:eastAsia="宋体"/>
          <w:b/>
          <w:bCs/>
          <w:sz w:val="24"/>
          <w:szCs w:val="24"/>
        </w:rPr>
        <w:t>设备功能</w:t>
      </w:r>
    </w:p>
    <w:tbl>
      <w:tblPr>
        <w:tblStyle w:val="40"/>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993"/>
        <w:gridCol w:w="6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318" w:type="dxa"/>
            <w:shd w:val="clear" w:color="auto" w:fill="FFFFFF" w:themeFill="background1"/>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控制功能</w:t>
            </w:r>
          </w:p>
        </w:tc>
        <w:tc>
          <w:tcPr>
            <w:tcW w:w="7663" w:type="dxa"/>
            <w:shd w:val="clear" w:color="auto" w:fill="FFFFFF" w:themeFill="background1"/>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采用智能控制器，中文显示，模块化操作界面；可对设备各种参数进行智能感知、运算、调节。可同时设置制冷箱温度、控制制冷箱内温度，设置输出流量，监控输出压力；可编制运行温度运行程序；可显示温度、流量、压力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318" w:type="dxa"/>
            <w:shd w:val="clear" w:color="auto" w:fill="FFFFFF" w:themeFill="background1"/>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温度控制</w:t>
            </w:r>
          </w:p>
        </w:tc>
        <w:tc>
          <w:tcPr>
            <w:tcW w:w="7663" w:type="dxa"/>
            <w:shd w:val="clear" w:color="auto" w:fill="FFFFFF" w:themeFill="background1"/>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控温系统采用PT100铠装温度传感器进行温度数据采集，并采用西门子PLC控制器作为温度控制器，对全系统各节点进行自动控温。温度传感器具有测温准确，应用范围广、互换性、一致性、稳定性好。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318" w:type="dxa"/>
            <w:shd w:val="clear" w:color="auto" w:fill="FFFFFF" w:themeFill="background1"/>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温度超温保护</w:t>
            </w:r>
          </w:p>
        </w:tc>
        <w:tc>
          <w:tcPr>
            <w:tcW w:w="7663" w:type="dxa"/>
            <w:shd w:val="clear" w:color="auto" w:fill="FFFFFF" w:themeFill="background1"/>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加热丝机械超温保护、水箱电子超温保护、控制器温度上下限保护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318" w:type="dxa"/>
            <w:shd w:val="clear" w:color="auto" w:fill="FFFFFF" w:themeFill="background1"/>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温度偏差保护</w:t>
            </w:r>
          </w:p>
        </w:tc>
        <w:tc>
          <w:tcPr>
            <w:tcW w:w="7663" w:type="dxa"/>
            <w:shd w:val="clear" w:color="auto" w:fill="FFFFFF" w:themeFill="background1"/>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设备恒温恒流阶段以“主温度监控值”和“温度设定值”的差值，实现温度偏差故障预警和报警；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318" w:type="dxa"/>
            <w:shd w:val="clear" w:color="auto" w:fill="FFFFFF" w:themeFill="background1"/>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流量偏差保护</w:t>
            </w:r>
          </w:p>
        </w:tc>
        <w:tc>
          <w:tcPr>
            <w:tcW w:w="7663" w:type="dxa"/>
            <w:shd w:val="clear" w:color="auto" w:fill="FFFFFF" w:themeFill="background1"/>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设备恒温恒流阶段以“主流量监控值”和“流量设定值”的差值，实现流量偏差故障预警和报警；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318" w:type="dxa"/>
            <w:shd w:val="clear" w:color="auto" w:fill="FFFFFF" w:themeFill="background1"/>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程序运行功能</w:t>
            </w:r>
          </w:p>
        </w:tc>
        <w:tc>
          <w:tcPr>
            <w:tcW w:w="7663" w:type="dxa"/>
            <w:shd w:val="clear" w:color="auto" w:fill="FFFFFF" w:themeFill="background1"/>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可设定“温度 ”、“流量 ”、“压力 ”等变量，实现程序运行或程序循环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318" w:type="dxa"/>
            <w:shd w:val="clear" w:color="auto" w:fill="FFFFFF" w:themeFill="background1"/>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通讯功能</w:t>
            </w:r>
          </w:p>
        </w:tc>
        <w:tc>
          <w:tcPr>
            <w:tcW w:w="7663" w:type="dxa"/>
            <w:shd w:val="clear" w:color="auto" w:fill="FFFFFF" w:themeFill="background1"/>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可通过CAN通讯上传系统状态与参数，以便于远程监测液冷机组的状态，如：供液流量、供液温度、回液温度、环境温度、供液压力等主要参数。</w:t>
            </w:r>
          </w:p>
          <w:p>
            <w:pPr>
              <w:spacing w:line="360" w:lineRule="auto"/>
              <w:jc w:val="left"/>
              <w:rPr>
                <w:rFonts w:hint="eastAsia" w:ascii="宋体" w:hAnsi="宋体" w:eastAsia="宋体" w:cs="宋体"/>
                <w:szCs w:val="21"/>
              </w:rPr>
            </w:pPr>
            <w:r>
              <w:rPr>
                <w:rFonts w:hint="eastAsia" w:ascii="宋体" w:hAnsi="宋体" w:eastAsia="宋体" w:cs="宋体"/>
                <w:szCs w:val="21"/>
              </w:rPr>
              <w:t>液冷机组出现故障时，将故障通过报文发送到上位机。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318" w:type="dxa"/>
            <w:shd w:val="clear" w:color="auto" w:fill="FFFFFF" w:themeFill="background1"/>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安全保护功能</w:t>
            </w:r>
          </w:p>
        </w:tc>
        <w:tc>
          <w:tcPr>
            <w:tcW w:w="7663" w:type="dxa"/>
            <w:shd w:val="clear" w:color="auto" w:fill="FFFFFF" w:themeFill="background1"/>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压缩机延时启动保护，制冷系统高/低压保护、相序/缺相保护、漏电保护、压缩机热过载 保护、感器异常报警、高温保护、低温保护、高压保护、低压保护、低液位报警、加热棒 防干烧报警、循环泵过载保护、变频器故障保护、通讯故障报警、供回温差过大报警等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318" w:type="dxa"/>
            <w:shd w:val="clear" w:color="auto" w:fill="FFFFFF" w:themeFill="background1"/>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其他功能</w:t>
            </w:r>
          </w:p>
        </w:tc>
        <w:tc>
          <w:tcPr>
            <w:tcW w:w="7663" w:type="dxa"/>
            <w:shd w:val="clear" w:color="auto" w:fill="FFFFFF" w:themeFill="background1"/>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1、定值/程序控制、故障记录、 曲线显示、数据存储、远程控制等；</w:t>
            </w:r>
          </w:p>
          <w:p>
            <w:pPr>
              <w:spacing w:line="360" w:lineRule="auto"/>
              <w:jc w:val="left"/>
              <w:rPr>
                <w:rFonts w:hint="eastAsia" w:ascii="宋体" w:hAnsi="宋体" w:eastAsia="宋体" w:cs="宋体"/>
                <w:szCs w:val="21"/>
              </w:rPr>
            </w:pPr>
            <w:r>
              <w:rPr>
                <w:rFonts w:hint="eastAsia" w:ascii="宋体" w:hAnsi="宋体" w:eastAsia="宋体" w:cs="宋体"/>
                <w:szCs w:val="21"/>
              </w:rPr>
              <w:t>2、数据存储功能，支持 U 盘导出。</w:t>
            </w:r>
          </w:p>
        </w:tc>
      </w:tr>
    </w:tbl>
    <w:p>
      <w:pPr>
        <w:rPr>
          <w:rFonts w:hint="eastAsia"/>
        </w:rPr>
      </w:pPr>
    </w:p>
    <w:p>
      <w:pPr>
        <w:rPr>
          <w:rFonts w:hint="eastAsia"/>
        </w:rPr>
      </w:pPr>
    </w:p>
    <w:p>
      <w:pPr>
        <w:rPr>
          <w:rFonts w:hint="eastAsia"/>
        </w:rPr>
      </w:pPr>
    </w:p>
    <w:p>
      <w:pPr>
        <w:rPr>
          <w:rFonts w:hint="eastAsia"/>
        </w:rPr>
      </w:pPr>
    </w:p>
    <w:p>
      <w:pPr>
        <w:widowControl/>
        <w:jc w:val="left"/>
        <w:rPr>
          <w:rFonts w:hint="eastAsia" w:ascii="宋体" w:hAnsi="宋体" w:eastAsia="宋体" w:cs="宋体"/>
          <w:b/>
          <w:bCs/>
          <w:sz w:val="24"/>
          <w:szCs w:val="24"/>
        </w:rPr>
      </w:pPr>
      <w:r>
        <w:rPr>
          <w:rFonts w:hint="eastAsia" w:ascii="宋体" w:hAnsi="宋体" w:eastAsia="宋体" w:cs="宋体"/>
          <w:b/>
          <w:bCs/>
          <w:sz w:val="24"/>
          <w:szCs w:val="24"/>
        </w:rPr>
        <w:br w:type="page"/>
      </w:r>
      <w:bookmarkEnd w:id="33"/>
    </w:p>
    <w:p>
      <w:pPr>
        <w:pStyle w:val="121"/>
        <w:spacing w:line="360" w:lineRule="auto"/>
        <w:rPr>
          <w:rFonts w:hint="eastAsia" w:ascii="宋体" w:hAnsi="宋体" w:cs="宋体"/>
          <w:color w:val="auto"/>
        </w:rPr>
      </w:pPr>
      <w:bookmarkStart w:id="42" w:name="_Toc169605881"/>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283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3675" w:type="dxa"/>
            <w:vAlign w:val="center"/>
          </w:tcPr>
          <w:p>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835" w:type="dxa"/>
            <w:vAlign w:val="center"/>
          </w:tcPr>
          <w:p>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vAlign w:val="center"/>
          </w:tcPr>
          <w:p>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szCs w:val="21"/>
              </w:rPr>
            </w:pPr>
            <w:r>
              <w:rPr>
                <w:rFonts w:ascii="宋体" w:hAnsi="宋体" w:eastAsia="宋体"/>
                <w:szCs w:val="21"/>
              </w:rPr>
              <w:t>1</w:t>
            </w:r>
          </w:p>
        </w:tc>
        <w:tc>
          <w:tcPr>
            <w:tcW w:w="3675" w:type="dxa"/>
            <w:vAlign w:val="center"/>
          </w:tcPr>
          <w:p>
            <w:pPr>
              <w:jc w:val="center"/>
              <w:rPr>
                <w:rFonts w:hint="eastAsia" w:ascii="宋体" w:hAnsi="宋体" w:eastAsia="宋体"/>
                <w:szCs w:val="21"/>
              </w:rPr>
            </w:pPr>
            <w:r>
              <w:rPr>
                <w:rFonts w:hint="eastAsia" w:ascii="宋体" w:hAnsi="宋体" w:eastAsia="宋体"/>
                <w:szCs w:val="21"/>
              </w:rPr>
              <w:t>电工电子产品环境试验设备检验方法温度试验设备</w:t>
            </w:r>
          </w:p>
        </w:tc>
        <w:tc>
          <w:tcPr>
            <w:tcW w:w="2835" w:type="dxa"/>
            <w:vAlign w:val="center"/>
          </w:tcPr>
          <w:p>
            <w:pPr>
              <w:jc w:val="center"/>
              <w:rPr>
                <w:rFonts w:hint="eastAsia" w:ascii="宋体" w:hAnsi="宋体" w:eastAsia="宋体"/>
                <w:szCs w:val="21"/>
              </w:rPr>
            </w:pPr>
            <w:r>
              <w:rPr>
                <w:rFonts w:hint="eastAsia" w:ascii="宋体" w:hAnsi="宋体" w:eastAsia="宋体"/>
                <w:szCs w:val="21"/>
              </w:rPr>
              <w:t>GB/T5170.2-2008</w:t>
            </w:r>
          </w:p>
        </w:tc>
        <w:tc>
          <w:tcPr>
            <w:tcW w:w="1665" w:type="dxa"/>
            <w:vAlign w:val="center"/>
          </w:tcPr>
          <w:p>
            <w:pPr>
              <w:jc w:val="center"/>
              <w:rPr>
                <w:rFonts w:hint="eastAsia" w:ascii="宋体" w:hAnsi="宋体"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szCs w:val="21"/>
              </w:rPr>
            </w:pPr>
            <w:r>
              <w:rPr>
                <w:rFonts w:ascii="宋体" w:hAnsi="宋体" w:eastAsia="宋体"/>
                <w:szCs w:val="21"/>
              </w:rPr>
              <w:t>2</w:t>
            </w:r>
          </w:p>
        </w:tc>
        <w:tc>
          <w:tcPr>
            <w:tcW w:w="3675" w:type="dxa"/>
            <w:vAlign w:val="center"/>
          </w:tcPr>
          <w:p>
            <w:pPr>
              <w:jc w:val="center"/>
              <w:rPr>
                <w:rFonts w:hint="eastAsia" w:ascii="宋体" w:hAnsi="宋体" w:eastAsia="宋体"/>
                <w:szCs w:val="21"/>
              </w:rPr>
            </w:pPr>
            <w:r>
              <w:rPr>
                <w:rFonts w:hint="eastAsia" w:ascii="宋体" w:hAnsi="宋体" w:eastAsia="宋体"/>
                <w:szCs w:val="21"/>
              </w:rPr>
              <w:t>电工电子产品环境试验设备检验方法湿热试验设备</w:t>
            </w:r>
          </w:p>
        </w:tc>
        <w:tc>
          <w:tcPr>
            <w:tcW w:w="2835" w:type="dxa"/>
            <w:vAlign w:val="center"/>
          </w:tcPr>
          <w:p>
            <w:pPr>
              <w:jc w:val="center"/>
              <w:rPr>
                <w:rFonts w:hint="eastAsia" w:ascii="宋体" w:hAnsi="宋体" w:eastAsia="宋体"/>
                <w:szCs w:val="21"/>
              </w:rPr>
            </w:pPr>
            <w:r>
              <w:rPr>
                <w:rFonts w:hint="eastAsia" w:ascii="宋体" w:hAnsi="宋体" w:eastAsia="宋体"/>
                <w:szCs w:val="21"/>
              </w:rPr>
              <w:t>GB/T5170.5-2016</w:t>
            </w:r>
          </w:p>
        </w:tc>
        <w:tc>
          <w:tcPr>
            <w:tcW w:w="1665" w:type="dxa"/>
            <w:vAlign w:val="center"/>
          </w:tcPr>
          <w:p>
            <w:pPr>
              <w:jc w:val="center"/>
              <w:rPr>
                <w:rFonts w:hint="eastAsia" w:ascii="宋体" w:hAnsi="宋体"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hint="eastAsia" w:ascii="宋体" w:hAnsi="宋体" w:eastAsia="宋体"/>
                <w:szCs w:val="21"/>
              </w:rPr>
              <w:t>3</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电动汽车用动力蓄电池安全要求</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GB 38031-2020</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hint="eastAsia" w:ascii="宋体" w:hAnsi="宋体" w:eastAsia="宋体"/>
                <w:szCs w:val="21"/>
              </w:rPr>
              <w:t>4</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电动汽车用锂离子动力</w:t>
            </w:r>
            <w:r>
              <w:rPr>
                <w:rFonts w:hint="eastAsia" w:ascii="宋体" w:hAnsi="宋体" w:eastAsia="宋体"/>
                <w:szCs w:val="21"/>
              </w:rPr>
              <w:t>电池包和系统电性能试验方法</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GB/T 31467-20</w:t>
            </w:r>
            <w:r>
              <w:rPr>
                <w:rFonts w:hint="eastAsia" w:ascii="宋体" w:hAnsi="宋体" w:eastAsia="宋体"/>
                <w:szCs w:val="21"/>
              </w:rPr>
              <w:t>23</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hint="eastAsia" w:ascii="宋体" w:hAnsi="宋体" w:eastAsia="宋体"/>
                <w:szCs w:val="21"/>
              </w:rPr>
              <w:t>5</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电动汽车用动力蓄电池循环寿命要求及试验方法</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GB/T 31484-2015</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hint="eastAsia" w:ascii="宋体" w:hAnsi="宋体" w:eastAsia="宋体"/>
                <w:szCs w:val="21"/>
              </w:rPr>
              <w:t>6</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电动汽车用动力蓄电池电性能要求及试验方法</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GB/T 31486-2015</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hint="eastAsia" w:ascii="宋体" w:hAnsi="宋体" w:eastAsia="宋体"/>
                <w:szCs w:val="21"/>
              </w:rPr>
              <w:t>7</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低温试验方法Ab</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GB/T 2423.1-2008</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hint="eastAsia" w:ascii="宋体" w:hAnsi="宋体" w:eastAsia="宋体"/>
                <w:szCs w:val="21"/>
              </w:rPr>
              <w:t>8</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高温试验方法Bb</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GB/T 2423.2-2008</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hint="eastAsia" w:ascii="宋体" w:hAnsi="宋体" w:eastAsia="宋体"/>
                <w:szCs w:val="21"/>
              </w:rPr>
              <w:t>9</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高温试验</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GJB 150.3A-2009</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hint="eastAsia" w:ascii="宋体" w:hAnsi="宋体" w:eastAsia="宋体"/>
                <w:szCs w:val="21"/>
              </w:rPr>
              <w:t>10</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低温试验</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GJB 150.4A-2009</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ascii="宋体" w:hAnsi="宋体" w:eastAsia="宋体"/>
                <w:szCs w:val="21"/>
              </w:rPr>
              <w:t>1</w:t>
            </w:r>
            <w:r>
              <w:rPr>
                <w:rFonts w:hint="eastAsia" w:ascii="宋体" w:hAnsi="宋体" w:eastAsia="宋体"/>
                <w:szCs w:val="21"/>
              </w:rPr>
              <w:t>1</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恒定湿热试验方法Cab</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GB/T 2423.3-2006</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ascii="宋体" w:hAnsi="宋体" w:eastAsia="宋体"/>
                <w:szCs w:val="21"/>
              </w:rPr>
              <w:t>1</w:t>
            </w:r>
            <w:r>
              <w:rPr>
                <w:rFonts w:hint="eastAsia" w:ascii="宋体" w:hAnsi="宋体" w:eastAsia="宋体"/>
                <w:szCs w:val="21"/>
              </w:rPr>
              <w:t>2</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交变湿热试验方法Db</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GB/T 2423.4-2008</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ascii="宋体" w:hAnsi="宋体" w:eastAsia="宋体"/>
                <w:szCs w:val="21"/>
              </w:rPr>
              <w:t>1</w:t>
            </w:r>
            <w:r>
              <w:rPr>
                <w:rFonts w:hint="eastAsia" w:ascii="宋体" w:hAnsi="宋体" w:eastAsia="宋体"/>
                <w:szCs w:val="21"/>
              </w:rPr>
              <w:t>3</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湿热试验</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GJB 150.9A-2009</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hint="eastAsia" w:ascii="宋体" w:hAnsi="宋体" w:eastAsia="宋体"/>
                <w:szCs w:val="21"/>
              </w:rPr>
              <w:t>14</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温度试验设备</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GB/T 5170.2-2008</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hint="eastAsia" w:ascii="宋体" w:hAnsi="宋体" w:eastAsia="宋体"/>
                <w:szCs w:val="21"/>
              </w:rPr>
              <w:t>15</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湿热试验设备</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GB/T 5170.5-2008</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hint="eastAsia" w:ascii="宋体" w:hAnsi="宋体" w:eastAsia="宋体"/>
                <w:szCs w:val="21"/>
              </w:rPr>
              <w:t>16</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制冷和供热用机械制冷系统安全要求</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GB 9237—2001</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hint="eastAsia" w:ascii="宋体" w:hAnsi="宋体" w:eastAsia="宋体"/>
                <w:szCs w:val="21"/>
              </w:rPr>
              <w:t>17</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工商业用和类似用途的冷水（热泵）机组</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GB/T 18430.1—2001</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hint="eastAsia" w:ascii="宋体" w:hAnsi="宋体" w:eastAsia="宋体"/>
                <w:szCs w:val="21"/>
              </w:rPr>
              <w:t>18</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空调与制冷用无缝铜管</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GB/T 17791—1999</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hint="eastAsia" w:ascii="宋体" w:hAnsi="宋体" w:eastAsia="宋体"/>
                <w:szCs w:val="21"/>
              </w:rPr>
              <w:t>19</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制冷用电磁阀</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JB/T 4119—1991</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color w:val="000000"/>
                <w:szCs w:val="21"/>
              </w:rPr>
            </w:pPr>
            <w:r>
              <w:rPr>
                <w:rFonts w:hint="eastAsia" w:ascii="宋体" w:hAnsi="宋体" w:eastAsia="宋体"/>
                <w:szCs w:val="21"/>
              </w:rPr>
              <w:t>20</w:t>
            </w:r>
          </w:p>
        </w:tc>
        <w:tc>
          <w:tcPr>
            <w:tcW w:w="3675" w:type="dxa"/>
            <w:vAlign w:val="center"/>
          </w:tcPr>
          <w:p>
            <w:pPr>
              <w:jc w:val="center"/>
              <w:rPr>
                <w:rFonts w:hint="eastAsia" w:ascii="宋体" w:hAnsi="宋体" w:eastAsia="宋体" w:cs="宋体"/>
                <w:color w:val="000000"/>
                <w:szCs w:val="21"/>
              </w:rPr>
            </w:pPr>
            <w:r>
              <w:rPr>
                <w:rFonts w:ascii="宋体" w:hAnsi="宋体" w:eastAsia="宋体"/>
                <w:szCs w:val="21"/>
              </w:rPr>
              <w:t>设备及管道保温技术通则</w:t>
            </w:r>
          </w:p>
        </w:tc>
        <w:tc>
          <w:tcPr>
            <w:tcW w:w="2835" w:type="dxa"/>
            <w:vAlign w:val="center"/>
          </w:tcPr>
          <w:p>
            <w:pPr>
              <w:jc w:val="center"/>
              <w:rPr>
                <w:rFonts w:hint="eastAsia" w:ascii="宋体" w:hAnsi="宋体" w:eastAsia="宋体" w:cs="宋体"/>
                <w:color w:val="000000"/>
                <w:szCs w:val="21"/>
              </w:rPr>
            </w:pPr>
            <w:r>
              <w:rPr>
                <w:rFonts w:ascii="宋体" w:hAnsi="宋体" w:eastAsia="宋体"/>
                <w:szCs w:val="21"/>
              </w:rPr>
              <w:t>GB 4272-92</w:t>
            </w:r>
          </w:p>
        </w:tc>
        <w:tc>
          <w:tcPr>
            <w:tcW w:w="1665" w:type="dxa"/>
            <w:vAlign w:val="center"/>
          </w:tcPr>
          <w:p>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bl>
    <w:p>
      <w:pPr>
        <w:spacing w:line="360" w:lineRule="auto"/>
        <w:rPr>
          <w:rFonts w:hint="eastAsia" w:ascii="宋体" w:hAnsi="宋体" w:eastAsia="宋体" w:cs="宋体"/>
          <w:sz w:val="24"/>
          <w:szCs w:val="24"/>
        </w:rPr>
      </w:pPr>
    </w:p>
    <w:p>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42"/>
    </w:p>
    <w:p>
      <w:pPr>
        <w:rPr>
          <w:rFonts w:hint="eastAsia"/>
        </w:rPr>
      </w:pPr>
    </w:p>
    <w:p>
      <w:pPr>
        <w:keepNext/>
        <w:keepLines/>
        <w:spacing w:line="360" w:lineRule="auto"/>
        <w:jc w:val="center"/>
        <w:outlineLvl w:val="2"/>
        <w:rPr>
          <w:rFonts w:hint="eastAsia" w:ascii="宋体" w:hAnsi="宋体" w:eastAsia="宋体" w:cs="宋体"/>
          <w:b/>
          <w:bCs/>
          <w:sz w:val="24"/>
          <w:szCs w:val="32"/>
        </w:rPr>
      </w:pPr>
      <w:bookmarkStart w:id="43" w:name="_Toc169605882"/>
      <w:r>
        <w:rPr>
          <w:rFonts w:hint="eastAsia" w:ascii="宋体" w:hAnsi="宋体" w:eastAsia="宋体" w:cs="宋体"/>
          <w:b/>
          <w:bCs/>
          <w:sz w:val="24"/>
          <w:szCs w:val="32"/>
        </w:rPr>
        <w:t>第一节  供货范围</w:t>
      </w:r>
      <w:bookmarkEnd w:id="43"/>
    </w:p>
    <w:p>
      <w:pPr>
        <w:spacing w:line="420" w:lineRule="exact"/>
        <w:ind w:firstLine="482" w:firstLineChars="200"/>
        <w:outlineLvl w:val="3"/>
        <w:rPr>
          <w:rFonts w:hint="eastAsia" w:ascii="宋体" w:hAnsi="宋体" w:eastAsia="宋体" w:cs="宋体"/>
          <w:color w:val="FF0000"/>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9" w:type="dxa"/>
            <w:vAlign w:val="center"/>
          </w:tcPr>
          <w:p>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序号</w:t>
            </w:r>
          </w:p>
        </w:tc>
        <w:tc>
          <w:tcPr>
            <w:tcW w:w="2977" w:type="dxa"/>
            <w:vAlign w:val="center"/>
          </w:tcPr>
          <w:p>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名称</w:t>
            </w:r>
          </w:p>
        </w:tc>
        <w:tc>
          <w:tcPr>
            <w:tcW w:w="992" w:type="dxa"/>
            <w:vAlign w:val="center"/>
          </w:tcPr>
          <w:p>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单位</w:t>
            </w:r>
          </w:p>
        </w:tc>
        <w:tc>
          <w:tcPr>
            <w:tcW w:w="1134" w:type="dxa"/>
            <w:vAlign w:val="center"/>
          </w:tcPr>
          <w:p>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数量</w:t>
            </w:r>
          </w:p>
        </w:tc>
        <w:tc>
          <w:tcPr>
            <w:tcW w:w="2835" w:type="dxa"/>
            <w:vAlign w:val="center"/>
          </w:tcPr>
          <w:p>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hint="eastAsia"/>
              </w:rPr>
            </w:pPr>
            <w:r>
              <w:rPr>
                <w:rFonts w:hint="eastAsia" w:ascii="宋体" w:hAnsi="宋体" w:eastAsia="宋体" w:cs="宋体"/>
                <w:szCs w:val="21"/>
              </w:rPr>
              <w:t>1</w:t>
            </w:r>
          </w:p>
        </w:tc>
        <w:tc>
          <w:tcPr>
            <w:tcW w:w="2977" w:type="dxa"/>
          </w:tcPr>
          <w:p>
            <w:pPr>
              <w:spacing w:line="360" w:lineRule="exact"/>
              <w:jc w:val="center"/>
              <w:rPr>
                <w:rFonts w:hint="eastAsia"/>
                <w:b/>
                <w:bCs/>
              </w:rPr>
            </w:pPr>
            <w:r>
              <w:rPr>
                <w:rFonts w:hint="eastAsia" w:ascii="宋体" w:hAnsi="宋体" w:eastAsia="宋体" w:cs="宋体"/>
                <w:szCs w:val="21"/>
              </w:rPr>
              <w:t>1000kW充放电机</w:t>
            </w:r>
          </w:p>
        </w:tc>
        <w:tc>
          <w:tcPr>
            <w:tcW w:w="992" w:type="dxa"/>
            <w:vAlign w:val="center"/>
          </w:tcPr>
          <w:p>
            <w:pPr>
              <w:spacing w:line="360" w:lineRule="exact"/>
              <w:jc w:val="center"/>
              <w:rPr>
                <w:rFonts w:hint="eastAsia" w:ascii="宋体" w:hAnsi="宋体" w:eastAsia="宋体" w:cs="宋体"/>
                <w:b/>
                <w:bCs/>
                <w:szCs w:val="21"/>
              </w:rPr>
            </w:pPr>
            <w:r>
              <w:rPr>
                <w:rFonts w:hint="eastAsia" w:ascii="宋体" w:hAnsi="宋体" w:eastAsia="宋体" w:cs="宋体"/>
                <w:szCs w:val="21"/>
              </w:rPr>
              <w:t>套</w:t>
            </w:r>
          </w:p>
        </w:tc>
        <w:tc>
          <w:tcPr>
            <w:tcW w:w="1134" w:type="dxa"/>
            <w:vAlign w:val="center"/>
          </w:tcPr>
          <w:p>
            <w:pPr>
              <w:spacing w:line="360" w:lineRule="exact"/>
              <w:jc w:val="center"/>
              <w:rPr>
                <w:rFonts w:hint="eastAsia" w:ascii="宋体" w:hAnsi="宋体" w:eastAsia="宋体" w:cs="宋体"/>
                <w:b/>
                <w:bCs/>
                <w:szCs w:val="21"/>
              </w:rPr>
            </w:pPr>
            <w:r>
              <w:rPr>
                <w:rFonts w:hint="eastAsia" w:ascii="宋体" w:hAnsi="宋体" w:eastAsia="宋体" w:cs="宋体"/>
                <w:szCs w:val="21"/>
              </w:rPr>
              <w:t>1</w:t>
            </w:r>
          </w:p>
        </w:tc>
        <w:tc>
          <w:tcPr>
            <w:tcW w:w="2835" w:type="dxa"/>
            <w:vAlign w:val="center"/>
          </w:tcPr>
          <w:p>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hint="eastAsia"/>
              </w:rPr>
            </w:pPr>
            <w:r>
              <w:rPr>
                <w:rFonts w:hint="eastAsia" w:ascii="宋体" w:hAnsi="宋体" w:eastAsia="宋体" w:cs="宋体"/>
                <w:szCs w:val="21"/>
              </w:rPr>
              <w:t>2</w:t>
            </w:r>
          </w:p>
        </w:tc>
        <w:tc>
          <w:tcPr>
            <w:tcW w:w="2977" w:type="dxa"/>
          </w:tcPr>
          <w:p>
            <w:pPr>
              <w:spacing w:line="360" w:lineRule="exact"/>
              <w:jc w:val="center"/>
              <w:rPr>
                <w:rFonts w:hint="eastAsia"/>
                <w:szCs w:val="21"/>
              </w:rPr>
            </w:pPr>
            <w:r>
              <w:rPr>
                <w:rFonts w:hint="eastAsia" w:ascii="宋体" w:hAnsi="宋体" w:eastAsia="宋体" w:cs="宋体"/>
                <w:szCs w:val="21"/>
              </w:rPr>
              <w:t>电池系统安全环境舱</w:t>
            </w:r>
          </w:p>
        </w:tc>
        <w:tc>
          <w:tcPr>
            <w:tcW w:w="992"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134"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835" w:type="dxa"/>
            <w:vAlign w:val="center"/>
          </w:tcPr>
          <w:p>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hint="eastAsia"/>
              </w:rPr>
            </w:pPr>
            <w:r>
              <w:rPr>
                <w:rFonts w:hint="eastAsia" w:ascii="宋体" w:hAnsi="宋体" w:eastAsia="宋体" w:cs="宋体"/>
                <w:szCs w:val="21"/>
              </w:rPr>
              <w:t>3</w:t>
            </w:r>
          </w:p>
        </w:tc>
        <w:tc>
          <w:tcPr>
            <w:tcW w:w="2977" w:type="dxa"/>
          </w:tcPr>
          <w:p>
            <w:pPr>
              <w:spacing w:line="360" w:lineRule="exact"/>
              <w:jc w:val="center"/>
              <w:rPr>
                <w:rFonts w:hint="eastAsia"/>
                <w:szCs w:val="21"/>
              </w:rPr>
            </w:pPr>
            <w:r>
              <w:rPr>
                <w:rFonts w:hint="eastAsia" w:ascii="宋体" w:hAnsi="宋体" w:eastAsia="宋体" w:cs="宋体"/>
                <w:szCs w:val="21"/>
              </w:rPr>
              <w:t>冷水机</w:t>
            </w:r>
          </w:p>
        </w:tc>
        <w:tc>
          <w:tcPr>
            <w:tcW w:w="992"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134"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835" w:type="dxa"/>
            <w:vAlign w:val="center"/>
          </w:tcPr>
          <w:p>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8"/>
              <w:spacing w:before="60" w:after="60"/>
              <w:jc w:val="center"/>
              <w:rPr>
                <w:rFonts w:hint="eastAsia"/>
              </w:rPr>
            </w:pPr>
            <w:r>
              <w:rPr>
                <w:rFonts w:hint="eastAsia"/>
              </w:rPr>
              <w:t>4</w:t>
            </w:r>
          </w:p>
        </w:tc>
        <w:tc>
          <w:tcPr>
            <w:tcW w:w="2977" w:type="dxa"/>
            <w:vAlign w:val="center"/>
          </w:tcPr>
          <w:p>
            <w:pPr>
              <w:widowControl/>
              <w:jc w:val="center"/>
              <w:textAlignment w:val="center"/>
              <w:rPr>
                <w:rFonts w:hint="eastAsia"/>
                <w:szCs w:val="21"/>
              </w:rPr>
            </w:pPr>
            <w:r>
              <w:rPr>
                <w:rFonts w:hint="eastAsia" w:ascii="宋体" w:hAnsi="宋体" w:eastAsia="宋体" w:cs="宋体"/>
                <w:color w:val="000000"/>
                <w:kern w:val="0"/>
                <w:szCs w:val="21"/>
                <w:lang w:bidi="ar"/>
              </w:rPr>
              <w:t>加工、组装、管理</w:t>
            </w:r>
          </w:p>
        </w:tc>
        <w:tc>
          <w:tcPr>
            <w:tcW w:w="992"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zCs w:val="21"/>
              </w:rPr>
              <w:t>套</w:t>
            </w:r>
          </w:p>
        </w:tc>
        <w:tc>
          <w:tcPr>
            <w:tcW w:w="1134"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835" w:type="dxa"/>
            <w:vAlign w:val="center"/>
          </w:tcPr>
          <w:p>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8"/>
              <w:spacing w:before="60" w:after="60"/>
              <w:jc w:val="center"/>
              <w:rPr>
                <w:rFonts w:hint="eastAsia"/>
              </w:rPr>
            </w:pPr>
            <w:r>
              <w:rPr>
                <w:rFonts w:hint="eastAsia"/>
              </w:rPr>
              <w:t>5</w:t>
            </w:r>
          </w:p>
        </w:tc>
        <w:tc>
          <w:tcPr>
            <w:tcW w:w="2977" w:type="dxa"/>
            <w:vAlign w:val="center"/>
          </w:tcPr>
          <w:p>
            <w:pPr>
              <w:widowControl/>
              <w:jc w:val="center"/>
              <w:textAlignment w:val="center"/>
              <w:rPr>
                <w:rFonts w:hint="eastAsia"/>
                <w:szCs w:val="21"/>
              </w:rPr>
            </w:pPr>
            <w:r>
              <w:rPr>
                <w:rFonts w:hint="eastAsia" w:ascii="宋体" w:hAnsi="宋体" w:eastAsia="宋体" w:cs="宋体"/>
                <w:color w:val="000000"/>
                <w:kern w:val="0"/>
                <w:szCs w:val="21"/>
                <w:lang w:bidi="ar"/>
              </w:rPr>
              <w:t>包装、运输、保险</w:t>
            </w:r>
          </w:p>
        </w:tc>
        <w:tc>
          <w:tcPr>
            <w:tcW w:w="992"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 w:val="22"/>
                <w:lang w:bidi="ar"/>
              </w:rPr>
              <w:t>套</w:t>
            </w:r>
          </w:p>
        </w:tc>
        <w:tc>
          <w:tcPr>
            <w:tcW w:w="1134"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835" w:type="dxa"/>
            <w:vAlign w:val="center"/>
          </w:tcPr>
          <w:p>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8"/>
              <w:spacing w:before="60" w:after="60"/>
              <w:jc w:val="center"/>
              <w:rPr>
                <w:rFonts w:hint="eastAsia"/>
              </w:rPr>
            </w:pPr>
            <w:r>
              <w:rPr>
                <w:rFonts w:hint="eastAsia"/>
              </w:rPr>
              <w:t>6</w:t>
            </w:r>
          </w:p>
        </w:tc>
        <w:tc>
          <w:tcPr>
            <w:tcW w:w="2977" w:type="dxa"/>
            <w:vAlign w:val="center"/>
          </w:tcPr>
          <w:p>
            <w:pPr>
              <w:widowControl/>
              <w:jc w:val="center"/>
              <w:textAlignment w:val="center"/>
              <w:rPr>
                <w:rFonts w:hint="eastAsia"/>
                <w:szCs w:val="21"/>
              </w:rPr>
            </w:pPr>
            <w:r>
              <w:rPr>
                <w:rFonts w:hint="eastAsia" w:ascii="宋体" w:hAnsi="宋体" w:eastAsia="宋体" w:cs="宋体"/>
                <w:color w:val="000000"/>
                <w:kern w:val="0"/>
                <w:szCs w:val="21"/>
                <w:lang w:bidi="ar"/>
              </w:rPr>
              <w:t>安装调试、培训、技术服务</w:t>
            </w:r>
          </w:p>
        </w:tc>
        <w:tc>
          <w:tcPr>
            <w:tcW w:w="992"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 w:val="22"/>
                <w:lang w:bidi="ar"/>
              </w:rPr>
              <w:t>套</w:t>
            </w:r>
          </w:p>
        </w:tc>
        <w:tc>
          <w:tcPr>
            <w:tcW w:w="1134"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835" w:type="dxa"/>
            <w:vAlign w:val="center"/>
          </w:tcPr>
          <w:p>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8"/>
              <w:spacing w:before="60" w:after="60"/>
              <w:jc w:val="center"/>
              <w:rPr>
                <w:rFonts w:hint="eastAsia"/>
              </w:rPr>
            </w:pPr>
            <w:r>
              <w:rPr>
                <w:rFonts w:hint="eastAsia"/>
              </w:rPr>
              <w:t>7</w:t>
            </w:r>
          </w:p>
        </w:tc>
        <w:tc>
          <w:tcPr>
            <w:tcW w:w="2977" w:type="dxa"/>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备品备件</w:t>
            </w:r>
          </w:p>
        </w:tc>
        <w:tc>
          <w:tcPr>
            <w:tcW w:w="992"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 w:val="22"/>
                <w:lang w:bidi="ar"/>
              </w:rPr>
              <w:t>套</w:t>
            </w:r>
          </w:p>
        </w:tc>
        <w:tc>
          <w:tcPr>
            <w:tcW w:w="1134"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835" w:type="dxa"/>
            <w:vAlign w:val="center"/>
          </w:tcPr>
          <w:p>
            <w:pPr>
              <w:spacing w:line="360" w:lineRule="auto"/>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szCs w:val="21"/>
              </w:rPr>
              <w:t>\</w:t>
            </w:r>
          </w:p>
        </w:tc>
      </w:tr>
    </w:tbl>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1.备品备件、易损件和专用耗材是招标人为保证货物质保期之后正常运行三年所自备自用的备品备件、易损件和专用耗材。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20</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4" w:name="_Toc169605883"/>
    </w:p>
    <w:p>
      <w:pPr>
        <w:pStyle w:val="20"/>
        <w:spacing w:line="360" w:lineRule="auto"/>
        <w:ind w:firstLine="420"/>
      </w:pPr>
    </w:p>
    <w:p>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44"/>
    </w:p>
    <w:p>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hint="eastAsia" w:ascii="宋体" w:hAnsi="宋体" w:eastAsia="宋体" w:cs="宋体"/>
          <w:sz w:val="24"/>
          <w:highlight w:val="yellow"/>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r>
        <w:rPr>
          <w:rFonts w:hint="eastAsia" w:ascii="宋体" w:hAnsi="宋体" w:eastAsia="宋体" w:cs="宋体"/>
          <w:sz w:val="24"/>
          <w:highlight w:val="yellow"/>
        </w:rPr>
        <w:t>终验收前的现场设备保管、安全等由投标人负责。</w:t>
      </w:r>
    </w:p>
    <w:p>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8"/>
        </w:rPr>
        <w:t>济南莱芜区口镇重汽工业园</w:t>
      </w:r>
    </w:p>
    <w:p>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1.2025年12月底（以实际施工进度为准）交货至供货地点</w:t>
      </w:r>
      <w:r>
        <w:rPr>
          <w:rFonts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shd w:val="pct10" w:color="auto" w:fill="FFFFFF"/>
        </w:rPr>
        <w:t>45</w:t>
      </w:r>
      <w:r>
        <w:rPr>
          <w:rFonts w:hint="eastAsia" w:ascii="宋体" w:hAnsi="宋体" w:eastAsia="宋体" w:cs="宋体"/>
          <w:sz w:val="24"/>
          <w:szCs w:val="24"/>
        </w:rPr>
        <w:t>个日历日之内安装调试完毕。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shd w:val="pct10" w:color="auto" w:fill="FFFFFF"/>
        </w:rPr>
        <w:t>80</w:t>
      </w:r>
      <w:r>
        <w:rPr>
          <w:rFonts w:hint="eastAsia" w:ascii="宋体" w:hAnsi="宋体" w:eastAsia="宋体" w:cs="宋体"/>
          <w:sz w:val="24"/>
          <w:szCs w:val="24"/>
        </w:rPr>
        <w:t>个日历日之内完成终验收。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45"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5"/>
    </w:p>
    <w:p>
      <w:pPr>
        <w:pStyle w:val="121"/>
        <w:spacing w:line="360" w:lineRule="auto"/>
      </w:pPr>
      <w:r>
        <w:rPr>
          <w:rFonts w:hint="eastAsia"/>
        </w:rPr>
        <w:t>一、质保期及质保要求</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24</w:t>
      </w:r>
      <w:r>
        <w:rPr>
          <w:rFonts w:hint="eastAsia" w:ascii="宋体" w:hAnsi="宋体" w:eastAsia="宋体" w:cs="宋体"/>
          <w:sz w:val="24"/>
          <w:szCs w:val="24"/>
        </w:rPr>
        <w:t>个月。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w:t>
      </w:r>
      <w:r>
        <w:rPr>
          <w:rFonts w:hint="eastAsia" w:ascii="宋体" w:hAnsi="宋体" w:eastAsia="宋体" w:cs="宋体"/>
          <w:color w:val="000000" w:themeColor="text1"/>
          <w:sz w:val="24"/>
          <w:szCs w:val="24"/>
          <w14:textFill>
            <w14:solidFill>
              <w14:schemeClr w14:val="tx1"/>
            </w14:solidFill>
          </w14:textFill>
        </w:rPr>
        <w:t>当免费。</w:t>
      </w:r>
    </w:p>
    <w:p>
      <w:pPr>
        <w:spacing w:line="360" w:lineRule="auto"/>
        <w:ind w:firstLine="480" w:firstLineChars="200"/>
        <w:rPr>
          <w:rFonts w:hint="eastAsia" w:ascii="宋体" w:hAnsi="宋体" w:eastAsia="宋体" w:cs="宋体"/>
          <w:bCs/>
          <w:color w:val="000000" w:themeColor="text1"/>
          <w:sz w:val="24"/>
          <w:szCs w:val="20"/>
          <w14:textFill>
            <w14:solidFill>
              <w14:schemeClr w14:val="tx1"/>
            </w14:solidFill>
          </w14:textFill>
        </w:rPr>
      </w:pPr>
      <w:r>
        <w:rPr>
          <w:rFonts w:hint="eastAsia" w:ascii="宋体" w:hAnsi="宋体" w:eastAsia="宋体" w:cs="宋体"/>
          <w:bCs/>
          <w:color w:val="000000" w:themeColor="text1"/>
          <w:sz w:val="24"/>
          <w:szCs w:val="20"/>
          <w14:textFill>
            <w14:solidFill>
              <w14:schemeClr w14:val="tx1"/>
            </w14:solidFill>
          </w14:textFill>
        </w:rPr>
        <w:t>5.质量保证期满后，投标方保证向招标方提供及时的、质优的、价格优惠的技术服务和备品备件供应。</w:t>
      </w:r>
    </w:p>
    <w:p>
      <w:pPr>
        <w:pStyle w:val="20"/>
        <w:ind w:firstLine="420"/>
      </w:pPr>
    </w:p>
    <w:p>
      <w:pPr>
        <w:pStyle w:val="121"/>
        <w:spacing w:line="360" w:lineRule="auto"/>
        <w:rPr>
          <w:rFonts w:hint="eastAsia"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w:t>
      </w:r>
      <w:r>
        <w:rPr>
          <w:rFonts w:hint="eastAsia" w:ascii="宋体" w:hAnsi="宋体" w:eastAsia="宋体" w:cs="宋体"/>
          <w:color w:val="000000" w:themeColor="text1"/>
          <w:sz w:val="24"/>
          <w:szCs w:val="24"/>
          <w14:textFill>
            <w14:solidFill>
              <w14:schemeClr w14:val="tx1"/>
            </w14:solidFill>
          </w14:textFill>
        </w:rPr>
        <w:t>培训包含联调后整套性能试验台的使用，培训工作日不少于</w:t>
      </w:r>
      <w:r>
        <w:rPr>
          <w:rFonts w:hint="eastAsia" w:ascii="宋体" w:hAnsi="宋体" w:eastAsia="宋体" w:cs="宋体"/>
          <w:color w:val="000000" w:themeColor="text1"/>
          <w:sz w:val="24"/>
          <w:szCs w:val="24"/>
          <w:u w:val="single"/>
          <w:shd w:val="pct10" w:color="auto" w:fill="FFFFFF"/>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个日历日。</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21"/>
        <w:spacing w:line="360" w:lineRule="auto"/>
        <w:rPr>
          <w:rFonts w:hint="eastAsia"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21"/>
        <w:spacing w:line="360" w:lineRule="auto"/>
        <w:rPr>
          <w:rFonts w:hint="eastAsia" w:ascii="宋体" w:hAnsi="宋体" w:cs="宋体"/>
        </w:rPr>
      </w:pPr>
      <w:r>
        <w:rPr>
          <w:rFonts w:hint="eastAsia" w:ascii="宋体" w:hAnsi="宋体" w:cs="宋体"/>
        </w:rPr>
        <w:t>四、售后服务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21"/>
        <w:spacing w:line="360" w:lineRule="auto"/>
        <w:rPr>
          <w:rFonts w:hint="eastAsia" w:ascii="宋体" w:hAnsi="宋体" w:cs="宋体"/>
        </w:rPr>
      </w:pPr>
      <w:r>
        <w:rPr>
          <w:rFonts w:hint="eastAsia" w:ascii="宋体" w:hAnsi="宋体" w:cs="宋体"/>
        </w:rPr>
        <w:t>五、其它服务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pPr>
        <w:pStyle w:val="121"/>
        <w:spacing w:line="360" w:lineRule="auto"/>
        <w:rPr>
          <w:rFonts w:hint="eastAsia" w:ascii="宋体" w:hAnsi="宋体" w:cs="宋体"/>
        </w:rPr>
      </w:pPr>
      <w:r>
        <w:rPr>
          <w:rFonts w:hint="eastAsia" w:ascii="宋体" w:hAnsi="宋体" w:cs="宋体"/>
        </w:rPr>
        <w:t>一、验收依据和验收标准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21"/>
        <w:spacing w:line="360" w:lineRule="auto"/>
        <w:rPr>
          <w:rFonts w:hint="eastAsia" w:ascii="宋体" w:hAnsi="宋体" w:cs="宋体"/>
        </w:rPr>
      </w:pPr>
      <w:r>
        <w:rPr>
          <w:rFonts w:hint="eastAsia" w:ascii="宋体" w:hAnsi="宋体" w:cs="宋体"/>
        </w:rPr>
        <w:t>二、检验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2.2应依据合同规定的要求，提供买卖双方达成一致的货物的验收标准和装箱单，作为买方检验的依据。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21"/>
        <w:spacing w:line="360" w:lineRule="auto"/>
        <w:rPr>
          <w:rFonts w:hint="eastAsia"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1.预验收一般条件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1.1卖方已经按照“供货范围”要求提供了预验收资料，并且资料齐全、完整和有效。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1.2货物应完整且所有的零部件应该安装牢固，外观无损伤，所有的焊缝饱满、无残渣等缺陷。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1.3货物的油漆质量应饱满、有光泽，无掉漆、无色差、无“桔皮”等不良现象（特殊标志除外）。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1.4货物标牌完整、清晰、明确。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2.终验收一般条件</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2.1经过预验收而且没有出现新的质量问题，或者满足预验收条款。</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2.2货物安装调试完毕，并至少经过了验收要求的负荷试运行。</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2.3货物正常运行时，噪声等环境影响因素满足国家和当地环保主管部门规定，安全措施落实、有效。</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2.5试运行期间或之后无维修、调整等行为（特殊情况除外）。</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2.6货物质量、技术性能等，达到签定的技术标书和合同规定的终验收标准。</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3.终验收基本要求</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3.1按照第二章技术要求第三条内容，明确到具体条款；试验结果要量化、稳定性高、精度高等。</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3.2出现下列问题之一，视作验收失败：</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3.2.1动力电池性能试验台验收时，其参数无法满足招标书中的技术要求。</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3.2.2在整个验收过程中发生关键零部件损坏或重大故障；</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3.2.3一般性故障超过</w:t>
      </w:r>
      <w:r>
        <w:rPr>
          <w:rFonts w:hint="eastAsia" w:ascii="宋体" w:hAnsi="宋体" w:eastAsia="宋体" w:cs="宋体"/>
          <w:color w:val="000000" w:themeColor="text1"/>
          <w:sz w:val="24"/>
          <w:szCs w:val="24"/>
          <w:u w:val="single"/>
          <w:shd w:val="pct10" w:color="auto" w:fill="FFFFFF"/>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次；</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3.2.4更换的零部件货值超过总货值的</w:t>
      </w:r>
      <w:r>
        <w:rPr>
          <w:rFonts w:hint="eastAsia" w:ascii="宋体" w:hAnsi="宋体" w:eastAsia="宋体" w:cs="宋体"/>
          <w:color w:val="000000" w:themeColor="text1"/>
          <w:sz w:val="24"/>
          <w:szCs w:val="24"/>
          <w:u w:val="single"/>
          <w:shd w:val="pct10" w:color="auto" w:fill="FFFFFF"/>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3.3累计负载运行实际性能（或生产率）达不到合同规定；</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highlight w:val="yellow"/>
        </w:rPr>
        <w:t>3.4安装调试交付招标方后接续进行两个月试运行，试运行顺利完成后组织终验收</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3.5终验收原则上要求一次完成。若一次验收不成功，最多允许两次；如果出现第三次验收失败，重新作价或退货；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color w:val="000000"/>
          <w:sz w:val="24"/>
          <w:highlight w:val="yellow"/>
        </w:rPr>
      </w:pPr>
      <w:r>
        <w:rPr>
          <w:rFonts w:hint="eastAsia" w:ascii="宋体" w:hAnsi="宋体" w:eastAsia="宋体" w:cs="宋体"/>
          <w:color w:val="000000"/>
          <w:sz w:val="24"/>
        </w:rPr>
        <w:t>3.6终验收通过后买卖双方共同签署终验收报告，并移交、核对全部供货范围内物品。</w:t>
      </w:r>
    </w:p>
    <w:p>
      <w:pPr>
        <w:pStyle w:val="20"/>
        <w:spacing w:line="360" w:lineRule="auto"/>
        <w:ind w:firstLine="420"/>
        <w:rPr>
          <w:rFonts w:hint="eastAsia" w:hAnsi="宋体" w:eastAsia="宋体"/>
        </w:rPr>
      </w:pPr>
    </w:p>
    <w:p>
      <w:pPr>
        <w:pStyle w:val="20"/>
        <w:ind w:firstLine="420"/>
        <w:rPr>
          <w:rFonts w:hint="eastAsia" w:hAnsi="宋体" w:eastAsia="宋体"/>
        </w:rPr>
      </w:pPr>
    </w:p>
    <w:p>
      <w:pPr>
        <w:pStyle w:val="20"/>
        <w:spacing w:line="360" w:lineRule="auto"/>
        <w:ind w:firstLine="420"/>
      </w:pPr>
    </w:p>
    <w:p>
      <w:pPr>
        <w:pStyle w:val="134"/>
        <w:spacing w:line="360" w:lineRule="auto"/>
        <w:outlineLvl w:val="1"/>
        <w:rPr>
          <w:rFonts w:hint="eastAsia" w:eastAsia="宋体"/>
          <w:b/>
          <w:bCs w:val="0"/>
          <w:iCs/>
          <w:color w:val="auto"/>
          <w:sz w:val="28"/>
        </w:rPr>
      </w:pPr>
      <w:bookmarkStart w:id="46" w:name="_Toc465187647"/>
      <w:r>
        <w:rPr>
          <w:rFonts w:eastAsia="宋体"/>
          <w:b/>
          <w:bCs w:val="0"/>
          <w:iCs/>
          <w:color w:val="auto"/>
          <w:sz w:val="28"/>
        </w:rPr>
        <w:t>第六章  投标技术文件一般要求</w:t>
      </w:r>
      <w:bookmarkEnd w:id="46"/>
    </w:p>
    <w:p>
      <w:pPr>
        <w:pStyle w:val="121"/>
        <w:spacing w:line="360" w:lineRule="auto"/>
        <w:rPr>
          <w:color w:val="auto"/>
        </w:rPr>
      </w:pPr>
      <w:r>
        <w:rPr>
          <w:color w:val="auto"/>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9"/>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6.5本条款表格中的制造商，应当为全称或公认的简称。</w:t>
      </w:r>
    </w:p>
    <w:p>
      <w:pPr>
        <w:pStyle w:val="121"/>
        <w:spacing w:line="360" w:lineRule="auto"/>
        <w:rPr>
          <w:rFonts w:hint="eastAsia"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21"/>
        <w:spacing w:line="360" w:lineRule="auto"/>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2"/>
        <w:spacing w:before="120" w:after="120" w:line="360" w:lineRule="auto"/>
        <w:rPr>
          <w:rFonts w:hint="eastAsia" w:ascii="宋体" w:hAnsi="宋体" w:eastAsia="宋体" w:cs="宋体"/>
          <w:b w:val="0"/>
          <w:sz w:val="24"/>
          <w:szCs w:val="24"/>
        </w:rPr>
        <w:sectPr>
          <w:footerReference r:id="rId10" w:type="first"/>
          <w:footerReference r:id="rId9" w:type="default"/>
          <w:pgSz w:w="11906" w:h="16838"/>
          <w:pgMar w:top="1588" w:right="1418" w:bottom="1134" w:left="1418" w:header="851" w:footer="992" w:gutter="0"/>
          <w:pgNumType w:fmt="numberInDash"/>
          <w:cols w:space="720" w:num="1"/>
          <w:titlePg/>
          <w:docGrid w:linePitch="312" w:charSpace="0"/>
        </w:sectPr>
      </w:pPr>
      <w:bookmarkStart w:id="47" w:name="_Toc465187648"/>
    </w:p>
    <w:p>
      <w:pPr>
        <w:pStyle w:val="134"/>
        <w:outlineLvl w:val="1"/>
        <w:rPr>
          <w:rFonts w:hint="eastAsia"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bookmarkEnd w:id="47"/>
    </w:p>
    <w:p>
      <w:pPr>
        <w:pStyle w:val="121"/>
        <w:spacing w:line="360" w:lineRule="auto"/>
        <w:rPr>
          <w:rFonts w:hint="eastAsia" w:ascii="宋体" w:hAnsi="宋体" w:cs="宋体"/>
          <w:color w:val="auto"/>
        </w:rPr>
      </w:pPr>
      <w:r>
        <w:rPr>
          <w:rFonts w:hint="eastAsia" w:ascii="宋体" w:hAnsi="宋体" w:cs="宋体"/>
          <w:color w:val="auto"/>
        </w:rPr>
        <w:t>一、要求</w:t>
      </w:r>
    </w:p>
    <w:p>
      <w:pPr>
        <w:pStyle w:val="23"/>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21"/>
        <w:spacing w:line="360" w:lineRule="auto"/>
      </w:pPr>
      <w:r>
        <w:rPr>
          <w:rFonts w:hint="eastAsia" w:ascii="宋体" w:hAnsi="宋体" w:cs="宋体"/>
          <w:color w:val="auto"/>
        </w:rPr>
        <w:t>二、其他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pStyle w:val="20"/>
        <w:tabs>
          <w:tab w:val="left" w:pos="1027"/>
        </w:tabs>
        <w:rPr>
          <w:rFonts w:hint="eastAsia" w:hAnsi="宋体" w:eastAsia="宋体" w:cs="宋体"/>
          <w:sz w:val="24"/>
          <w:szCs w:val="24"/>
        </w:rPr>
      </w:pPr>
      <w:r>
        <w:rPr>
          <w:rFonts w:hint="eastAsia"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widowControl/>
        <w:jc w:val="left"/>
        <w:rPr>
          <w:rFonts w:hint="eastAsia" w:ascii="宋体" w:hAnsi="宋体" w:eastAsia="宋体" w:cs="Times New Roman"/>
          <w:b/>
          <w:color w:val="000000"/>
          <w:sz w:val="24"/>
          <w:szCs w:val="24"/>
        </w:rPr>
      </w:pPr>
      <w:r>
        <w:rPr>
          <w:rFonts w:hAnsi="宋体" w:eastAsia="宋体" w:cs="Times New Roman"/>
          <w:b/>
          <w:color w:val="000000"/>
          <w:sz w:val="24"/>
          <w:szCs w:val="24"/>
        </w:rPr>
        <w:br w:type="page"/>
      </w:r>
    </w:p>
    <w:p>
      <w:pPr>
        <w:pStyle w:val="20"/>
      </w:pPr>
    </w:p>
    <w:p>
      <w:pPr>
        <w:spacing w:line="360" w:lineRule="auto"/>
        <w:jc w:val="center"/>
        <w:outlineLvl w:val="0"/>
        <w:rPr>
          <w:rFonts w:ascii="宋体" w:hAnsi="Calibri" w:eastAsia="宋体" w:cs="Times New Roman"/>
          <w:b/>
          <w:sz w:val="36"/>
          <w:szCs w:val="36"/>
        </w:rPr>
      </w:pPr>
      <w:bookmarkStart w:id="48"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8"/>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20"/>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hint="eastAsia" w:ascii="宋体" w:hAnsi="宋体" w:cs="宋体"/>
          <w:bCs/>
          <w:sz w:val="24"/>
          <w:u w:val="single"/>
        </w:rPr>
      </w:pPr>
      <w:r>
        <w:rPr>
          <w:rFonts w:hint="eastAsia" w:ascii="宋体" w:hAnsi="宋体" w:cs="宋体"/>
          <w:bCs/>
          <w:sz w:val="24"/>
        </w:rPr>
        <w:t xml:space="preserve">                                       </w:t>
      </w:r>
    </w:p>
    <w:p>
      <w:pPr>
        <w:spacing w:line="360" w:lineRule="auto"/>
        <w:rPr>
          <w:rFonts w:hint="eastAsia" w:ascii="宋体" w:hAnsi="宋体" w:cs="宋体"/>
          <w:bCs/>
          <w:sz w:val="22"/>
        </w:rPr>
        <w:sectPr>
          <w:headerReference r:id="rId11" w:type="default"/>
          <w:footerReference r:id="rId12" w:type="default"/>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49" w:name="_Toc3778"/>
      <w:bookmarkStart w:id="50" w:name="_Toc24623"/>
      <w:bookmarkStart w:id="51" w:name="_Toc16330037"/>
      <w:bookmarkStart w:id="52" w:name="_Toc25120"/>
      <w:bookmarkStart w:id="53" w:name="_Toc5379"/>
      <w:bookmarkStart w:id="54"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 合同设备</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2 包装</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3 运输标记</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4 检验</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5 权利担保</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6 交货</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hint="eastAsia"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7 安装、调试</w:t>
      </w:r>
    </w:p>
    <w:p>
      <w:pPr>
        <w:pStyle w:val="13"/>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8 价款与支付</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8.3.1合同生效签订后, 卖方提交金额为合同含税价款30 %的收据及合同金额30%的增值税专用发票（税率为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8.3.2设备全部到齐无质量问题，经安装、调试最终验收合格后，卖方提交金额为合同含税价款60 %的收据及合同金额70%增值税专用发票（税率为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10法定责任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11 违约责任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13 不可抗力</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14 通讯</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312" w:beforeLines="100"/>
        <w:rPr>
          <w:rFonts w:hint="eastAsia"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16 附件</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17 其他规定</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hint="eastAsia" w:asciiTheme="minorEastAsia" w:hAnsiTheme="minorEastAsia" w:cstheme="minorEastAsia"/>
          <w:sz w:val="20"/>
          <w:szCs w:val="20"/>
        </w:rPr>
      </w:pPr>
      <w:r>
        <w:rPr>
          <w:rFonts w:hint="eastAsia"/>
        </w:rPr>
        <w:t xml:space="preserve">    </w:t>
      </w:r>
    </w:p>
    <w:p>
      <w:pPr>
        <w:spacing w:line="360" w:lineRule="auto"/>
        <w:rPr>
          <w:rFonts w:hint="eastAsia" w:ascii="宋体" w:hAnsi="宋体"/>
          <w:snapToGrid w:val="0"/>
          <w:kern w:val="0"/>
          <w:sz w:val="20"/>
          <w:szCs w:val="20"/>
          <w:lang w:eastAsia="zh-Hans"/>
        </w:rPr>
      </w:pPr>
    </w:p>
    <w:p>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hint="eastAsia" w:ascii="仿宋_GB2312" w:eastAsia="仿宋_GB2312"/>
          <w:sz w:val="24"/>
          <w:szCs w:val="24"/>
        </w:rPr>
      </w:pPr>
    </w:p>
    <w:p>
      <w:pPr>
        <w:pStyle w:val="3"/>
        <w:tabs>
          <w:tab w:val="right" w:leader="dot" w:pos="9061"/>
        </w:tabs>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jc w:val="center"/>
        </w:trPr>
        <w:tc>
          <w:tcPr>
            <w:tcW w:w="989"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9"/>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rPr>
          <w:rFonts w:hint="eastAsia" w:ascii="等线" w:hAnsi="等线" w:eastAsia="等线" w:cs="等线"/>
          <w:sz w:val="20"/>
          <w:szCs w:val="20"/>
        </w:rPr>
      </w:pPr>
      <w:r>
        <w:rPr>
          <w:rFonts w:hint="eastAsia" w:ascii="等线" w:hAnsi="等线" w:eastAsia="等线" w:cs="等线"/>
          <w:sz w:val="20"/>
          <w:szCs w:val="20"/>
        </w:rPr>
        <w:br w:type="page"/>
      </w:r>
    </w:p>
    <w:p>
      <w:pPr>
        <w:pStyle w:val="3"/>
        <w:tabs>
          <w:tab w:val="right" w:leader="dot" w:pos="9061"/>
        </w:tabs>
        <w:rPr>
          <w:rFonts w:hint="eastAsia" w:ascii="黑体" w:hAnsi="黑体" w:eastAsia="黑体" w:cs="等线"/>
          <w:b w:val="0"/>
          <w:i/>
          <w:sz w:val="28"/>
          <w:szCs w:val="28"/>
        </w:rPr>
      </w:pPr>
      <w:r>
        <w:rPr>
          <w:rFonts w:hint="eastAsia" w:ascii="黑体" w:hAnsi="黑体" w:eastAsia="黑体" w:cs="等线"/>
          <w:b w:val="0"/>
          <w:sz w:val="28"/>
          <w:szCs w:val="28"/>
        </w:rPr>
        <w:t xml:space="preserve">附件二 </w:t>
      </w:r>
      <w:bookmarkEnd w:id="49"/>
      <w:bookmarkEnd w:id="50"/>
      <w:bookmarkEnd w:id="51"/>
      <w:bookmarkEnd w:id="52"/>
      <w:bookmarkEnd w:id="53"/>
      <w:r>
        <w:rPr>
          <w:rFonts w:hint="eastAsia" w:ascii="黑体" w:hAnsi="黑体" w:eastAsia="黑体" w:cs="等线"/>
          <w:b w:val="0"/>
          <w:sz w:val="28"/>
          <w:szCs w:val="28"/>
        </w:rPr>
        <w:t>技术协议书</w:t>
      </w:r>
    </w:p>
    <w:p>
      <w:pPr>
        <w:ind w:right="360"/>
        <w:rPr>
          <w:rFonts w:hint="eastAsia" w:ascii="等线" w:hAnsi="等线" w:eastAsia="等线" w:cs="等线"/>
          <w:sz w:val="20"/>
          <w:szCs w:val="20"/>
        </w:rPr>
      </w:pPr>
    </w:p>
    <w:p>
      <w:pPr>
        <w:jc w:val="right"/>
        <w:rPr>
          <w:rFonts w:hint="eastAsia" w:asciiTheme="minorEastAsia" w:hAnsiTheme="minorEastAsia" w:cstheme="minorEastAsia"/>
          <w:sz w:val="20"/>
          <w:szCs w:val="20"/>
        </w:rPr>
      </w:pPr>
    </w:p>
    <w:p>
      <w:pPr>
        <w:jc w:val="right"/>
        <w:rPr>
          <w:rFonts w:hint="eastAsia" w:asciiTheme="minorEastAsia" w:hAnsiTheme="minorEastAsia" w:cstheme="minorEastAsia"/>
          <w:sz w:val="20"/>
          <w:szCs w:val="20"/>
        </w:rPr>
      </w:pPr>
    </w:p>
    <w:p>
      <w:pPr>
        <w:jc w:val="right"/>
        <w:rPr>
          <w:rFonts w:hint="eastAsia" w:asciiTheme="minorEastAsia" w:hAnsiTheme="minorEastAsia" w:cstheme="minorEastAsia"/>
          <w:sz w:val="20"/>
          <w:szCs w:val="20"/>
        </w:rPr>
      </w:pPr>
      <w:r>
        <w:rPr>
          <w:rFonts w:hint="eastAsia" w:asciiTheme="minorEastAsia" w:hAnsiTheme="minorEastAsia" w:cstheme="minorEastAsia"/>
          <w:sz w:val="20"/>
          <w:szCs w:val="20"/>
        </w:rPr>
        <w:t xml:space="preserve">                                      </w:t>
      </w:r>
    </w:p>
    <w:p>
      <w:pPr>
        <w:jc w:val="right"/>
        <w:rPr>
          <w:rFonts w:hint="eastAsia" w:asciiTheme="minorEastAsia" w:hAnsiTheme="minorEastAsia" w:cstheme="minorEastAsia"/>
          <w:sz w:val="20"/>
          <w:szCs w:val="20"/>
        </w:rPr>
      </w:pPr>
    </w:p>
    <w:p>
      <w:pPr>
        <w:wordWrap w:val="0"/>
        <w:ind w:right="480"/>
        <w:rPr>
          <w:rFonts w:hint="eastAsia" w:asciiTheme="minorEastAsia" w:hAnsiTheme="minorEastAsia" w:cstheme="minorEastAsia"/>
          <w:sz w:val="20"/>
          <w:szCs w:val="20"/>
        </w:rPr>
      </w:pPr>
    </w:p>
    <w:p>
      <w:pPr>
        <w:jc w:val="right"/>
        <w:rPr>
          <w:rFonts w:hint="eastAsia" w:ascii="楷体_GB2312" w:hAnsi="宋体" w:eastAsia="楷体_GB2312"/>
          <w:sz w:val="24"/>
        </w:rPr>
      </w:pPr>
      <w:bookmarkStart w:id="55" w:name="_Toc14341849"/>
    </w:p>
    <w:p>
      <w:pPr>
        <w:ind w:right="480"/>
        <w:jc w:val="center"/>
        <w:rPr>
          <w:rFonts w:hint="eastAsia"/>
          <w:sz w:val="24"/>
          <w:szCs w:val="24"/>
        </w:rPr>
      </w:pPr>
      <w:r>
        <w:rPr>
          <w:rFonts w:hint="eastAsia" w:ascii="楷体_GB2312" w:hAnsi="宋体" w:eastAsia="楷体_GB2312"/>
          <w:sz w:val="24"/>
        </w:rPr>
        <w:t xml:space="preserve">                                    </w:t>
      </w:r>
    </w:p>
    <w:bookmarkEnd w:id="55"/>
    <w:p>
      <w:pPr>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pPr>
        <w:spacing w:before="118"/>
        <w:ind w:right="30"/>
        <w:jc w:val="center"/>
        <w:outlineLvl w:val="1"/>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5"/>
        <w:spacing w:before="8" w:after="156"/>
        <w:rPr>
          <w:rFonts w:hint="eastAsia" w:ascii="楷体" w:hAnsi="楷体" w:eastAsia="楷体" w:cs="楷体"/>
          <w:sz w:val="44"/>
          <w:szCs w:val="28"/>
        </w:rPr>
      </w:pPr>
    </w:p>
    <w:p>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监察部门检举并提供证据。</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5"/>
        <w:spacing w:before="9" w:after="156"/>
        <w:rPr>
          <w:rFonts w:hint="eastAsia" w:ascii="楷体" w:hAnsi="楷体" w:eastAsia="楷体" w:cs="楷体"/>
          <w:sz w:val="40"/>
          <w:szCs w:val="28"/>
        </w:rPr>
      </w:pPr>
    </w:p>
    <w:p>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5"/>
        <w:spacing w:after="156"/>
        <w:rPr>
          <w:rFonts w:hint="eastAsia" w:ascii="楷体" w:hAnsi="楷体" w:eastAsia="楷体" w:cs="楷体"/>
          <w:b/>
          <w:sz w:val="24"/>
          <w:szCs w:val="28"/>
        </w:rPr>
      </w:pPr>
    </w:p>
    <w:p>
      <w:pPr>
        <w:pStyle w:val="15"/>
        <w:spacing w:before="1" w:after="156"/>
        <w:rPr>
          <w:rFonts w:hint="eastAsia" w:ascii="楷体" w:hAnsi="楷体" w:eastAsia="楷体" w:cs="楷体"/>
          <w:b/>
          <w:sz w:val="24"/>
          <w:szCs w:val="28"/>
        </w:rPr>
      </w:pPr>
    </w:p>
    <w:p>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5"/>
        <w:spacing w:after="156"/>
        <w:rPr>
          <w:rFonts w:hint="eastAsia" w:ascii="楷体" w:hAnsi="楷体" w:eastAsia="楷体" w:cs="楷体"/>
          <w:b/>
          <w:sz w:val="24"/>
          <w:szCs w:val="28"/>
        </w:rPr>
      </w:pPr>
    </w:p>
    <w:p>
      <w:pPr>
        <w:pStyle w:val="15"/>
        <w:spacing w:before="4" w:after="156"/>
        <w:rPr>
          <w:rFonts w:hint="eastAsia" w:ascii="楷体" w:hAnsi="楷体" w:eastAsia="楷体" w:cs="楷体"/>
          <w:b/>
          <w:sz w:val="24"/>
          <w:szCs w:val="28"/>
        </w:rPr>
      </w:pPr>
    </w:p>
    <w:p>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rPr>
          <w:rFonts w:hint="eastAsia" w:eastAsia="仿宋" w:cs="Times New Roman"/>
          <w:b/>
          <w:szCs w:val="21"/>
        </w:r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54"/>
    </w:p>
    <w:p>
      <w:pPr>
        <w:keepNext/>
        <w:keepLines/>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0"/>
        <w:rPr>
          <w:rFonts w:ascii="Times New Roman" w:hAnsi="Times New Roman" w:eastAsia="宋体" w:cs="Times New Roman"/>
          <w:b/>
          <w:bCs/>
          <w:color w:val="000000"/>
          <w:sz w:val="24"/>
          <w:szCs w:val="24"/>
        </w:rPr>
        <w:sectPr>
          <w:footerReference r:id="rId15" w:type="first"/>
          <w:headerReference r:id="rId13" w:type="defaul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6" w:name="_Toc25811"/>
      <w:bookmarkStart w:id="57" w:name="_Toc353881012"/>
      <w:bookmarkStart w:id="58" w:name="_Toc639004"/>
      <w:bookmarkStart w:id="59"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6"/>
      <w:bookmarkEnd w:id="57"/>
      <w:bookmarkEnd w:id="58"/>
      <w:bookmarkEnd w:id="59"/>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u w:val="single"/>
        </w:rPr>
        <w:t>1000kW级电池系统试验台项目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yellow"/>
          <w:u w:val="single"/>
        </w:rPr>
        <w:t>1000kW级电池系统试验台项目</w:t>
      </w:r>
      <w:r>
        <w:rPr>
          <w:rFonts w:hint="eastAsia" w:ascii="宋体" w:hAnsi="宋体" w:eastAsia="宋体" w:cs="Times New Roman"/>
          <w:b/>
          <w:bCs/>
          <w:color w:val="000000"/>
          <w:sz w:val="24"/>
          <w:szCs w:val="24"/>
          <w:highlight w:val="yellow"/>
        </w:rPr>
        <w:t>（</w:t>
      </w:r>
      <w:r>
        <w:rPr>
          <w:rFonts w:hint="eastAsia" w:ascii="宋体" w:hAnsi="宋体" w:eastAsia="宋体" w:cs="宋体"/>
          <w:b/>
          <w:bCs/>
          <w:sz w:val="24"/>
          <w:szCs w:val="24"/>
          <w:highlight w:val="yellow"/>
          <w:u w:val="single"/>
        </w:rPr>
        <w:t>CGZX2025040148</w:t>
      </w:r>
      <w:r>
        <w:rPr>
          <w:rFonts w:hint="eastAsia" w:ascii="宋体" w:hAnsi="宋体" w:eastAsia="宋体" w:cs="Times New Roman"/>
          <w:b/>
          <w:bCs/>
          <w:color w:val="000000"/>
          <w:sz w:val="24"/>
          <w:szCs w:val="24"/>
          <w:highlight w:val="yellow"/>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rPr>
                <w:rFonts w:hint="eastAsia"/>
              </w:rPr>
            </w:pPr>
            <w:r>
              <w:t xml:space="preserve">品牌区分 </w:t>
            </w:r>
          </w:p>
        </w:tc>
        <w:tc>
          <w:tcPr>
            <w:tcW w:w="7500" w:type="dxa"/>
            <w:gridSpan w:val="6"/>
          </w:tcPr>
          <w:p>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3"/>
              <w:spacing w:before="15"/>
              <w:ind w:left="279"/>
              <w:rPr>
                <w:rFonts w:hint="eastAsia"/>
              </w:rPr>
            </w:pPr>
            <w:r>
              <w:rPr>
                <w:spacing w:val="-2"/>
              </w:rPr>
              <w:t>质量</w:t>
            </w:r>
            <w:r>
              <w:t xml:space="preserve"> </w:t>
            </w:r>
          </w:p>
          <w:p>
            <w:pPr>
              <w:pStyle w:val="133"/>
              <w:spacing w:before="30" w:line="277" w:lineRule="exact"/>
              <w:ind w:left="279"/>
              <w:rPr>
                <w:rFonts w:hint="eastAsia"/>
              </w:rPr>
            </w:pPr>
            <w:r>
              <w:rPr>
                <w:rFonts w:hint="eastAsia"/>
              </w:rPr>
              <w:t>体系</w:t>
            </w:r>
          </w:p>
        </w:tc>
        <w:tc>
          <w:tcPr>
            <w:tcW w:w="2820" w:type="dxa"/>
            <w:gridSpan w:val="2"/>
          </w:tcPr>
          <w:p>
            <w:pPr>
              <w:pStyle w:val="133"/>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pStyle w:val="20"/>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rPr>
        <w:t>1000kW级电池系统试验台项目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1000kW级电池系统试验台项目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pPr>
              <w:spacing w:before="98" w:line="185" w:lineRule="auto"/>
              <w:ind w:left="51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pPr>
              <w:spacing w:before="100" w:line="182" w:lineRule="auto"/>
              <w:ind w:left="798"/>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pPr>
              <w:spacing w:before="100" w:line="182" w:lineRule="auto"/>
              <w:ind w:left="1007"/>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pPr>
              <w:spacing w:before="99" w:line="183"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608"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tcPr>
          <w:p>
            <w:pPr>
              <w:pStyle w:val="128"/>
              <w:spacing w:before="60" w:after="60" w:line="240" w:lineRule="auto"/>
              <w:jc w:val="center"/>
              <w:rPr>
                <w:rFonts w:hint="eastAsia" w:ascii="宋体" w:hAnsi="宋体" w:eastAsia="宋体" w:cs="宋体"/>
                <w:b/>
                <w:bCs/>
                <w:sz w:val="24"/>
              </w:rPr>
            </w:pPr>
            <w:r>
              <w:rPr>
                <w:rFonts w:hint="eastAsia" w:ascii="宋体" w:hAnsi="宋体" w:eastAsia="宋体"/>
                <w:b/>
                <w:bCs/>
                <w:sz w:val="24"/>
              </w:rPr>
              <w:t>一</w:t>
            </w:r>
          </w:p>
        </w:tc>
        <w:tc>
          <w:tcPr>
            <w:tcW w:w="2471" w:type="dxa"/>
          </w:tcPr>
          <w:p>
            <w:pPr>
              <w:widowControl/>
              <w:jc w:val="center"/>
              <w:textAlignment w:val="center"/>
              <w:rPr>
                <w:rFonts w:hint="eastAsia" w:ascii="宋体" w:hAnsi="宋体" w:eastAsia="宋体" w:cs="宋体"/>
                <w:b/>
                <w:bCs/>
                <w:sz w:val="24"/>
                <w:szCs w:val="24"/>
              </w:rPr>
            </w:pPr>
            <w:r>
              <w:rPr>
                <w:rFonts w:hint="eastAsia" w:ascii="宋体" w:hAnsi="宋体" w:eastAsia="宋体"/>
                <w:b/>
                <w:bCs/>
                <w:sz w:val="24"/>
                <w:szCs w:val="24"/>
              </w:rPr>
              <w:t>1000KW充放电设备</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1.1</w:t>
            </w:r>
          </w:p>
        </w:tc>
        <w:tc>
          <w:tcPr>
            <w:tcW w:w="2471"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AFE</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1.2</w:t>
            </w:r>
          </w:p>
        </w:tc>
        <w:tc>
          <w:tcPr>
            <w:tcW w:w="2471"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IVC</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1.3</w:t>
            </w:r>
          </w:p>
        </w:tc>
        <w:tc>
          <w:tcPr>
            <w:tcW w:w="2471"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功率线缆</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1.4</w:t>
            </w:r>
          </w:p>
        </w:tc>
        <w:tc>
          <w:tcPr>
            <w:tcW w:w="2471"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输入线缆</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1.5</w:t>
            </w:r>
          </w:p>
        </w:tc>
        <w:tc>
          <w:tcPr>
            <w:tcW w:w="2471"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上位机</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1.6</w:t>
            </w:r>
          </w:p>
        </w:tc>
        <w:tc>
          <w:tcPr>
            <w:tcW w:w="2471"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软件</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1.7</w:t>
            </w:r>
          </w:p>
        </w:tc>
        <w:tc>
          <w:tcPr>
            <w:tcW w:w="2471"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计量</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1.8</w:t>
            </w:r>
          </w:p>
        </w:tc>
        <w:tc>
          <w:tcPr>
            <w:tcW w:w="2471"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其他</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b/>
                <w:sz w:val="24"/>
                <w:szCs w:val="24"/>
              </w:rPr>
            </w:pPr>
            <w:r>
              <w:rPr>
                <w:rFonts w:hint="eastAsia" w:ascii="宋体" w:hAnsi="宋体" w:eastAsia="宋体" w:cs="仿宋_GB2312"/>
                <w:b/>
                <w:color w:val="000000"/>
                <w:kern w:val="0"/>
                <w:sz w:val="24"/>
                <w:szCs w:val="24"/>
                <w:lang w:bidi="ar"/>
              </w:rPr>
              <w:t>二</w:t>
            </w:r>
          </w:p>
        </w:tc>
        <w:tc>
          <w:tcPr>
            <w:tcW w:w="2471" w:type="dxa"/>
            <w:vAlign w:val="center"/>
          </w:tcPr>
          <w:p>
            <w:pPr>
              <w:widowControl/>
              <w:jc w:val="center"/>
              <w:textAlignment w:val="center"/>
              <w:rPr>
                <w:rFonts w:hint="eastAsia" w:ascii="宋体" w:hAnsi="宋体" w:eastAsia="宋体" w:cs="宋体"/>
                <w:b/>
                <w:sz w:val="24"/>
                <w:szCs w:val="24"/>
              </w:rPr>
            </w:pPr>
            <w:r>
              <w:rPr>
                <w:rFonts w:hint="eastAsia" w:ascii="宋体" w:hAnsi="宋体" w:eastAsia="宋体" w:cs="仿宋_GB2312"/>
                <w:b/>
                <w:color w:val="000000"/>
                <w:kern w:val="0"/>
                <w:sz w:val="24"/>
                <w:szCs w:val="24"/>
                <w:lang w:bidi="ar"/>
              </w:rPr>
              <w:t>30立方步入式环境舱</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2.1</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不锈钢板</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2.2</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不锈钢板</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2.3</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烤漆板</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2.4</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保温材料</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2.5</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压缩机</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2.6</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减震管</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2.7</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油分</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2.8</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板式换热器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2.9</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水冷凝器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2.10 </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干燥过滤器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2.11</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电磁阀</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2.12</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膨胀阀</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2.13 </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压力传感阀</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2.14</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安全阀</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2.15</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制冷剂</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2.16 </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制冷剂</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2.17</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铜管等各种制冷辅件</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2.18</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铜管等各种制冷辅件</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2.19 </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铜管等各种制冷辅件</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2.20</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接头、弯头、压力表等</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2.21</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方管焊接机组架</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2.22 </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方管焊接机组架烤漆</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2.23</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触摸屏控制器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2.24</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PLC</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2.25 </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直流电源</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2.26</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(漏电)断路器等</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2.27</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相序保护器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2.28 </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交流接触器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2.29</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电机启动器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2.30</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中间继电器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2.31 </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电热器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2.32</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加湿器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2.33</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电容式湿度传感器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2.34 </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H2、CO、CO2浓度检测系统</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2.35</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主控机</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2.36</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UPS电源</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b/>
                <w:bCs/>
                <w:sz w:val="24"/>
                <w:szCs w:val="24"/>
              </w:rPr>
            </w:pPr>
            <w:r>
              <w:rPr>
                <w:rFonts w:hint="eastAsia" w:ascii="宋体" w:hAnsi="宋体" w:eastAsia="宋体" w:cs="仿宋_GB2312"/>
                <w:bCs/>
                <w:color w:val="000000"/>
                <w:kern w:val="0"/>
                <w:sz w:val="24"/>
                <w:szCs w:val="24"/>
                <w:lang w:bidi="ar"/>
              </w:rPr>
              <w:t xml:space="preserve">2.37 </w:t>
            </w:r>
          </w:p>
        </w:tc>
        <w:tc>
          <w:tcPr>
            <w:tcW w:w="2471" w:type="dxa"/>
            <w:vAlign w:val="center"/>
          </w:tcPr>
          <w:p>
            <w:pPr>
              <w:widowControl/>
              <w:jc w:val="left"/>
              <w:textAlignment w:val="center"/>
              <w:rPr>
                <w:rFonts w:hint="eastAsia" w:ascii="宋体" w:hAnsi="宋体" w:eastAsia="宋体" w:cs="宋体"/>
                <w:b/>
                <w:bCs/>
                <w:sz w:val="24"/>
                <w:szCs w:val="24"/>
              </w:rPr>
            </w:pPr>
            <w:r>
              <w:rPr>
                <w:rFonts w:hint="eastAsia" w:ascii="宋体" w:hAnsi="宋体" w:eastAsia="宋体" w:cs="仿宋_GB2312"/>
                <w:bCs/>
                <w:color w:val="000000"/>
                <w:kern w:val="0"/>
                <w:sz w:val="24"/>
                <w:szCs w:val="24"/>
                <w:lang w:bidi="ar"/>
              </w:rPr>
              <w:t>视频监控系统</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2.38</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控制软件</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2.39</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数据分析和程序刷写设备</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2.40 </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数据便携采集和标定设备</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2.41</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数据监控设备</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2.42</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加工、组装、管理费用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2.43 </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包装、运输、保险费用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2.44</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安装调试、培训费用、技术服务费</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2.45</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利润、税费、杂费</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2.46 </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计量</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b/>
                <w:sz w:val="24"/>
                <w:szCs w:val="24"/>
              </w:rPr>
            </w:pPr>
            <w:r>
              <w:rPr>
                <w:rFonts w:hint="eastAsia" w:ascii="宋体" w:hAnsi="宋体" w:eastAsia="宋体" w:cs="仿宋_GB2312"/>
                <w:b/>
                <w:color w:val="000000"/>
                <w:kern w:val="0"/>
                <w:sz w:val="24"/>
                <w:szCs w:val="24"/>
                <w:lang w:bidi="ar"/>
              </w:rPr>
              <w:t>三</w:t>
            </w:r>
          </w:p>
        </w:tc>
        <w:tc>
          <w:tcPr>
            <w:tcW w:w="2471" w:type="dxa"/>
            <w:vAlign w:val="center"/>
          </w:tcPr>
          <w:p>
            <w:pPr>
              <w:widowControl/>
              <w:jc w:val="center"/>
              <w:textAlignment w:val="center"/>
              <w:rPr>
                <w:rFonts w:hint="eastAsia" w:ascii="宋体" w:hAnsi="宋体" w:eastAsia="宋体" w:cs="宋体"/>
                <w:b/>
                <w:sz w:val="24"/>
                <w:szCs w:val="24"/>
              </w:rPr>
            </w:pPr>
            <w:r>
              <w:rPr>
                <w:rFonts w:hint="eastAsia" w:ascii="宋体" w:hAnsi="宋体" w:eastAsia="宋体" w:cs="仿宋_GB2312"/>
                <w:b/>
                <w:color w:val="000000"/>
                <w:kern w:val="0"/>
                <w:sz w:val="24"/>
                <w:szCs w:val="24"/>
                <w:lang w:bidi="ar"/>
              </w:rPr>
              <w:t>液冷设备</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3.1</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压缩机</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3.2</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制冷泵</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3.3</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外循环泵（变频泵）</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b/>
                <w:bCs/>
                <w:sz w:val="24"/>
                <w:szCs w:val="24"/>
              </w:rPr>
            </w:pPr>
            <w:r>
              <w:rPr>
                <w:rFonts w:hint="eastAsia" w:ascii="宋体" w:hAnsi="宋体" w:eastAsia="宋体" w:cs="仿宋_GB2312"/>
                <w:bCs/>
                <w:color w:val="000000"/>
                <w:kern w:val="0"/>
                <w:sz w:val="24"/>
                <w:szCs w:val="24"/>
                <w:lang w:bidi="ar"/>
              </w:rPr>
              <w:t>3.4</w:t>
            </w:r>
          </w:p>
        </w:tc>
        <w:tc>
          <w:tcPr>
            <w:tcW w:w="2471" w:type="dxa"/>
            <w:vAlign w:val="center"/>
          </w:tcPr>
          <w:p>
            <w:pPr>
              <w:widowControl/>
              <w:jc w:val="center"/>
              <w:textAlignment w:val="center"/>
              <w:rPr>
                <w:rFonts w:hint="eastAsia" w:ascii="宋体" w:hAnsi="宋体" w:eastAsia="宋体" w:cs="宋体"/>
                <w:b/>
                <w:bCs/>
                <w:sz w:val="24"/>
                <w:szCs w:val="24"/>
              </w:rPr>
            </w:pPr>
            <w:r>
              <w:rPr>
                <w:rFonts w:hint="eastAsia" w:ascii="宋体" w:hAnsi="宋体" w:eastAsia="宋体" w:cs="仿宋_GB2312"/>
                <w:bCs/>
                <w:color w:val="000000"/>
                <w:kern w:val="0"/>
                <w:sz w:val="24"/>
                <w:szCs w:val="24"/>
                <w:lang w:bidi="ar"/>
              </w:rPr>
              <w:t>板式换热器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3.5</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流量传感器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3.6</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温度传感器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3.7</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压力传感器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3.8</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液位传感器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3.9</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制冷件</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3.10</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机箱</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3.11</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电器件</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3.12</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封闭式散热器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3.13</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计量</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3.14</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温度工装</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3.15</w:t>
            </w:r>
          </w:p>
        </w:tc>
        <w:tc>
          <w:tcPr>
            <w:tcW w:w="2471"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安装调试、培训（包含材料）</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471" w:type="dxa"/>
            <w:vAlign w:val="center"/>
          </w:tcPr>
          <w:p>
            <w:pPr>
              <w:widowControl/>
              <w:jc w:val="left"/>
              <w:textAlignment w:val="center"/>
              <w:rPr>
                <w:rFonts w:hint="eastAsia" w:ascii="宋体" w:hAnsi="宋体" w:eastAsia="宋体" w:cs="宋体"/>
                <w:sz w:val="24"/>
                <w:szCs w:val="24"/>
              </w:rPr>
            </w:pPr>
            <w:r>
              <w:rPr>
                <w:rFonts w:ascii="宋体" w:hAnsi="宋体" w:eastAsia="宋体" w:cs="宋体"/>
                <w:sz w:val="24"/>
                <w:szCs w:val="24"/>
              </w:rPr>
              <w:t>如有其他，可根据技术方案特点自行添加</w:t>
            </w:r>
          </w:p>
        </w:tc>
        <w:tc>
          <w:tcPr>
            <w:tcW w:w="2472" w:type="dxa"/>
          </w:tcPr>
          <w:p>
            <w:pPr>
              <w:rPr>
                <w:rFonts w:hint="eastAsia" w:ascii="Arial"/>
              </w:rPr>
            </w:pPr>
          </w:p>
        </w:tc>
        <w:tc>
          <w:tcPr>
            <w:tcW w:w="1474" w:type="dxa"/>
          </w:tcPr>
          <w:p>
            <w:pPr>
              <w:rPr>
                <w:rFonts w:hint="eastAsia" w:ascii="Arial"/>
              </w:rPr>
            </w:pPr>
          </w:p>
        </w:tc>
        <w:tc>
          <w:tcPr>
            <w:tcW w:w="2014" w:type="dxa"/>
          </w:tcPr>
          <w:p>
            <w:pPr>
              <w:rPr>
                <w:rFonts w:hint="eastAsia" w:ascii="Arial"/>
              </w:rPr>
            </w:pPr>
          </w:p>
        </w:tc>
        <w:tc>
          <w:tcPr>
            <w:tcW w:w="2608" w:type="dxa"/>
            <w:tcBorders>
              <w:left w:val="single" w:color="000000" w:sz="4" w:space="0"/>
            </w:tcBorders>
          </w:tcPr>
          <w:p>
            <w:pPr>
              <w:rPr>
                <w:rFonts w:hint="eastAsia" w:ascii="Arial"/>
              </w:rPr>
            </w:pPr>
          </w:p>
        </w:tc>
        <w:tc>
          <w:tcPr>
            <w:tcW w:w="1496"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105" w:lineRule="exact"/>
        <w:rPr>
          <w:rFonts w:hint="eastAsia"/>
        </w:rPr>
      </w:pPr>
    </w:p>
    <w:p>
      <w:pPr>
        <w:rPr>
          <w:rFonts w:hint="eastAsia" w:eastAsia="宋体"/>
        </w:rPr>
        <w:sectPr>
          <w:footerReference r:id="rId22"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rPr>
        <w:t>本项目全生命周期内备品备件、易损件和专用耗材明细表</w:t>
      </w:r>
    </w:p>
    <w:p>
      <w:pPr>
        <w:adjustRightInd w:val="0"/>
        <w:snapToGrid w:val="0"/>
        <w:spacing w:line="360" w:lineRule="auto"/>
        <w:rPr>
          <w:rFonts w:hint="eastAsia" w:ascii="宋体" w:hAnsi="宋体" w:eastAsia="宋体" w:cs="宋体"/>
          <w:b/>
          <w:bCs/>
          <w:sz w:val="24"/>
          <w:szCs w:val="24"/>
          <w:highlight w:val="yellow"/>
        </w:rPr>
      </w:pPr>
    </w:p>
    <w:p>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品牌</w:t>
            </w:r>
          </w:p>
        </w:tc>
        <w:tc>
          <w:tcPr>
            <w:tcW w:w="138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84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市场价</w:t>
            </w:r>
          </w:p>
        </w:tc>
        <w:tc>
          <w:tcPr>
            <w:tcW w:w="164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重汽折扣价</w:t>
            </w:r>
          </w:p>
        </w:tc>
        <w:tc>
          <w:tcPr>
            <w:tcW w:w="197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bl>
    <w:p>
      <w:pPr>
        <w:spacing w:before="78" w:line="219" w:lineRule="auto"/>
        <w:ind w:left="431"/>
        <w:rPr>
          <w:rFonts w:hint="eastAsia" w:ascii="宋体" w:hAnsi="宋体" w:eastAsia="宋体" w:cs="宋体"/>
          <w:spacing w:val="-6"/>
          <w:szCs w:val="21"/>
        </w:rPr>
      </w:pPr>
    </w:p>
    <w:p>
      <w:pPr>
        <w:spacing w:line="240" w:lineRule="atLeast"/>
        <w:rPr>
          <w:rFonts w:hint="eastAsia" w:ascii="宋体" w:hAnsi="宋体" w:eastAsia="宋体" w:cs="宋体"/>
          <w:kern w:val="0"/>
          <w:sz w:val="24"/>
          <w:szCs w:val="20"/>
        </w:rPr>
      </w:pPr>
      <w:r>
        <w:rPr>
          <w:rFonts w:hint="eastAsia" w:ascii="宋体" w:hAnsi="宋体" w:eastAsia="宋体" w:cs="宋体"/>
          <w:kern w:val="0"/>
          <w:sz w:val="24"/>
          <w:szCs w:val="20"/>
        </w:rPr>
        <w:t>注：必须提供本项目生命周期内所涉及到所有备品备件、易损件和专用耗材明细表，以便于质保期外，招标人能够根据清单快速找到同规格产品。</w:t>
      </w:r>
    </w:p>
    <w:p>
      <w:pPr>
        <w:spacing w:line="660" w:lineRule="exact"/>
        <w:rPr>
          <w:rFonts w:hint="eastAsia" w:ascii="宋体" w:hAnsi="宋体"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2023年8月1日至今同类项目业绩一览表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1000kW级电池系统试验台项目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jc w:val="center"/>
              <w:rPr>
                <w:rFonts w:hint="eastAsia" w:ascii="宋体" w:hAnsi="宋体" w:eastAsia="宋体" w:cs="宋体"/>
                <w:spacing w:val="-1"/>
                <w:sz w:val="24"/>
                <w:szCs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bCs/>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23</w:t>
            </w:r>
            <w:r>
              <w:rPr>
                <w:rFonts w:ascii="宋体" w:hAnsi="宋体" w:eastAsia="宋体" w:cs="宋体"/>
                <w:sz w:val="24"/>
                <w:szCs w:val="24"/>
                <w:highlight w:val="yellow"/>
              </w:rPr>
              <w:t>年</w:t>
            </w:r>
            <w:r>
              <w:rPr>
                <w:rFonts w:hint="eastAsia" w:ascii="宋体" w:hAnsi="宋体" w:eastAsia="宋体" w:cs="宋体"/>
                <w:sz w:val="24"/>
                <w:szCs w:val="24"/>
                <w:highlight w:val="yellow"/>
              </w:rPr>
              <w:t>8</w:t>
            </w:r>
            <w:r>
              <w:rPr>
                <w:rFonts w:ascii="宋体" w:hAnsi="宋体" w:eastAsia="宋体" w:cs="宋体"/>
                <w:sz w:val="24"/>
                <w:szCs w:val="24"/>
                <w:highlight w:val="yellow"/>
              </w:rPr>
              <w:t>月1日至今所有业绩合同总额汇总（必填</w:t>
            </w:r>
            <w:r>
              <w:rPr>
                <w:rFonts w:hint="eastAsia" w:ascii="宋体" w:hAnsi="宋体" w:eastAsia="宋体" w:cs="宋体"/>
                <w:sz w:val="24"/>
                <w:szCs w:val="24"/>
                <w:highlight w:val="yellow"/>
              </w:rPr>
              <w:t>）</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提供2023年8月1日以来同类产品的制造销售业绩（用户名单、联系方式）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u w:val="single"/>
        </w:rPr>
        <w:t>1000kW级电池系统试验台项目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1000kW级电池系统试验台项目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b/>
                <w:bCs/>
                <w:sz w:val="24"/>
                <w:szCs w:val="24"/>
                <w:u w:val="single"/>
              </w:rPr>
              <w:t>1000kW级电池系统试验台项目</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0"/>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0"/>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069" w:type="dxa"/>
          </w:tcPr>
          <w:p>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总价[5×8]（不含税）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pStyle w:val="128"/>
              <w:spacing w:before="60" w:after="60" w:line="240" w:lineRule="auto"/>
              <w:jc w:val="center"/>
              <w:rPr>
                <w:rFonts w:hint="eastAsia" w:ascii="宋体" w:hAnsi="宋体" w:eastAsia="宋体" w:cs="宋体"/>
                <w:b/>
                <w:bCs/>
                <w:sz w:val="24"/>
              </w:rPr>
            </w:pPr>
            <w:r>
              <w:rPr>
                <w:rFonts w:hint="eastAsia" w:ascii="宋体" w:hAnsi="宋体" w:eastAsia="宋体"/>
                <w:b/>
                <w:bCs/>
                <w:sz w:val="24"/>
              </w:rPr>
              <w:t>一</w:t>
            </w:r>
          </w:p>
        </w:tc>
        <w:tc>
          <w:tcPr>
            <w:tcW w:w="2238" w:type="dxa"/>
          </w:tcPr>
          <w:p>
            <w:pPr>
              <w:widowControl/>
              <w:jc w:val="center"/>
              <w:textAlignment w:val="center"/>
              <w:rPr>
                <w:rFonts w:hint="eastAsia" w:ascii="宋体" w:hAnsi="宋体" w:eastAsia="宋体" w:cs="宋体"/>
                <w:b/>
                <w:bCs/>
                <w:sz w:val="24"/>
                <w:szCs w:val="24"/>
              </w:rPr>
            </w:pPr>
            <w:r>
              <w:rPr>
                <w:rFonts w:hint="eastAsia" w:ascii="宋体" w:hAnsi="宋体" w:eastAsia="宋体"/>
                <w:b/>
                <w:bCs/>
                <w:sz w:val="24"/>
                <w:szCs w:val="24"/>
              </w:rPr>
              <w:t>1000KW充放电设备</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1.1</w:t>
            </w:r>
          </w:p>
        </w:tc>
        <w:tc>
          <w:tcPr>
            <w:tcW w:w="2238"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AFE</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1.2</w:t>
            </w:r>
          </w:p>
        </w:tc>
        <w:tc>
          <w:tcPr>
            <w:tcW w:w="2238"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IVC</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1.3</w:t>
            </w:r>
          </w:p>
        </w:tc>
        <w:tc>
          <w:tcPr>
            <w:tcW w:w="2238"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功率线缆</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1.4</w:t>
            </w:r>
          </w:p>
        </w:tc>
        <w:tc>
          <w:tcPr>
            <w:tcW w:w="2238"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输入线缆</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1.5</w:t>
            </w:r>
          </w:p>
        </w:tc>
        <w:tc>
          <w:tcPr>
            <w:tcW w:w="2238"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上位机</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1.6</w:t>
            </w:r>
          </w:p>
        </w:tc>
        <w:tc>
          <w:tcPr>
            <w:tcW w:w="2238"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软件</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1.7</w:t>
            </w:r>
          </w:p>
        </w:tc>
        <w:tc>
          <w:tcPr>
            <w:tcW w:w="2238"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计量</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1.8</w:t>
            </w:r>
          </w:p>
        </w:tc>
        <w:tc>
          <w:tcPr>
            <w:tcW w:w="2238" w:type="dxa"/>
          </w:tcPr>
          <w:p>
            <w:pPr>
              <w:widowControl/>
              <w:jc w:val="center"/>
              <w:textAlignment w:val="center"/>
              <w:rPr>
                <w:rFonts w:hint="eastAsia" w:ascii="宋体" w:hAnsi="宋体" w:eastAsia="宋体" w:cs="宋体"/>
                <w:sz w:val="24"/>
                <w:szCs w:val="24"/>
              </w:rPr>
            </w:pPr>
            <w:r>
              <w:rPr>
                <w:rFonts w:hint="eastAsia" w:ascii="宋体" w:hAnsi="宋体" w:eastAsia="宋体"/>
                <w:sz w:val="24"/>
                <w:szCs w:val="24"/>
              </w:rPr>
              <w:t>其他</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
                <w:color w:val="000000"/>
                <w:kern w:val="0"/>
                <w:sz w:val="24"/>
                <w:szCs w:val="24"/>
                <w:lang w:bidi="ar"/>
              </w:rPr>
              <w:t>二</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
                <w:color w:val="000000"/>
                <w:kern w:val="0"/>
                <w:sz w:val="24"/>
                <w:szCs w:val="24"/>
                <w:lang w:bidi="ar"/>
              </w:rPr>
              <w:t>30立方步入式环境舱</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2.1</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不锈钢板</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2.2</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不锈钢板</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2.3</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烤漆板</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2.4</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保温材料</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2.5</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压缩机</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2.6</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减震管</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2.7</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油分</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2.8</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板式换热器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2.9</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水冷凝器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2.10 </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干燥过滤器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2.11</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电磁阀</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2.12</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膨胀阀</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2.13 </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压力传感阀</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2.14</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安全阀</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2.15</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制冷剂</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2.16 </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制冷剂</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2.17</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铜管等各种制冷辅件</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2.18</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铜管等各种制冷辅件</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2.19 </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铜管等各种制冷辅件</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2.20</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接头、弯头、压力表等</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2.21</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方管焊接机组架</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2.22 </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方管焊接机组架烤漆</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2.23</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触摸屏控制器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2.24</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PLC</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2.25 </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直流电源</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2.26</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(漏电)断路器等</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2.27</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相序保护器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2.28 </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交流接触器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2.29</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电机启动器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2.30</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中间继电器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2.31 </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电热器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2.32</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加湿器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2.33</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电容式湿度传感器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2.34 </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H2、CO、CO2浓度检测系统</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2.35</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主控机</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2.36</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UPS电源</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2.37 </w:t>
            </w:r>
          </w:p>
        </w:tc>
        <w:tc>
          <w:tcPr>
            <w:tcW w:w="2238" w:type="dxa"/>
            <w:vAlign w:val="center"/>
          </w:tcPr>
          <w:p>
            <w:pPr>
              <w:widowControl/>
              <w:jc w:val="left"/>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视频监控系统</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2.38</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控制软件</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2.39</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数据分析和程序刷写设备</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2.40 </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数据便携采集和标定设备</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2.41</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数据监控设备</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2.42</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加工、组装、管理费用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2.43 </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包装、运输、保险费用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2.44</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安装调试、培训费用、技术服务费</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2.45</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利润、税费、杂费</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 xml:space="preserve">2.46 </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计量</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
                <w:color w:val="000000"/>
                <w:kern w:val="0"/>
                <w:sz w:val="24"/>
                <w:szCs w:val="24"/>
                <w:lang w:bidi="ar"/>
              </w:rPr>
              <w:t>三</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
                <w:color w:val="000000"/>
                <w:kern w:val="0"/>
                <w:sz w:val="24"/>
                <w:szCs w:val="24"/>
                <w:lang w:bidi="ar"/>
              </w:rPr>
              <w:t>液冷设备</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b/>
                <w:bCs/>
                <w:sz w:val="24"/>
                <w:szCs w:val="24"/>
              </w:rPr>
            </w:pPr>
            <w:r>
              <w:rPr>
                <w:rFonts w:hint="eastAsia" w:ascii="宋体" w:hAnsi="宋体" w:eastAsia="宋体" w:cs="仿宋_GB2312"/>
                <w:bCs/>
                <w:color w:val="000000"/>
                <w:kern w:val="0"/>
                <w:sz w:val="24"/>
                <w:szCs w:val="24"/>
                <w:lang w:bidi="ar"/>
              </w:rPr>
              <w:t>3.1</w:t>
            </w:r>
          </w:p>
        </w:tc>
        <w:tc>
          <w:tcPr>
            <w:tcW w:w="2238" w:type="dxa"/>
            <w:vAlign w:val="center"/>
          </w:tcPr>
          <w:p>
            <w:pPr>
              <w:widowControl/>
              <w:jc w:val="center"/>
              <w:textAlignment w:val="center"/>
              <w:rPr>
                <w:rFonts w:hint="eastAsia" w:ascii="宋体" w:hAnsi="宋体" w:eastAsia="宋体" w:cs="宋体"/>
                <w:b/>
                <w:bCs/>
                <w:sz w:val="24"/>
                <w:szCs w:val="24"/>
              </w:rPr>
            </w:pPr>
            <w:r>
              <w:rPr>
                <w:rFonts w:hint="eastAsia" w:ascii="宋体" w:hAnsi="宋体" w:eastAsia="宋体" w:cs="仿宋_GB2312"/>
                <w:bCs/>
                <w:color w:val="000000"/>
                <w:kern w:val="0"/>
                <w:sz w:val="24"/>
                <w:szCs w:val="24"/>
                <w:lang w:bidi="ar"/>
              </w:rPr>
              <w:t>压缩机</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3.2</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制冷泵</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3.3</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外循环泵（变频泵）</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3.4</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板式换热器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3.5</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流量传感器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3.6</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温度传感器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3.7</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压力传感器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3.8</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液位传感器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3.9</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制冷件</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3.10</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机箱</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3.11</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电器件</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3.12</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封闭式散热器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3.13</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计量</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3.14</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温度工装</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3.15</w:t>
            </w:r>
          </w:p>
        </w:tc>
        <w:tc>
          <w:tcPr>
            <w:tcW w:w="2238"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仿宋_GB2312"/>
                <w:bCs/>
                <w:color w:val="000000"/>
                <w:kern w:val="0"/>
                <w:sz w:val="24"/>
                <w:szCs w:val="24"/>
                <w:lang w:bidi="ar"/>
              </w:rPr>
              <w:t>安装调试、培训（包含材料）</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widowControl/>
              <w:jc w:val="center"/>
              <w:textAlignment w:val="center"/>
              <w:rPr>
                <w:rFonts w:hint="eastAsia" w:ascii="宋体" w:hAnsi="宋体" w:eastAsia="宋体" w:cs="宋体"/>
                <w:sz w:val="24"/>
                <w:szCs w:val="24"/>
              </w:rPr>
            </w:pP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widowControl/>
              <w:jc w:val="center"/>
              <w:textAlignment w:val="center"/>
              <w:rPr>
                <w:rFonts w:hint="eastAsia" w:ascii="宋体" w:hAnsi="宋体" w:eastAsia="宋体" w:cs="宋体"/>
                <w:sz w:val="24"/>
                <w:szCs w:val="24"/>
              </w:rPr>
            </w:pP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238" w:type="dxa"/>
            <w:vAlign w:val="center"/>
          </w:tcPr>
          <w:p>
            <w:pPr>
              <w:widowControl/>
              <w:jc w:val="left"/>
              <w:textAlignment w:val="center"/>
              <w:rPr>
                <w:rFonts w:hint="eastAsia" w:ascii="宋体" w:hAnsi="宋体" w:eastAsia="宋体" w:cs="宋体"/>
                <w:sz w:val="24"/>
                <w:szCs w:val="24"/>
              </w:rPr>
            </w:pPr>
            <w:r>
              <w:rPr>
                <w:rFonts w:ascii="宋体" w:hAnsi="宋体" w:eastAsia="宋体" w:cs="宋体"/>
                <w:sz w:val="24"/>
                <w:szCs w:val="24"/>
              </w:rPr>
              <w:t>如有其他，可根据技术方案特点自行添加</w:t>
            </w: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rPr>
          <w:rFonts w:hint="eastAsia"/>
        </w:rPr>
      </w:pPr>
    </w:p>
    <w:p>
      <w:pPr>
        <w:rPr>
          <w:rFonts w:hint="eastAsia"/>
        </w:rPr>
        <w:sectPr>
          <w:footerReference r:id="rId25"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6"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z w:val="24"/>
                <w:szCs w:val="24"/>
              </w:rPr>
              <w:t>加工、组装</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2</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pacing w:val="-1"/>
                <w:szCs w:val="21"/>
                <w:highlight w:val="yellow"/>
              </w:rPr>
              <w:t>现场安装调试、验收</w:t>
            </w:r>
          </w:p>
        </w:tc>
        <w:tc>
          <w:tcPr>
            <w:tcW w:w="1126" w:type="dxa"/>
          </w:tcPr>
          <w:p>
            <w:pPr>
              <w:spacing w:before="266" w:line="221" w:lineRule="auto"/>
              <w:jc w:val="center"/>
              <w:rPr>
                <w:rFonts w:hint="eastAsia" w:ascii="宋体" w:hAnsi="宋体" w:eastAsia="宋体" w:cs="宋体"/>
                <w:spacing w:val="-2"/>
                <w:szCs w:val="21"/>
              </w:rPr>
            </w:pPr>
            <w:r>
              <w:rPr>
                <w:rFonts w:hint="eastAsia" w:ascii="宋体" w:hAnsi="宋体" w:eastAsia="宋体" w:cs="宋体"/>
                <w:spacing w:val="-1"/>
                <w:szCs w:val="21"/>
              </w:rPr>
              <w:t>套</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pacing w:val="-2"/>
                <w:szCs w:val="21"/>
                <w:highlight w:val="yellow"/>
              </w:rPr>
              <w:t>技术培训材料</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tcPr>
          <w:p>
            <w:pPr>
              <w:spacing w:before="266" w:line="221" w:lineRule="auto"/>
              <w:jc w:val="center"/>
              <w:rPr>
                <w:rFonts w:hint="eastAsia" w:ascii="宋体" w:hAnsi="宋体" w:eastAsia="宋体" w:cs="宋体"/>
                <w:sz w:val="24"/>
                <w:szCs w:val="24"/>
              </w:rPr>
            </w:pPr>
            <w:r>
              <w:rPr>
                <w:rFonts w:hint="eastAsia" w:ascii="宋体" w:hAnsi="宋体" w:eastAsia="宋体" w:cs="宋体"/>
                <w:sz w:val="24"/>
                <w:szCs w:val="24"/>
              </w:rPr>
              <w:t>管理费用</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5</w:t>
            </w:r>
          </w:p>
        </w:tc>
        <w:tc>
          <w:tcPr>
            <w:tcW w:w="3625" w:type="dxa"/>
          </w:tcPr>
          <w:p>
            <w:pPr>
              <w:spacing w:before="266" w:line="221" w:lineRule="auto"/>
              <w:jc w:val="center"/>
              <w:rPr>
                <w:rFonts w:hint="eastAsia" w:ascii="宋体" w:hAnsi="宋体" w:eastAsia="宋体" w:cs="宋体"/>
                <w:sz w:val="24"/>
                <w:szCs w:val="24"/>
              </w:rPr>
            </w:pPr>
            <w:r>
              <w:rPr>
                <w:rFonts w:hint="eastAsia" w:ascii="宋体" w:hAnsi="宋体" w:eastAsia="宋体" w:cs="宋体"/>
                <w:sz w:val="24"/>
                <w:szCs w:val="24"/>
              </w:rPr>
              <w:t>利润、税费、杂费</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6</w:t>
            </w:r>
          </w:p>
        </w:tc>
        <w:tc>
          <w:tcPr>
            <w:tcW w:w="3625" w:type="dxa"/>
          </w:tcPr>
          <w:p>
            <w:pPr>
              <w:spacing w:before="266" w:line="221" w:lineRule="auto"/>
              <w:jc w:val="center"/>
              <w:rPr>
                <w:rFonts w:hint="eastAsia" w:ascii="宋体" w:hAnsi="宋体" w:eastAsia="宋体" w:cs="宋体"/>
                <w:spacing w:val="-2"/>
                <w:szCs w:val="21"/>
                <w:highlight w:val="yellow"/>
              </w:rPr>
            </w:pPr>
            <w:r>
              <w:rPr>
                <w:rFonts w:hint="eastAsia" w:ascii="宋体" w:hAnsi="宋体" w:eastAsia="宋体" w:cs="宋体"/>
                <w:sz w:val="24"/>
                <w:szCs w:val="24"/>
              </w:rPr>
              <w:t>设备图纸及说明书</w:t>
            </w:r>
          </w:p>
        </w:tc>
        <w:tc>
          <w:tcPr>
            <w:tcW w:w="1126" w:type="dxa"/>
          </w:tcPr>
          <w:p>
            <w:pPr>
              <w:spacing w:before="266" w:line="221" w:lineRule="auto"/>
              <w:jc w:val="center"/>
              <w:rPr>
                <w:rFonts w:hint="eastAsia" w:ascii="宋体" w:hAnsi="宋体" w:eastAsia="宋体" w:cs="宋体"/>
                <w:spacing w:val="-1"/>
                <w:szCs w:val="21"/>
              </w:rPr>
            </w:pPr>
            <w:r>
              <w:rPr>
                <w:rFonts w:hint="eastAsia" w:ascii="宋体" w:hAnsi="宋体" w:eastAsia="宋体" w:cs="宋体"/>
                <w:spacing w:val="-1"/>
                <w:szCs w:val="21"/>
              </w:rPr>
              <w:t>套</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0"/>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7"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1"/>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tcPr>
          <w:p>
            <w:pPr>
              <w:spacing w:before="101" w:line="185" w:lineRule="auto"/>
              <w:ind w:left="371"/>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2239" w:type="dxa"/>
          </w:tcPr>
          <w:p>
            <w:pPr>
              <w:spacing w:before="103" w:line="182" w:lineRule="auto"/>
              <w:ind w:left="107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498" w:type="dxa"/>
          </w:tcPr>
          <w:p>
            <w:pPr>
              <w:spacing w:before="102" w:line="183" w:lineRule="auto"/>
              <w:ind w:left="58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1861" w:type="dxa"/>
          </w:tcPr>
          <w:p>
            <w:pPr>
              <w:spacing w:before="103" w:line="182" w:lineRule="auto"/>
              <w:ind w:left="1010"/>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120" w:type="dxa"/>
          </w:tcPr>
          <w:p>
            <w:pPr>
              <w:spacing w:before="102" w:line="183" w:lineRule="auto"/>
              <w:ind w:left="516"/>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1125" w:type="dxa"/>
          </w:tcPr>
          <w:p>
            <w:pPr>
              <w:spacing w:before="102" w:line="183" w:lineRule="auto"/>
              <w:ind w:left="51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253" w:line="224" w:lineRule="auto"/>
        <w:ind w:left="6488"/>
        <w:rPr>
          <w:rFonts w:hint="eastAsia" w:ascii="宋体" w:hAnsi="宋体" w:eastAsia="宋体" w:cs="宋体"/>
          <w:spacing w:val="9"/>
          <w:sz w:val="24"/>
          <w:szCs w:val="24"/>
          <w14:textOutline w14:w="5791" w14:cap="flat" w14:cmpd="sng" w14:algn="ctr">
            <w14:solidFill>
              <w14:srgbClr w14:val="000000"/>
            </w14:solidFill>
            <w14:prstDash w14:val="solid"/>
            <w14:miter w14:val="0"/>
          </w14:textOutline>
        </w:r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1</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9-1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2</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9-2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3</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9-3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4</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9-4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5</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0"/>
      </w:pPr>
    </w:p>
    <w:p>
      <w:pPr>
        <w:pStyle w:val="20"/>
      </w:pPr>
    </w:p>
    <w:p>
      <w:pPr>
        <w:spacing w:before="140" w:line="220" w:lineRule="auto"/>
        <w:ind w:left="2" w:firstLine="464" w:firstLineChars="200"/>
        <w:rPr>
          <w:rFonts w:hint="eastAsia" w:ascii="宋体" w:hAnsi="宋体" w:eastAsia="宋体" w:cs="宋体"/>
          <w:spacing w:val="-2"/>
          <w:szCs w:val="21"/>
        </w:rPr>
        <w:sectPr>
          <w:footerReference r:id="rId2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bCs/>
                <w:sz w:val="24"/>
                <w:szCs w:val="24"/>
                <w:u w:val="single"/>
              </w:rPr>
              <w:t>1000kW级电池系统试验台项目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u w:val="single"/>
        </w:rPr>
        <w:t>1000kW级电池系统试验台项目</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pStyle w:val="20"/>
        <w:rPr>
          <w:rFonts w:hint="eastAsia" w:hAnsi="宋体" w:eastAsia="宋体" w:cs="宋体"/>
          <w:sz w:val="24"/>
          <w:szCs w:val="24"/>
        </w:rPr>
      </w:pPr>
    </w:p>
    <w:p>
      <w:pPr>
        <w:pStyle w:val="20"/>
        <w:rPr>
          <w:rFonts w:hint="eastAsia" w:hAnsi="宋体" w:eastAsia="宋体" w:cs="宋体"/>
          <w:sz w:val="24"/>
          <w:szCs w:val="24"/>
        </w:rPr>
      </w:pPr>
    </w:p>
    <w:p>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20"/>
        <w:rPr>
          <w:rFonts w:hint="eastAsia" w:hAnsi="宋体" w:eastAsia="宋体" w:cs="宋体"/>
          <w:sz w:val="24"/>
          <w:szCs w:val="24"/>
        </w:rPr>
        <w:sectPr>
          <w:footerReference r:id="rId29"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rPr>
        <w:t>1000kW级电池系统试验台项目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0"/>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u w:val="single"/>
              </w:rPr>
              <w:t>1000kW级电池系统试验台项目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0"/>
      </w:pPr>
    </w:p>
    <w:p>
      <w:pPr>
        <w:jc w:val="right"/>
        <w:rPr>
          <w:rFonts w:hint="eastAsia"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pPr>
        <w:keepNext/>
        <w:keepLines/>
        <w:spacing w:before="156" w:beforeLines="50" w:after="156" w:afterLines="50" w:line="360" w:lineRule="auto"/>
        <w:jc w:val="left"/>
        <w:outlineLvl w:val="2"/>
        <w:rPr>
          <w:rFonts w:hint="eastAsia" w:ascii="宋体" w:hAnsi="宋体" w:eastAsia="宋体" w:cs="Times New Roman"/>
          <w:b/>
          <w:bCs/>
          <w:sz w:val="24"/>
          <w:szCs w:val="24"/>
        </w:rPr>
      </w:pPr>
      <w:r>
        <w:rPr>
          <w:rFonts w:hint="eastAsia" w:ascii="宋体" w:hAnsi="宋体" w:eastAsia="宋体" w:cs="Times New Roman"/>
          <w:b/>
          <w:bCs/>
          <w:sz w:val="24"/>
          <w:szCs w:val="24"/>
        </w:rPr>
        <w:t>附件14技术标评分标准</w:t>
      </w:r>
    </w:p>
    <w:p>
      <w:pPr>
        <w:keepNext/>
        <w:keepLines/>
        <w:spacing w:before="156" w:beforeLines="50" w:after="156" w:afterLines="50" w:line="360" w:lineRule="auto"/>
        <w:jc w:val="center"/>
        <w:rPr>
          <w:rFonts w:hint="eastAsia" w:ascii="宋体" w:hAnsi="宋体" w:eastAsia="宋体" w:cs="Times New Roman"/>
          <w:b/>
          <w:bCs/>
          <w:sz w:val="24"/>
          <w:szCs w:val="24"/>
        </w:rPr>
      </w:pPr>
      <w:r>
        <w:rPr>
          <w:rFonts w:hint="eastAsia" w:ascii="宋体" w:hAnsi="宋体" w:eastAsia="宋体" w:cs="Times New Roman"/>
          <w:b/>
          <w:bCs/>
          <w:sz w:val="24"/>
          <w:szCs w:val="24"/>
        </w:rPr>
        <w:t>附件</w:t>
      </w:r>
      <w:r>
        <w:rPr>
          <w:rFonts w:ascii="宋体" w:hAnsi="宋体" w:eastAsia="宋体" w:cs="Times New Roman"/>
          <w:b/>
          <w:bCs/>
          <w:sz w:val="24"/>
          <w:szCs w:val="24"/>
        </w:rPr>
        <w:t>1</w:t>
      </w:r>
      <w:r>
        <w:rPr>
          <w:rFonts w:hint="eastAsia" w:ascii="宋体" w:hAnsi="宋体" w:eastAsia="宋体" w:cs="Times New Roman"/>
          <w:b/>
          <w:bCs/>
          <w:sz w:val="24"/>
          <w:szCs w:val="24"/>
        </w:rPr>
        <w:t xml:space="preserve">  技术标评审表（100分）</w:t>
      </w:r>
    </w:p>
    <w:tbl>
      <w:tblPr>
        <w:tblStyle w:val="39"/>
        <w:tblpPr w:leftFromText="180" w:rightFromText="180" w:vertAnchor="text" w:horzAnchor="page" w:tblpXSpec="center" w:tblpY="197"/>
        <w:tblOverlap w:val="never"/>
        <w:tblW w:w="52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618"/>
        <w:gridCol w:w="1156"/>
        <w:gridCol w:w="1084"/>
        <w:gridCol w:w="6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4" w:type="pct"/>
            <w:vAlign w:val="center"/>
          </w:tcPr>
          <w:p>
            <w:pPr>
              <w:jc w:val="center"/>
              <w:rPr>
                <w:rFonts w:hint="eastAsia" w:ascii="宋体" w:hAnsi="宋体" w:eastAsia="宋体" w:cs="Times New Roman"/>
                <w:b/>
                <w:bCs/>
                <w:szCs w:val="21"/>
              </w:rPr>
            </w:pPr>
            <w:r>
              <w:rPr>
                <w:rFonts w:hint="eastAsia" w:ascii="宋体" w:hAnsi="宋体" w:eastAsia="宋体" w:cs="Times New Roman"/>
                <w:b/>
                <w:bCs/>
                <w:szCs w:val="21"/>
              </w:rPr>
              <w:t>评审</w:t>
            </w:r>
          </w:p>
          <w:p>
            <w:pPr>
              <w:jc w:val="center"/>
              <w:rPr>
                <w:rFonts w:hint="eastAsia" w:ascii="宋体" w:hAnsi="宋体" w:eastAsia="宋体" w:cs="Times New Roman"/>
                <w:b/>
                <w:bCs/>
                <w:szCs w:val="21"/>
              </w:rPr>
            </w:pPr>
            <w:r>
              <w:rPr>
                <w:rFonts w:hint="eastAsia" w:ascii="宋体" w:hAnsi="宋体" w:eastAsia="宋体" w:cs="Times New Roman"/>
                <w:b/>
                <w:bCs/>
                <w:szCs w:val="21"/>
              </w:rPr>
              <w:t>内容</w:t>
            </w:r>
          </w:p>
        </w:tc>
        <w:tc>
          <w:tcPr>
            <w:tcW w:w="315" w:type="pct"/>
            <w:vAlign w:val="center"/>
          </w:tcPr>
          <w:p>
            <w:pPr>
              <w:jc w:val="center"/>
              <w:rPr>
                <w:rFonts w:hint="eastAsia" w:ascii="宋体" w:hAnsi="宋体" w:eastAsia="宋体" w:cs="Times New Roman"/>
                <w:b/>
                <w:bCs/>
                <w:szCs w:val="21"/>
              </w:rPr>
            </w:pPr>
            <w:r>
              <w:rPr>
                <w:rFonts w:hint="eastAsia" w:ascii="宋体" w:hAnsi="宋体" w:eastAsia="宋体" w:cs="Times New Roman"/>
                <w:b/>
                <w:bCs/>
                <w:szCs w:val="21"/>
              </w:rPr>
              <w:t>序号</w:t>
            </w:r>
          </w:p>
        </w:tc>
        <w:tc>
          <w:tcPr>
            <w:tcW w:w="589" w:type="pct"/>
            <w:vAlign w:val="center"/>
          </w:tcPr>
          <w:p>
            <w:pPr>
              <w:jc w:val="center"/>
              <w:rPr>
                <w:rFonts w:hint="eastAsia" w:ascii="宋体" w:hAnsi="宋体" w:eastAsia="宋体" w:cs="Times New Roman"/>
                <w:b/>
                <w:bCs/>
                <w:szCs w:val="21"/>
              </w:rPr>
            </w:pPr>
            <w:r>
              <w:rPr>
                <w:rFonts w:hint="eastAsia" w:ascii="宋体" w:hAnsi="宋体" w:eastAsia="宋体" w:cs="Times New Roman"/>
                <w:b/>
                <w:bCs/>
                <w:szCs w:val="21"/>
              </w:rPr>
              <w:t>内   容</w:t>
            </w:r>
          </w:p>
        </w:tc>
        <w:tc>
          <w:tcPr>
            <w:tcW w:w="552" w:type="pct"/>
            <w:vAlign w:val="center"/>
          </w:tcPr>
          <w:p>
            <w:pPr>
              <w:jc w:val="center"/>
              <w:rPr>
                <w:rFonts w:hint="eastAsia" w:ascii="宋体" w:hAnsi="宋体" w:eastAsia="宋体" w:cs="Times New Roman"/>
                <w:b/>
                <w:bCs/>
                <w:szCs w:val="21"/>
              </w:rPr>
            </w:pPr>
            <w:r>
              <w:rPr>
                <w:rFonts w:hint="eastAsia" w:ascii="宋体" w:hAnsi="宋体" w:eastAsia="宋体" w:cs="Times New Roman"/>
                <w:b/>
                <w:bCs/>
                <w:szCs w:val="21"/>
              </w:rPr>
              <w:t>标准分</w:t>
            </w:r>
          </w:p>
        </w:tc>
        <w:tc>
          <w:tcPr>
            <w:tcW w:w="3130" w:type="pct"/>
            <w:vAlign w:val="center"/>
          </w:tcPr>
          <w:p>
            <w:pPr>
              <w:jc w:val="center"/>
              <w:rPr>
                <w:rFonts w:hint="eastAsia" w:ascii="宋体" w:hAnsi="宋体" w:eastAsia="宋体" w:cs="Times New Roman"/>
                <w:b/>
                <w:bCs/>
                <w:szCs w:val="21"/>
              </w:rPr>
            </w:pPr>
            <w:r>
              <w:rPr>
                <w:rFonts w:hint="eastAsia" w:ascii="宋体" w:hAnsi="宋体" w:eastAsia="宋体" w:cs="Times New Roman"/>
                <w:b/>
                <w:bCs/>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trPr>
        <w:tc>
          <w:tcPr>
            <w:tcW w:w="414" w:type="pct"/>
            <w:vMerge w:val="restart"/>
            <w:vAlign w:val="center"/>
          </w:tcPr>
          <w:p>
            <w:pPr>
              <w:tabs>
                <w:tab w:val="left" w:pos="13965"/>
              </w:tabs>
              <w:jc w:val="center"/>
              <w:rPr>
                <w:rFonts w:hint="eastAsia" w:ascii="宋体" w:hAnsi="宋体" w:eastAsia="宋体" w:cs="宋体"/>
                <w:sz w:val="18"/>
                <w:szCs w:val="18"/>
              </w:rPr>
            </w:pPr>
            <w:r>
              <w:rPr>
                <w:rFonts w:hint="eastAsia" w:ascii="宋体" w:hAnsi="宋体" w:eastAsia="宋体" w:cs="Times New Roman"/>
                <w:szCs w:val="21"/>
              </w:rPr>
              <w:t>业绩</w:t>
            </w:r>
          </w:p>
        </w:tc>
        <w:tc>
          <w:tcPr>
            <w:tcW w:w="315" w:type="pct"/>
            <w:vMerge w:val="restart"/>
            <w:vAlign w:val="center"/>
          </w:tcPr>
          <w:p>
            <w:pPr>
              <w:tabs>
                <w:tab w:val="left" w:pos="13965"/>
              </w:tabs>
              <w:jc w:val="center"/>
              <w:rPr>
                <w:rFonts w:hint="eastAsia" w:ascii="宋体" w:hAnsi="宋体" w:eastAsia="宋体" w:cs="宋体"/>
                <w:sz w:val="18"/>
                <w:szCs w:val="18"/>
              </w:rPr>
            </w:pPr>
            <w:r>
              <w:rPr>
                <w:rFonts w:ascii="宋体" w:hAnsi="宋体" w:eastAsia="宋体" w:cs="Times New Roman"/>
                <w:szCs w:val="21"/>
              </w:rPr>
              <w:t>1</w:t>
            </w:r>
          </w:p>
        </w:tc>
        <w:tc>
          <w:tcPr>
            <w:tcW w:w="589" w:type="pct"/>
            <w:vAlign w:val="center"/>
          </w:tcPr>
          <w:p>
            <w:pPr>
              <w:jc w:val="center"/>
              <w:rPr>
                <w:rFonts w:hint="eastAsia" w:ascii="宋体" w:hAnsi="宋体" w:eastAsia="宋体" w:cs="宋体"/>
                <w:sz w:val="18"/>
                <w:szCs w:val="18"/>
              </w:rPr>
            </w:pPr>
            <w:r>
              <w:rPr>
                <w:rFonts w:hint="eastAsia" w:ascii="宋体" w:hAnsi="宋体" w:eastAsia="宋体" w:cs="Times New Roman"/>
                <w:szCs w:val="21"/>
              </w:rPr>
              <w:t>合同数量及金额</w:t>
            </w:r>
          </w:p>
        </w:tc>
        <w:tc>
          <w:tcPr>
            <w:tcW w:w="552" w:type="pct"/>
            <w:vMerge w:val="restart"/>
            <w:vAlign w:val="center"/>
          </w:tcPr>
          <w:p>
            <w:pPr>
              <w:jc w:val="center"/>
              <w:rPr>
                <w:rFonts w:hint="eastAsia" w:ascii="宋体" w:hAnsi="宋体" w:eastAsia="宋体" w:cs="宋体"/>
                <w:color w:val="000000"/>
                <w:sz w:val="18"/>
                <w:szCs w:val="18"/>
              </w:rPr>
            </w:pPr>
            <w:r>
              <w:rPr>
                <w:rFonts w:hint="eastAsia" w:ascii="宋体" w:hAnsi="宋体" w:eastAsia="宋体" w:cs="Times New Roman"/>
                <w:szCs w:val="21"/>
              </w:rPr>
              <w:t>20</w:t>
            </w:r>
          </w:p>
        </w:tc>
        <w:tc>
          <w:tcPr>
            <w:tcW w:w="3130" w:type="pct"/>
            <w:vMerge w:val="restart"/>
            <w:vAlign w:val="center"/>
          </w:tcPr>
          <w:p>
            <w:pPr>
              <w:adjustRightInd w:val="0"/>
              <w:snapToGrid w:val="0"/>
              <w:jc w:val="left"/>
              <w:rPr>
                <w:rFonts w:hint="eastAsia" w:ascii="宋体" w:hAnsi="宋体" w:eastAsia="宋体" w:cs="仿宋_GB2312"/>
                <w:szCs w:val="21"/>
              </w:rPr>
            </w:pPr>
            <w:r>
              <w:rPr>
                <w:rFonts w:hint="eastAsia" w:ascii="宋体" w:hAnsi="宋体" w:eastAsia="宋体" w:cs="仿宋_GB2312"/>
                <w:szCs w:val="21"/>
              </w:rPr>
              <w:t>投标人提供自20</w:t>
            </w:r>
            <w:r>
              <w:rPr>
                <w:rFonts w:ascii="宋体" w:hAnsi="宋体" w:eastAsia="宋体" w:cs="仿宋_GB2312"/>
                <w:szCs w:val="21"/>
              </w:rPr>
              <w:t>2</w:t>
            </w:r>
            <w:r>
              <w:rPr>
                <w:rFonts w:hint="eastAsia" w:ascii="宋体" w:hAnsi="宋体" w:eastAsia="宋体" w:cs="仿宋_GB2312"/>
                <w:szCs w:val="21"/>
              </w:rPr>
              <w:t>3年8月1日以来在中国与本标同类型、合同额300万以上的项目业绩（以合同复印件加盖公章为准，时间以签订日期为准）。由评标委员会成员按照项目的合同数量及金额、合同相关性两个维度进行打分。</w:t>
            </w:r>
          </w:p>
          <w:p>
            <w:pPr>
              <w:adjustRightInd w:val="0"/>
              <w:snapToGrid w:val="0"/>
              <w:jc w:val="left"/>
              <w:rPr>
                <w:rFonts w:hint="eastAsia" w:ascii="宋体" w:hAnsi="宋体" w:eastAsia="宋体" w:cs="仿宋_GB2312"/>
                <w:szCs w:val="21"/>
              </w:rPr>
            </w:pPr>
            <w:r>
              <w:rPr>
                <w:rFonts w:hint="eastAsia" w:ascii="宋体" w:hAnsi="宋体" w:eastAsia="宋体" w:cs="仿宋_GB2312"/>
                <w:szCs w:val="21"/>
              </w:rPr>
              <w:t>（1）合同数量1-5份：0-3分；</w:t>
            </w:r>
          </w:p>
          <w:p>
            <w:pPr>
              <w:adjustRightInd w:val="0"/>
              <w:snapToGrid w:val="0"/>
              <w:jc w:val="left"/>
              <w:rPr>
                <w:rFonts w:hint="eastAsia" w:ascii="宋体" w:hAnsi="宋体" w:eastAsia="宋体" w:cs="仿宋_GB2312"/>
                <w:szCs w:val="21"/>
              </w:rPr>
            </w:pPr>
            <w:r>
              <w:rPr>
                <w:rFonts w:hint="eastAsia" w:ascii="宋体" w:hAnsi="宋体" w:eastAsia="宋体" w:cs="仿宋_GB2312"/>
                <w:szCs w:val="21"/>
              </w:rPr>
              <w:t>合同数量6-10份：4-8分；</w:t>
            </w:r>
          </w:p>
          <w:p>
            <w:pPr>
              <w:adjustRightInd w:val="0"/>
              <w:snapToGrid w:val="0"/>
              <w:jc w:val="left"/>
              <w:rPr>
                <w:rFonts w:hint="eastAsia" w:ascii="宋体" w:hAnsi="宋体" w:eastAsia="宋体" w:cs="仿宋_GB2312"/>
                <w:szCs w:val="21"/>
              </w:rPr>
            </w:pPr>
            <w:r>
              <w:rPr>
                <w:rFonts w:hint="eastAsia" w:ascii="宋体" w:hAnsi="宋体" w:eastAsia="宋体" w:cs="仿宋_GB2312"/>
                <w:szCs w:val="21"/>
              </w:rPr>
              <w:t>合同数量11-15份：9-13分；</w:t>
            </w:r>
          </w:p>
          <w:p>
            <w:pPr>
              <w:adjustRightInd w:val="0"/>
              <w:snapToGrid w:val="0"/>
              <w:jc w:val="left"/>
              <w:rPr>
                <w:rFonts w:hint="eastAsia" w:ascii="宋体" w:hAnsi="宋体" w:eastAsia="宋体" w:cs="仿宋_GB2312"/>
                <w:szCs w:val="21"/>
              </w:rPr>
            </w:pPr>
            <w:r>
              <w:rPr>
                <w:rFonts w:hint="eastAsia" w:ascii="宋体" w:hAnsi="宋体" w:eastAsia="宋体" w:cs="仿宋_GB2312"/>
                <w:szCs w:val="21"/>
              </w:rPr>
              <w:t>合同数量＞15份：14-15分。</w:t>
            </w:r>
          </w:p>
          <w:p>
            <w:pPr>
              <w:rPr>
                <w:rFonts w:hint="eastAsia" w:ascii="宋体" w:hAnsi="宋体" w:eastAsia="宋体" w:cs="Times New Roman"/>
                <w:bCs/>
                <w:szCs w:val="21"/>
              </w:rPr>
            </w:pPr>
            <w:r>
              <w:rPr>
                <w:rFonts w:hint="eastAsia" w:ascii="宋体" w:hAnsi="宋体" w:eastAsia="宋体" w:cs="仿宋_GB2312"/>
                <w:szCs w:val="21"/>
              </w:rPr>
              <w:t>（2）合同相关性、投标方知名度：0-5分。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414" w:type="pct"/>
            <w:vMerge w:val="continue"/>
            <w:vAlign w:val="center"/>
          </w:tcPr>
          <w:p>
            <w:pPr>
              <w:tabs>
                <w:tab w:val="left" w:pos="13965"/>
              </w:tabs>
              <w:jc w:val="center"/>
              <w:rPr>
                <w:rFonts w:hint="eastAsia" w:ascii="宋体" w:hAnsi="宋体" w:eastAsia="宋体" w:cs="Times New Roman"/>
                <w:szCs w:val="21"/>
              </w:rPr>
            </w:pPr>
          </w:p>
        </w:tc>
        <w:tc>
          <w:tcPr>
            <w:tcW w:w="315" w:type="pct"/>
            <w:vMerge w:val="continue"/>
            <w:vAlign w:val="center"/>
          </w:tcPr>
          <w:p>
            <w:pPr>
              <w:tabs>
                <w:tab w:val="left" w:pos="13965"/>
              </w:tabs>
              <w:jc w:val="center"/>
              <w:rPr>
                <w:rFonts w:hint="eastAsia" w:ascii="宋体" w:hAnsi="宋体" w:eastAsia="宋体" w:cs="Times New Roman"/>
                <w:szCs w:val="21"/>
              </w:rPr>
            </w:pPr>
          </w:p>
        </w:tc>
        <w:tc>
          <w:tcPr>
            <w:tcW w:w="589"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合同相关性</w:t>
            </w:r>
          </w:p>
        </w:tc>
        <w:tc>
          <w:tcPr>
            <w:tcW w:w="552" w:type="pct"/>
            <w:vMerge w:val="continue"/>
            <w:vAlign w:val="center"/>
          </w:tcPr>
          <w:p>
            <w:pPr>
              <w:jc w:val="center"/>
              <w:rPr>
                <w:rFonts w:hint="eastAsia" w:ascii="宋体" w:hAnsi="宋体" w:eastAsia="宋体" w:cs="Times New Roman"/>
                <w:szCs w:val="21"/>
              </w:rPr>
            </w:pPr>
          </w:p>
        </w:tc>
        <w:tc>
          <w:tcPr>
            <w:tcW w:w="3130" w:type="pct"/>
            <w:vMerge w:val="continue"/>
            <w:vAlign w:val="center"/>
          </w:tcPr>
          <w:p>
            <w:pPr>
              <w:rPr>
                <w:rFonts w:hint="eastAsia" w:ascii="宋体" w:hAnsi="宋体"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3" w:hRule="atLeast"/>
        </w:trPr>
        <w:tc>
          <w:tcPr>
            <w:tcW w:w="414" w:type="pct"/>
            <w:vMerge w:val="restart"/>
            <w:vAlign w:val="center"/>
          </w:tcPr>
          <w:p>
            <w:pPr>
              <w:jc w:val="center"/>
              <w:rPr>
                <w:rFonts w:hint="eastAsia" w:ascii="宋体" w:hAnsi="宋体" w:eastAsia="宋体" w:cs="宋体"/>
                <w:szCs w:val="21"/>
              </w:rPr>
            </w:pPr>
            <w:r>
              <w:rPr>
                <w:rFonts w:hint="eastAsia" w:ascii="宋体" w:hAnsi="宋体" w:eastAsia="宋体" w:cs="宋体"/>
                <w:szCs w:val="21"/>
              </w:rPr>
              <w:t>产品技术</w:t>
            </w:r>
          </w:p>
        </w:tc>
        <w:tc>
          <w:tcPr>
            <w:tcW w:w="315" w:type="pct"/>
            <w:vMerge w:val="restart"/>
            <w:vAlign w:val="center"/>
          </w:tcPr>
          <w:p>
            <w:pPr>
              <w:jc w:val="center"/>
              <w:rPr>
                <w:rFonts w:hint="eastAsia" w:ascii="宋体" w:hAnsi="宋体" w:eastAsia="宋体" w:cs="宋体"/>
                <w:sz w:val="18"/>
                <w:szCs w:val="18"/>
              </w:rPr>
            </w:pPr>
            <w:r>
              <w:rPr>
                <w:rFonts w:hint="eastAsia" w:ascii="宋体" w:hAnsi="宋体" w:eastAsia="宋体" w:cs="Times New Roman"/>
                <w:szCs w:val="21"/>
              </w:rPr>
              <w:t>2</w:t>
            </w:r>
          </w:p>
        </w:tc>
        <w:tc>
          <w:tcPr>
            <w:tcW w:w="589" w:type="pct"/>
            <w:vAlign w:val="center"/>
          </w:tcPr>
          <w:p>
            <w:pPr>
              <w:jc w:val="center"/>
              <w:rPr>
                <w:rFonts w:hint="eastAsia" w:ascii="宋体" w:hAnsi="宋体" w:eastAsia="宋体" w:cs="宋体"/>
                <w:bCs/>
                <w:sz w:val="18"/>
                <w:szCs w:val="18"/>
              </w:rPr>
            </w:pPr>
            <w:r>
              <w:rPr>
                <w:rFonts w:hint="eastAsia" w:ascii="宋体" w:hAnsi="宋体" w:eastAsia="宋体" w:cs="Times New Roman"/>
                <w:szCs w:val="21"/>
              </w:rPr>
              <w:t>产品方案</w:t>
            </w:r>
          </w:p>
        </w:tc>
        <w:tc>
          <w:tcPr>
            <w:tcW w:w="552" w:type="pct"/>
            <w:vMerge w:val="restart"/>
            <w:vAlign w:val="center"/>
          </w:tcPr>
          <w:p>
            <w:pPr>
              <w:jc w:val="center"/>
              <w:rPr>
                <w:rFonts w:hint="eastAsia" w:ascii="宋体" w:hAnsi="宋体" w:eastAsia="宋体" w:cs="宋体"/>
                <w:color w:val="000000"/>
                <w:szCs w:val="21"/>
              </w:rPr>
            </w:pPr>
            <w:r>
              <w:rPr>
                <w:rFonts w:hint="eastAsia" w:ascii="宋体" w:hAnsi="宋体" w:eastAsia="宋体" w:cs="宋体"/>
                <w:color w:val="000000"/>
                <w:szCs w:val="21"/>
              </w:rPr>
              <w:t>40</w:t>
            </w:r>
          </w:p>
        </w:tc>
        <w:tc>
          <w:tcPr>
            <w:tcW w:w="3130" w:type="pct"/>
            <w:vMerge w:val="restart"/>
            <w:vAlign w:val="center"/>
          </w:tcPr>
          <w:p>
            <w:pPr>
              <w:rPr>
                <w:rFonts w:hint="eastAsia" w:ascii="宋体" w:hAnsi="宋体" w:eastAsia="宋体" w:cs="Times New Roman"/>
                <w:szCs w:val="21"/>
              </w:rPr>
            </w:pPr>
            <w:r>
              <w:rPr>
                <w:rFonts w:hint="eastAsia" w:ascii="宋体" w:hAnsi="宋体" w:eastAsia="宋体" w:cs="Times New Roman"/>
                <w:szCs w:val="21"/>
              </w:rPr>
              <w:t>以下各项由评标委员会成员独立进行客观、公正的评价打分。</w:t>
            </w:r>
          </w:p>
          <w:p>
            <w:pPr>
              <w:rPr>
                <w:rFonts w:ascii="宋体" w:hAnsi="Times New Roman" w:eastAsia="宋体" w:cs="Times New Roman"/>
                <w:szCs w:val="21"/>
              </w:rPr>
            </w:pPr>
            <w:r>
              <w:rPr>
                <w:rFonts w:hint="eastAsia" w:ascii="宋体" w:hAnsi="宋体" w:eastAsia="宋体" w:cs="Times New Roman"/>
                <w:bCs/>
                <w:szCs w:val="21"/>
              </w:rPr>
              <w:t>（1）系统方案已达到招标要求且具备自身优势，设备主要核心部件选用国际知名品牌，打分</w:t>
            </w:r>
            <w:r>
              <w:rPr>
                <w:rFonts w:ascii="宋体" w:hAnsi="宋体" w:eastAsia="宋体" w:cs="Times New Roman"/>
                <w:bCs/>
                <w:szCs w:val="21"/>
              </w:rPr>
              <w:t>0-</w:t>
            </w:r>
            <w:r>
              <w:rPr>
                <w:rFonts w:hint="eastAsia" w:ascii="宋体" w:hAnsi="宋体" w:eastAsia="宋体" w:cs="Times New Roman"/>
                <w:bCs/>
                <w:szCs w:val="21"/>
              </w:rPr>
              <w:t>10分；</w:t>
            </w:r>
          </w:p>
          <w:p>
            <w:pPr>
              <w:rPr>
                <w:rFonts w:hint="eastAsia" w:ascii="宋体" w:hAnsi="宋体" w:eastAsia="宋体" w:cs="Times New Roman"/>
                <w:szCs w:val="21"/>
              </w:rPr>
            </w:pPr>
            <w:r>
              <w:rPr>
                <w:rFonts w:hint="eastAsia" w:ascii="宋体" w:hAnsi="宋体" w:eastAsia="宋体" w:cs="Times New Roman"/>
                <w:bCs/>
                <w:szCs w:val="21"/>
              </w:rPr>
              <w:t>（2）系统配置合理，运行可靠，其性能指标、技术水平、可靠性等优势明显，打分</w:t>
            </w:r>
            <w:r>
              <w:rPr>
                <w:rFonts w:ascii="宋体" w:hAnsi="宋体" w:eastAsia="宋体" w:cs="Times New Roman"/>
                <w:bCs/>
                <w:szCs w:val="21"/>
              </w:rPr>
              <w:t>0-</w:t>
            </w:r>
            <w:r>
              <w:rPr>
                <w:rFonts w:hint="eastAsia" w:ascii="宋体" w:hAnsi="宋体" w:eastAsia="宋体" w:cs="Times New Roman"/>
                <w:bCs/>
                <w:szCs w:val="21"/>
              </w:rPr>
              <w:t>10分；</w:t>
            </w:r>
          </w:p>
          <w:p>
            <w:pPr>
              <w:rPr>
                <w:rFonts w:ascii="宋体" w:hAnsi="Times New Roman" w:eastAsia="宋体" w:cs="Times New Roman"/>
                <w:szCs w:val="21"/>
              </w:rPr>
            </w:pPr>
            <w:r>
              <w:rPr>
                <w:rFonts w:hint="eastAsia" w:ascii="宋体" w:hAnsi="宋体" w:eastAsia="宋体" w:cs="Times New Roman"/>
                <w:szCs w:val="21"/>
              </w:rPr>
              <w:t>（3）企业生产情况，加工设备情况，人员数量与构成，打分0-10分；</w:t>
            </w:r>
          </w:p>
          <w:p>
            <w:pPr>
              <w:rPr>
                <w:rFonts w:ascii="宋体" w:hAnsi="Times New Roman" w:eastAsia="宋体" w:cs="Times New Roman"/>
                <w:szCs w:val="21"/>
              </w:rPr>
            </w:pPr>
            <w:r>
              <w:rPr>
                <w:rFonts w:hint="eastAsia" w:ascii="宋体" w:hAnsi="宋体" w:eastAsia="宋体" w:cs="Times New Roman"/>
                <w:szCs w:val="21"/>
              </w:rPr>
              <w:t>（4）产品相关专利证书，设计人性化，使用方便，</w:t>
            </w:r>
            <w:r>
              <w:rPr>
                <w:rFonts w:hint="eastAsia" w:ascii="宋体" w:hAnsi="宋体" w:eastAsia="宋体" w:cs="Times New Roman"/>
                <w:bCs/>
                <w:szCs w:val="21"/>
              </w:rPr>
              <w:t>打分</w:t>
            </w:r>
            <w:r>
              <w:rPr>
                <w:rFonts w:ascii="宋体" w:hAnsi="宋体" w:eastAsia="宋体" w:cs="Times New Roman"/>
                <w:bCs/>
                <w:szCs w:val="21"/>
              </w:rPr>
              <w:t>0-</w:t>
            </w:r>
            <w:r>
              <w:rPr>
                <w:rFonts w:hint="eastAsia" w:ascii="宋体" w:hAnsi="宋体" w:eastAsia="宋体" w:cs="Times New Roman"/>
                <w:bCs/>
                <w:szCs w:val="21"/>
              </w:rPr>
              <w:t>10分</w:t>
            </w:r>
            <w:r>
              <w:rPr>
                <w:rFonts w:hint="eastAsia" w:ascii="宋体" w:hAnsi="宋体"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414" w:type="pct"/>
            <w:vMerge w:val="continue"/>
            <w:vAlign w:val="center"/>
          </w:tcPr>
          <w:p>
            <w:pPr>
              <w:jc w:val="center"/>
              <w:rPr>
                <w:rFonts w:hint="eastAsia" w:ascii="宋体" w:hAnsi="宋体" w:eastAsia="宋体" w:cs="宋体"/>
                <w:szCs w:val="21"/>
              </w:rPr>
            </w:pPr>
          </w:p>
        </w:tc>
        <w:tc>
          <w:tcPr>
            <w:tcW w:w="315" w:type="pct"/>
            <w:vMerge w:val="continue"/>
            <w:vAlign w:val="center"/>
          </w:tcPr>
          <w:p>
            <w:pPr>
              <w:jc w:val="center"/>
              <w:rPr>
                <w:rFonts w:hint="eastAsia" w:ascii="宋体" w:hAnsi="宋体" w:eastAsia="宋体" w:cs="Times New Roman"/>
                <w:szCs w:val="21"/>
              </w:rPr>
            </w:pPr>
          </w:p>
        </w:tc>
        <w:tc>
          <w:tcPr>
            <w:tcW w:w="589"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性能参数</w:t>
            </w:r>
          </w:p>
        </w:tc>
        <w:tc>
          <w:tcPr>
            <w:tcW w:w="552" w:type="pct"/>
            <w:vMerge w:val="continue"/>
            <w:vAlign w:val="center"/>
          </w:tcPr>
          <w:p>
            <w:pPr>
              <w:jc w:val="center"/>
              <w:rPr>
                <w:rFonts w:hint="eastAsia" w:ascii="宋体" w:hAnsi="宋体" w:eastAsia="宋体" w:cs="宋体"/>
                <w:color w:val="000000"/>
                <w:szCs w:val="21"/>
              </w:rPr>
            </w:pPr>
          </w:p>
        </w:tc>
        <w:tc>
          <w:tcPr>
            <w:tcW w:w="3130" w:type="pct"/>
            <w:vMerge w:val="continue"/>
            <w:vAlign w:val="center"/>
          </w:tcPr>
          <w:p>
            <w:pPr>
              <w:rPr>
                <w:rFonts w:hint="eastAsia"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trPr>
        <w:tc>
          <w:tcPr>
            <w:tcW w:w="414" w:type="pct"/>
            <w:vMerge w:val="continue"/>
            <w:vAlign w:val="center"/>
          </w:tcPr>
          <w:p>
            <w:pPr>
              <w:jc w:val="center"/>
              <w:rPr>
                <w:rFonts w:hint="eastAsia" w:ascii="宋体" w:hAnsi="宋体" w:eastAsia="宋体" w:cs="宋体"/>
                <w:szCs w:val="21"/>
              </w:rPr>
            </w:pPr>
          </w:p>
        </w:tc>
        <w:tc>
          <w:tcPr>
            <w:tcW w:w="315" w:type="pct"/>
            <w:vMerge w:val="continue"/>
            <w:vAlign w:val="center"/>
          </w:tcPr>
          <w:p>
            <w:pPr>
              <w:jc w:val="center"/>
              <w:rPr>
                <w:rFonts w:hint="eastAsia" w:ascii="宋体" w:hAnsi="宋体" w:eastAsia="宋体" w:cs="Times New Roman"/>
                <w:szCs w:val="21"/>
              </w:rPr>
            </w:pPr>
          </w:p>
        </w:tc>
        <w:tc>
          <w:tcPr>
            <w:tcW w:w="589"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生产加工</w:t>
            </w:r>
          </w:p>
        </w:tc>
        <w:tc>
          <w:tcPr>
            <w:tcW w:w="552" w:type="pct"/>
            <w:vMerge w:val="continue"/>
            <w:vAlign w:val="center"/>
          </w:tcPr>
          <w:p>
            <w:pPr>
              <w:jc w:val="center"/>
              <w:rPr>
                <w:rFonts w:hint="eastAsia" w:ascii="宋体" w:hAnsi="宋体" w:eastAsia="宋体" w:cs="宋体"/>
                <w:color w:val="000000"/>
                <w:szCs w:val="21"/>
              </w:rPr>
            </w:pPr>
          </w:p>
        </w:tc>
        <w:tc>
          <w:tcPr>
            <w:tcW w:w="3130" w:type="pct"/>
            <w:vMerge w:val="continue"/>
            <w:vAlign w:val="center"/>
          </w:tcPr>
          <w:p>
            <w:pPr>
              <w:rPr>
                <w:rFonts w:hint="eastAsia"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414" w:type="pct"/>
            <w:vMerge w:val="continue"/>
            <w:vAlign w:val="center"/>
          </w:tcPr>
          <w:p>
            <w:pPr>
              <w:jc w:val="center"/>
              <w:rPr>
                <w:rFonts w:hint="eastAsia" w:ascii="宋体" w:hAnsi="宋体" w:eastAsia="宋体" w:cs="宋体"/>
                <w:szCs w:val="21"/>
              </w:rPr>
            </w:pPr>
          </w:p>
        </w:tc>
        <w:tc>
          <w:tcPr>
            <w:tcW w:w="315" w:type="pct"/>
            <w:vMerge w:val="continue"/>
            <w:vAlign w:val="center"/>
          </w:tcPr>
          <w:p>
            <w:pPr>
              <w:jc w:val="center"/>
              <w:rPr>
                <w:rFonts w:hint="eastAsia" w:ascii="宋体" w:hAnsi="宋体" w:eastAsia="宋体" w:cs="Times New Roman"/>
                <w:szCs w:val="21"/>
              </w:rPr>
            </w:pPr>
          </w:p>
        </w:tc>
        <w:tc>
          <w:tcPr>
            <w:tcW w:w="589"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专利证书</w:t>
            </w:r>
          </w:p>
        </w:tc>
        <w:tc>
          <w:tcPr>
            <w:tcW w:w="552" w:type="pct"/>
            <w:vMerge w:val="continue"/>
            <w:vAlign w:val="center"/>
          </w:tcPr>
          <w:p>
            <w:pPr>
              <w:jc w:val="center"/>
              <w:rPr>
                <w:rFonts w:hint="eastAsia" w:ascii="宋体" w:hAnsi="宋体" w:eastAsia="宋体" w:cs="宋体"/>
                <w:color w:val="000000"/>
                <w:szCs w:val="21"/>
              </w:rPr>
            </w:pPr>
          </w:p>
        </w:tc>
        <w:tc>
          <w:tcPr>
            <w:tcW w:w="3130" w:type="pct"/>
            <w:vMerge w:val="continue"/>
            <w:vAlign w:val="center"/>
          </w:tcPr>
          <w:p>
            <w:pPr>
              <w:rPr>
                <w:rFonts w:hint="eastAsia"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414"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答疑</w:t>
            </w:r>
          </w:p>
        </w:tc>
        <w:tc>
          <w:tcPr>
            <w:tcW w:w="315"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3</w:t>
            </w:r>
          </w:p>
        </w:tc>
        <w:tc>
          <w:tcPr>
            <w:tcW w:w="589"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现场答疑</w:t>
            </w:r>
          </w:p>
        </w:tc>
        <w:tc>
          <w:tcPr>
            <w:tcW w:w="552"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20</w:t>
            </w:r>
          </w:p>
        </w:tc>
        <w:tc>
          <w:tcPr>
            <w:tcW w:w="3130" w:type="pct"/>
            <w:vAlign w:val="center"/>
          </w:tcPr>
          <w:p>
            <w:pPr>
              <w:jc w:val="left"/>
              <w:rPr>
                <w:rFonts w:hint="eastAsia" w:ascii="宋体" w:hAnsi="宋体" w:eastAsia="宋体" w:cs="宋体"/>
                <w:color w:val="000000"/>
                <w:szCs w:val="21"/>
              </w:rPr>
            </w:pPr>
            <w:r>
              <w:rPr>
                <w:rFonts w:hint="eastAsia" w:ascii="宋体" w:hAnsi="宋体" w:eastAsia="宋体" w:cs="宋体"/>
                <w:color w:val="000000"/>
                <w:szCs w:val="21"/>
              </w:rPr>
              <w:t>（1）投标人对投标方案、技术优势的讲解，以及就该项目难点回答评标专家现场提问，</w:t>
            </w:r>
            <w:r>
              <w:rPr>
                <w:rFonts w:hint="eastAsia" w:ascii="宋体" w:hAnsi="宋体" w:eastAsia="宋体" w:cs="Times New Roman"/>
                <w:bCs/>
                <w:szCs w:val="21"/>
              </w:rPr>
              <w:t>打分</w:t>
            </w:r>
            <w:r>
              <w:rPr>
                <w:rFonts w:ascii="宋体" w:hAnsi="宋体" w:eastAsia="宋体" w:cs="Times New Roman"/>
                <w:bCs/>
                <w:szCs w:val="21"/>
              </w:rPr>
              <w:t>0-</w:t>
            </w:r>
            <w:r>
              <w:rPr>
                <w:rFonts w:hint="eastAsia" w:ascii="宋体" w:hAnsi="宋体" w:eastAsia="宋体" w:cs="Times New Roman"/>
                <w:bCs/>
                <w:szCs w:val="21"/>
              </w:rPr>
              <w:t>15分</w:t>
            </w:r>
            <w:r>
              <w:rPr>
                <w:rFonts w:hint="eastAsia" w:ascii="宋体" w:hAnsi="宋体" w:eastAsia="宋体" w:cs="Times New Roman"/>
                <w:szCs w:val="21"/>
              </w:rPr>
              <w:t>。</w:t>
            </w:r>
          </w:p>
          <w:p>
            <w:pPr>
              <w:jc w:val="left"/>
              <w:rPr>
                <w:rFonts w:hint="eastAsia" w:ascii="宋体" w:hAnsi="宋体" w:eastAsia="宋体" w:cs="宋体"/>
                <w:color w:val="000000"/>
                <w:szCs w:val="21"/>
              </w:rPr>
            </w:pPr>
            <w:r>
              <w:rPr>
                <w:rFonts w:hint="eastAsia" w:ascii="宋体" w:hAnsi="宋体" w:eastAsia="宋体" w:cs="宋体"/>
                <w:color w:val="000000"/>
                <w:szCs w:val="21"/>
              </w:rPr>
              <w:t>（2）是否了解招标方现有设备配置，</w:t>
            </w:r>
            <w:r>
              <w:rPr>
                <w:rFonts w:hint="eastAsia" w:ascii="宋体" w:hAnsi="宋体" w:eastAsia="宋体" w:cs="Times New Roman"/>
                <w:bCs/>
                <w:szCs w:val="21"/>
              </w:rPr>
              <w:t>打分</w:t>
            </w:r>
            <w:r>
              <w:rPr>
                <w:rFonts w:ascii="宋体" w:hAnsi="宋体" w:eastAsia="宋体" w:cs="Times New Roman"/>
                <w:bCs/>
                <w:szCs w:val="21"/>
              </w:rPr>
              <w:t>0-</w:t>
            </w:r>
            <w:r>
              <w:rPr>
                <w:rFonts w:hint="eastAsia" w:ascii="宋体" w:hAnsi="宋体" w:eastAsia="宋体" w:cs="Times New Roman"/>
                <w:bCs/>
                <w:szCs w:val="21"/>
              </w:rPr>
              <w:t>5分</w:t>
            </w:r>
            <w:r>
              <w:rPr>
                <w:rFonts w:hint="eastAsia" w:ascii="宋体" w:hAnsi="宋体"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trPr>
        <w:tc>
          <w:tcPr>
            <w:tcW w:w="414" w:type="pct"/>
            <w:vAlign w:val="center"/>
          </w:tcPr>
          <w:p>
            <w:pPr>
              <w:jc w:val="center"/>
              <w:rPr>
                <w:rFonts w:hint="eastAsia" w:ascii="宋体" w:hAnsi="宋体" w:eastAsia="宋体" w:cs="宋体"/>
                <w:sz w:val="18"/>
                <w:szCs w:val="18"/>
              </w:rPr>
            </w:pPr>
            <w:r>
              <w:rPr>
                <w:rFonts w:hint="eastAsia" w:ascii="宋体" w:hAnsi="宋体" w:eastAsia="宋体" w:cs="Times New Roman"/>
                <w:szCs w:val="21"/>
              </w:rPr>
              <w:t>技术偏离</w:t>
            </w:r>
          </w:p>
        </w:tc>
        <w:tc>
          <w:tcPr>
            <w:tcW w:w="315" w:type="pct"/>
            <w:vAlign w:val="center"/>
          </w:tcPr>
          <w:p>
            <w:pPr>
              <w:jc w:val="center"/>
              <w:rPr>
                <w:rFonts w:hint="eastAsia" w:ascii="宋体" w:hAnsi="宋体" w:eastAsia="宋体" w:cs="宋体"/>
                <w:sz w:val="18"/>
                <w:szCs w:val="18"/>
              </w:rPr>
            </w:pPr>
            <w:r>
              <w:rPr>
                <w:rFonts w:hint="eastAsia" w:ascii="宋体" w:hAnsi="宋体" w:eastAsia="宋体" w:cs="Times New Roman"/>
                <w:szCs w:val="21"/>
              </w:rPr>
              <w:t>4</w:t>
            </w:r>
          </w:p>
        </w:tc>
        <w:tc>
          <w:tcPr>
            <w:tcW w:w="589" w:type="pct"/>
            <w:vAlign w:val="center"/>
          </w:tcPr>
          <w:p>
            <w:pPr>
              <w:jc w:val="center"/>
              <w:rPr>
                <w:rFonts w:hint="eastAsia" w:ascii="宋体" w:hAnsi="宋体" w:eastAsia="宋体" w:cs="宋体"/>
                <w:sz w:val="18"/>
                <w:szCs w:val="18"/>
              </w:rPr>
            </w:pPr>
            <w:r>
              <w:rPr>
                <w:rFonts w:hint="eastAsia" w:ascii="宋体" w:hAnsi="宋体" w:eastAsia="宋体" w:cs="Times New Roman"/>
                <w:szCs w:val="21"/>
              </w:rPr>
              <w:t>技术偏离</w:t>
            </w:r>
          </w:p>
        </w:tc>
        <w:tc>
          <w:tcPr>
            <w:tcW w:w="552" w:type="pct"/>
            <w:vAlign w:val="center"/>
          </w:tcPr>
          <w:p>
            <w:pPr>
              <w:jc w:val="center"/>
              <w:rPr>
                <w:rFonts w:hint="eastAsia" w:ascii="宋体" w:hAnsi="宋体" w:eastAsia="宋体" w:cs="宋体"/>
                <w:sz w:val="18"/>
                <w:szCs w:val="18"/>
              </w:rPr>
            </w:pPr>
            <w:r>
              <w:rPr>
                <w:rFonts w:hint="eastAsia" w:ascii="宋体" w:hAnsi="宋体" w:eastAsia="宋体" w:cs="Times New Roman"/>
                <w:szCs w:val="21"/>
              </w:rPr>
              <w:t>10</w:t>
            </w:r>
          </w:p>
        </w:tc>
        <w:tc>
          <w:tcPr>
            <w:tcW w:w="3130" w:type="pct"/>
            <w:vAlign w:val="center"/>
          </w:tcPr>
          <w:p>
            <w:pPr>
              <w:jc w:val="left"/>
              <w:rPr>
                <w:rFonts w:hint="eastAsia" w:ascii="宋体" w:hAnsi="宋体" w:eastAsia="宋体" w:cs="Times New Roman"/>
                <w:bCs/>
                <w:szCs w:val="21"/>
              </w:rPr>
            </w:pPr>
            <w:r>
              <w:rPr>
                <w:rFonts w:hint="eastAsia" w:ascii="宋体" w:hAnsi="宋体" w:eastAsia="宋体" w:cs="Times New Roman"/>
                <w:bCs/>
                <w:szCs w:val="21"/>
              </w:rPr>
              <w:t>根据各投标人的核心产品的配置参数、技术偏离情况，在满足我司技术基本要求的前提下偏离。由评标委员会成员独立进行客观、公正的评价打分。</w:t>
            </w:r>
          </w:p>
          <w:p>
            <w:pPr>
              <w:jc w:val="left"/>
              <w:rPr>
                <w:rFonts w:hint="eastAsia" w:ascii="宋体" w:hAnsi="宋体" w:eastAsia="宋体" w:cs="Times New Roman"/>
                <w:bCs/>
                <w:szCs w:val="21"/>
              </w:rPr>
            </w:pPr>
            <w:r>
              <w:rPr>
                <w:rFonts w:hint="eastAsia" w:ascii="宋体" w:hAnsi="宋体" w:eastAsia="宋体" w:cs="Times New Roman"/>
                <w:bCs/>
                <w:szCs w:val="21"/>
              </w:rPr>
              <w:t>（1）无负偏离得6分；</w:t>
            </w:r>
          </w:p>
          <w:p>
            <w:pPr>
              <w:jc w:val="left"/>
              <w:rPr>
                <w:rFonts w:hint="eastAsia" w:ascii="宋体" w:hAnsi="宋体" w:eastAsia="宋体" w:cs="Times New Roman"/>
                <w:bCs/>
                <w:szCs w:val="21"/>
              </w:rPr>
            </w:pPr>
            <w:r>
              <w:rPr>
                <w:rFonts w:hint="eastAsia" w:ascii="宋体" w:hAnsi="宋体" w:eastAsia="宋体" w:cs="Times New Roman"/>
                <w:bCs/>
                <w:szCs w:val="21"/>
              </w:rPr>
              <w:t>一般偏离一项扣2分，较大偏离一项扣4分，最低</w:t>
            </w:r>
            <w:r>
              <w:rPr>
                <w:rFonts w:ascii="宋体" w:hAnsi="宋体" w:eastAsia="宋体" w:cs="Times New Roman"/>
                <w:bCs/>
                <w:szCs w:val="21"/>
              </w:rPr>
              <w:t>0</w:t>
            </w:r>
            <w:r>
              <w:rPr>
                <w:rFonts w:hint="eastAsia" w:ascii="宋体" w:hAnsi="宋体" w:eastAsia="宋体" w:cs="Times New Roman"/>
                <w:bCs/>
                <w:szCs w:val="21"/>
              </w:rPr>
              <w:t>分；</w:t>
            </w:r>
          </w:p>
          <w:p>
            <w:pPr>
              <w:jc w:val="left"/>
              <w:rPr>
                <w:rFonts w:hint="eastAsia" w:ascii="宋体" w:hAnsi="宋体" w:eastAsia="宋体" w:cs="宋体"/>
                <w:bCs/>
                <w:szCs w:val="21"/>
              </w:rPr>
            </w:pPr>
            <w:r>
              <w:rPr>
                <w:rFonts w:hint="eastAsia" w:ascii="宋体" w:hAnsi="宋体" w:eastAsia="宋体" w:cs="宋体"/>
                <w:bCs/>
                <w:szCs w:val="21"/>
              </w:rPr>
              <w:t>星标项不允许偏离，若有偏离项目直接淘汰。</w:t>
            </w:r>
          </w:p>
          <w:p>
            <w:pPr>
              <w:jc w:val="left"/>
              <w:rPr>
                <w:rFonts w:hint="eastAsia" w:ascii="宋体" w:hAnsi="宋体" w:eastAsia="宋体" w:cs="宋体"/>
                <w:bCs/>
                <w:szCs w:val="21"/>
              </w:rPr>
            </w:pPr>
            <w:r>
              <w:rPr>
                <w:rFonts w:hint="eastAsia" w:ascii="宋体" w:hAnsi="宋体" w:eastAsia="宋体" w:cs="宋体"/>
                <w:bCs/>
                <w:szCs w:val="21"/>
              </w:rPr>
              <w:t>（2）实质性正偏离，一项加2分，最高4分。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trPr>
        <w:tc>
          <w:tcPr>
            <w:tcW w:w="414" w:type="pct"/>
            <w:vMerge w:val="restart"/>
            <w:vAlign w:val="center"/>
          </w:tcPr>
          <w:p>
            <w:pPr>
              <w:jc w:val="center"/>
              <w:rPr>
                <w:rFonts w:hint="eastAsia" w:ascii="宋体" w:hAnsi="宋体" w:eastAsia="宋体" w:cs="宋体"/>
                <w:sz w:val="18"/>
                <w:szCs w:val="18"/>
              </w:rPr>
            </w:pPr>
            <w:r>
              <w:rPr>
                <w:rFonts w:hint="eastAsia" w:ascii="宋体" w:hAnsi="宋体" w:eastAsia="宋体" w:cs="Times New Roman"/>
                <w:szCs w:val="21"/>
              </w:rPr>
              <w:t>售后及服务</w:t>
            </w:r>
          </w:p>
        </w:tc>
        <w:tc>
          <w:tcPr>
            <w:tcW w:w="315" w:type="pct"/>
            <w:vAlign w:val="center"/>
          </w:tcPr>
          <w:p>
            <w:pPr>
              <w:jc w:val="center"/>
              <w:rPr>
                <w:rFonts w:hint="eastAsia" w:ascii="宋体" w:hAnsi="宋体" w:eastAsia="宋体" w:cs="宋体"/>
                <w:sz w:val="18"/>
                <w:szCs w:val="18"/>
              </w:rPr>
            </w:pPr>
            <w:r>
              <w:rPr>
                <w:rFonts w:hint="eastAsia" w:ascii="宋体" w:hAnsi="宋体" w:eastAsia="宋体" w:cs="Times New Roman"/>
                <w:szCs w:val="21"/>
              </w:rPr>
              <w:t>5</w:t>
            </w:r>
          </w:p>
        </w:tc>
        <w:tc>
          <w:tcPr>
            <w:tcW w:w="589"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技术培训</w:t>
            </w:r>
          </w:p>
          <w:p>
            <w:pPr>
              <w:jc w:val="center"/>
              <w:rPr>
                <w:rFonts w:hint="eastAsia" w:ascii="宋体" w:hAnsi="宋体" w:eastAsia="宋体" w:cs="宋体"/>
                <w:sz w:val="18"/>
                <w:szCs w:val="18"/>
              </w:rPr>
            </w:pPr>
            <w:r>
              <w:rPr>
                <w:rFonts w:hint="eastAsia" w:ascii="宋体" w:hAnsi="宋体" w:eastAsia="宋体" w:cs="Times New Roman"/>
                <w:szCs w:val="21"/>
              </w:rPr>
              <w:t>方案</w:t>
            </w:r>
          </w:p>
        </w:tc>
        <w:tc>
          <w:tcPr>
            <w:tcW w:w="552" w:type="pct"/>
            <w:vAlign w:val="center"/>
          </w:tcPr>
          <w:p>
            <w:pPr>
              <w:jc w:val="center"/>
              <w:rPr>
                <w:rFonts w:hint="eastAsia" w:ascii="宋体" w:hAnsi="宋体" w:eastAsia="宋体" w:cs="宋体"/>
                <w:szCs w:val="21"/>
              </w:rPr>
            </w:pPr>
            <w:r>
              <w:rPr>
                <w:rFonts w:hint="eastAsia" w:ascii="宋体" w:hAnsi="宋体" w:eastAsia="宋体" w:cs="宋体"/>
                <w:szCs w:val="21"/>
              </w:rPr>
              <w:t>2</w:t>
            </w:r>
          </w:p>
        </w:tc>
        <w:tc>
          <w:tcPr>
            <w:tcW w:w="3130" w:type="pct"/>
            <w:vAlign w:val="center"/>
          </w:tcPr>
          <w:p>
            <w:pPr>
              <w:jc w:val="left"/>
              <w:rPr>
                <w:rFonts w:hint="eastAsia" w:ascii="宋体" w:hAnsi="宋体" w:eastAsia="宋体" w:cs="Times New Roman"/>
                <w:bCs/>
                <w:szCs w:val="21"/>
              </w:rPr>
            </w:pPr>
            <w:r>
              <w:rPr>
                <w:rFonts w:hint="eastAsia" w:ascii="宋体" w:hAnsi="宋体" w:eastAsia="宋体" w:cs="Times New Roman"/>
                <w:bCs/>
                <w:szCs w:val="21"/>
              </w:rPr>
              <w:t>根据投标人技术培训方案的科学、合理、可行进行打分，0-2分。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414" w:type="pct"/>
            <w:vMerge w:val="continue"/>
            <w:vAlign w:val="center"/>
          </w:tcPr>
          <w:p>
            <w:pPr>
              <w:jc w:val="center"/>
              <w:rPr>
                <w:rFonts w:hint="eastAsia" w:ascii="宋体" w:hAnsi="宋体" w:eastAsia="宋体" w:cs="宋体"/>
                <w:sz w:val="18"/>
                <w:szCs w:val="18"/>
              </w:rPr>
            </w:pPr>
          </w:p>
        </w:tc>
        <w:tc>
          <w:tcPr>
            <w:tcW w:w="315" w:type="pct"/>
            <w:vAlign w:val="center"/>
          </w:tcPr>
          <w:p>
            <w:pPr>
              <w:jc w:val="center"/>
              <w:rPr>
                <w:rFonts w:hint="eastAsia" w:ascii="宋体" w:hAnsi="宋体" w:eastAsia="宋体" w:cs="宋体"/>
                <w:sz w:val="18"/>
                <w:szCs w:val="18"/>
              </w:rPr>
            </w:pPr>
            <w:r>
              <w:rPr>
                <w:rFonts w:hint="eastAsia" w:ascii="宋体" w:hAnsi="宋体" w:eastAsia="宋体" w:cs="Times New Roman"/>
                <w:szCs w:val="21"/>
              </w:rPr>
              <w:t>6</w:t>
            </w:r>
          </w:p>
        </w:tc>
        <w:tc>
          <w:tcPr>
            <w:tcW w:w="589"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售后技术</w:t>
            </w:r>
          </w:p>
          <w:p>
            <w:pPr>
              <w:jc w:val="center"/>
              <w:rPr>
                <w:rFonts w:hint="eastAsia" w:ascii="宋体" w:hAnsi="宋体" w:eastAsia="宋体" w:cs="宋体"/>
                <w:sz w:val="18"/>
                <w:szCs w:val="18"/>
              </w:rPr>
            </w:pPr>
            <w:r>
              <w:rPr>
                <w:rFonts w:hint="eastAsia" w:ascii="宋体" w:hAnsi="宋体" w:eastAsia="宋体" w:cs="Times New Roman"/>
                <w:szCs w:val="21"/>
              </w:rPr>
              <w:t>力量</w:t>
            </w:r>
          </w:p>
        </w:tc>
        <w:tc>
          <w:tcPr>
            <w:tcW w:w="552" w:type="pct"/>
            <w:vAlign w:val="center"/>
          </w:tcPr>
          <w:p>
            <w:pPr>
              <w:jc w:val="center"/>
              <w:rPr>
                <w:rFonts w:hint="eastAsia" w:ascii="宋体" w:hAnsi="宋体" w:eastAsia="宋体" w:cs="宋体"/>
                <w:sz w:val="18"/>
                <w:szCs w:val="18"/>
              </w:rPr>
            </w:pPr>
            <w:r>
              <w:rPr>
                <w:rFonts w:hint="eastAsia" w:ascii="宋体" w:hAnsi="宋体" w:eastAsia="宋体" w:cs="Times New Roman"/>
                <w:szCs w:val="21"/>
              </w:rPr>
              <w:t>5</w:t>
            </w:r>
          </w:p>
        </w:tc>
        <w:tc>
          <w:tcPr>
            <w:tcW w:w="3130" w:type="pct"/>
            <w:vAlign w:val="center"/>
          </w:tcPr>
          <w:p>
            <w:pPr>
              <w:jc w:val="left"/>
              <w:rPr>
                <w:rFonts w:hint="eastAsia" w:ascii="宋体" w:hAnsi="宋体" w:eastAsia="宋体" w:cs="Times New Roman"/>
                <w:bCs/>
                <w:szCs w:val="21"/>
              </w:rPr>
            </w:pPr>
            <w:r>
              <w:rPr>
                <w:rFonts w:hint="eastAsia" w:ascii="宋体" w:hAnsi="宋体" w:eastAsia="宋体" w:cs="Times New Roman"/>
                <w:bCs/>
                <w:szCs w:val="21"/>
              </w:rPr>
              <w:t>根据投标人在国内常驻专业技术力量的维保机构数量和规模进行打分，0-5分。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414" w:type="pct"/>
            <w:vMerge w:val="continue"/>
            <w:vAlign w:val="center"/>
          </w:tcPr>
          <w:p>
            <w:pPr>
              <w:jc w:val="center"/>
              <w:rPr>
                <w:rFonts w:hint="eastAsia" w:ascii="宋体" w:hAnsi="宋体" w:eastAsia="宋体" w:cs="宋体"/>
                <w:sz w:val="18"/>
                <w:szCs w:val="18"/>
              </w:rPr>
            </w:pPr>
          </w:p>
        </w:tc>
        <w:tc>
          <w:tcPr>
            <w:tcW w:w="315"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7</w:t>
            </w:r>
          </w:p>
        </w:tc>
        <w:tc>
          <w:tcPr>
            <w:tcW w:w="589"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售后响应时间</w:t>
            </w:r>
          </w:p>
        </w:tc>
        <w:tc>
          <w:tcPr>
            <w:tcW w:w="552"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3</w:t>
            </w:r>
          </w:p>
        </w:tc>
        <w:tc>
          <w:tcPr>
            <w:tcW w:w="3130" w:type="pct"/>
            <w:vAlign w:val="center"/>
          </w:tcPr>
          <w:p>
            <w:pPr>
              <w:jc w:val="left"/>
              <w:rPr>
                <w:rFonts w:hint="eastAsia" w:ascii="宋体" w:hAnsi="宋体" w:eastAsia="宋体" w:cs="Times New Roman"/>
                <w:bCs/>
                <w:szCs w:val="21"/>
              </w:rPr>
            </w:pPr>
            <w:r>
              <w:rPr>
                <w:rFonts w:hint="eastAsia" w:ascii="宋体" w:hAnsi="宋体" w:eastAsia="宋体" w:cs="Times New Roman"/>
                <w:szCs w:val="21"/>
              </w:rPr>
              <w:t>根据投标人售后服务的承诺和具体的保证措施，承诺到现场的响应时间进行打分，0-3分。</w:t>
            </w:r>
          </w:p>
        </w:tc>
      </w:tr>
    </w:tbl>
    <w:p>
      <w:pPr>
        <w:pStyle w:val="20"/>
        <w:outlineLvl w:val="2"/>
        <w:rPr>
          <w:rFonts w:hint="eastAsia" w:hAnsi="宋体" w:eastAsia="宋体" w:cs="宋体"/>
          <w:b/>
          <w:bCs/>
          <w:color w:val="000000"/>
          <w:sz w:val="24"/>
          <w:szCs w:val="24"/>
        </w:rPr>
      </w:pPr>
    </w:p>
    <w:p>
      <w:pPr>
        <w:keepNext/>
        <w:keepLines/>
        <w:spacing w:line="400" w:lineRule="exact"/>
        <w:jc w:val="center"/>
        <w:outlineLvl w:val="1"/>
        <w:rPr>
          <w:rFonts w:hint="eastAsia" w:ascii="宋体" w:hAnsi="宋体" w:eastAsia="宋体" w:cs="Times New Roman"/>
          <w:b/>
          <w:bCs/>
          <w:sz w:val="24"/>
          <w:szCs w:val="24"/>
          <w:highlight w:val="yellow"/>
        </w:rPr>
      </w:pPr>
      <w:r>
        <w:rPr>
          <w:rFonts w:hint="eastAsia" w:ascii="宋体" w:hAnsi="宋体" w:eastAsia="宋体" w:cs="Times New Roman"/>
          <w:b/>
          <w:bCs/>
          <w:sz w:val="24"/>
          <w:szCs w:val="24"/>
          <w:highlight w:val="yellow"/>
        </w:rPr>
        <w:t>附件</w:t>
      </w:r>
      <w:r>
        <w:rPr>
          <w:rFonts w:ascii="宋体" w:hAnsi="宋体" w:eastAsia="宋体" w:cs="Times New Roman"/>
          <w:b/>
          <w:bCs/>
          <w:sz w:val="24"/>
          <w:szCs w:val="24"/>
          <w:highlight w:val="yellow"/>
        </w:rPr>
        <w:t xml:space="preserve">2  </w:t>
      </w:r>
      <w:r>
        <w:rPr>
          <w:rFonts w:hint="eastAsia" w:ascii="宋体" w:hAnsi="宋体" w:eastAsia="宋体" w:cs="Times New Roman"/>
          <w:b/>
          <w:bCs/>
          <w:sz w:val="24"/>
          <w:szCs w:val="24"/>
          <w:highlight w:val="yellow"/>
        </w:rPr>
        <w:t>商务评价表（10</w:t>
      </w:r>
      <w:r>
        <w:rPr>
          <w:rFonts w:ascii="宋体" w:hAnsi="宋体" w:eastAsia="宋体" w:cs="Times New Roman"/>
          <w:b/>
          <w:bCs/>
          <w:sz w:val="24"/>
          <w:szCs w:val="24"/>
          <w:highlight w:val="yellow"/>
        </w:rPr>
        <w:t>0</w:t>
      </w:r>
      <w:r>
        <w:rPr>
          <w:rFonts w:hint="eastAsia" w:ascii="宋体" w:hAnsi="宋体" w:eastAsia="宋体" w:cs="Times New Roman"/>
          <w:b/>
          <w:bCs/>
          <w:sz w:val="24"/>
          <w:szCs w:val="24"/>
          <w:highlight w:val="yellow"/>
        </w:rPr>
        <w:t>分）</w:t>
      </w:r>
    </w:p>
    <w:tbl>
      <w:tblPr>
        <w:tblStyle w:val="39"/>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99"/>
        <w:gridCol w:w="689"/>
        <w:gridCol w:w="7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97" w:type="dxa"/>
            <w:vAlign w:val="center"/>
          </w:tcPr>
          <w:p>
            <w:pPr>
              <w:jc w:val="center"/>
              <w:rPr>
                <w:rFonts w:hint="eastAsia" w:ascii="宋体" w:hAnsi="宋体" w:eastAsia="宋体" w:cs="Times New Roman"/>
                <w:b/>
                <w:szCs w:val="21"/>
                <w:highlight w:val="yellow"/>
              </w:rPr>
            </w:pPr>
            <w:r>
              <w:rPr>
                <w:rFonts w:hint="eastAsia" w:ascii="宋体" w:hAnsi="宋体" w:eastAsia="宋体" w:cs="Times New Roman"/>
                <w:b/>
                <w:szCs w:val="21"/>
                <w:highlight w:val="yellow"/>
              </w:rPr>
              <w:t>评价类型</w:t>
            </w:r>
          </w:p>
        </w:tc>
        <w:tc>
          <w:tcPr>
            <w:tcW w:w="999" w:type="dxa"/>
            <w:vAlign w:val="center"/>
          </w:tcPr>
          <w:p>
            <w:pPr>
              <w:jc w:val="center"/>
              <w:rPr>
                <w:rFonts w:hint="eastAsia" w:ascii="宋体" w:hAnsi="宋体" w:eastAsia="宋体" w:cs="Times New Roman"/>
                <w:b/>
                <w:szCs w:val="21"/>
                <w:highlight w:val="yellow"/>
              </w:rPr>
            </w:pPr>
            <w:r>
              <w:rPr>
                <w:rFonts w:hint="eastAsia" w:ascii="宋体" w:hAnsi="宋体" w:eastAsia="宋体" w:cs="Times New Roman"/>
                <w:b/>
                <w:szCs w:val="21"/>
                <w:highlight w:val="yellow"/>
              </w:rPr>
              <w:t>内   容</w:t>
            </w:r>
          </w:p>
        </w:tc>
        <w:tc>
          <w:tcPr>
            <w:tcW w:w="689" w:type="dxa"/>
            <w:vAlign w:val="center"/>
          </w:tcPr>
          <w:p>
            <w:pPr>
              <w:jc w:val="center"/>
              <w:rPr>
                <w:rFonts w:hint="eastAsia" w:ascii="宋体" w:hAnsi="宋体" w:eastAsia="宋体" w:cs="Times New Roman"/>
                <w:b/>
                <w:szCs w:val="21"/>
                <w:highlight w:val="yellow"/>
              </w:rPr>
            </w:pPr>
            <w:r>
              <w:rPr>
                <w:rFonts w:hint="eastAsia" w:ascii="宋体" w:hAnsi="宋体" w:eastAsia="宋体" w:cs="Times New Roman"/>
                <w:b/>
                <w:szCs w:val="21"/>
                <w:highlight w:val="yellow"/>
              </w:rPr>
              <w:t>标准分</w:t>
            </w:r>
          </w:p>
        </w:tc>
        <w:tc>
          <w:tcPr>
            <w:tcW w:w="7413" w:type="dxa"/>
            <w:vAlign w:val="center"/>
          </w:tcPr>
          <w:p>
            <w:pPr>
              <w:jc w:val="center"/>
              <w:rPr>
                <w:rFonts w:hint="eastAsia" w:ascii="宋体" w:hAnsi="宋体" w:eastAsia="宋体" w:cs="Times New Roman"/>
                <w:b/>
                <w:szCs w:val="21"/>
                <w:highlight w:val="yellow"/>
              </w:rPr>
            </w:pPr>
            <w:r>
              <w:rPr>
                <w:rFonts w:hint="eastAsia" w:ascii="宋体" w:hAnsi="宋体" w:eastAsia="宋体" w:cs="Times New Roman"/>
                <w:b/>
                <w:szCs w:val="21"/>
                <w:highlight w:val="yellow"/>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697" w:type="dxa"/>
            <w:vAlign w:val="center"/>
          </w:tcPr>
          <w:p>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w:t>
            </w:r>
          </w:p>
          <w:p>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100分</w:t>
            </w:r>
          </w:p>
        </w:tc>
        <w:tc>
          <w:tcPr>
            <w:tcW w:w="999" w:type="dxa"/>
            <w:vAlign w:val="center"/>
          </w:tcPr>
          <w:p>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商务评分计算</w:t>
            </w:r>
          </w:p>
        </w:tc>
        <w:tc>
          <w:tcPr>
            <w:tcW w:w="689" w:type="dxa"/>
            <w:vAlign w:val="center"/>
          </w:tcPr>
          <w:p>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100</w:t>
            </w:r>
          </w:p>
        </w:tc>
        <w:tc>
          <w:tcPr>
            <w:tcW w:w="7413" w:type="dxa"/>
            <w:vAlign w:val="center"/>
          </w:tcPr>
          <w:p>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评标基准价： </w:t>
            </w:r>
          </w:p>
          <w:p>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1、评标基准价为所有合理有效的最终投标报价的最低价。</w:t>
            </w:r>
          </w:p>
          <w:p>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2、有效的评标基准价得100分；其他投标人的价格得分按下列公式计算：投标价格得分=100×（评标基准价/投标报价）。</w:t>
            </w:r>
          </w:p>
          <w:p>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注：得分值取小数点后两位，不足一个百分点的，按照四舍五入法计算。 </w:t>
            </w:r>
          </w:p>
        </w:tc>
      </w:tr>
    </w:tbl>
    <w:p>
      <w:pPr>
        <w:pStyle w:val="20"/>
        <w:outlineLvl w:val="2"/>
        <w:rPr>
          <w:rFonts w:hint="eastAsia" w:hAnsi="宋体" w:eastAsia="宋体" w:cs="宋体"/>
          <w:b/>
          <w:bCs/>
          <w:color w:val="000000"/>
          <w:sz w:val="24"/>
          <w:szCs w:val="24"/>
        </w:rPr>
        <w:sectPr>
          <w:footerReference r:id="rId30" w:type="default"/>
          <w:pgSz w:w="11906" w:h="16838"/>
          <w:pgMar w:top="1588" w:right="1417" w:bottom="1134" w:left="1417" w:header="851" w:footer="992" w:gutter="0"/>
          <w:cols w:space="0" w:num="1"/>
          <w:titlePg/>
          <w:docGrid w:type="lines" w:linePitch="312" w:charSpace="0"/>
        </w:sectPr>
      </w:pPr>
      <w:r>
        <w:rPr>
          <w:rFonts w:hint="eastAsia" w:hAnsi="宋体" w:eastAsia="宋体" w:cs="宋体"/>
          <w:b/>
          <w:bCs/>
          <w:color w:val="000000"/>
          <w:sz w:val="24"/>
          <w:szCs w:val="24"/>
          <w:highlight w:val="yellow"/>
        </w:rPr>
        <w:t>综合得分=技术标得分*0.3+商务标得分*0.7</w:t>
      </w:r>
    </w:p>
    <w:p>
      <w:pPr>
        <w:pStyle w:val="20"/>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详见手机短信</w:t>
      </w:r>
    </w:p>
    <w:p>
      <w:pPr>
        <w:rPr>
          <w:rFonts w:hint="eastAsia" w:ascii="宋体" w:hAnsi="宋体" w:eastAsia="宋体" w:cs="宋体"/>
          <w:color w:val="000000"/>
        </w:rPr>
      </w:pPr>
    </w:p>
    <w:p>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0"/>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0"/>
      </w:pPr>
      <w:r>
        <w:rPr>
          <w:rFonts w:hint="eastAsia" w:hAnsi="宋体" w:eastAsia="宋体" w:cs="宋体"/>
          <w:b/>
          <w:bCs/>
          <w:color w:val="000000"/>
          <w:sz w:val="24"/>
          <w:szCs w:val="28"/>
          <w:highlight w:val="yellow"/>
        </w:rPr>
        <w:t>2.配套能力“供货类别”选“非生产招标→研发试验设备→产品试验检测中心”，业务主管部门为“产品试验检测中心”。</w:t>
      </w:r>
    </w:p>
    <w:p>
      <w:pPr>
        <w:pStyle w:val="20"/>
        <w:sectPr>
          <w:pgSz w:w="11906" w:h="16838"/>
          <w:pgMar w:top="1588" w:right="1418" w:bottom="1134" w:left="1418" w:header="851" w:footer="992" w:gutter="0"/>
          <w:cols w:space="720" w:num="1"/>
          <w:titlePg/>
          <w:docGrid w:type="lines" w:linePitch="312" w:charSpace="0"/>
        </w:sectPr>
      </w:pPr>
    </w:p>
    <w:p>
      <w:pPr>
        <w:pStyle w:val="20"/>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https://ecaitong.sinotruk.com:8012/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rPr>
      </w:pPr>
      <w:r>
        <mc:AlternateContent>
          <mc:Choice Requires="wps">
            <w:drawing>
              <wp:anchor distT="0" distB="0" distL="114300" distR="114300" simplePos="0" relativeHeight="25168486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848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0"/>
      </w:pPr>
      <w:r>
        <w:rPr>
          <w:rFonts w:hint="eastAsia" w:hAnsi="宋体" w:eastAsia="宋体" w:cs="宋体"/>
          <w:b/>
          <w:bCs/>
          <w:color w:val="000000"/>
          <w:sz w:val="24"/>
          <w:szCs w:val="28"/>
          <w:highlight w:val="yellow"/>
        </w:rPr>
        <w:t>注意：系统内的投标报价单位为“万元”，如开标现场发现填错报价，即直接淘汰。</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9"/>
                    <a:stretch>
                      <a:fillRect/>
                    </a:stretch>
                  </pic:blipFill>
                  <pic:spPr>
                    <a:xfrm>
                      <a:off x="0" y="0"/>
                      <a:ext cx="5760085" cy="1956600"/>
                    </a:xfrm>
                    <a:prstGeom prst="rect">
                      <a:avLst/>
                    </a:prstGeom>
                  </pic:spPr>
                </pic:pic>
              </a:graphicData>
            </a:graphic>
          </wp:inline>
        </w:drawing>
      </w:r>
    </w:p>
    <w:p>
      <w:pPr>
        <w:rPr>
          <w:rFonts w:hint="eastAsia"/>
        </w:rPr>
      </w:pPr>
    </w:p>
    <w:p>
      <w:pPr>
        <w:rPr>
          <w:rFonts w:hint="eastAsia"/>
        </w:rPr>
      </w:pPr>
    </w:p>
    <w:p>
      <w:pPr>
        <w:rPr>
          <w:rFonts w:hint="eastAsia"/>
        </w:rPr>
      </w:pPr>
    </w:p>
    <w:sectPr>
      <w:headerReference r:id="rId32" w:type="first"/>
      <w:footerReference r:id="rId34" w:type="first"/>
      <w:headerReference r:id="rId31" w:type="default"/>
      <w:footerReference r:id="rId33"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6413824" name="文本框 13864138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- 32 -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gWDWENAIAAGcEAAAOAAAAAAAAAAEAIAAAAB8BAABkcnMvZTJvRG9jLnhtbFBL&#10;BQYAAAAABgAGAFkBAADFBQ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- 32 -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w:rPr>
        <w:rFonts w:hint="eastAsia"/>
      </w:rPr>
      <w:pict>
        <v:shape id="PowerPlusWaterMarkObject6451002" o:spid="_x0000_s1039" o:spt="136" type="#_x0000_t136" style="position:absolute;left:0pt;margin-left:472.35pt;margin-top:385.75pt;height:14pt;width:129pt;mso-position-horizontal-relative:margin;mso-position-vertical-relative:margin;rotation:-2949120f;z-index:-251624448;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5873452" o:spid="_x0000_s1040" o:spt="136" type="#_x0000_t136" style="position:absolute;left:0pt;margin-left:359.95pt;margin-top:498.2pt;height:14pt;width:129pt;mso-position-horizontal-relative:margin;mso-position-vertical-relative:margin;rotation:-2949120f;z-index:-251625472;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5675468" o:spid="_x0000_s1041" o:spt="136" type="#_x0000_t136" style="position:absolute;left:0pt;margin-left:247.5pt;margin-top:610.6pt;height:14pt;width:129pt;mso-position-horizontal-relative:margin;mso-position-vertical-relative:margin;rotation:-2949120f;z-index:-251626496;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4938555" o:spid="_x0000_s1042" o:spt="136" type="#_x0000_t136" style="position:absolute;left:0pt;margin-left:135.05pt;margin-top:723.05pt;height:14pt;width:129pt;mso-position-horizontal-relative:margin;mso-position-vertical-relative:margin;rotation:-2949120f;z-index:-251627520;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4353719" o:spid="_x0000_s1043" o:spt="136" type="#_x0000_t136" style="position:absolute;left:0pt;margin-left:472.35pt;margin-top:26.45pt;height:14pt;width:129pt;mso-position-horizontal-relative:margin;mso-position-vertical-relative:margin;rotation:-2949120f;z-index:-251628544;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4214509" o:spid="_x0000_s1044" o:spt="136" type="#_x0000_t136" style="position:absolute;left:0pt;margin-left:359.95pt;margin-top:138.9pt;height:14pt;width:129pt;mso-position-horizontal-relative:margin;mso-position-vertical-relative:margin;rotation:-2949120f;z-index:-251629568;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4083657" o:spid="_x0000_s1045" o:spt="136" type="#_x0000_t136" style="position:absolute;left:0pt;margin-left:247.5pt;margin-top:251.3pt;height:14pt;width:129pt;mso-position-horizontal-relative:margin;mso-position-vertical-relative:margin;rotation:-2949120f;z-index:-251630592;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3163958" o:spid="_x0000_s1046" o:spt="136" type="#_x0000_t136" style="position:absolute;left:0pt;margin-left:135.05pt;margin-top:363.75pt;height:14pt;width:129pt;mso-position-horizontal-relative:margin;mso-position-vertical-relative:margin;rotation:-2949120f;z-index:-251631616;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2762850" o:spid="_x0000_s1047" o:spt="136" type="#_x0000_t136" style="position:absolute;left:0pt;margin-left:22.65pt;margin-top:476.2pt;height:14pt;width:129pt;mso-position-horizontal-relative:margin;mso-position-vertical-relative:margin;rotation:-2949120f;z-index:-251632640;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2674472" o:spid="_x0000_s1048" o:spt="136" type="#_x0000_t136" style="position:absolute;left:0pt;margin-left:-89.8pt;margin-top:588.6pt;height:14pt;width:129pt;mso-position-horizontal-relative:margin;mso-position-vertical-relative:margin;rotation:-2949120f;z-index:-251633664;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2650579" o:spid="_x0000_s1049" o:spt="136" type="#_x0000_t136" style="position:absolute;left:0pt;margin-left:247.5pt;margin-top:-108pt;height:14pt;width:129pt;mso-position-horizontal-relative:margin;mso-position-vertical-relative:margin;rotation:-2949120f;z-index:-251634688;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2406989" o:spid="_x0000_s1050" o:spt="136" type="#_x0000_t136" style="position:absolute;left:0pt;margin-left:135.05pt;margin-top:4.45pt;height:14pt;width:129pt;mso-position-horizontal-relative:margin;mso-position-vertical-relative:margin;rotation:-2949120f;z-index:-251635712;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1538710" o:spid="_x0000_s1051" o:spt="136" type="#_x0000_t136" style="position:absolute;left:0pt;margin-left:22.65pt;margin-top:116.9pt;height:14pt;width:129pt;mso-position-horizontal-relative:margin;mso-position-vertical-relative:margin;rotation:-2949120f;z-index:-251636736;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543154" o:spid="_x0000_s1052" o:spt="136" type="#_x0000_t136" style="position:absolute;left:0pt;margin-left:-89.8pt;margin-top:229.3pt;height:14pt;width:129pt;mso-position-horizontal-relative:margin;mso-position-vertical-relative:margin;rotation:-2949120f;z-index:-251637760;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p>
  <w:p>
    <w:pPr>
      <w:pStyle w:val="26"/>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3D7A017"/>
    <w:multiLevelType w:val="multilevel"/>
    <w:tmpl w:val="C3D7A01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68749BD"/>
    <w:multiLevelType w:val="singleLevel"/>
    <w:tmpl w:val="068749BD"/>
    <w:lvl w:ilvl="0" w:tentative="0">
      <w:start w:val="1"/>
      <w:numFmt w:val="decimal"/>
      <w:suff w:val="nothing"/>
      <w:lvlText w:val="%1、"/>
      <w:lvlJc w:val="left"/>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abstractNum w:abstractNumId="12">
    <w:nsid w:val="7B99EB8C"/>
    <w:multiLevelType w:val="singleLevel"/>
    <w:tmpl w:val="7B99EB8C"/>
    <w:lvl w:ilvl="0" w:tentative="0">
      <w:start w:val="1"/>
      <w:numFmt w:val="decimal"/>
      <w:suff w:val="nothing"/>
      <w:lvlText w:val="%1、"/>
      <w:lvlJc w:val="left"/>
    </w:lvl>
  </w:abstractNum>
  <w:num w:numId="1">
    <w:abstractNumId w:val="9"/>
  </w:num>
  <w:num w:numId="2">
    <w:abstractNumId w:val="10"/>
  </w:num>
  <w:num w:numId="3">
    <w:abstractNumId w:val="0"/>
  </w:num>
  <w:num w:numId="4">
    <w:abstractNumId w:val="11"/>
  </w:num>
  <w:num w:numId="5">
    <w:abstractNumId w:val="6"/>
  </w:num>
  <w:num w:numId="6">
    <w:abstractNumId w:val="3"/>
  </w:num>
  <w:num w:numId="7">
    <w:abstractNumId w:val="8"/>
  </w:num>
  <w:num w:numId="8">
    <w:abstractNumId w:val="2"/>
  </w:num>
  <w:num w:numId="9">
    <w:abstractNumId w:val="7"/>
  </w:num>
  <w:num w:numId="10">
    <w:abstractNumId w:val="5"/>
  </w:num>
  <w:num w:numId="11">
    <w:abstractNumId w:val="1"/>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5D1"/>
    <w:rsid w:val="00022B06"/>
    <w:rsid w:val="00036836"/>
    <w:rsid w:val="0005777A"/>
    <w:rsid w:val="00065382"/>
    <w:rsid w:val="00080223"/>
    <w:rsid w:val="000A5309"/>
    <w:rsid w:val="000D6A51"/>
    <w:rsid w:val="000F45A3"/>
    <w:rsid w:val="001076E5"/>
    <w:rsid w:val="001C1EE3"/>
    <w:rsid w:val="001C713C"/>
    <w:rsid w:val="001D75B9"/>
    <w:rsid w:val="00200F05"/>
    <w:rsid w:val="00220056"/>
    <w:rsid w:val="002626ED"/>
    <w:rsid w:val="00265A40"/>
    <w:rsid w:val="00282FDE"/>
    <w:rsid w:val="0028615B"/>
    <w:rsid w:val="0029130A"/>
    <w:rsid w:val="002F49D4"/>
    <w:rsid w:val="00304629"/>
    <w:rsid w:val="00306AB3"/>
    <w:rsid w:val="003A4540"/>
    <w:rsid w:val="003B4D7D"/>
    <w:rsid w:val="003E0AB3"/>
    <w:rsid w:val="00401C42"/>
    <w:rsid w:val="004076DE"/>
    <w:rsid w:val="00460AFB"/>
    <w:rsid w:val="00470130"/>
    <w:rsid w:val="00483B0A"/>
    <w:rsid w:val="0048779A"/>
    <w:rsid w:val="00495476"/>
    <w:rsid w:val="004B5126"/>
    <w:rsid w:val="004D0330"/>
    <w:rsid w:val="004D0838"/>
    <w:rsid w:val="004F7838"/>
    <w:rsid w:val="004F7F0F"/>
    <w:rsid w:val="00503391"/>
    <w:rsid w:val="00552960"/>
    <w:rsid w:val="00553B27"/>
    <w:rsid w:val="0056018A"/>
    <w:rsid w:val="00567344"/>
    <w:rsid w:val="005829DC"/>
    <w:rsid w:val="005B1856"/>
    <w:rsid w:val="005C0B4E"/>
    <w:rsid w:val="005C421F"/>
    <w:rsid w:val="005D3BBC"/>
    <w:rsid w:val="005F16F0"/>
    <w:rsid w:val="006505D3"/>
    <w:rsid w:val="0065185D"/>
    <w:rsid w:val="00680629"/>
    <w:rsid w:val="00686C52"/>
    <w:rsid w:val="006D6075"/>
    <w:rsid w:val="006F1414"/>
    <w:rsid w:val="006F15E0"/>
    <w:rsid w:val="007432BF"/>
    <w:rsid w:val="007525BF"/>
    <w:rsid w:val="0077033B"/>
    <w:rsid w:val="007800DC"/>
    <w:rsid w:val="007838AA"/>
    <w:rsid w:val="00783D5E"/>
    <w:rsid w:val="00785FD6"/>
    <w:rsid w:val="007B212D"/>
    <w:rsid w:val="007F4254"/>
    <w:rsid w:val="00806A61"/>
    <w:rsid w:val="008153DE"/>
    <w:rsid w:val="00824BFD"/>
    <w:rsid w:val="008453B3"/>
    <w:rsid w:val="00866678"/>
    <w:rsid w:val="008D3B56"/>
    <w:rsid w:val="008D5CEF"/>
    <w:rsid w:val="008F16FB"/>
    <w:rsid w:val="00927F74"/>
    <w:rsid w:val="009360F9"/>
    <w:rsid w:val="00964F00"/>
    <w:rsid w:val="0097676D"/>
    <w:rsid w:val="009B511E"/>
    <w:rsid w:val="009E0F5E"/>
    <w:rsid w:val="009E321E"/>
    <w:rsid w:val="00A03FB0"/>
    <w:rsid w:val="00A21EB2"/>
    <w:rsid w:val="00A31561"/>
    <w:rsid w:val="00A54E95"/>
    <w:rsid w:val="00A80564"/>
    <w:rsid w:val="00A960B2"/>
    <w:rsid w:val="00AE6633"/>
    <w:rsid w:val="00B01FF1"/>
    <w:rsid w:val="00B12C29"/>
    <w:rsid w:val="00B4611C"/>
    <w:rsid w:val="00B72516"/>
    <w:rsid w:val="00B92C97"/>
    <w:rsid w:val="00BA3C70"/>
    <w:rsid w:val="00BB4E42"/>
    <w:rsid w:val="00C01073"/>
    <w:rsid w:val="00C32A8D"/>
    <w:rsid w:val="00C855F6"/>
    <w:rsid w:val="00C92F53"/>
    <w:rsid w:val="00CD5223"/>
    <w:rsid w:val="00CE5010"/>
    <w:rsid w:val="00CE6E17"/>
    <w:rsid w:val="00D0528A"/>
    <w:rsid w:val="00D11B37"/>
    <w:rsid w:val="00D408EF"/>
    <w:rsid w:val="00D5145C"/>
    <w:rsid w:val="00D535A8"/>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6F7064A"/>
    <w:rsid w:val="07571DAC"/>
    <w:rsid w:val="078A0D17"/>
    <w:rsid w:val="08000695"/>
    <w:rsid w:val="08332819"/>
    <w:rsid w:val="08E64121"/>
    <w:rsid w:val="090D5816"/>
    <w:rsid w:val="0942017F"/>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D0C2B7B"/>
    <w:rsid w:val="0D9308F8"/>
    <w:rsid w:val="0E1A1D85"/>
    <w:rsid w:val="0E2350DD"/>
    <w:rsid w:val="0E696120"/>
    <w:rsid w:val="0E750568"/>
    <w:rsid w:val="0EB93A32"/>
    <w:rsid w:val="0F2D7A80"/>
    <w:rsid w:val="0F4277E5"/>
    <w:rsid w:val="0F6B7381"/>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3CE1569"/>
    <w:rsid w:val="13DF3855"/>
    <w:rsid w:val="14092DB2"/>
    <w:rsid w:val="145A6A37"/>
    <w:rsid w:val="1467440F"/>
    <w:rsid w:val="148D59E6"/>
    <w:rsid w:val="14F73019"/>
    <w:rsid w:val="15433A9B"/>
    <w:rsid w:val="15D13671"/>
    <w:rsid w:val="15FC2F04"/>
    <w:rsid w:val="15FD3709"/>
    <w:rsid w:val="16181FAC"/>
    <w:rsid w:val="166050EB"/>
    <w:rsid w:val="168756A0"/>
    <w:rsid w:val="16F94849"/>
    <w:rsid w:val="17001571"/>
    <w:rsid w:val="17045E51"/>
    <w:rsid w:val="172011D4"/>
    <w:rsid w:val="17252C3B"/>
    <w:rsid w:val="173F0A2E"/>
    <w:rsid w:val="17770BC2"/>
    <w:rsid w:val="17860E2F"/>
    <w:rsid w:val="17A119AA"/>
    <w:rsid w:val="17AF1095"/>
    <w:rsid w:val="17C55E7C"/>
    <w:rsid w:val="18586F2B"/>
    <w:rsid w:val="192F3CC4"/>
    <w:rsid w:val="1935690C"/>
    <w:rsid w:val="19516138"/>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7870A4"/>
    <w:rsid w:val="208717DB"/>
    <w:rsid w:val="20AB56C6"/>
    <w:rsid w:val="2176507C"/>
    <w:rsid w:val="21BA10C4"/>
    <w:rsid w:val="21BE35AF"/>
    <w:rsid w:val="21C11174"/>
    <w:rsid w:val="22244B28"/>
    <w:rsid w:val="22467FD4"/>
    <w:rsid w:val="22784511"/>
    <w:rsid w:val="229451FD"/>
    <w:rsid w:val="22A12DB6"/>
    <w:rsid w:val="234E7F91"/>
    <w:rsid w:val="236356D1"/>
    <w:rsid w:val="23A91C83"/>
    <w:rsid w:val="23C962E8"/>
    <w:rsid w:val="247E4FED"/>
    <w:rsid w:val="24B30BE8"/>
    <w:rsid w:val="24C6643F"/>
    <w:rsid w:val="24E34060"/>
    <w:rsid w:val="24EF2718"/>
    <w:rsid w:val="253A0491"/>
    <w:rsid w:val="253D4C0F"/>
    <w:rsid w:val="25CF2B74"/>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DC05A4"/>
    <w:rsid w:val="2B0423C1"/>
    <w:rsid w:val="2B6F0D7F"/>
    <w:rsid w:val="2B797443"/>
    <w:rsid w:val="2B8716BD"/>
    <w:rsid w:val="2B8B76FF"/>
    <w:rsid w:val="2BC22DD1"/>
    <w:rsid w:val="2BD5034F"/>
    <w:rsid w:val="2C0B6845"/>
    <w:rsid w:val="2C9E432B"/>
    <w:rsid w:val="2CAC08A7"/>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A0644D"/>
    <w:rsid w:val="32DE0199"/>
    <w:rsid w:val="32E26B1D"/>
    <w:rsid w:val="335B2774"/>
    <w:rsid w:val="33A4642E"/>
    <w:rsid w:val="33A877AB"/>
    <w:rsid w:val="33D4039C"/>
    <w:rsid w:val="33D47E05"/>
    <w:rsid w:val="340017FF"/>
    <w:rsid w:val="3413677D"/>
    <w:rsid w:val="342B544B"/>
    <w:rsid w:val="343839A4"/>
    <w:rsid w:val="345E036E"/>
    <w:rsid w:val="34DE1E4F"/>
    <w:rsid w:val="34F07DB1"/>
    <w:rsid w:val="358D07D1"/>
    <w:rsid w:val="35B0692A"/>
    <w:rsid w:val="35D354B8"/>
    <w:rsid w:val="35D4025C"/>
    <w:rsid w:val="35F516ED"/>
    <w:rsid w:val="35FC2392"/>
    <w:rsid w:val="362666BC"/>
    <w:rsid w:val="363E0457"/>
    <w:rsid w:val="368A6B11"/>
    <w:rsid w:val="36A77DAA"/>
    <w:rsid w:val="37085B1F"/>
    <w:rsid w:val="372E04CB"/>
    <w:rsid w:val="37742729"/>
    <w:rsid w:val="37C85FF9"/>
    <w:rsid w:val="383557ED"/>
    <w:rsid w:val="38D55634"/>
    <w:rsid w:val="38E070F2"/>
    <w:rsid w:val="390B0AC4"/>
    <w:rsid w:val="390D33AB"/>
    <w:rsid w:val="391E6D06"/>
    <w:rsid w:val="396D6DE6"/>
    <w:rsid w:val="39CE5179"/>
    <w:rsid w:val="3A074847"/>
    <w:rsid w:val="3AA90FE6"/>
    <w:rsid w:val="3AA9318F"/>
    <w:rsid w:val="3AB62DA0"/>
    <w:rsid w:val="3AC61BD3"/>
    <w:rsid w:val="3B273268"/>
    <w:rsid w:val="3B7D3FD5"/>
    <w:rsid w:val="3B823DDF"/>
    <w:rsid w:val="3BE4369A"/>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3761F9"/>
    <w:rsid w:val="3E3A1504"/>
    <w:rsid w:val="3E401B6A"/>
    <w:rsid w:val="3ED26DE9"/>
    <w:rsid w:val="3EED17D0"/>
    <w:rsid w:val="3F0C0304"/>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4A4B98"/>
    <w:rsid w:val="42581D3A"/>
    <w:rsid w:val="4262787F"/>
    <w:rsid w:val="42B90260"/>
    <w:rsid w:val="42FE0080"/>
    <w:rsid w:val="43315D2E"/>
    <w:rsid w:val="43824A1C"/>
    <w:rsid w:val="4390486D"/>
    <w:rsid w:val="43D110E1"/>
    <w:rsid w:val="43E873C9"/>
    <w:rsid w:val="441540A8"/>
    <w:rsid w:val="44250817"/>
    <w:rsid w:val="445E7E37"/>
    <w:rsid w:val="44905B1F"/>
    <w:rsid w:val="45007767"/>
    <w:rsid w:val="45316885"/>
    <w:rsid w:val="4567010B"/>
    <w:rsid w:val="4577147D"/>
    <w:rsid w:val="45A95EE9"/>
    <w:rsid w:val="45FB0F21"/>
    <w:rsid w:val="46167166"/>
    <w:rsid w:val="461A2194"/>
    <w:rsid w:val="465E515F"/>
    <w:rsid w:val="46AE7548"/>
    <w:rsid w:val="47200EE3"/>
    <w:rsid w:val="47435AC2"/>
    <w:rsid w:val="47544B78"/>
    <w:rsid w:val="47587AF7"/>
    <w:rsid w:val="47745A86"/>
    <w:rsid w:val="47E239AC"/>
    <w:rsid w:val="480C3F11"/>
    <w:rsid w:val="480F4B73"/>
    <w:rsid w:val="48334AEC"/>
    <w:rsid w:val="48380650"/>
    <w:rsid w:val="48422874"/>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9A1456"/>
    <w:rsid w:val="4BA32C82"/>
    <w:rsid w:val="4BB072A9"/>
    <w:rsid w:val="4BC62B76"/>
    <w:rsid w:val="4BD73978"/>
    <w:rsid w:val="4BE70627"/>
    <w:rsid w:val="4BED4059"/>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8229B7"/>
    <w:rsid w:val="509A4341"/>
    <w:rsid w:val="50C62BC7"/>
    <w:rsid w:val="50F72A66"/>
    <w:rsid w:val="5123368C"/>
    <w:rsid w:val="5130747C"/>
    <w:rsid w:val="515C765A"/>
    <w:rsid w:val="516610D8"/>
    <w:rsid w:val="518A1B56"/>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95693C"/>
    <w:rsid w:val="58E525CA"/>
    <w:rsid w:val="58FD43FD"/>
    <w:rsid w:val="59080439"/>
    <w:rsid w:val="593D045A"/>
    <w:rsid w:val="5960739E"/>
    <w:rsid w:val="59896D0A"/>
    <w:rsid w:val="59B72684"/>
    <w:rsid w:val="59CC6E29"/>
    <w:rsid w:val="59CE7D0B"/>
    <w:rsid w:val="5A082249"/>
    <w:rsid w:val="5A9579AE"/>
    <w:rsid w:val="5AC468CD"/>
    <w:rsid w:val="5AD813C2"/>
    <w:rsid w:val="5AEE6358"/>
    <w:rsid w:val="5B342B9A"/>
    <w:rsid w:val="5B5953B0"/>
    <w:rsid w:val="5B5B1AB4"/>
    <w:rsid w:val="5B630802"/>
    <w:rsid w:val="5B807F68"/>
    <w:rsid w:val="5B9F5D96"/>
    <w:rsid w:val="5BFB631F"/>
    <w:rsid w:val="5C034D53"/>
    <w:rsid w:val="5C903B7A"/>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471EFD"/>
    <w:rsid w:val="6A7F64C7"/>
    <w:rsid w:val="6A90616B"/>
    <w:rsid w:val="6AB51A05"/>
    <w:rsid w:val="6AB57116"/>
    <w:rsid w:val="6AE73176"/>
    <w:rsid w:val="6B17424A"/>
    <w:rsid w:val="6B2218FA"/>
    <w:rsid w:val="6B691672"/>
    <w:rsid w:val="6BC8641A"/>
    <w:rsid w:val="6BE97F42"/>
    <w:rsid w:val="6BEF3E88"/>
    <w:rsid w:val="6C296590"/>
    <w:rsid w:val="6C5E6A51"/>
    <w:rsid w:val="6C65048B"/>
    <w:rsid w:val="6C6513C3"/>
    <w:rsid w:val="6C744268"/>
    <w:rsid w:val="6CD62D03"/>
    <w:rsid w:val="6CD97FB6"/>
    <w:rsid w:val="6D4B22B8"/>
    <w:rsid w:val="6D4F2026"/>
    <w:rsid w:val="6D930013"/>
    <w:rsid w:val="6DDA16D9"/>
    <w:rsid w:val="6E1A1656"/>
    <w:rsid w:val="6E231DD6"/>
    <w:rsid w:val="6E5A5288"/>
    <w:rsid w:val="6E5D2F46"/>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2A49B5"/>
    <w:rsid w:val="728121EC"/>
    <w:rsid w:val="732D4B5D"/>
    <w:rsid w:val="73393C88"/>
    <w:rsid w:val="7362513F"/>
    <w:rsid w:val="7372081D"/>
    <w:rsid w:val="73740A39"/>
    <w:rsid w:val="73771D49"/>
    <w:rsid w:val="73A1354E"/>
    <w:rsid w:val="74A11E7D"/>
    <w:rsid w:val="74B25745"/>
    <w:rsid w:val="74C12F49"/>
    <w:rsid w:val="74F97739"/>
    <w:rsid w:val="750E2D70"/>
    <w:rsid w:val="75590B0A"/>
    <w:rsid w:val="7582279F"/>
    <w:rsid w:val="75843EB5"/>
    <w:rsid w:val="75BB71AF"/>
    <w:rsid w:val="75F01962"/>
    <w:rsid w:val="75F86E00"/>
    <w:rsid w:val="75FC2261"/>
    <w:rsid w:val="76037E52"/>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8810B6"/>
    <w:rsid w:val="799C3465"/>
    <w:rsid w:val="79B14EC4"/>
    <w:rsid w:val="79BE1ECC"/>
    <w:rsid w:val="79C95345"/>
    <w:rsid w:val="7A2A6B4A"/>
    <w:rsid w:val="7A681070"/>
    <w:rsid w:val="7A860C7C"/>
    <w:rsid w:val="7AAD79E7"/>
    <w:rsid w:val="7AB879FE"/>
    <w:rsid w:val="7B3264DD"/>
    <w:rsid w:val="7B7374F2"/>
    <w:rsid w:val="7B81188A"/>
    <w:rsid w:val="7B9E2902"/>
    <w:rsid w:val="7BA434D7"/>
    <w:rsid w:val="7BC854E2"/>
    <w:rsid w:val="7C0562EC"/>
    <w:rsid w:val="7C27683F"/>
    <w:rsid w:val="7C8B6DF3"/>
    <w:rsid w:val="7CB14B4D"/>
    <w:rsid w:val="7CF26969"/>
    <w:rsid w:val="7D25523C"/>
    <w:rsid w:val="7DB23041"/>
    <w:rsid w:val="7DFE3170"/>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0"/>
    <w:pPr>
      <w:keepNext/>
      <w:keepLines/>
      <w:jc w:val="center"/>
      <w:outlineLvl w:val="0"/>
    </w:pPr>
    <w:rPr>
      <w:b/>
      <w:bCs/>
      <w:kern w:val="44"/>
      <w:sz w:val="36"/>
      <w:szCs w:val="44"/>
    </w:rPr>
  </w:style>
  <w:style w:type="paragraph" w:styleId="3">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semiHidden/>
    <w:unhideWhenUsed/>
    <w:qFormat/>
    <w:uiPriority w:val="1"/>
  </w:style>
  <w:style w:type="table" w:default="1" w:styleId="39">
    <w:name w:val="Normal Table"/>
    <w:semiHidden/>
    <w:unhideWhenUsed/>
    <w:uiPriority w:val="99"/>
    <w:tblPr>
      <w:tblCellMar>
        <w:top w:w="0" w:type="dxa"/>
        <w:left w:w="108" w:type="dxa"/>
        <w:bottom w:w="0" w:type="dxa"/>
        <w:right w:w="108" w:type="dxa"/>
      </w:tblCellMar>
    </w:tbl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qFormat/>
    <w:uiPriority w:val="0"/>
    <w:pPr>
      <w:ind w:firstLine="420"/>
    </w:pPr>
    <w:rPr>
      <w:rFonts w:ascii="Times New Roman" w:hAnsi="Times New Roman"/>
      <w:kern w:val="0"/>
      <w:sz w:val="20"/>
      <w:szCs w:val="2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2"/>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3"/>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1"/>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3"/>
    <w:basedOn w:val="1"/>
    <w:next w:val="1"/>
    <w:qFormat/>
    <w:uiPriority w:val="39"/>
    <w:pPr>
      <w:ind w:left="480"/>
      <w:jc w:val="left"/>
    </w:pPr>
    <w:rPr>
      <w:rFonts w:ascii="Calibri" w:hAnsi="Calibri" w:eastAsia="宋体" w:cs="Times New Roman"/>
      <w:i/>
      <w:iCs/>
      <w:sz w:val="20"/>
      <w:szCs w:val="20"/>
    </w:rPr>
  </w:style>
  <w:style w:type="paragraph" w:styleId="20">
    <w:name w:val="Plain Text"/>
    <w:basedOn w:val="1"/>
    <w:link w:val="74"/>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5"/>
    <w:qFormat/>
    <w:uiPriority w:val="0"/>
    <w:pPr>
      <w:ind w:left="100" w:leftChars="2500"/>
    </w:pPr>
    <w:rPr>
      <w:sz w:val="24"/>
    </w:rPr>
  </w:style>
  <w:style w:type="paragraph" w:styleId="23">
    <w:name w:val="Body Text Indent 2"/>
    <w:basedOn w:val="1"/>
    <w:link w:val="53"/>
    <w:qFormat/>
    <w:uiPriority w:val="0"/>
    <w:pPr>
      <w:spacing w:after="120" w:line="480" w:lineRule="auto"/>
      <w:ind w:left="420" w:leftChars="200"/>
    </w:pPr>
  </w:style>
  <w:style w:type="paragraph" w:styleId="24">
    <w:name w:val="Balloon Text"/>
    <w:basedOn w:val="1"/>
    <w:link w:val="69"/>
    <w:qFormat/>
    <w:uiPriority w:val="0"/>
    <w:rPr>
      <w:sz w:val="18"/>
    </w:rPr>
  </w:style>
  <w:style w:type="paragraph" w:styleId="25">
    <w:name w:val="footer"/>
    <w:basedOn w:val="1"/>
    <w:link w:val="75"/>
    <w:qFormat/>
    <w:uiPriority w:val="99"/>
    <w:pPr>
      <w:tabs>
        <w:tab w:val="center" w:pos="4153"/>
        <w:tab w:val="right" w:pos="8306"/>
      </w:tabs>
      <w:snapToGrid w:val="0"/>
      <w:jc w:val="left"/>
    </w:pPr>
    <w:rPr>
      <w:sz w:val="18"/>
    </w:rPr>
  </w:style>
  <w:style w:type="paragraph" w:styleId="26">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5"/>
    <w:qFormat/>
    <w:uiPriority w:val="0"/>
    <w:pPr>
      <w:spacing w:after="120"/>
      <w:ind w:left="420" w:leftChars="200"/>
    </w:pPr>
    <w:rPr>
      <w:sz w:val="16"/>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3"/>
    <w:next w:val="13"/>
    <w:link w:val="54"/>
    <w:qFormat/>
    <w:uiPriority w:val="0"/>
    <w:rPr>
      <w:b/>
    </w:rPr>
  </w:style>
  <w:style w:type="paragraph" w:styleId="38">
    <w:name w:val="Body Text First Indent 2"/>
    <w:basedOn w:val="16"/>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2"/>
    <w:qFormat/>
    <w:uiPriority w:val="0"/>
    <w:rPr>
      <w:rFonts w:ascii="Calibri" w:hAnsi="Calibri" w:eastAsia="宋体" w:cs="Times New Roman"/>
      <w:b/>
      <w:bCs/>
      <w:kern w:val="44"/>
      <w:sz w:val="36"/>
      <w:szCs w:val="44"/>
    </w:rPr>
  </w:style>
  <w:style w:type="character" w:customStyle="1" w:styleId="50">
    <w:name w:val="标题 2 字符"/>
    <w:basedOn w:val="41"/>
    <w:link w:val="3"/>
    <w:qFormat/>
    <w:uiPriority w:val="9"/>
    <w:rPr>
      <w:rFonts w:ascii="Arial" w:hAnsi="Arial" w:eastAsia="宋体" w:cs="Times New Roman"/>
      <w:b/>
      <w:bCs/>
      <w:sz w:val="24"/>
      <w:szCs w:val="32"/>
    </w:rPr>
  </w:style>
  <w:style w:type="character" w:customStyle="1" w:styleId="51">
    <w:name w:val="标题 3 字符"/>
    <w:basedOn w:val="41"/>
    <w:link w:val="4"/>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3"/>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1"/>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6"/>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3"/>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2"/>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4"/>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1"/>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0"/>
    <w:qFormat/>
    <w:locked/>
    <w:uiPriority w:val="0"/>
    <w:rPr>
      <w:rFonts w:ascii="宋体" w:hAnsi="Courier New"/>
    </w:rPr>
  </w:style>
  <w:style w:type="character" w:customStyle="1" w:styleId="75">
    <w:name w:val="页脚 字符"/>
    <w:link w:val="25"/>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6"/>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5"/>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0"/>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4"/>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link w:val="143"/>
    <w:qFormat/>
    <w:uiPriority w:val="0"/>
    <w:rPr>
      <w:rFonts w:eastAsia="黑体"/>
      <w:b w:val="0"/>
      <w:color w:val="000000"/>
      <w:sz w:val="30"/>
      <w:szCs w:val="24"/>
    </w:rPr>
  </w:style>
  <w:style w:type="paragraph" w:customStyle="1" w:styleId="135">
    <w:name w:val="首行缩进"/>
    <w:basedOn w:val="1"/>
    <w:qFormat/>
    <w:uiPriority w:val="0"/>
    <w:pPr>
      <w:ind w:firstLine="480" w:firstLineChars="200"/>
    </w:pPr>
    <w:rPr>
      <w:lang w:val="zh-CN"/>
    </w:rPr>
  </w:style>
  <w:style w:type="paragraph" w:customStyle="1" w:styleId="136">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140">
    <w:name w:val="font11"/>
    <w:basedOn w:val="41"/>
    <w:qFormat/>
    <w:uiPriority w:val="0"/>
    <w:rPr>
      <w:rFonts w:hint="eastAsia" w:ascii="宋体" w:hAnsi="宋体" w:eastAsia="宋体" w:cs="宋体"/>
      <w:color w:val="000000"/>
      <w:sz w:val="32"/>
      <w:szCs w:val="32"/>
      <w:u w:val="none"/>
    </w:rPr>
  </w:style>
  <w:style w:type="character" w:customStyle="1" w:styleId="141">
    <w:name w:val="font21"/>
    <w:basedOn w:val="41"/>
    <w:qFormat/>
    <w:uiPriority w:val="0"/>
    <w:rPr>
      <w:rFonts w:hint="eastAsia" w:ascii="宋体" w:hAnsi="宋体" w:eastAsia="宋体" w:cs="宋体"/>
      <w:color w:val="000000"/>
      <w:sz w:val="21"/>
      <w:szCs w:val="21"/>
      <w:u w:val="none"/>
    </w:rPr>
  </w:style>
  <w:style w:type="character" w:customStyle="1" w:styleId="142">
    <w:name w:val="font41"/>
    <w:basedOn w:val="41"/>
    <w:qFormat/>
    <w:uiPriority w:val="0"/>
    <w:rPr>
      <w:rFonts w:hint="default" w:ascii="Times New Roman" w:hAnsi="Times New Roman" w:cs="Times New Roman"/>
      <w:color w:val="000000"/>
      <w:sz w:val="32"/>
      <w:szCs w:val="32"/>
      <w:u w:val="none"/>
    </w:rPr>
  </w:style>
  <w:style w:type="character" w:customStyle="1" w:styleId="143">
    <w:name w:val="标书一级标题 字符"/>
    <w:link w:val="134"/>
    <w:qFormat/>
    <w:uiPriority w:val="0"/>
    <w:rPr>
      <w:rFonts w:eastAsia="黑体" w:asciiTheme="minorHAnsi" w:hAnsiTheme="minorHAnsi" w:cstheme="minorBidi"/>
      <w:bCs/>
      <w:color w:val="000000"/>
      <w:kern w:val="44"/>
      <w:sz w:val="30"/>
      <w:szCs w:val="24"/>
    </w:rPr>
  </w:style>
  <w:style w:type="character" w:customStyle="1" w:styleId="144">
    <w:name w:val="Unresolved Mention"/>
    <w:basedOn w:val="4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2.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header" Target="header6.xml"/><Relationship Id="rId31" Type="http://schemas.openxmlformats.org/officeDocument/2006/relationships/header" Target="header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111</Pages>
  <Words>9794</Words>
  <Characters>55830</Characters>
  <Lines>465</Lines>
  <Paragraphs>130</Paragraphs>
  <TotalTime>2</TotalTime>
  <ScaleCrop>false</ScaleCrop>
  <LinksUpToDate>false</LinksUpToDate>
  <CharactersWithSpaces>65494</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赵力</cp:lastModifiedBy>
  <cp:lastPrinted>2024-06-21T03:25:00Z</cp:lastPrinted>
  <dcterms:modified xsi:type="dcterms:W3CDTF">2025-08-18T06:47:19Z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KSOTemplateDocerSaveRecord">
    <vt:lpwstr>eyJoZGlkIjoiNWM4YzFjOWU0Nzg0NmRkMzI1ZDk2YmYxNGU0NmE0YTUiLCJ1c2VySWQiOiIyMzM1Mzg3MjEifQ==</vt:lpwstr>
  </property>
</Properties>
</file>