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产品试验检测中心动力总成试验部（杭州）油库供油系统改造</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both"/>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动力总成试验部（杭州）油库供油系统改造</w:t>
      </w:r>
      <w:r>
        <w:rPr>
          <w:rFonts w:hint="eastAsia" w:ascii="宋体" w:hAnsi="宋体" w:eastAsia="宋体" w:cs="宋体"/>
          <w:color w:val="000000"/>
          <w:sz w:val="24"/>
          <w:szCs w:val="24"/>
          <w:u w:val="single"/>
        </w:rPr>
        <w:t>项目</w:t>
      </w:r>
    </w:p>
    <w:p>
      <w:pPr>
        <w:pStyle w:val="5"/>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采购形式编号：CGZX2025030012</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动力总成试验部（杭州）油库供油系统改造</w:t>
      </w:r>
      <w:r>
        <w:rPr>
          <w:rFonts w:hint="eastAsia" w:ascii="宋体" w:hAnsi="宋体" w:eastAsia="宋体" w:cs="宋体"/>
          <w:color w:val="000000"/>
          <w:sz w:val="24"/>
          <w:szCs w:val="24"/>
        </w:rPr>
        <w:t>项目</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动力总成试验部（杭州）油库供油系统改造</w:t>
      </w:r>
      <w:r>
        <w:rPr>
          <w:rFonts w:hint="eastAsia" w:ascii="宋体" w:hAnsi="宋体" w:eastAsia="宋体" w:cs="宋体"/>
          <w:color w:val="000000"/>
          <w:sz w:val="24"/>
          <w:szCs w:val="24"/>
        </w:rPr>
        <w:t>项目。</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eastAsia="zh-CN"/>
        </w:rPr>
        <w:t>杭州</w:t>
      </w:r>
      <w:r>
        <w:rPr>
          <w:rFonts w:hint="eastAsia" w:ascii="宋体" w:hAnsi="宋体" w:eastAsia="宋体" w:cs="宋体"/>
          <w:color w:val="000000"/>
          <w:sz w:val="24"/>
          <w:szCs w:val="24"/>
        </w:rPr>
        <w:t>市</w:t>
      </w:r>
      <w:r>
        <w:rPr>
          <w:rFonts w:hint="eastAsia" w:hAnsi="宋体" w:cs="宋体"/>
          <w:color w:val="000000"/>
          <w:sz w:val="24"/>
          <w:szCs w:val="24"/>
          <w:lang w:eastAsia="zh-CN"/>
        </w:rPr>
        <w:t>萧山区高新六</w:t>
      </w:r>
      <w:r>
        <w:rPr>
          <w:rFonts w:hint="eastAsia" w:ascii="宋体" w:hAnsi="宋体" w:eastAsia="宋体" w:cs="宋体"/>
          <w:color w:val="000000"/>
          <w:sz w:val="24"/>
          <w:szCs w:val="24"/>
        </w:rPr>
        <w:t>路</w:t>
      </w:r>
      <w:r>
        <w:rPr>
          <w:rFonts w:hint="eastAsia" w:hAnsi="宋体" w:cs="宋体"/>
          <w:color w:val="000000"/>
          <w:sz w:val="24"/>
          <w:szCs w:val="24"/>
          <w:lang w:val="en-US" w:eastAsia="zh-CN"/>
        </w:rPr>
        <w:t>186</w:t>
      </w:r>
      <w:r>
        <w:rPr>
          <w:rFonts w:hint="eastAsia" w:ascii="宋体" w:hAnsi="宋体" w:eastAsia="宋体" w:cs="宋体"/>
          <w:color w:val="000000"/>
          <w:sz w:val="24"/>
          <w:szCs w:val="24"/>
        </w:rPr>
        <w:t>号</w:t>
      </w:r>
      <w:r>
        <w:rPr>
          <w:rFonts w:hint="eastAsia" w:hAnsi="宋体" w:cs="宋体"/>
          <w:color w:val="000000"/>
          <w:sz w:val="24"/>
          <w:szCs w:val="24"/>
          <w:lang w:eastAsia="zh-CN"/>
        </w:rPr>
        <w:t>中国</w:t>
      </w:r>
      <w:r>
        <w:rPr>
          <w:rFonts w:hint="eastAsia" w:ascii="宋体" w:hAnsi="宋体" w:eastAsia="宋体" w:cs="宋体"/>
          <w:color w:val="000000"/>
          <w:sz w:val="24"/>
          <w:szCs w:val="24"/>
        </w:rPr>
        <w:t>重汽。</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9" w:type="dxa"/>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1441" w:type="dxa"/>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4644" w:type="dxa"/>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1773" w:type="dxa"/>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lang w:eastAsia="zh-CN"/>
              </w:rPr>
              <w:t>动力总成试验部（杭州）油库供油系统改造</w:t>
            </w:r>
            <w:r>
              <w:rPr>
                <w:rFonts w:hint="eastAsia" w:ascii="宋体" w:hAnsi="宋体" w:eastAsia="宋体" w:cs="宋体"/>
                <w:b w:val="0"/>
              </w:rPr>
              <w:t>项目</w:t>
            </w:r>
          </w:p>
        </w:tc>
        <w:tc>
          <w:tcPr>
            <w:tcW w:w="1441" w:type="dxa"/>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lang w:val="en-US" w:eastAsia="zh-CN"/>
              </w:rPr>
              <w:t>开口</w:t>
            </w:r>
            <w:r>
              <w:rPr>
                <w:rFonts w:hint="eastAsia" w:ascii="宋体" w:hAnsi="宋体" w:eastAsia="宋体" w:cs="宋体"/>
                <w:b w:val="0"/>
              </w:rPr>
              <w:t>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eastAsia="zh-CN"/>
              </w:rPr>
            </w:pPr>
            <w:r>
              <w:rPr>
                <w:rFonts w:hint="eastAsia" w:ascii="宋体" w:hAnsi="宋体" w:eastAsia="宋体" w:cs="宋体"/>
                <w:b w:val="0"/>
                <w:lang w:val="en-US" w:eastAsia="zh-CN"/>
              </w:rPr>
              <w:t>合同签署后按照实际工程量据实结算</w:t>
            </w:r>
          </w:p>
        </w:tc>
        <w:tc>
          <w:tcPr>
            <w:tcW w:w="1773" w:type="dxa"/>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6"/>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单位名称：中国重汽集团济南动力有限公司</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开户行：兴业银行股份有限公司济南分行营业部</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账号：376010100101373547</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行号：309451013018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3</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14</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五</w:t>
      </w:r>
      <w:r>
        <w:rPr>
          <w:rFonts w:hint="eastAsia" w:ascii="宋体" w:hAnsi="宋体" w:eastAsia="宋体" w:cs="宋体"/>
          <w:b w:val="0"/>
          <w:color w:val="auto"/>
          <w:highlight w:val="none"/>
        </w:rPr>
        <w:t>）</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5</w:t>
      </w:r>
      <w:r>
        <w:rPr>
          <w:rFonts w:hint="eastAsia" w:ascii="宋体" w:hAnsi="宋体" w:eastAsia="宋体" w:cs="宋体"/>
          <w:bCs/>
        </w:rPr>
        <w:t>年</w:t>
      </w:r>
      <w:r>
        <w:rPr>
          <w:rFonts w:hint="default" w:eastAsia="宋体" w:cs="宋体"/>
          <w:bCs/>
          <w:woUserID w:val="1"/>
        </w:rPr>
        <w:t>3</w:t>
      </w:r>
      <w:r>
        <w:rPr>
          <w:rFonts w:hint="eastAsia" w:ascii="宋体" w:hAnsi="宋体" w:eastAsia="宋体" w:cs="宋体"/>
          <w:bCs/>
        </w:rPr>
        <w:t>月</w:t>
      </w:r>
      <w:r>
        <w:rPr>
          <w:rFonts w:hint="default" w:eastAsia="宋体" w:cs="宋体"/>
          <w:bCs/>
          <w:woUserID w:val="1"/>
        </w:rPr>
        <w:t>26</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三</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3</w:t>
      </w:r>
      <w:r>
        <w:rPr>
          <w:rFonts w:hint="eastAsia" w:ascii="宋体" w:hAnsi="宋体" w:eastAsia="宋体" w:cs="宋体"/>
          <w:bCs/>
          <w:woUserID w:val="1"/>
        </w:rPr>
        <w:t>月</w:t>
      </w:r>
      <w:r>
        <w:rPr>
          <w:rFonts w:hint="default" w:eastAsia="宋体" w:cs="宋体"/>
          <w:bCs/>
          <w:woUserID w:val="1"/>
        </w:rPr>
        <w:t>26</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三</w:t>
      </w:r>
      <w:r>
        <w:rPr>
          <w:rFonts w:hint="eastAsia" w:ascii="宋体" w:hAnsi="宋体" w:eastAsia="宋体" w:cs="宋体"/>
          <w:woUserID w:val="1"/>
        </w:rPr>
        <w:t>）</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eastAsia="zh-CN"/>
        </w:rPr>
        <w:t>王景辉</w:t>
      </w:r>
    </w:p>
    <w:p>
      <w:pPr>
        <w:pStyle w:val="79"/>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15558015799</w:t>
      </w:r>
    </w:p>
    <w:p>
      <w:pPr>
        <w:pStyle w:val="79"/>
        <w:ind w:firstLine="480"/>
        <w:rPr>
          <w:rFonts w:hint="eastAsia" w:ascii="宋体" w:hAnsi="宋体" w:eastAsia="宋体" w:cs="宋体"/>
        </w:rPr>
      </w:pPr>
      <w:r>
        <w:rPr>
          <w:rFonts w:hint="eastAsia" w:ascii="宋体" w:hAnsi="宋体" w:eastAsia="宋体" w:cs="宋体"/>
        </w:rPr>
        <w:t>邮    箱：</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ascii="宋体" w:hAnsi="宋体" w:eastAsia="宋体" w:cs="宋体"/>
          <w:color w:val="000000"/>
          <w:sz w:val="24"/>
          <w:szCs w:val="24"/>
          <w:highlight w:val="cyan"/>
          <w:lang w:val="en-US" w:eastAsia="zh-CN"/>
        </w:rPr>
        <w:t>3</w:t>
      </w:r>
      <w:r>
        <w:rPr>
          <w:rFonts w:hint="default" w:hAnsi="宋体" w:cs="宋体"/>
          <w:color w:val="000000"/>
          <w:sz w:val="24"/>
          <w:szCs w:val="24"/>
          <w:highlight w:val="cyan"/>
          <w:lang w:eastAsia="zh-C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3</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27</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四</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bookmarkStart w:id="29" w:name="_GoBack"/>
      <w:bookmarkEnd w:id="29"/>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6"/>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6"/>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6"/>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6"/>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5"/>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9"/>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6"/>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6"/>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212369550"/>
      <w:bookmarkStart w:id="7" w:name="_Toc639004"/>
      <w:bookmarkStart w:id="8" w:name="_Toc25811"/>
      <w:bookmarkStart w:id="9" w:name="_Toc353881012"/>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3"/>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9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vAlign w:val="center"/>
          </w:tcPr>
          <w:p>
            <w:pPr>
              <w:pStyle w:val="83"/>
              <w:rPr>
                <w:rFonts w:hint="eastAsia" w:ascii="宋体" w:hAnsi="宋体" w:eastAsia="宋体" w:cs="宋体"/>
              </w:rPr>
            </w:pPr>
            <w:r>
              <w:rPr>
                <w:rFonts w:hint="eastAsia" w:ascii="宋体" w:hAnsi="宋体" w:eastAsia="宋体" w:cs="宋体"/>
              </w:rPr>
              <w:t>序号</w:t>
            </w:r>
          </w:p>
        </w:tc>
        <w:tc>
          <w:tcPr>
            <w:tcW w:w="3534" w:type="dxa"/>
            <w:vAlign w:val="center"/>
          </w:tcPr>
          <w:p>
            <w:pPr>
              <w:pStyle w:val="83"/>
              <w:rPr>
                <w:rFonts w:hint="eastAsia" w:ascii="宋体" w:hAnsi="宋体" w:eastAsia="宋体" w:cs="宋体"/>
              </w:rPr>
            </w:pPr>
            <w:r>
              <w:rPr>
                <w:rFonts w:hint="eastAsia" w:ascii="宋体" w:hAnsi="宋体" w:eastAsia="宋体" w:cs="宋体"/>
              </w:rPr>
              <w:t>招标要求</w:t>
            </w:r>
          </w:p>
        </w:tc>
        <w:tc>
          <w:tcPr>
            <w:tcW w:w="2474" w:type="dxa"/>
            <w:vAlign w:val="center"/>
          </w:tcPr>
          <w:p>
            <w:pPr>
              <w:pStyle w:val="83"/>
              <w:rPr>
                <w:rFonts w:hint="eastAsia" w:ascii="宋体" w:hAnsi="宋体" w:eastAsia="宋体" w:cs="宋体"/>
              </w:rPr>
            </w:pPr>
            <w:r>
              <w:rPr>
                <w:rFonts w:hint="eastAsia" w:ascii="宋体" w:hAnsi="宋体" w:eastAsia="宋体" w:cs="宋体"/>
              </w:rPr>
              <w:t>响应规格</w:t>
            </w:r>
          </w:p>
        </w:tc>
        <w:tc>
          <w:tcPr>
            <w:tcW w:w="1649" w:type="dxa"/>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3534" w:type="dxa"/>
          </w:tcPr>
          <w:p>
            <w:pPr>
              <w:pStyle w:val="83"/>
              <w:rPr>
                <w:rFonts w:hint="eastAsia" w:ascii="宋体" w:hAnsi="宋体" w:eastAsia="宋体" w:cs="宋体"/>
              </w:rPr>
            </w:pPr>
            <w:r>
              <w:rPr>
                <w:rFonts w:hint="eastAsia" w:ascii="宋体" w:hAnsi="宋体" w:eastAsia="宋体" w:cs="宋体"/>
              </w:rPr>
              <w:t>LL腰轮流量计</w:t>
            </w:r>
          </w:p>
          <w:p>
            <w:pPr>
              <w:pStyle w:val="83"/>
              <w:rPr>
                <w:rFonts w:hint="eastAsia" w:ascii="宋体" w:hAnsi="宋体" w:eastAsia="宋体" w:cs="宋体"/>
              </w:rPr>
            </w:pPr>
            <w:r>
              <w:rPr>
                <w:rFonts w:hint="eastAsia" w:ascii="宋体" w:hAnsi="宋体" w:eastAsia="宋体" w:cs="宋体"/>
              </w:rPr>
              <w:t>铸铁DN50加厚、过检、防爆型、485通信</w:t>
            </w: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tcPr>
          <w:p>
            <w:pPr>
              <w:pStyle w:val="83"/>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3534" w:type="dxa"/>
          </w:tcPr>
          <w:p>
            <w:pPr>
              <w:pStyle w:val="83"/>
              <w:rPr>
                <w:rFonts w:hint="eastAsia" w:ascii="宋体" w:hAnsi="宋体" w:eastAsia="宋体" w:cs="宋体"/>
              </w:rPr>
            </w:pPr>
            <w:r>
              <w:rPr>
                <w:rFonts w:hint="eastAsia" w:ascii="宋体" w:hAnsi="宋体" w:eastAsia="宋体" w:cs="宋体"/>
              </w:rPr>
              <w:t>数据采集、传输系统</w:t>
            </w:r>
          </w:p>
          <w:p>
            <w:pPr>
              <w:pStyle w:val="83"/>
              <w:rPr>
                <w:rFonts w:hint="eastAsia" w:ascii="宋体" w:hAnsi="宋体" w:eastAsia="宋体" w:cs="宋体"/>
                <w:sz w:val="24"/>
              </w:rPr>
            </w:pPr>
            <w:r>
              <w:rPr>
                <w:rFonts w:hint="eastAsia" w:ascii="宋体" w:hAnsi="宋体" w:eastAsia="宋体" w:cs="宋体"/>
              </w:rPr>
              <w:t>需能远程无线传输</w:t>
            </w: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vAlign w:val="center"/>
          </w:tcPr>
          <w:p>
            <w:pPr>
              <w:pStyle w:val="25"/>
              <w:jc w:val="center"/>
              <w:rPr>
                <w:rFonts w:hint="eastAsia" w:ascii="宋体" w:hAnsi="宋体" w:eastAsia="宋体" w:cs="宋体"/>
                <w:b/>
                <w:szCs w:val="21"/>
              </w:rPr>
            </w:pPr>
            <w:r>
              <w:rPr>
                <w:rFonts w:hint="eastAsia" w:ascii="宋体" w:hAnsi="宋体" w:eastAsia="宋体" w:cs="宋体"/>
                <w:b/>
                <w:szCs w:val="21"/>
              </w:rPr>
              <w:t>序号</w:t>
            </w:r>
          </w:p>
        </w:tc>
        <w:tc>
          <w:tcPr>
            <w:tcW w:w="2348" w:type="dxa"/>
            <w:vAlign w:val="center"/>
          </w:tcPr>
          <w:p>
            <w:pPr>
              <w:pStyle w:val="25"/>
              <w:jc w:val="center"/>
              <w:rPr>
                <w:rFonts w:hint="eastAsia" w:ascii="宋体" w:hAnsi="宋体" w:eastAsia="宋体" w:cs="宋体"/>
                <w:b/>
                <w:szCs w:val="21"/>
              </w:rPr>
            </w:pPr>
            <w:r>
              <w:rPr>
                <w:rFonts w:hint="eastAsia" w:ascii="宋体" w:hAnsi="宋体" w:eastAsia="宋体" w:cs="宋体"/>
                <w:b/>
                <w:szCs w:val="21"/>
              </w:rPr>
              <w:t>服务单位</w:t>
            </w:r>
          </w:p>
        </w:tc>
        <w:tc>
          <w:tcPr>
            <w:tcW w:w="2125" w:type="dxa"/>
            <w:vAlign w:val="center"/>
          </w:tcPr>
          <w:p>
            <w:pPr>
              <w:pStyle w:val="25"/>
              <w:jc w:val="center"/>
              <w:rPr>
                <w:rFonts w:hint="eastAsia" w:ascii="宋体" w:hAnsi="宋体" w:eastAsia="宋体" w:cs="宋体"/>
                <w:b/>
                <w:szCs w:val="21"/>
              </w:rPr>
            </w:pPr>
            <w:r>
              <w:rPr>
                <w:rFonts w:hint="eastAsia" w:ascii="宋体" w:hAnsi="宋体" w:eastAsia="宋体" w:cs="宋体"/>
                <w:b/>
                <w:szCs w:val="21"/>
              </w:rPr>
              <w:t>项目名称</w:t>
            </w:r>
          </w:p>
        </w:tc>
        <w:tc>
          <w:tcPr>
            <w:tcW w:w="1278" w:type="dxa"/>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1135" w:type="dxa"/>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1521" w:type="dxa"/>
            <w:vAlign w:val="center"/>
          </w:tcPr>
          <w:p>
            <w:pPr>
              <w:pStyle w:val="25"/>
              <w:jc w:val="center"/>
              <w:rPr>
                <w:rFonts w:hint="eastAsia" w:ascii="宋体" w:hAnsi="宋体" w:eastAsia="宋体" w:cs="宋体"/>
                <w:b/>
                <w:szCs w:val="21"/>
              </w:rPr>
            </w:pPr>
            <w:r>
              <w:rPr>
                <w:rFonts w:hint="eastAsia" w:ascii="宋体" w:hAnsi="宋体" w:eastAsia="宋体" w:cs="宋体"/>
                <w:b/>
                <w:szCs w:val="21"/>
              </w:rPr>
              <w:t>联系人及</w:t>
            </w:r>
          </w:p>
          <w:p>
            <w:pPr>
              <w:pStyle w:val="25"/>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286" w:type="dxa"/>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552" w:type="dxa"/>
            <w:vAlign w:val="center"/>
          </w:tcPr>
          <w:p>
            <w:pPr>
              <w:pStyle w:val="83"/>
              <w:rPr>
                <w:rFonts w:hint="eastAsia" w:ascii="宋体" w:hAnsi="宋体" w:eastAsia="宋体" w:cs="宋体"/>
              </w:rPr>
            </w:pPr>
            <w:r>
              <w:rPr>
                <w:rFonts w:hint="eastAsia" w:ascii="宋体" w:hAnsi="宋体" w:eastAsia="宋体" w:cs="宋体"/>
              </w:rPr>
              <w:t>序号</w:t>
            </w:r>
          </w:p>
        </w:tc>
        <w:tc>
          <w:tcPr>
            <w:tcW w:w="1395" w:type="dxa"/>
            <w:vAlign w:val="center"/>
          </w:tcPr>
          <w:p>
            <w:pPr>
              <w:pStyle w:val="83"/>
              <w:rPr>
                <w:rFonts w:hint="eastAsia" w:ascii="宋体" w:hAnsi="宋体" w:eastAsia="宋体" w:cs="宋体"/>
              </w:rPr>
            </w:pPr>
            <w:r>
              <w:rPr>
                <w:rFonts w:hint="eastAsia" w:ascii="宋体" w:hAnsi="宋体" w:eastAsia="宋体" w:cs="宋体"/>
              </w:rPr>
              <w:t>项目名称</w:t>
            </w:r>
          </w:p>
        </w:tc>
        <w:tc>
          <w:tcPr>
            <w:tcW w:w="1141" w:type="dxa"/>
            <w:vAlign w:val="center"/>
          </w:tcPr>
          <w:p>
            <w:pPr>
              <w:pStyle w:val="83"/>
              <w:rPr>
                <w:rFonts w:hint="eastAsia" w:ascii="宋体" w:hAnsi="宋体" w:eastAsia="宋体" w:cs="宋体"/>
              </w:rPr>
            </w:pPr>
            <w:r>
              <w:rPr>
                <w:rFonts w:hint="eastAsia" w:ascii="宋体" w:hAnsi="宋体" w:eastAsia="宋体" w:cs="宋体"/>
              </w:rPr>
              <w:t>投标总价</w:t>
            </w:r>
          </w:p>
          <w:p>
            <w:pPr>
              <w:pStyle w:val="83"/>
              <w:rPr>
                <w:rFonts w:hint="eastAsia" w:ascii="宋体" w:hAnsi="宋体" w:eastAsia="宋体" w:cs="宋体"/>
              </w:rPr>
            </w:pPr>
            <w:r>
              <w:rPr>
                <w:rFonts w:hint="eastAsia" w:ascii="宋体" w:hAnsi="宋体" w:eastAsia="宋体" w:cs="宋体"/>
              </w:rPr>
              <w:t>（元）</w:t>
            </w:r>
          </w:p>
        </w:tc>
        <w:tc>
          <w:tcPr>
            <w:tcW w:w="709" w:type="dxa"/>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675" w:type="dxa"/>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1209" w:type="dxa"/>
            <w:vAlign w:val="center"/>
          </w:tcPr>
          <w:p>
            <w:pPr>
              <w:pStyle w:val="83"/>
              <w:rPr>
                <w:rFonts w:hint="eastAsia" w:ascii="宋体" w:hAnsi="宋体" w:eastAsia="宋体" w:cs="宋体"/>
              </w:rPr>
            </w:pPr>
            <w:r>
              <w:rPr>
                <w:rFonts w:hint="eastAsia" w:ascii="宋体" w:hAnsi="宋体" w:eastAsia="宋体" w:cs="宋体"/>
              </w:rPr>
              <w:t>质保期</w:t>
            </w:r>
          </w:p>
          <w:p>
            <w:pPr>
              <w:pStyle w:val="83"/>
              <w:rPr>
                <w:rFonts w:hint="eastAsia" w:ascii="宋体" w:hAnsi="宋体" w:eastAsia="宋体" w:cs="宋体"/>
              </w:rPr>
            </w:pPr>
            <w:r>
              <w:rPr>
                <w:rFonts w:hint="eastAsia" w:ascii="宋体" w:hAnsi="宋体" w:eastAsia="宋体" w:cs="宋体"/>
              </w:rPr>
              <w:t>（若有）</w:t>
            </w:r>
          </w:p>
        </w:tc>
        <w:tc>
          <w:tcPr>
            <w:tcW w:w="1545" w:type="dxa"/>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2060" w:type="dxa"/>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52" w:type="dxa"/>
            <w:vAlign w:val="center"/>
          </w:tcPr>
          <w:p>
            <w:pPr>
              <w:pStyle w:val="83"/>
              <w:rPr>
                <w:rFonts w:hint="eastAsia" w:ascii="宋体" w:hAnsi="宋体" w:eastAsia="宋体" w:cs="宋体"/>
              </w:rPr>
            </w:pPr>
            <w:r>
              <w:rPr>
                <w:rFonts w:hint="eastAsia" w:ascii="宋体" w:hAnsi="宋体" w:eastAsia="宋体" w:cs="宋体"/>
              </w:rPr>
              <w:t>1</w:t>
            </w:r>
          </w:p>
        </w:tc>
        <w:tc>
          <w:tcPr>
            <w:tcW w:w="1395"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rPr>
              <w:t>动力总成试验部（杭州）油库供油系统改造项目</w:t>
            </w:r>
          </w:p>
        </w:tc>
        <w:tc>
          <w:tcPr>
            <w:tcW w:w="1141" w:type="dxa"/>
            <w:vAlign w:val="center"/>
          </w:tcPr>
          <w:p>
            <w:pPr>
              <w:pStyle w:val="83"/>
              <w:rPr>
                <w:rFonts w:hint="eastAsia" w:ascii="宋体" w:hAnsi="宋体" w:eastAsia="宋体" w:cs="宋体"/>
              </w:rPr>
            </w:pPr>
          </w:p>
        </w:tc>
        <w:tc>
          <w:tcPr>
            <w:tcW w:w="709" w:type="dxa"/>
            <w:vAlign w:val="center"/>
          </w:tcPr>
          <w:p>
            <w:pPr>
              <w:pStyle w:val="83"/>
              <w:rPr>
                <w:rFonts w:hint="eastAsia" w:ascii="宋体" w:hAnsi="宋体" w:eastAsia="宋体" w:cs="宋体"/>
              </w:rPr>
            </w:pPr>
          </w:p>
        </w:tc>
        <w:tc>
          <w:tcPr>
            <w:tcW w:w="675" w:type="dxa"/>
            <w:vAlign w:val="center"/>
          </w:tcPr>
          <w:p>
            <w:pPr>
              <w:pStyle w:val="83"/>
              <w:rPr>
                <w:rFonts w:hint="eastAsia" w:ascii="宋体" w:hAnsi="宋体" w:eastAsia="宋体" w:cs="宋体"/>
              </w:rPr>
            </w:pPr>
          </w:p>
        </w:tc>
        <w:tc>
          <w:tcPr>
            <w:tcW w:w="1209" w:type="dxa"/>
            <w:vAlign w:val="center"/>
          </w:tcPr>
          <w:p>
            <w:pPr>
              <w:pStyle w:val="83"/>
              <w:rPr>
                <w:rFonts w:hint="eastAsia" w:ascii="宋体" w:hAnsi="宋体" w:eastAsia="宋体" w:cs="宋体"/>
              </w:rPr>
            </w:pPr>
          </w:p>
        </w:tc>
        <w:tc>
          <w:tcPr>
            <w:tcW w:w="1545" w:type="dxa"/>
            <w:vAlign w:val="center"/>
          </w:tcPr>
          <w:p>
            <w:pPr>
              <w:pStyle w:val="83"/>
              <w:rPr>
                <w:rFonts w:hint="eastAsia" w:ascii="宋体" w:hAnsi="宋体" w:eastAsia="宋体" w:cs="宋体"/>
              </w:rPr>
            </w:pPr>
          </w:p>
        </w:tc>
        <w:tc>
          <w:tcPr>
            <w:tcW w:w="2060" w:type="dxa"/>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4、本项目报价上限为7.7万元（含税）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tbl>
      <w:tblPr>
        <w:tblStyle w:val="33"/>
        <w:tblpPr w:leftFromText="180" w:rightFromText="180" w:vertAnchor="text" w:horzAnchor="page" w:tblpX="1390" w:tblpY="387"/>
        <w:tblOverlap w:val="never"/>
        <w:tblW w:w="92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7"/>
        <w:gridCol w:w="1543"/>
        <w:gridCol w:w="2638"/>
        <w:gridCol w:w="819"/>
        <w:gridCol w:w="786"/>
        <w:gridCol w:w="1297"/>
        <w:gridCol w:w="859"/>
        <w:gridCol w:w="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5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w:t>
            </w:r>
          </w:p>
        </w:tc>
        <w:tc>
          <w:tcPr>
            <w:tcW w:w="26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项目描述</w:t>
            </w:r>
          </w:p>
        </w:tc>
        <w:tc>
          <w:tcPr>
            <w:tcW w:w="8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78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综合未税</w:t>
            </w:r>
            <w:r>
              <w:rPr>
                <w:rFonts w:hint="eastAsia" w:ascii="宋体" w:hAnsi="宋体" w:eastAsia="宋体" w:cs="宋体"/>
                <w:i w:val="0"/>
                <w:iCs w:val="0"/>
                <w:color w:val="000000"/>
                <w:kern w:val="0"/>
                <w:sz w:val="21"/>
                <w:szCs w:val="21"/>
                <w:u w:val="none"/>
                <w:lang w:val="en-US" w:eastAsia="zh-CN" w:bidi="ar"/>
              </w:rPr>
              <w:t>单价</w:t>
            </w:r>
            <w:r>
              <w:rPr>
                <w:rFonts w:hint="eastAsia" w:ascii="宋体" w:hAnsi="宋体" w:cs="宋体"/>
                <w:i w:val="0"/>
                <w:iCs w:val="0"/>
                <w:color w:val="000000"/>
                <w:kern w:val="0"/>
                <w:sz w:val="21"/>
                <w:szCs w:val="21"/>
                <w:u w:val="none"/>
                <w:lang w:val="en-US" w:eastAsia="zh-CN" w:bidi="ar"/>
              </w:rPr>
              <w:t>（元）</w:t>
            </w:r>
          </w:p>
        </w:tc>
        <w:tc>
          <w:tcPr>
            <w:tcW w:w="859"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696"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657" w:type="dxa"/>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43" w:type="dxa"/>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LL腰轮流量计</w:t>
            </w:r>
          </w:p>
        </w:tc>
        <w:tc>
          <w:tcPr>
            <w:tcW w:w="2638" w:type="dxa"/>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铸铁DN</w:t>
            </w: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0加厚、过检、防爆型、485通信</w:t>
            </w:r>
          </w:p>
        </w:tc>
        <w:tc>
          <w:tcPr>
            <w:tcW w:w="819" w:type="dxa"/>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台/套</w:t>
            </w:r>
          </w:p>
        </w:tc>
        <w:tc>
          <w:tcPr>
            <w:tcW w:w="786" w:type="dxa"/>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w:t>
            </w:r>
          </w:p>
        </w:tc>
        <w:tc>
          <w:tcPr>
            <w:tcW w:w="1297" w:type="dxa"/>
            <w:tcBorders>
              <w:top w:val="single" w:color="000000" w:sz="4" w:space="0"/>
              <w:left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859" w:type="dxa"/>
            <w:tcBorders>
              <w:top w:val="single" w:color="000000" w:sz="4" w:space="0"/>
              <w:left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pStyle w:val="2"/>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焊接法兰</w:t>
            </w:r>
          </w:p>
        </w:tc>
        <w:tc>
          <w:tcPr>
            <w:tcW w:w="26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材质304</w:t>
            </w:r>
            <w:r>
              <w:rPr>
                <w:rFonts w:hint="eastAsia" w:ascii="宋体" w:hAnsi="宋体" w:cs="宋体"/>
                <w:i w:val="0"/>
                <w:iCs w:val="0"/>
                <w:color w:val="000000"/>
                <w:kern w:val="0"/>
                <w:sz w:val="22"/>
                <w:szCs w:val="22"/>
                <w:u w:val="none"/>
                <w:lang w:val="en-US" w:eastAsia="zh-CN" w:bidi="ar"/>
              </w:rPr>
              <w:t>不锈钢</w:t>
            </w:r>
            <w:r>
              <w:rPr>
                <w:rFonts w:hint="eastAsia" w:ascii="宋体" w:hAnsi="宋体" w:eastAsia="宋体" w:cs="宋体"/>
                <w:i w:val="0"/>
                <w:iCs w:val="0"/>
                <w:color w:val="000000"/>
                <w:kern w:val="0"/>
                <w:sz w:val="22"/>
                <w:szCs w:val="22"/>
                <w:u w:val="none"/>
                <w:lang w:val="en-US" w:eastAsia="zh-CN" w:bidi="ar"/>
              </w:rPr>
              <w:t>、DN</w:t>
            </w: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0PN16</w:t>
            </w:r>
          </w:p>
        </w:tc>
        <w:tc>
          <w:tcPr>
            <w:tcW w:w="8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片</w:t>
            </w:r>
          </w:p>
        </w:tc>
        <w:tc>
          <w:tcPr>
            <w:tcW w:w="78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12</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85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无缝钢管</w:t>
            </w:r>
          </w:p>
        </w:tc>
        <w:tc>
          <w:tcPr>
            <w:tcW w:w="26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材质304</w:t>
            </w:r>
            <w:r>
              <w:rPr>
                <w:rFonts w:hint="eastAsia" w:ascii="宋体" w:hAnsi="宋体" w:cs="宋体"/>
                <w:i w:val="0"/>
                <w:iCs w:val="0"/>
                <w:color w:val="000000"/>
                <w:kern w:val="0"/>
                <w:sz w:val="22"/>
                <w:szCs w:val="22"/>
                <w:u w:val="none"/>
                <w:lang w:val="en-US" w:eastAsia="zh-CN" w:bidi="ar"/>
              </w:rPr>
              <w:t>不锈钢</w:t>
            </w:r>
            <w:r>
              <w:rPr>
                <w:rFonts w:hint="eastAsia" w:ascii="宋体" w:hAnsi="宋体" w:eastAsia="宋体" w:cs="宋体"/>
                <w:i w:val="0"/>
                <w:iCs w:val="0"/>
                <w:color w:val="000000"/>
                <w:kern w:val="0"/>
                <w:sz w:val="22"/>
                <w:szCs w:val="22"/>
                <w:u w:val="none"/>
                <w:lang w:val="en-US" w:eastAsia="zh-CN" w:bidi="ar"/>
              </w:rPr>
              <w:t>、DN</w:t>
            </w: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0X4</w:t>
            </w:r>
          </w:p>
        </w:tc>
        <w:tc>
          <w:tcPr>
            <w:tcW w:w="8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85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焊接弯头</w:t>
            </w:r>
          </w:p>
        </w:tc>
        <w:tc>
          <w:tcPr>
            <w:tcW w:w="26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材质304</w:t>
            </w:r>
            <w:r>
              <w:rPr>
                <w:rFonts w:hint="eastAsia" w:ascii="宋体" w:hAnsi="宋体" w:cs="宋体"/>
                <w:i w:val="0"/>
                <w:iCs w:val="0"/>
                <w:color w:val="000000"/>
                <w:kern w:val="0"/>
                <w:sz w:val="22"/>
                <w:szCs w:val="22"/>
                <w:u w:val="none"/>
                <w:lang w:val="en-US" w:eastAsia="zh-CN" w:bidi="ar"/>
              </w:rPr>
              <w:t>不锈钢</w:t>
            </w:r>
            <w:r>
              <w:rPr>
                <w:rFonts w:hint="eastAsia" w:ascii="宋体" w:hAnsi="宋体" w:eastAsia="宋体" w:cs="宋体"/>
                <w:i w:val="0"/>
                <w:iCs w:val="0"/>
                <w:color w:val="000000"/>
                <w:kern w:val="0"/>
                <w:sz w:val="22"/>
                <w:szCs w:val="22"/>
                <w:u w:val="none"/>
                <w:lang w:val="en-US" w:eastAsia="zh-CN" w:bidi="ar"/>
              </w:rPr>
              <w:t>、DN</w:t>
            </w: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0X4</w:t>
            </w:r>
          </w:p>
        </w:tc>
        <w:tc>
          <w:tcPr>
            <w:tcW w:w="8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片</w:t>
            </w:r>
          </w:p>
        </w:tc>
        <w:tc>
          <w:tcPr>
            <w:tcW w:w="78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6</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85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带门罩棚</w:t>
            </w:r>
          </w:p>
        </w:tc>
        <w:tc>
          <w:tcPr>
            <w:tcW w:w="26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2"/>
                <w:szCs w:val="22"/>
                <w:u w:val="none"/>
                <w:lang w:val="en-US" w:eastAsia="zh-CN" w:bidi="ar"/>
              </w:rPr>
              <w:t>材质304</w:t>
            </w:r>
            <w:r>
              <w:rPr>
                <w:rFonts w:hint="eastAsia" w:ascii="宋体" w:hAnsi="宋体" w:cs="宋体"/>
                <w:i w:val="0"/>
                <w:iCs w:val="0"/>
                <w:color w:val="000000"/>
                <w:kern w:val="0"/>
                <w:sz w:val="22"/>
                <w:szCs w:val="22"/>
                <w:u w:val="none"/>
                <w:lang w:val="en-US" w:eastAsia="zh-CN" w:bidi="ar"/>
              </w:rPr>
              <w:t>不锈钢</w:t>
            </w:r>
            <w:r>
              <w:rPr>
                <w:rFonts w:hint="eastAsia" w:ascii="宋体" w:hAnsi="宋体" w:eastAsia="宋体" w:cs="宋体"/>
                <w:i w:val="0"/>
                <w:iCs w:val="0"/>
                <w:color w:val="000000"/>
                <w:kern w:val="0"/>
                <w:sz w:val="22"/>
                <w:szCs w:val="22"/>
                <w:u w:val="none"/>
                <w:lang w:val="en-US" w:eastAsia="zh-CN" w:bidi="ar"/>
              </w:rPr>
              <w:t>、壁厚2.0、规格1000mmX1000mmX1000mm</w:t>
            </w:r>
          </w:p>
        </w:tc>
        <w:tc>
          <w:tcPr>
            <w:tcW w:w="8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859"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696"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LL腰轮流量计检测费</w:t>
            </w:r>
          </w:p>
        </w:tc>
        <w:tc>
          <w:tcPr>
            <w:tcW w:w="26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2"/>
                <w:szCs w:val="22"/>
                <w:u w:val="none"/>
                <w:lang w:val="en-US" w:eastAsia="zh-CN" w:bidi="ar"/>
              </w:rPr>
              <w:t>质量技术监督局校检费含报告</w:t>
            </w:r>
          </w:p>
        </w:tc>
        <w:tc>
          <w:tcPr>
            <w:tcW w:w="8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台/套</w:t>
            </w:r>
          </w:p>
        </w:tc>
        <w:tc>
          <w:tcPr>
            <w:tcW w:w="78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859"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696"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5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RVVP电缆</w:t>
            </w:r>
          </w:p>
        </w:tc>
        <w:tc>
          <w:tcPr>
            <w:tcW w:w="26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RVVP2X1.5信号电缆</w:t>
            </w:r>
          </w:p>
        </w:tc>
        <w:tc>
          <w:tcPr>
            <w:tcW w:w="8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 xml:space="preserve"> 米</w:t>
            </w:r>
          </w:p>
        </w:tc>
        <w:tc>
          <w:tcPr>
            <w:tcW w:w="78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600</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859"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696"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数据采集、传输系统</w:t>
            </w:r>
          </w:p>
        </w:tc>
        <w:tc>
          <w:tcPr>
            <w:tcW w:w="26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系统调试(需能远程无线传输)、CPU、触摸屏、箱体及附件、安装</w:t>
            </w:r>
          </w:p>
        </w:tc>
        <w:tc>
          <w:tcPr>
            <w:tcW w:w="8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859"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696"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5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穿线管</w:t>
            </w:r>
          </w:p>
        </w:tc>
        <w:tc>
          <w:tcPr>
            <w:tcW w:w="26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SC25X1.5镀锌穿线管</w:t>
            </w:r>
          </w:p>
        </w:tc>
        <w:tc>
          <w:tcPr>
            <w:tcW w:w="8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米</w:t>
            </w:r>
          </w:p>
        </w:tc>
        <w:tc>
          <w:tcPr>
            <w:tcW w:w="78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580</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859"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696"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w:t>
            </w:r>
          </w:p>
        </w:tc>
        <w:tc>
          <w:tcPr>
            <w:tcW w:w="15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防爆</w:t>
            </w:r>
            <w:r>
              <w:rPr>
                <w:rFonts w:hint="eastAsia" w:ascii="宋体" w:hAnsi="宋体" w:cs="宋体"/>
                <w:i w:val="0"/>
                <w:iCs w:val="0"/>
                <w:color w:val="000000"/>
                <w:kern w:val="0"/>
                <w:sz w:val="22"/>
                <w:szCs w:val="22"/>
                <w:u w:val="none"/>
                <w:lang w:val="en-US" w:eastAsia="zh-CN" w:bidi="ar"/>
              </w:rPr>
              <w:t>风机</w:t>
            </w:r>
          </w:p>
        </w:tc>
        <w:tc>
          <w:tcPr>
            <w:tcW w:w="26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1"/>
                <w:lang w:val="en-US" w:eastAsia="zh-CN" w:bidi="ar-SA"/>
              </w:rPr>
            </w:pPr>
            <w:r>
              <w:rPr>
                <w:rFonts w:hint="eastAsia" w:ascii="宋体" w:hAnsi="宋体" w:eastAsia="宋体" w:cs="宋体"/>
                <w:i w:val="0"/>
                <w:iCs w:val="0"/>
                <w:color w:val="000000"/>
                <w:kern w:val="0"/>
                <w:sz w:val="22"/>
                <w:szCs w:val="22"/>
                <w:u w:val="none"/>
                <w:lang w:val="en-US" w:eastAsia="zh-CN" w:bidi="ar"/>
              </w:rPr>
              <w:t>CBF-</w:t>
            </w:r>
            <w:r>
              <w:rPr>
                <w:rFonts w:hint="eastAsia" w:ascii="宋体" w:hAnsi="宋体" w:cs="宋体"/>
                <w:i w:val="0"/>
                <w:iCs w:val="0"/>
                <w:color w:val="000000"/>
                <w:kern w:val="0"/>
                <w:sz w:val="22"/>
                <w:szCs w:val="22"/>
                <w:u w:val="none"/>
                <w:lang w:val="en-US" w:eastAsia="zh-CN" w:bidi="ar"/>
              </w:rPr>
              <w:t>30</w:t>
            </w:r>
            <w:r>
              <w:rPr>
                <w:rFonts w:hint="eastAsia" w:ascii="宋体" w:hAnsi="宋体" w:eastAsia="宋体" w:cs="宋体"/>
                <w:i w:val="0"/>
                <w:iCs w:val="0"/>
                <w:color w:val="000000"/>
                <w:kern w:val="0"/>
                <w:sz w:val="22"/>
                <w:szCs w:val="22"/>
                <w:u w:val="none"/>
                <w:lang w:val="en-US" w:eastAsia="zh-CN" w:bidi="ar"/>
              </w:rPr>
              <w:t>0</w:t>
            </w:r>
            <w:r>
              <w:rPr>
                <w:rFonts w:hint="eastAsia" w:ascii="宋体" w:hAnsi="宋体" w:cs="宋体"/>
                <w:i w:val="0"/>
                <w:iCs w:val="0"/>
                <w:color w:val="000000"/>
                <w:kern w:val="0"/>
                <w:sz w:val="22"/>
                <w:szCs w:val="22"/>
                <w:u w:val="none"/>
                <w:lang w:val="en-US" w:eastAsia="zh-CN" w:bidi="ar"/>
              </w:rPr>
              <w:t>，防爆</w:t>
            </w:r>
          </w:p>
        </w:tc>
        <w:tc>
          <w:tcPr>
            <w:tcW w:w="8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2"/>
                <w:szCs w:val="22"/>
                <w:u w:val="none"/>
                <w:lang w:val="en-US" w:eastAsia="zh-CN" w:bidi="ar"/>
              </w:rPr>
              <w:t>台</w:t>
            </w:r>
          </w:p>
        </w:tc>
        <w:tc>
          <w:tcPr>
            <w:tcW w:w="78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2"/>
                <w:szCs w:val="22"/>
                <w:u w:val="none"/>
                <w:lang w:val="en-US" w:eastAsia="zh-CN" w:bidi="ar"/>
              </w:rPr>
              <w:t>1</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859"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1"/>
                <w:szCs w:val="21"/>
                <w:u w:val="none"/>
                <w:lang w:val="en-US" w:eastAsia="zh-CN" w:bidi="ar-SA"/>
              </w:rPr>
            </w:pPr>
          </w:p>
        </w:tc>
        <w:tc>
          <w:tcPr>
            <w:tcW w:w="696"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w:t>
            </w:r>
          </w:p>
        </w:tc>
        <w:tc>
          <w:tcPr>
            <w:tcW w:w="15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防爆绕性管</w:t>
            </w:r>
          </w:p>
        </w:tc>
        <w:tc>
          <w:tcPr>
            <w:tcW w:w="26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eastAsia="仿宋_GB2312"/>
                <w:lang w:val="en-US" w:eastAsia="zh-CN"/>
              </w:rPr>
            </w:pPr>
            <w:r>
              <w:rPr>
                <w:rFonts w:hint="eastAsia" w:ascii="宋体" w:hAnsi="宋体" w:eastAsia="宋体" w:cs="宋体"/>
                <w:i w:val="0"/>
                <w:iCs w:val="0"/>
                <w:color w:val="000000"/>
                <w:kern w:val="0"/>
                <w:sz w:val="22"/>
                <w:szCs w:val="22"/>
                <w:u w:val="none"/>
                <w:lang w:val="en-US" w:eastAsia="zh-CN" w:bidi="ar"/>
              </w:rPr>
              <w:t>DN20X1000（含连接附件）</w:t>
            </w:r>
          </w:p>
        </w:tc>
        <w:tc>
          <w:tcPr>
            <w:tcW w:w="8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支</w:t>
            </w:r>
          </w:p>
        </w:tc>
        <w:tc>
          <w:tcPr>
            <w:tcW w:w="78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859"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696"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443" w:type="dxa"/>
            <w:gridSpan w:val="5"/>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项目合计（不含税，元）</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443" w:type="dxa"/>
            <w:gridSpan w:val="5"/>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税额（元，税率：  %）</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443" w:type="dxa"/>
            <w:gridSpan w:val="5"/>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总计（元）</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r>
    </w:tbl>
    <w:p>
      <w:pPr>
        <w:pStyle w:val="79"/>
        <w:ind w:left="0" w:leftChars="0" w:firstLine="0" w:firstLineChars="0"/>
        <w:rPr>
          <w:rFonts w:hint="eastAsia" w:ascii="宋体" w:hAnsi="宋体" w:eastAsia="宋体" w:cs="宋体"/>
          <w:b/>
        </w:rPr>
      </w:pPr>
    </w:p>
    <w:p>
      <w:pPr>
        <w:pStyle w:val="79"/>
        <w:ind w:firstLine="48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pStyle w:val="79"/>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92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294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2958"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168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tcPr>
          <w:p>
            <w:pPr>
              <w:pStyle w:val="83"/>
              <w:rPr>
                <w:rFonts w:hint="default" w:ascii="宋体" w:hAnsi="宋体" w:eastAsia="宋体" w:cs="宋体"/>
                <w:szCs w:val="21"/>
                <w:lang w:val="en-US" w:eastAsia="zh-CN"/>
              </w:rPr>
            </w:pPr>
            <w:r>
              <w:rPr>
                <w:rFonts w:hint="eastAsia" w:ascii="宋体" w:hAnsi="宋体" w:eastAsia="宋体" w:cs="宋体"/>
                <w:b w:val="0"/>
                <w:lang w:val="en-US" w:eastAsia="zh-CN"/>
              </w:rPr>
              <w:t>半年期商业汇票（包括银行承兑和商业承兑）按实际工程量据实结算。</w:t>
            </w:r>
          </w:p>
        </w:tc>
        <w:tc>
          <w:tcPr>
            <w:tcW w:w="2958" w:type="dxa"/>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3"/>
              <w:jc w:val="both"/>
              <w:rPr>
                <w:rFonts w:hint="eastAsia" w:ascii="宋体" w:hAnsi="宋体" w:eastAsia="宋体" w:cs="宋体"/>
                <w:szCs w:val="21"/>
              </w:rPr>
            </w:pPr>
            <w:r>
              <w:rPr>
                <w:rFonts w:hint="eastAsia" w:ascii="宋体" w:hAnsi="宋体" w:eastAsia="宋体" w:cs="宋体"/>
                <w:b w:val="0"/>
                <w:lang w:val="en-US" w:eastAsia="zh-CN"/>
              </w:rPr>
              <w:t>油库安装固定式的LL腰轮流量计及远传设备设施，改造相应的加油管道和基建。</w:t>
            </w:r>
          </w:p>
        </w:tc>
        <w:tc>
          <w:tcPr>
            <w:tcW w:w="2958"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lang w:eastAsia="zh-CN"/>
              </w:rPr>
              <w:t>项目材料</w:t>
            </w:r>
            <w:r>
              <w:rPr>
                <w:rFonts w:hint="eastAsia" w:ascii="宋体" w:hAnsi="宋体" w:eastAsia="宋体" w:cs="宋体"/>
              </w:rPr>
              <w:t>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b w:val="0"/>
                <w:lang w:val="en-US" w:eastAsia="zh-CN"/>
              </w:rPr>
              <w:t>详见投标报价明细表项目描述</w:t>
            </w:r>
          </w:p>
        </w:tc>
        <w:tc>
          <w:tcPr>
            <w:tcW w:w="2958"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353881022"/>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212369556"/>
      <w:bookmarkStart w:id="19" w:name="_Toc353881023"/>
      <w:bookmarkStart w:id="20"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6"/>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6"/>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6"/>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eastAsia="宋体" w:cs="宋体"/>
          <w:sz w:val="24"/>
          <w:szCs w:val="24"/>
        </w:rPr>
        <w:t>http</w:t>
      </w:r>
      <w:r>
        <w:rPr>
          <w:rStyle w:val="39"/>
          <w:rFonts w:hint="eastAsia" w:ascii="宋体" w:hAnsi="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7"/>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7"/>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9"/>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1"/>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lang w:eastAsia="zh-CN"/>
        </w:rPr>
        <w:t>动力总成试验部（杭州）油库供油系统改造</w:t>
      </w:r>
      <w:r>
        <w:rPr>
          <w:rFonts w:hint="eastAsia" w:ascii="宋体" w:hAnsi="宋体" w:eastAsia="宋体" w:cs="宋体"/>
          <w:color w:val="000000"/>
          <w:sz w:val="24"/>
          <w:szCs w:val="24"/>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w:t>
      </w:r>
      <w:r>
        <w:rPr>
          <w:rFonts w:hint="eastAsia" w:hAnsi="宋体" w:cs="宋体"/>
          <w:color w:val="000000"/>
          <w:sz w:val="24"/>
          <w:szCs w:val="24"/>
          <w:lang w:eastAsia="zh-CN"/>
        </w:rPr>
        <w:t>杭州</w:t>
      </w:r>
      <w:r>
        <w:rPr>
          <w:rFonts w:hint="eastAsia" w:ascii="宋体" w:hAnsi="宋体" w:eastAsia="宋体" w:cs="宋体"/>
          <w:color w:val="000000"/>
          <w:sz w:val="24"/>
          <w:szCs w:val="24"/>
        </w:rPr>
        <w:t>市</w:t>
      </w:r>
      <w:r>
        <w:rPr>
          <w:rFonts w:hint="eastAsia" w:hAnsi="宋体" w:cs="宋体"/>
          <w:color w:val="000000"/>
          <w:sz w:val="24"/>
          <w:szCs w:val="24"/>
          <w:lang w:eastAsia="zh-CN"/>
        </w:rPr>
        <w:t>萧山区高新六</w:t>
      </w:r>
      <w:r>
        <w:rPr>
          <w:rFonts w:hint="eastAsia" w:ascii="宋体" w:hAnsi="宋体" w:eastAsia="宋体" w:cs="宋体"/>
          <w:color w:val="000000"/>
          <w:sz w:val="24"/>
          <w:szCs w:val="24"/>
        </w:rPr>
        <w:t>路</w:t>
      </w:r>
      <w:r>
        <w:rPr>
          <w:rFonts w:hint="eastAsia" w:hAnsi="宋体" w:cs="宋体"/>
          <w:color w:val="000000"/>
          <w:sz w:val="24"/>
          <w:szCs w:val="24"/>
          <w:lang w:val="en-US" w:eastAsia="zh-CN"/>
        </w:rPr>
        <w:t>186</w:t>
      </w:r>
      <w:r>
        <w:rPr>
          <w:rFonts w:hint="eastAsia" w:ascii="宋体" w:hAnsi="宋体" w:eastAsia="宋体" w:cs="宋体"/>
          <w:color w:val="000000"/>
          <w:sz w:val="24"/>
          <w:szCs w:val="24"/>
        </w:rPr>
        <w:t>号</w:t>
      </w:r>
      <w:r>
        <w:rPr>
          <w:rFonts w:hint="eastAsia" w:hAnsi="宋体" w:cs="宋体"/>
          <w:color w:val="000000"/>
          <w:sz w:val="24"/>
          <w:szCs w:val="24"/>
          <w:lang w:eastAsia="zh-CN"/>
        </w:rPr>
        <w:t>中国</w:t>
      </w:r>
      <w:r>
        <w:rPr>
          <w:rFonts w:hint="eastAsia" w:ascii="宋体" w:hAnsi="宋体" w:eastAsia="宋体" w:cs="宋体"/>
          <w:color w:val="000000"/>
          <w:sz w:val="24"/>
          <w:szCs w:val="24"/>
        </w:rPr>
        <w:t>重汽</w:t>
      </w:r>
    </w:p>
    <w:p>
      <w:pPr>
        <w:spacing w:line="360" w:lineRule="auto"/>
        <w:ind w:firstLine="480" w:firstLineChars="20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项目概况：</w:t>
      </w:r>
    </w:p>
    <w:p>
      <w:pPr>
        <w:pStyle w:val="1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油库安装固定式的LL腰轮流量计及远传设备设施，改造相应的加油管道和基建。主要改造内容包括：</w:t>
      </w:r>
    </w:p>
    <w:p>
      <w:pPr>
        <w:pStyle w:val="16"/>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1.油库三个油罐的加油口各安装一台固定式的LL腰轮流量计，流量计管径根据供油管道选择DN</w:t>
      </w:r>
      <w:r>
        <w:rPr>
          <w:rFonts w:hint="eastAsia" w:hAnsi="宋体" w:cs="宋体"/>
          <w:color w:val="000000"/>
          <w:kern w:val="2"/>
          <w:sz w:val="24"/>
          <w:szCs w:val="24"/>
          <w:lang w:val="en-US" w:eastAsia="zh-CN" w:bidi="ar-SA"/>
        </w:rPr>
        <w:t>5</w:t>
      </w:r>
      <w:r>
        <w:rPr>
          <w:rFonts w:hint="eastAsia" w:ascii="宋体" w:hAnsi="宋体" w:eastAsia="宋体" w:cs="宋体"/>
          <w:color w:val="000000"/>
          <w:kern w:val="2"/>
          <w:sz w:val="24"/>
          <w:szCs w:val="24"/>
          <w:lang w:val="en-US" w:eastAsia="zh-CN" w:bidi="ar-SA"/>
        </w:rPr>
        <w:t>0，为防爆型，且具备脉冲输出，所安装的LL腰轮流量计必须提供质量技术校检报告，并安装远传设备设施对用油进行管控，远传系统需含触摸屏，触摸屏能够现场实时显示累计用油量，便于现场用油计量管理，同时对加油管道和基建进行相应的改造。；</w:t>
      </w:r>
    </w:p>
    <w:p>
      <w:pPr>
        <w:pStyle w:val="16"/>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color w:val="000000"/>
          <w:kern w:val="2"/>
          <w:sz w:val="24"/>
          <w:szCs w:val="24"/>
          <w:lang w:val="en-US" w:eastAsia="zh-CN" w:bidi="ar-SA"/>
        </w:rPr>
        <w:t>2.远传系统要求：所安装流量计必须为智能型流量计。具备以下功能：（1）数据采集，智能流量计能够实时采集流量数据，包括累计流量和瞬时流量等；（2）数据传输，采集到的数据将通过流量计内置的通讯接口进行传输。这些通讯接口通常采用标准的通讯协议，如Modbus、RS485、以太网等，以确保数据的稳定传输和兼容性。同时，为了满足远程传输的需求，流量计将支持TCP/IP协议，以便与远程接收端进行通信；（3）数据接收与处理，智能流量计应能够使接收端通过相应的通讯接口和协议，接收来自智能流量计的数据。接收过程中，系统将对数据进行校验和确认，以确保数据的完整性和准确性。校验完成后，对接收到的数据将进行一系列处理操作，包括数据解析、存储、查询和统计等；（4）数据存储，处理后的数据将被存储到指定的接收端，如数据库或文件服务器等。这些数据将按照一定的格式和规则进行存储，以便后续查询和分析；（5）数据展示，为了方便用户查看和分析数据，系统将通过可视化界面（如触摸屏、网页端等）展示实时数据和历史数据。用户可以通过这些界面实时了解油库用油情况，并进行相应的管理和控制操作；（6）报警与通知当流量数据出现异常或超过预设阈值时，系统将自动触发报警机制，并通过短信、邮件等方式通知相关人员。</w:t>
      </w:r>
    </w:p>
    <w:p>
      <w:pPr>
        <w:pStyle w:val="81"/>
        <w:rPr>
          <w:rFonts w:hint="eastAsia" w:ascii="宋体" w:hAnsi="宋体" w:eastAsia="宋体" w:cs="宋体"/>
        </w:rPr>
      </w:pPr>
    </w:p>
    <w:p>
      <w:pPr>
        <w:pStyle w:val="81"/>
        <w:rPr>
          <w:rFonts w:hint="eastAsia" w:ascii="宋体" w:hAnsi="宋体" w:eastAsia="宋体" w:cs="宋体"/>
        </w:rPr>
      </w:pPr>
      <w:r>
        <w:rPr>
          <w:rFonts w:hint="eastAsia" w:ascii="宋体" w:hAnsi="宋体" w:eastAsia="宋体" w:cs="宋体"/>
        </w:rPr>
        <w:t>二、服务要求</w:t>
      </w:r>
    </w:p>
    <w:p>
      <w:pPr>
        <w:pStyle w:val="5"/>
        <w:keepNext/>
        <w:keepLines/>
        <w:pageBreakBefore w:val="0"/>
        <w:widowControl w:val="0"/>
        <w:kinsoku/>
        <w:wordWrap/>
        <w:overflowPunct/>
        <w:topLinePunct w:val="0"/>
        <w:autoSpaceDE/>
        <w:autoSpaceDN/>
        <w:bidi w:val="0"/>
        <w:adjustRightInd/>
        <w:snapToGrid w:val="0"/>
        <w:spacing w:before="0" w:after="0" w:line="360" w:lineRule="auto"/>
        <w:ind w:firstLine="480" w:firstLineChars="200"/>
        <w:textAlignment w:val="auto"/>
        <w:rPr>
          <w:rFonts w:hint="default" w:eastAsia="宋体"/>
          <w:color w:val="auto"/>
          <w:lang w:val="en-US" w:eastAsia="zh-CN"/>
        </w:rPr>
      </w:pPr>
      <w:bookmarkStart w:id="23" w:name="_Toc490750820"/>
      <w:bookmarkStart w:id="24" w:name="_Toc24049"/>
      <w:bookmarkStart w:id="25" w:name="_Toc31558"/>
      <w:bookmarkStart w:id="26" w:name="_Toc385411768"/>
      <w:bookmarkStart w:id="27" w:name="_Toc26699"/>
      <w:bookmarkStart w:id="28" w:name="_Toc10152"/>
      <w:r>
        <w:rPr>
          <w:rFonts w:hint="eastAsia" w:ascii="宋体" w:hAnsi="宋体" w:eastAsia="宋体" w:cs="宋体"/>
          <w:b w:val="0"/>
          <w:bCs w:val="0"/>
          <w:color w:val="000000"/>
          <w:kern w:val="2"/>
          <w:sz w:val="24"/>
          <w:szCs w:val="24"/>
          <w:lang w:val="en-US" w:eastAsia="zh-CN" w:bidi="ar-SA"/>
        </w:rPr>
        <w:t>本项目涉及杭研园区验收工作，承包方应完全按照国家、行业标准和企业规范，文明施工、安全施工，并随时接受招标方的检查。施工过程中务必做好安全管理工作，涉及特种作业（动火、登高）的必须办理审批手续，施工结束后及时清理物料并恢复现场</w:t>
      </w:r>
      <w:r>
        <w:rPr>
          <w:rFonts w:hint="eastAsia" w:ascii="宋体" w:hAnsi="宋体" w:eastAsia="宋体" w:cs="宋体"/>
          <w:b w:val="0"/>
          <w:bCs w:val="0"/>
          <w:color w:val="auto"/>
          <w:kern w:val="2"/>
          <w:sz w:val="24"/>
          <w:szCs w:val="24"/>
          <w:lang w:val="en-US" w:eastAsia="zh-CN" w:bidi="ar-SA"/>
        </w:rPr>
        <w:t>整洁。</w:t>
      </w:r>
    </w:p>
    <w:p>
      <w:pPr>
        <w:pStyle w:val="81"/>
        <w:rPr>
          <w:rFonts w:hint="eastAsia" w:ascii="宋体" w:hAnsi="宋体" w:eastAsia="宋体" w:cs="宋体"/>
          <w:lang w:val="en-US" w:eastAsia="zh-CN"/>
        </w:rPr>
      </w:pPr>
    </w:p>
    <w:p>
      <w:pPr>
        <w:pStyle w:val="81"/>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pPr>
        <w:pStyle w:val="5"/>
        <w:pageBreakBefore w:val="0"/>
        <w:widowControl w:val="0"/>
        <w:kinsoku/>
        <w:wordWrap/>
        <w:overflowPunct/>
        <w:topLinePunct w:val="0"/>
        <w:autoSpaceDE/>
        <w:autoSpaceDN/>
        <w:bidi w:val="0"/>
        <w:adjustRightInd/>
        <w:snapToGrid w:val="0"/>
        <w:spacing w:before="0" w:after="0" w:line="360" w:lineRule="auto"/>
        <w:ind w:firstLine="480" w:firstLineChars="200"/>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1</w:t>
      </w:r>
      <w:r>
        <w:rPr>
          <w:rFonts w:hint="eastAsia" w:ascii="宋体" w:hAnsi="宋体" w:cs="宋体"/>
          <w:b w:val="0"/>
          <w:bCs w:val="0"/>
          <w:color w:val="auto"/>
          <w:kern w:val="2"/>
          <w:sz w:val="24"/>
          <w:szCs w:val="24"/>
          <w:lang w:val="en-US" w:eastAsia="zh-CN" w:bidi="ar-SA"/>
        </w:rPr>
        <w:t>、施工要求</w:t>
      </w:r>
    </w:p>
    <w:p>
      <w:pPr>
        <w:pStyle w:val="16"/>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油库三个油罐的加油口各安装一台固定式的LL腰轮流量计，流量计管径根据供油管道选择DN50，为防爆型，且具备脉冲输出，所安装的LL腰轮流量计必须提供质量技术校检报告，并安装远传设备设施对用油进行管控，远传系统需含触摸屏，触摸屏能够现场实时显示累计用油量，便于现场用油计量管理，同时对加油管道和基建进行相应的改造。；</w:t>
      </w:r>
    </w:p>
    <w:p>
      <w:pPr>
        <w:pageBreakBefore w:val="0"/>
        <w:widowControl w:val="0"/>
        <w:numPr>
          <w:ilvl w:val="0"/>
          <w:numId w:val="7"/>
        </w:numPr>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远传系统要求</w:t>
      </w:r>
    </w:p>
    <w:p>
      <w:pPr>
        <w:pStyle w:val="16"/>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ascii="宋体" w:hAnsi="宋体" w:eastAsia="宋体" w:cs="宋体"/>
          <w:b w:val="0"/>
          <w:bCs w:val="0"/>
          <w:color w:val="auto"/>
          <w:kern w:val="2"/>
          <w:sz w:val="24"/>
          <w:szCs w:val="24"/>
          <w:lang w:val="en-US" w:eastAsia="zh-CN" w:bidi="ar-SA"/>
        </w:rPr>
        <w:t>所安装流量计必须为智能型流量计。具备以下功能：</w:t>
      </w:r>
      <w:r>
        <w:rPr>
          <w:rFonts w:hint="eastAsia"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1</w:t>
      </w:r>
      <w:r>
        <w:rPr>
          <w:rFonts w:hint="eastAsia"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数据采集，智能流量计能够实时采集流量数据，包括累计流量和瞬时流量等；</w:t>
      </w:r>
      <w:r>
        <w:rPr>
          <w:rFonts w:hint="eastAsia"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2</w:t>
      </w:r>
      <w:r>
        <w:rPr>
          <w:rFonts w:hint="eastAsia"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数据传输，采集到的数据将通过流量计内置的通讯接口进行传输。这些通讯接口通常采用标准的通讯协议，如Modbus、RS485、以太网等，以确保数据的稳定传输和兼容性。同时，为了满足远程传输的需求，流量计将支持TCP/IP协议，以便与远程接收端进行通信；</w:t>
      </w:r>
      <w:r>
        <w:rPr>
          <w:rFonts w:hint="eastAsia"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3</w:t>
      </w:r>
      <w:r>
        <w:rPr>
          <w:rFonts w:hint="eastAsia"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数据接收与处理，智能流量计应能够使接收端通过相应的通讯接口和协议，接收来自智能流量计的数据。接收过程中，系统将对数据进行校验和确认，以确保数据的完整性和准确性。校验完成后，对接收到的数据将进行一系列处理操作，包括数据解析、存储、查询和统计等；</w:t>
      </w:r>
      <w:r>
        <w:rPr>
          <w:rFonts w:hint="eastAsia"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4</w:t>
      </w:r>
      <w:r>
        <w:rPr>
          <w:rFonts w:hint="eastAsia"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数据存储，处理后的数据将被存储到指定的接收端，如数据库或文件服务器等。这些数据将按照一定的格式和规则进行存储，以便后续查询和分析；</w:t>
      </w:r>
      <w:r>
        <w:rPr>
          <w:rFonts w:hint="eastAsia"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5</w:t>
      </w:r>
      <w:r>
        <w:rPr>
          <w:rFonts w:hint="eastAsia"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数据展示，为了方便用户查看和分析数据，系统将通过可视化界面（如触摸屏、网页端等）展示实时数据和历史数据。用户可以通过这些界面实时了解油库用油情况，并进行相应的管理和控制操作；</w:t>
      </w:r>
      <w:r>
        <w:rPr>
          <w:rFonts w:hint="eastAsia"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6</w:t>
      </w:r>
      <w:r>
        <w:rPr>
          <w:rFonts w:hint="eastAsia"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报警与通知当流量数据出现异常或超过预设阈值时，系统将自动触发报警机制，并通过短信、邮件等方式通知相关人员。</w:t>
      </w:r>
    </w:p>
    <w:p>
      <w:pPr>
        <w:rPr>
          <w:rFonts w:hint="eastAsia" w:ascii="宋体" w:hAnsi="宋体" w:eastAsia="宋体" w:cs="宋体"/>
          <w:sz w:val="24"/>
          <w:szCs w:val="24"/>
        </w:rPr>
      </w:pPr>
    </w:p>
    <w:p>
      <w:pPr>
        <w:spacing w:line="300" w:lineRule="auto"/>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仿宋_GB2312">
    <w:altName w:val="汉仪仿宋KW"/>
    <w:panose1 w:val="02010609030101010101"/>
    <w:charset w:val="86"/>
    <w:family w:val="modern"/>
    <w:pitch w:val="default"/>
    <w:sig w:usb0="00000000" w:usb1="00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仿宋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2 -</w:t>
    </w:r>
    <w:r>
      <w:fldChar w:fldCharType="end"/>
    </w:r>
  </w:p>
  <w:p>
    <w:pPr>
      <w:pStyle w:val="21"/>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1 -</w:t>
    </w:r>
    <w:r>
      <w:fldChar w:fldCharType="end"/>
    </w:r>
  </w:p>
  <w:p>
    <w:pPr>
      <w:pStyle w:val="21"/>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F9FE63"/>
    <w:multiLevelType w:val="singleLevel"/>
    <w:tmpl w:val="B3F9FE63"/>
    <w:lvl w:ilvl="0" w:tentative="0">
      <w:start w:val="2"/>
      <w:numFmt w:val="decimal"/>
      <w:suff w:val="nothing"/>
      <w:lvlText w:val="%1、"/>
      <w:lvlJc w:val="left"/>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6D3837"/>
    <w:rsid w:val="007505DC"/>
    <w:rsid w:val="007B4CA4"/>
    <w:rsid w:val="00812C4A"/>
    <w:rsid w:val="00854791"/>
    <w:rsid w:val="008D7FC2"/>
    <w:rsid w:val="00902196"/>
    <w:rsid w:val="00905A82"/>
    <w:rsid w:val="00985073"/>
    <w:rsid w:val="00A62F3D"/>
    <w:rsid w:val="00AA5F2D"/>
    <w:rsid w:val="00AE7AA6"/>
    <w:rsid w:val="00B25EF2"/>
    <w:rsid w:val="00B941C5"/>
    <w:rsid w:val="00BA7190"/>
    <w:rsid w:val="00C86522"/>
    <w:rsid w:val="00CC1EFC"/>
    <w:rsid w:val="00E5434E"/>
    <w:rsid w:val="00E86C65"/>
    <w:rsid w:val="00EA37A5"/>
    <w:rsid w:val="00F204CA"/>
    <w:rsid w:val="00F47F06"/>
    <w:rsid w:val="00F702D9"/>
    <w:rsid w:val="00F71910"/>
    <w:rsid w:val="00F94AA9"/>
    <w:rsid w:val="01043710"/>
    <w:rsid w:val="01387AC5"/>
    <w:rsid w:val="01D75097"/>
    <w:rsid w:val="03493BFF"/>
    <w:rsid w:val="034D0622"/>
    <w:rsid w:val="038C4D5A"/>
    <w:rsid w:val="04585849"/>
    <w:rsid w:val="047E2524"/>
    <w:rsid w:val="049622BD"/>
    <w:rsid w:val="052778F6"/>
    <w:rsid w:val="06905111"/>
    <w:rsid w:val="06CF064D"/>
    <w:rsid w:val="06E4736A"/>
    <w:rsid w:val="06E55E89"/>
    <w:rsid w:val="070B65D7"/>
    <w:rsid w:val="07103FDF"/>
    <w:rsid w:val="078075E1"/>
    <w:rsid w:val="0781535B"/>
    <w:rsid w:val="078360D5"/>
    <w:rsid w:val="095B1AD9"/>
    <w:rsid w:val="09AA7979"/>
    <w:rsid w:val="09F17531"/>
    <w:rsid w:val="0A12155E"/>
    <w:rsid w:val="0A384B1A"/>
    <w:rsid w:val="0A954625"/>
    <w:rsid w:val="0ABB6BA0"/>
    <w:rsid w:val="0B205A40"/>
    <w:rsid w:val="0B241343"/>
    <w:rsid w:val="0B2F0E96"/>
    <w:rsid w:val="0B5D0450"/>
    <w:rsid w:val="0B840328"/>
    <w:rsid w:val="0BF4177E"/>
    <w:rsid w:val="0C184DC8"/>
    <w:rsid w:val="0CDA596A"/>
    <w:rsid w:val="0D4F2B42"/>
    <w:rsid w:val="0DCB3427"/>
    <w:rsid w:val="0E26697B"/>
    <w:rsid w:val="0E9E0110"/>
    <w:rsid w:val="0EB70CFE"/>
    <w:rsid w:val="0F123AF6"/>
    <w:rsid w:val="0F2E2A6C"/>
    <w:rsid w:val="0FA136A0"/>
    <w:rsid w:val="104079D5"/>
    <w:rsid w:val="1048779A"/>
    <w:rsid w:val="115415F7"/>
    <w:rsid w:val="12134D47"/>
    <w:rsid w:val="12136712"/>
    <w:rsid w:val="14750D59"/>
    <w:rsid w:val="14A15C19"/>
    <w:rsid w:val="14AF58B8"/>
    <w:rsid w:val="14CF2817"/>
    <w:rsid w:val="14F26FE7"/>
    <w:rsid w:val="15E256D4"/>
    <w:rsid w:val="16D66613"/>
    <w:rsid w:val="16DE1CE7"/>
    <w:rsid w:val="17821F60"/>
    <w:rsid w:val="17EB3444"/>
    <w:rsid w:val="17EC378B"/>
    <w:rsid w:val="18076BC0"/>
    <w:rsid w:val="182B539A"/>
    <w:rsid w:val="18482C65"/>
    <w:rsid w:val="19612B43"/>
    <w:rsid w:val="19680364"/>
    <w:rsid w:val="19855E2F"/>
    <w:rsid w:val="199D37E1"/>
    <w:rsid w:val="19A034B1"/>
    <w:rsid w:val="19A57E23"/>
    <w:rsid w:val="19C87067"/>
    <w:rsid w:val="1B287E91"/>
    <w:rsid w:val="1B44505F"/>
    <w:rsid w:val="1BA753DE"/>
    <w:rsid w:val="1C58368E"/>
    <w:rsid w:val="1D416CE3"/>
    <w:rsid w:val="1D801BB0"/>
    <w:rsid w:val="1E221444"/>
    <w:rsid w:val="1EFC0C41"/>
    <w:rsid w:val="1F6E2EAA"/>
    <w:rsid w:val="1FBF5CE3"/>
    <w:rsid w:val="201506B2"/>
    <w:rsid w:val="21545E1F"/>
    <w:rsid w:val="217C7D01"/>
    <w:rsid w:val="220B3420"/>
    <w:rsid w:val="221B044B"/>
    <w:rsid w:val="23B90C3A"/>
    <w:rsid w:val="24532D1A"/>
    <w:rsid w:val="24DD3964"/>
    <w:rsid w:val="25B0674D"/>
    <w:rsid w:val="25F06535"/>
    <w:rsid w:val="2666604D"/>
    <w:rsid w:val="267B67AB"/>
    <w:rsid w:val="26A953B6"/>
    <w:rsid w:val="270E2105"/>
    <w:rsid w:val="274C3BCE"/>
    <w:rsid w:val="27714350"/>
    <w:rsid w:val="27770C40"/>
    <w:rsid w:val="27C819DF"/>
    <w:rsid w:val="27D806B8"/>
    <w:rsid w:val="28E43A61"/>
    <w:rsid w:val="28FF5C0B"/>
    <w:rsid w:val="2967491A"/>
    <w:rsid w:val="296F0655"/>
    <w:rsid w:val="29B06E18"/>
    <w:rsid w:val="29F91C46"/>
    <w:rsid w:val="2A711C9D"/>
    <w:rsid w:val="2BBB0FC8"/>
    <w:rsid w:val="2C131AA0"/>
    <w:rsid w:val="2C2A3AB5"/>
    <w:rsid w:val="2CA6678F"/>
    <w:rsid w:val="2CD8040C"/>
    <w:rsid w:val="2D042661"/>
    <w:rsid w:val="2D0671E6"/>
    <w:rsid w:val="2D4D5DEC"/>
    <w:rsid w:val="2D7703D4"/>
    <w:rsid w:val="2E353CED"/>
    <w:rsid w:val="2E422C86"/>
    <w:rsid w:val="2E99083D"/>
    <w:rsid w:val="2EB771D0"/>
    <w:rsid w:val="2F174860"/>
    <w:rsid w:val="2F8F0777"/>
    <w:rsid w:val="2F9B0E28"/>
    <w:rsid w:val="30A626A4"/>
    <w:rsid w:val="30B707AF"/>
    <w:rsid w:val="30D378D6"/>
    <w:rsid w:val="30DA2A38"/>
    <w:rsid w:val="30FD4989"/>
    <w:rsid w:val="31502F1F"/>
    <w:rsid w:val="316A0AB7"/>
    <w:rsid w:val="31CA3AF9"/>
    <w:rsid w:val="323F2F4C"/>
    <w:rsid w:val="3383183D"/>
    <w:rsid w:val="347178CC"/>
    <w:rsid w:val="34756419"/>
    <w:rsid w:val="34841722"/>
    <w:rsid w:val="34D57CA2"/>
    <w:rsid w:val="34F7633C"/>
    <w:rsid w:val="352E4DC2"/>
    <w:rsid w:val="35547F26"/>
    <w:rsid w:val="35A76E58"/>
    <w:rsid w:val="364C0773"/>
    <w:rsid w:val="365057DC"/>
    <w:rsid w:val="36624880"/>
    <w:rsid w:val="371C6FD7"/>
    <w:rsid w:val="37681527"/>
    <w:rsid w:val="38345694"/>
    <w:rsid w:val="39190B35"/>
    <w:rsid w:val="39250F6D"/>
    <w:rsid w:val="39783396"/>
    <w:rsid w:val="398D39CB"/>
    <w:rsid w:val="399B6139"/>
    <w:rsid w:val="3A453DA2"/>
    <w:rsid w:val="3A75086F"/>
    <w:rsid w:val="3AA37BF1"/>
    <w:rsid w:val="3AB62A9C"/>
    <w:rsid w:val="3B077BA0"/>
    <w:rsid w:val="3B1151DF"/>
    <w:rsid w:val="3B593DDF"/>
    <w:rsid w:val="3B9D1CAA"/>
    <w:rsid w:val="3BC0361A"/>
    <w:rsid w:val="3D4C687D"/>
    <w:rsid w:val="3D894843"/>
    <w:rsid w:val="3E5F1699"/>
    <w:rsid w:val="3EAA6966"/>
    <w:rsid w:val="3F3E0588"/>
    <w:rsid w:val="3FE270DB"/>
    <w:rsid w:val="40014B4F"/>
    <w:rsid w:val="405678FB"/>
    <w:rsid w:val="40EC514E"/>
    <w:rsid w:val="41612ADE"/>
    <w:rsid w:val="42093879"/>
    <w:rsid w:val="423C0C4F"/>
    <w:rsid w:val="42A433D7"/>
    <w:rsid w:val="431B1B1B"/>
    <w:rsid w:val="43E106D4"/>
    <w:rsid w:val="44AC70B8"/>
    <w:rsid w:val="44D66627"/>
    <w:rsid w:val="451F649F"/>
    <w:rsid w:val="45241FE6"/>
    <w:rsid w:val="45917073"/>
    <w:rsid w:val="45E52C24"/>
    <w:rsid w:val="461C259E"/>
    <w:rsid w:val="461D4AEC"/>
    <w:rsid w:val="46E54B01"/>
    <w:rsid w:val="481239D1"/>
    <w:rsid w:val="4848241A"/>
    <w:rsid w:val="4929227B"/>
    <w:rsid w:val="49E55B97"/>
    <w:rsid w:val="4A547AF7"/>
    <w:rsid w:val="4ABF41AB"/>
    <w:rsid w:val="4AE3459A"/>
    <w:rsid w:val="4B822C73"/>
    <w:rsid w:val="4B88469C"/>
    <w:rsid w:val="4C1740C2"/>
    <w:rsid w:val="4C3A530E"/>
    <w:rsid w:val="4C653E36"/>
    <w:rsid w:val="4C900393"/>
    <w:rsid w:val="4D244895"/>
    <w:rsid w:val="4DD32461"/>
    <w:rsid w:val="4E4F2AE7"/>
    <w:rsid w:val="4EE63E1E"/>
    <w:rsid w:val="4F3231BE"/>
    <w:rsid w:val="4F3E3FFF"/>
    <w:rsid w:val="4F944E75"/>
    <w:rsid w:val="4FF857B2"/>
    <w:rsid w:val="50834AB8"/>
    <w:rsid w:val="50E82CED"/>
    <w:rsid w:val="51265A2B"/>
    <w:rsid w:val="51270F70"/>
    <w:rsid w:val="51BE4ACC"/>
    <w:rsid w:val="51D2577C"/>
    <w:rsid w:val="520A0199"/>
    <w:rsid w:val="527E5AF3"/>
    <w:rsid w:val="52F80A27"/>
    <w:rsid w:val="534760A2"/>
    <w:rsid w:val="534910CB"/>
    <w:rsid w:val="53B27A93"/>
    <w:rsid w:val="53B777C6"/>
    <w:rsid w:val="54415E92"/>
    <w:rsid w:val="54B51D2B"/>
    <w:rsid w:val="54C61F3C"/>
    <w:rsid w:val="55392180"/>
    <w:rsid w:val="55503174"/>
    <w:rsid w:val="5576297B"/>
    <w:rsid w:val="558307A0"/>
    <w:rsid w:val="55F5485B"/>
    <w:rsid w:val="560D2BDD"/>
    <w:rsid w:val="573C52D9"/>
    <w:rsid w:val="574D51FD"/>
    <w:rsid w:val="57747F9D"/>
    <w:rsid w:val="57A836B3"/>
    <w:rsid w:val="57CC1BA4"/>
    <w:rsid w:val="58736C02"/>
    <w:rsid w:val="58BC5236"/>
    <w:rsid w:val="590B0426"/>
    <w:rsid w:val="5B1D44DF"/>
    <w:rsid w:val="5B1E1614"/>
    <w:rsid w:val="5B8812AC"/>
    <w:rsid w:val="5BC547EA"/>
    <w:rsid w:val="5BFD3D7B"/>
    <w:rsid w:val="5C0D3F73"/>
    <w:rsid w:val="5C6E4F42"/>
    <w:rsid w:val="5CDD600A"/>
    <w:rsid w:val="5D004C58"/>
    <w:rsid w:val="5D962D18"/>
    <w:rsid w:val="5F2E6F78"/>
    <w:rsid w:val="5FD32DA7"/>
    <w:rsid w:val="5FF65C6E"/>
    <w:rsid w:val="60AE53F2"/>
    <w:rsid w:val="60C46327"/>
    <w:rsid w:val="61523364"/>
    <w:rsid w:val="62D37FB1"/>
    <w:rsid w:val="63610800"/>
    <w:rsid w:val="63632117"/>
    <w:rsid w:val="636E7C64"/>
    <w:rsid w:val="636F4F70"/>
    <w:rsid w:val="64184D4D"/>
    <w:rsid w:val="65492047"/>
    <w:rsid w:val="65933F33"/>
    <w:rsid w:val="659E20E7"/>
    <w:rsid w:val="65AD6236"/>
    <w:rsid w:val="65C01C15"/>
    <w:rsid w:val="65E85411"/>
    <w:rsid w:val="662750C6"/>
    <w:rsid w:val="66587C72"/>
    <w:rsid w:val="66FA2051"/>
    <w:rsid w:val="670C41AF"/>
    <w:rsid w:val="676750B9"/>
    <w:rsid w:val="67B440A1"/>
    <w:rsid w:val="685D61E2"/>
    <w:rsid w:val="688D618F"/>
    <w:rsid w:val="68A72459"/>
    <w:rsid w:val="68A94B4C"/>
    <w:rsid w:val="68DF1628"/>
    <w:rsid w:val="690031C6"/>
    <w:rsid w:val="69006FA7"/>
    <w:rsid w:val="694D1FDB"/>
    <w:rsid w:val="69C33AD2"/>
    <w:rsid w:val="69DE55BB"/>
    <w:rsid w:val="6A310C79"/>
    <w:rsid w:val="6AFE77B3"/>
    <w:rsid w:val="6B4A1ABB"/>
    <w:rsid w:val="6BB95700"/>
    <w:rsid w:val="6C394F0D"/>
    <w:rsid w:val="6DA2642D"/>
    <w:rsid w:val="6DDE0CA8"/>
    <w:rsid w:val="6E0876D2"/>
    <w:rsid w:val="6E5755F6"/>
    <w:rsid w:val="6EB47F63"/>
    <w:rsid w:val="6EE41607"/>
    <w:rsid w:val="6F2B7291"/>
    <w:rsid w:val="701D01BA"/>
    <w:rsid w:val="705215E6"/>
    <w:rsid w:val="70EC03FF"/>
    <w:rsid w:val="71406B7B"/>
    <w:rsid w:val="715A76B9"/>
    <w:rsid w:val="71763C20"/>
    <w:rsid w:val="720E4873"/>
    <w:rsid w:val="723540C1"/>
    <w:rsid w:val="726668AD"/>
    <w:rsid w:val="7276784C"/>
    <w:rsid w:val="73EA033A"/>
    <w:rsid w:val="74203E13"/>
    <w:rsid w:val="7481264E"/>
    <w:rsid w:val="750940E9"/>
    <w:rsid w:val="751D5143"/>
    <w:rsid w:val="752947A6"/>
    <w:rsid w:val="75884A54"/>
    <w:rsid w:val="75D60914"/>
    <w:rsid w:val="76B9339F"/>
    <w:rsid w:val="771E2539"/>
    <w:rsid w:val="77BE0360"/>
    <w:rsid w:val="77EF6C01"/>
    <w:rsid w:val="785F36EC"/>
    <w:rsid w:val="78B33F61"/>
    <w:rsid w:val="78C52D07"/>
    <w:rsid w:val="790D5483"/>
    <w:rsid w:val="79DE1BF3"/>
    <w:rsid w:val="7A225718"/>
    <w:rsid w:val="7AC345BA"/>
    <w:rsid w:val="7ACC12FA"/>
    <w:rsid w:val="7B233B36"/>
    <w:rsid w:val="7B3E6807"/>
    <w:rsid w:val="7C8C6717"/>
    <w:rsid w:val="7CDD65F9"/>
    <w:rsid w:val="7D066C42"/>
    <w:rsid w:val="7D3654C6"/>
    <w:rsid w:val="7D4635F6"/>
    <w:rsid w:val="7D84664C"/>
    <w:rsid w:val="7DE1572C"/>
    <w:rsid w:val="7E6B7DA6"/>
    <w:rsid w:val="7F547849"/>
    <w:rsid w:val="7F871B36"/>
    <w:rsid w:val="7FDD43F1"/>
  </w:rsids>
  <m:mathPr>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4">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5">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6">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7">
    <w:name w:val="heading 4"/>
    <w:basedOn w:val="1"/>
    <w:next w:val="1"/>
    <w:link w:val="45"/>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unhideWhenUsed/>
    <w:qFormat/>
    <w:uiPriority w:val="1"/>
  </w:style>
  <w:style w:type="table" w:default="1" w:styleId="33">
    <w:name w:val="Normal Table"/>
    <w:unhideWhenUsed/>
    <w:qFormat/>
    <w:uiPriority w:val="99"/>
    <w:tblPr>
      <w:tblCellMar>
        <w:top w:w="0" w:type="dxa"/>
        <w:left w:w="108" w:type="dxa"/>
        <w:bottom w:w="0" w:type="dxa"/>
        <w:right w:w="108" w:type="dxa"/>
      </w:tblCellMar>
    </w:tblPr>
  </w:style>
  <w:style w:type="paragraph" w:styleId="2">
    <w:name w:val="Body Text First Indent"/>
    <w:basedOn w:val="3"/>
    <w:unhideWhenUsed/>
    <w:uiPriority w:val="99"/>
    <w:pPr>
      <w:tabs>
        <w:tab w:val="left" w:pos="219"/>
        <w:tab w:val="left" w:pos="420"/>
        <w:tab w:val="left" w:pos="482"/>
        <w:tab w:val="left" w:pos="2183"/>
        <w:tab w:val="left" w:pos="3884"/>
        <w:tab w:val="left" w:pos="5585"/>
      </w:tabs>
      <w:ind w:firstLine="420" w:firstLineChars="100"/>
    </w:pPr>
  </w:style>
  <w:style w:type="paragraph" w:styleId="3">
    <w:name w:val="Body Text"/>
    <w:basedOn w:val="1"/>
    <w:link w:val="99"/>
    <w:qFormat/>
    <w:uiPriority w:val="0"/>
    <w:rPr>
      <w:rFonts w:ascii="仿宋_GB2312" w:eastAsia="仿宋_GB2312"/>
      <w:sz w:val="32"/>
      <w:lang w:val="zh-CN" w:eastAsia="zh-CN"/>
    </w:rPr>
  </w:style>
  <w:style w:type="paragraph" w:styleId="8">
    <w:name w:val="toc 7"/>
    <w:basedOn w:val="1"/>
    <w:next w:val="1"/>
    <w:qFormat/>
    <w:uiPriority w:val="0"/>
    <w:pPr>
      <w:ind w:left="1440"/>
      <w:jc w:val="left"/>
    </w:pPr>
    <w:rPr>
      <w:sz w:val="18"/>
      <w:szCs w:val="18"/>
    </w:rPr>
  </w:style>
  <w:style w:type="paragraph" w:styleId="9">
    <w:name w:val="caption"/>
    <w:basedOn w:val="1"/>
    <w:next w:val="1"/>
    <w:qFormat/>
    <w:uiPriority w:val="0"/>
    <w:pPr>
      <w:spacing w:before="152" w:after="160"/>
    </w:pPr>
    <w:rPr>
      <w:rFonts w:ascii="Arial" w:hAnsi="Arial" w:eastAsia="黑体" w:cs="Arial"/>
      <w:sz w:val="20"/>
    </w:rPr>
  </w:style>
  <w:style w:type="paragraph" w:styleId="10">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11">
    <w:name w:val="toa heading"/>
    <w:basedOn w:val="1"/>
    <w:next w:val="1"/>
    <w:qFormat/>
    <w:uiPriority w:val="0"/>
    <w:pPr>
      <w:spacing w:before="120"/>
    </w:pPr>
    <w:rPr>
      <w:rFonts w:ascii="Arial" w:hAnsi="Arial" w:cs="Arial"/>
      <w:sz w:val="24"/>
      <w:szCs w:val="24"/>
    </w:rPr>
  </w:style>
  <w:style w:type="paragraph" w:styleId="12">
    <w:name w:val="annotation text"/>
    <w:basedOn w:val="1"/>
    <w:link w:val="48"/>
    <w:unhideWhenUsed/>
    <w:qFormat/>
    <w:uiPriority w:val="0"/>
    <w:pPr>
      <w:jc w:val="left"/>
    </w:pPr>
  </w:style>
  <w:style w:type="paragraph" w:styleId="13">
    <w:name w:val="Body Text Indent"/>
    <w:basedOn w:val="1"/>
    <w:link w:val="91"/>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2"/>
    <w:next w:val="12"/>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4"/>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5"/>
    <w:qFormat/>
    <w:uiPriority w:val="0"/>
    <w:rPr>
      <w:rFonts w:ascii="Arial" w:hAnsi="Arial" w:eastAsia="黑体" w:cs="Times New Roman"/>
      <w:b/>
      <w:bCs/>
      <w:sz w:val="32"/>
      <w:szCs w:val="32"/>
      <w:lang w:val="zh-CN" w:eastAsia="zh-CN"/>
    </w:rPr>
  </w:style>
  <w:style w:type="character" w:customStyle="1" w:styleId="43">
    <w:name w:val="标题 3 字符"/>
    <w:basedOn w:val="35"/>
    <w:link w:val="6"/>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7"/>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2"/>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4"/>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10"/>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5"/>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6"/>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customStyle="1"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3"/>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7"/>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7">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9767</Words>
  <Characters>10205</Characters>
  <Lines>247</Lines>
  <Paragraphs>69</Paragraphs>
  <TotalTime>0</TotalTime>
  <ScaleCrop>false</ScaleCrop>
  <LinksUpToDate>false</LinksUpToDate>
  <CharactersWithSpaces>14430</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2025-03-14T16:55:24Z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