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济南发动机厂调涂水分烘干室改造技改项目</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济南发动机厂调涂水分烘干室改造技改项目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CGZX2025020132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 xml:space="preserve">济南发动机厂调涂水分烘干室改造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pPr>
              <w:pStyle w:val="17"/>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17860607157</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gaobo1@sinotruk.com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60</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300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w:t>
            </w: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招标方判定</w:t>
            </w:r>
            <w:r>
              <w:rPr>
                <w:rFonts w:hint="eastAsia" w:hAnsi="宋体" w:eastAsia="宋体" w:cs="宋体"/>
                <w:color w:val="000000"/>
                <w:sz w:val="24"/>
                <w:szCs w:val="24"/>
                <w:lang w:eastAsia="zh-CN"/>
              </w:rPr>
              <w:t>）</w:t>
            </w:r>
            <w:r>
              <w:rPr>
                <w:rFonts w:hint="eastAsia" w:hAnsi="宋体" w:eastAsia="宋体" w:cs="宋体"/>
                <w:color w:val="000000"/>
                <w:sz w:val="24"/>
                <w:szCs w:val="24"/>
              </w:rPr>
              <w:t>，</w:t>
            </w:r>
            <w:r>
              <w:rPr>
                <w:rFonts w:hint="eastAsia" w:hAnsi="宋体" w:eastAsia="宋体" w:cs="宋体"/>
                <w:color w:val="000000"/>
                <w:sz w:val="24"/>
                <w:szCs w:val="24"/>
                <w:lang w:val="en-US" w:eastAsia="zh-CN"/>
              </w:rPr>
              <w:t>业绩不少于三个（需出示合同）</w:t>
            </w:r>
            <w:r>
              <w:rPr>
                <w:rFonts w:hint="eastAsia" w:hAnsi="宋体" w:eastAsia="宋体" w:cs="宋体"/>
                <w:color w:val="000000"/>
                <w:sz w:val="24"/>
                <w:szCs w:val="24"/>
                <w:lang w:eastAsia="zh-CN"/>
              </w:rPr>
              <w:t>，</w:t>
            </w:r>
            <w:r>
              <w:rPr>
                <w:rFonts w:hint="eastAsia" w:hAnsi="宋体" w:eastAsia="宋体" w:cs="宋体"/>
                <w:color w:val="000000"/>
                <w:sz w:val="24"/>
                <w:szCs w:val="24"/>
              </w:rPr>
              <w:t>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7"/>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14.与招标人存在厉害关系可能影响招标公正性的法人、其他组织或者个人，不得参加投标。</w:t>
            </w:r>
          </w:p>
          <w:p>
            <w:pPr>
              <w:pStyle w:val="17"/>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15.本项目不接受代理投标。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14</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bookmarkStart w:id="144" w:name="_GoBack"/>
            <w:bookmarkEnd w:id="144"/>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3月14</w:t>
            </w:r>
            <w:r>
              <w:rPr>
                <w:rFonts w:hint="eastAsia" w:eastAsia="宋体" w:cs="宋体"/>
                <w:highlight w:val="yellow"/>
              </w:rPr>
              <w:t>日</w:t>
            </w:r>
            <w:r>
              <w:rPr>
                <w:rFonts w:hint="eastAsia" w:eastAsia="宋体" w:cs="宋体"/>
                <w:highlight w:val="yellow"/>
                <w:lang w:val="en-US" w:eastAsia="zh-CN"/>
              </w:rPr>
              <w:t>17时00分00秒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3月19</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3月14</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3月19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w:t>
            </w:r>
            <w:r>
              <w:rPr>
                <w:rFonts w:hint="eastAsia" w:ascii="宋体" w:hAnsi="宋体" w:eastAsia="宋体" w:cs="宋体"/>
                <w:b/>
                <w:bCs/>
                <w:color w:val="auto"/>
                <w:sz w:val="24"/>
                <w:szCs w:val="24"/>
                <w:highlight w:val="magenta"/>
                <w:lang w:val="en-US" w:eastAsia="zh-CN"/>
              </w:rPr>
              <w:t>综合评分最高者</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sz w:val="24"/>
                <w:szCs w:val="24"/>
                <w:highlight w:val="magenta"/>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50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7"/>
              <w:ind w:firstLine="480" w:firstLineChars="200"/>
              <w:rPr>
                <w:rFonts w:hint="eastAsia" w:hAnsi="宋体" w:eastAsia="宋体" w:cs="宋体"/>
                <w:color w:val="000000"/>
                <w:sz w:val="24"/>
                <w:szCs w:val="24"/>
              </w:rPr>
            </w:pPr>
            <w:r>
              <w:rPr>
                <w:rFonts w:hint="eastAsia" w:ascii="宋体" w:hAnsi="宋体" w:eastAsia="宋体" w:cs="宋体"/>
                <w:sz w:val="24"/>
                <w:szCs w:val="24"/>
                <w:highlight w:val="yellow"/>
              </w:rPr>
              <w:t>接续</w:t>
            </w:r>
            <w:r>
              <w:rPr>
                <w:rFonts w:hint="eastAsia" w:hAnsi="宋体" w:eastAsia="宋体" w:cs="宋体"/>
                <w:sz w:val="24"/>
                <w:szCs w:val="24"/>
                <w:highlight w:val="yellow"/>
                <w:u w:val="none"/>
                <w:shd w:val="clear" w:color="auto" w:fill="FFFFFF"/>
                <w:lang w:val="en-US" w:eastAsia="zh-CN"/>
              </w:rPr>
              <w:t>60</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章丘区济南市章丘区圣井镇重汽工业园济南发动机厂</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lang w:val="en-US" w:eastAsia="zh-CN"/>
              </w:rPr>
              <w:t>合同生效</w:t>
            </w:r>
            <w:r>
              <w:rPr>
                <w:rFonts w:hint="eastAsia" w:ascii="宋体" w:hAnsi="宋体" w:cs="宋体"/>
                <w:sz w:val="24"/>
                <w:szCs w:val="24"/>
              </w:rPr>
              <w:t>后，卖方开具金额为该合同设备价格</w:t>
            </w:r>
            <w:r>
              <w:rPr>
                <w:rFonts w:hint="eastAsia" w:ascii="宋体" w:hAnsi="宋体" w:cs="宋体"/>
                <w:sz w:val="24"/>
                <w:szCs w:val="24"/>
                <w:lang w:val="en-US" w:eastAsia="zh-CN"/>
              </w:rPr>
              <w:t>30</w:t>
            </w:r>
            <w:r>
              <w:rPr>
                <w:rFonts w:hint="eastAsia" w:ascii="宋体" w:hAnsi="宋体" w:cs="宋体"/>
                <w:sz w:val="24"/>
                <w:szCs w:val="24"/>
              </w:rPr>
              <w:t>%的增值税专用发票带</w:t>
            </w:r>
            <w:r>
              <w:rPr>
                <w:rFonts w:hint="eastAsia" w:ascii="宋体" w:hAnsi="宋体" w:cs="宋体"/>
                <w:sz w:val="24"/>
                <w:szCs w:val="24"/>
                <w:lang w:val="en-US" w:eastAsia="zh-CN"/>
              </w:rPr>
              <w:t>30</w:t>
            </w:r>
            <w:r>
              <w:rPr>
                <w:rFonts w:hint="eastAsia" w:ascii="宋体" w:hAnsi="宋体" w:cs="宋体"/>
                <w:sz w:val="24"/>
                <w:szCs w:val="24"/>
              </w:rPr>
              <w:t>%的收据（含复印件二份），经买方依照财务制度审核无误后30个工作日支付合同价款的</w:t>
            </w:r>
            <w:r>
              <w:rPr>
                <w:rFonts w:hint="eastAsia" w:ascii="宋体" w:hAnsi="宋体" w:cs="宋体"/>
                <w:sz w:val="24"/>
                <w:szCs w:val="24"/>
                <w:lang w:val="en-US" w:eastAsia="zh-CN"/>
              </w:rPr>
              <w:t>30</w:t>
            </w:r>
            <w:r>
              <w:rPr>
                <w:rFonts w:hint="eastAsia" w:ascii="宋体" w:hAnsi="宋体" w:cs="宋体"/>
                <w:sz w:val="24"/>
                <w:szCs w:val="24"/>
              </w:rPr>
              <w:t>%。</w:t>
            </w:r>
          </w:p>
          <w:p>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w:t>
            </w:r>
            <w:r>
              <w:rPr>
                <w:rFonts w:hint="eastAsia" w:ascii="宋体" w:hAnsi="宋体" w:cs="宋体"/>
                <w:sz w:val="24"/>
                <w:szCs w:val="24"/>
                <w:lang w:val="en-US" w:eastAsia="zh-CN"/>
              </w:rPr>
              <w:t>终</w:t>
            </w:r>
            <w:r>
              <w:rPr>
                <w:rFonts w:hint="eastAsia" w:ascii="宋体" w:hAnsi="宋体" w:cs="宋体"/>
                <w:sz w:val="24"/>
                <w:szCs w:val="24"/>
              </w:rPr>
              <w:t>验收合格交付使用后，卖方提交金额为合同价款</w:t>
            </w:r>
            <w:r>
              <w:rPr>
                <w:rFonts w:hint="eastAsia" w:ascii="宋体" w:hAnsi="宋体" w:cs="宋体"/>
                <w:sz w:val="24"/>
                <w:szCs w:val="24"/>
                <w:lang w:val="en-US" w:eastAsia="zh-CN"/>
              </w:rPr>
              <w:t>60</w:t>
            </w:r>
            <w:r>
              <w:rPr>
                <w:rFonts w:hint="eastAsia" w:ascii="宋体" w:hAnsi="宋体" w:cs="宋体"/>
                <w:sz w:val="24"/>
                <w:szCs w:val="24"/>
              </w:rPr>
              <w:t>%的收据并附带下列单据，经买方依照财务制度审核无误后30个工作日支付合同价款的</w:t>
            </w:r>
            <w:r>
              <w:rPr>
                <w:rFonts w:hint="eastAsia" w:ascii="宋体" w:hAnsi="宋体" w:cs="宋体"/>
                <w:sz w:val="24"/>
                <w:szCs w:val="24"/>
                <w:lang w:val="en-US" w:eastAsia="zh-CN"/>
              </w:rPr>
              <w:t>6</w:t>
            </w:r>
            <w:r>
              <w:rPr>
                <w:rFonts w:hint="eastAsia" w:ascii="宋体" w:hAnsi="宋体" w:cs="宋体"/>
                <w:sz w:val="24"/>
                <w:szCs w:val="24"/>
              </w:rPr>
              <w:t>0%。</w:t>
            </w:r>
          </w:p>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70</w:t>
            </w:r>
            <w:r>
              <w:rPr>
                <w:rFonts w:hint="eastAsia" w:ascii="宋体" w:hAnsi="宋体" w:cs="宋体"/>
                <w:sz w:val="24"/>
                <w:szCs w:val="24"/>
              </w:rPr>
              <w:t>%的增值税专用发票（含复印件二份），具体开票信息详见发票信息表，根据表中所列分别开具增值税发票。</w:t>
            </w:r>
          </w:p>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pStyle w:val="35"/>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85487"/>
      <w:bookmarkStart w:id="7" w:name="_Toc33266627"/>
      <w:bookmarkStart w:id="8" w:name="_Toc33265653"/>
      <w:bookmarkStart w:id="9" w:name="_Toc33267001"/>
      <w:bookmarkStart w:id="10" w:name="_Toc33266950"/>
      <w:bookmarkStart w:id="11" w:name="_Toc33266914"/>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5654"/>
      <w:bookmarkStart w:id="15" w:name="_Toc33265753"/>
      <w:bookmarkStart w:id="16" w:name="_Toc33285489"/>
      <w:bookmarkStart w:id="17" w:name="_Toc395116634"/>
      <w:bookmarkStart w:id="18" w:name="_Toc33266628"/>
      <w:bookmarkStart w:id="19" w:name="_Toc33267002"/>
      <w:bookmarkStart w:id="20" w:name="_Toc33266951"/>
      <w:bookmarkStart w:id="21" w:name="_Toc33266915"/>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w:t>
      </w:r>
      <w:r>
        <w:rPr>
          <w:rFonts w:hint="eastAsia" w:ascii="宋体" w:hAnsi="宋体" w:eastAsia="宋体" w:cs="宋体"/>
          <w:b/>
          <w:bCs/>
          <w:color w:val="auto"/>
          <w:sz w:val="24"/>
          <w:szCs w:val="24"/>
          <w:highlight w:val="magenta"/>
          <w:lang w:val="en-US" w:eastAsia="zh-CN"/>
        </w:rPr>
        <w:t>综合评分最高的投标方</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b/>
          <w:color w:val="auto"/>
          <w:sz w:val="24"/>
          <w:szCs w:val="24"/>
          <w:highlight w:val="magenta"/>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9"/>
      <w:bookmarkStart w:id="25" w:name="OLE_LINK26"/>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pPr>
        <w:pStyle w:val="17"/>
      </w:pPr>
    </w:p>
    <w:p>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济南发动机厂调涂水分烘干室改造技改项目</w:t>
      </w:r>
    </w:p>
    <w:p>
      <w:pPr>
        <w:pStyle w:val="17"/>
      </w:pPr>
    </w:p>
    <w:p>
      <w:pPr>
        <w:jc w:val="center"/>
        <w:rPr>
          <w:rFonts w:hint="eastAsia"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2月</w:t>
      </w:r>
    </w:p>
    <w:p>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14:ligatures w14:val="none"/>
        </w:rPr>
      </w:pPr>
      <w:bookmarkStart w:id="33" w:name="_Toc465187648"/>
      <w:bookmarkStart w:id="34" w:name="_Toc169605877"/>
      <w:r>
        <w:rPr>
          <w:rFonts w:hint="eastAsia" w:ascii="宋体" w:hAnsi="宋体" w:eastAsia="宋体" w:cs="Times New Roman"/>
          <w:b/>
          <w:bCs/>
          <w:kern w:val="44"/>
          <w:sz w:val="28"/>
          <w:szCs w:val="28"/>
          <w14:ligatures w14:val="none"/>
        </w:rPr>
        <w:t>第一章</w:t>
      </w:r>
      <w:r>
        <w:rPr>
          <w:rFonts w:ascii="宋体" w:hAnsi="宋体" w:eastAsia="宋体" w:cs="Times New Roman"/>
          <w:b/>
          <w:bCs/>
          <w:kern w:val="44"/>
          <w:sz w:val="28"/>
          <w:szCs w:val="28"/>
          <w14:ligatures w14:val="none"/>
        </w:rPr>
        <w:t xml:space="preserve">  </w:t>
      </w:r>
      <w:r>
        <w:rPr>
          <w:rFonts w:hint="eastAsia" w:ascii="宋体" w:hAnsi="宋体" w:eastAsia="宋体" w:cs="Times New Roman"/>
          <w:b/>
          <w:bCs/>
          <w:kern w:val="44"/>
          <w:sz w:val="28"/>
          <w:szCs w:val="28"/>
          <w14:ligatures w14:val="none"/>
        </w:rPr>
        <w:t>采购货物概况</w:t>
      </w:r>
    </w:p>
    <w:p>
      <w:pPr>
        <w:keepNext/>
        <w:keepLines/>
        <w:spacing w:before="120" w:after="120" w:line="480" w:lineRule="exact"/>
        <w:jc w:val="center"/>
        <w:outlineLvl w:val="2"/>
        <w:rPr>
          <w:rFonts w:ascii="Arial" w:hAnsi="Arial" w:eastAsia="宋体" w:cs="Times New Roman"/>
          <w:b/>
          <w:bCs/>
          <w:sz w:val="24"/>
          <w14:ligatures w14:val="none"/>
        </w:rPr>
      </w:pPr>
      <w:bookmarkStart w:id="35" w:name="_Toc169605878"/>
      <w:r>
        <w:rPr>
          <w:rFonts w:hint="eastAsia" w:ascii="Arial" w:hAnsi="Arial" w:eastAsia="宋体" w:cs="Times New Roman"/>
          <w:b/>
          <w:bCs/>
          <w:sz w:val="24"/>
          <w14:ligatures w14:val="none"/>
        </w:rPr>
        <w:t>第一节</w:t>
      </w:r>
      <w:r>
        <w:rPr>
          <w:rFonts w:ascii="Arial" w:hAnsi="Arial" w:eastAsia="宋体" w:cs="Times New Roman"/>
          <w:b/>
          <w:bCs/>
          <w:sz w:val="24"/>
          <w14:ligatures w14:val="none"/>
        </w:rPr>
        <w:t xml:space="preserve">  </w:t>
      </w:r>
      <w:r>
        <w:rPr>
          <w:rFonts w:hint="eastAsia" w:ascii="Arial" w:hAnsi="Arial" w:eastAsia="宋体" w:cs="Times New Roman"/>
          <w:b/>
          <w:bCs/>
          <w:sz w:val="24"/>
          <w14:ligatures w14:val="none"/>
        </w:rPr>
        <w:t>使用环境</w:t>
      </w:r>
      <w:bookmarkEnd w:id="35"/>
    </w:p>
    <w:p>
      <w:pPr>
        <w:spacing w:after="0" w:line="360" w:lineRule="auto"/>
        <w:jc w:val="both"/>
        <w:outlineLvl w:val="3"/>
        <w:rPr>
          <w:rFonts w:hint="eastAsia" w:ascii="宋体" w:hAnsi="宋体" w:eastAsia="宋体" w:cs="宋体"/>
          <w:sz w:val="24"/>
          <w:u w:val="single"/>
          <w:shd w:val="pct10" w:color="auto" w:fill="FFFFFF"/>
          <w:lang w:eastAsia="zh-CN"/>
          <w14:ligatures w14:val="none"/>
        </w:rPr>
      </w:pPr>
      <w:r>
        <w:rPr>
          <w:rFonts w:hint="eastAsia" w:ascii="宋体" w:hAnsi="宋体" w:eastAsia="宋体" w:cs="宋体"/>
          <w:sz w:val="24"/>
          <w14:ligatures w14:val="none"/>
        </w:rPr>
        <w:t>一、项目名称：</w:t>
      </w:r>
      <w:r>
        <w:rPr>
          <w:rFonts w:hint="eastAsia" w:ascii="宋体" w:hAnsi="宋体" w:eastAsia="宋体" w:cs="宋体"/>
          <w:sz w:val="24"/>
          <w:u w:val="single"/>
          <w14:ligatures w14:val="none"/>
        </w:rPr>
        <w:t>济南发动机厂调涂水分烘干室改造技改项目</w:t>
      </w:r>
    </w:p>
    <w:p>
      <w:pPr>
        <w:spacing w:after="0" w:line="360" w:lineRule="auto"/>
        <w:jc w:val="both"/>
        <w:outlineLvl w:val="3"/>
        <w:rPr>
          <w:rFonts w:hint="eastAsia" w:ascii="宋体" w:hAnsi="宋体" w:eastAsia="宋体" w:cs="宋体"/>
          <w:sz w:val="24"/>
          <w:szCs w:val="22"/>
          <w:u w:val="single"/>
          <w14:ligatures w14:val="none"/>
        </w:rPr>
      </w:pPr>
      <w:r>
        <w:rPr>
          <w:rFonts w:hint="eastAsia" w:ascii="宋体" w:hAnsi="宋体" w:eastAsia="宋体" w:cs="宋体"/>
          <w:sz w:val="24"/>
          <w14:ligatures w14:val="none"/>
        </w:rPr>
        <w:t>二、建设地点：</w:t>
      </w:r>
      <w:r>
        <w:rPr>
          <w:rFonts w:hint="eastAsia" w:ascii="宋体" w:hAnsi="宋体" w:eastAsia="宋体" w:cs="宋体"/>
          <w:color w:val="000000"/>
          <w:sz w:val="24"/>
          <w:u w:val="single"/>
          <w14:ligatures w14:val="none"/>
        </w:rPr>
        <w:t>章丘市圣井镇重汽工业园</w:t>
      </w:r>
    </w:p>
    <w:p>
      <w:pPr>
        <w:spacing w:after="0" w:line="360" w:lineRule="auto"/>
        <w:jc w:val="both"/>
        <w:outlineLvl w:val="3"/>
        <w:rPr>
          <w:rFonts w:hint="default" w:ascii="宋体" w:hAnsi="宋体" w:eastAsia="宋体" w:cs="宋体"/>
          <w:color w:val="000000"/>
          <w:sz w:val="24"/>
          <w:highlight w:val="yellow"/>
          <w:u w:val="single"/>
          <w:lang w:val="en-US" w:eastAsia="zh-CN"/>
          <w14:ligatures w14:val="none"/>
        </w:rPr>
      </w:pPr>
      <w:r>
        <w:rPr>
          <w:rFonts w:hint="eastAsia" w:ascii="宋体" w:hAnsi="宋体" w:eastAsia="宋体" w:cs="宋体"/>
          <w:sz w:val="24"/>
          <w14:ligatures w14:val="none"/>
        </w:rPr>
        <w:t>三、使用地点：</w:t>
      </w:r>
      <w:r>
        <w:rPr>
          <w:rFonts w:hint="eastAsia" w:ascii="宋体" w:hAnsi="宋体" w:eastAsia="宋体" w:cs="宋体"/>
          <w:color w:val="000000"/>
          <w:sz w:val="24"/>
          <w:u w:val="single"/>
          <w14:ligatures w14:val="none"/>
        </w:rPr>
        <w:t>中国重汽集团济南动力有限公司发动机厂</w:t>
      </w:r>
      <w:r>
        <w:rPr>
          <w:rFonts w:hint="eastAsia" w:ascii="宋体" w:hAnsi="宋体" w:eastAsia="宋体" w:cs="宋体"/>
          <w:color w:val="000000"/>
          <w:sz w:val="24"/>
          <w:u w:val="single"/>
          <w:lang w:val="en-US" w:eastAsia="zh-CN"/>
          <w14:ligatures w14:val="none"/>
        </w:rPr>
        <w:t>装调线</w:t>
      </w:r>
    </w:p>
    <w:p>
      <w:pPr>
        <w:spacing w:after="0" w:line="360" w:lineRule="auto"/>
        <w:jc w:val="both"/>
        <w:outlineLvl w:val="3"/>
        <w:rPr>
          <w:rFonts w:hint="eastAsia" w:ascii="宋体" w:hAnsi="宋体" w:eastAsia="宋体" w:cs="宋体"/>
          <w:sz w:val="24"/>
          <w14:ligatures w14:val="none"/>
        </w:rPr>
      </w:pPr>
      <w:r>
        <w:rPr>
          <w:rFonts w:hint="eastAsia" w:ascii="宋体" w:hAnsi="宋体" w:eastAsia="宋体" w:cs="宋体"/>
          <w:sz w:val="24"/>
          <w14:ligatures w14:val="none"/>
        </w:rPr>
        <w:t>四、使用地点区域自然环境：</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1.海拔高度：约500m。</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2.环境温度：最高40℃   最低-15℃。</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3.相对湿度：40%—95%。</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4.安装方式：室内。</w:t>
      </w:r>
    </w:p>
    <w:p>
      <w:pPr>
        <w:spacing w:after="0" w:line="360" w:lineRule="auto"/>
        <w:jc w:val="both"/>
        <w:rPr>
          <w:rFonts w:hint="eastAsia" w:ascii="宋体" w:hAnsi="宋体" w:eastAsia="宋体" w:cs="宋体"/>
          <w:sz w:val="24"/>
          <w14:ligatures w14:val="none"/>
        </w:rPr>
      </w:pPr>
      <w:r>
        <w:rPr>
          <w:rFonts w:hint="eastAsia" w:ascii="宋体" w:hAnsi="宋体" w:eastAsia="宋体" w:cs="宋体"/>
          <w:sz w:val="24"/>
          <w14:ligatures w14:val="none"/>
        </w:rPr>
        <w:t>五、使用地点区域环境条件：</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1.动力供给： 三相四线380VAC（+/-10%），50Hz（+/-1Hz）。</w:t>
      </w:r>
    </w:p>
    <w:p>
      <w:pPr>
        <w:keepNext/>
        <w:keepLines/>
        <w:spacing w:before="120" w:after="120" w:line="480" w:lineRule="exact"/>
        <w:jc w:val="center"/>
        <w:outlineLvl w:val="2"/>
        <w:rPr>
          <w:rFonts w:ascii="宋体" w:hAnsi="Arial" w:eastAsia="宋体" w:cs="Times New Roman"/>
          <w:b/>
          <w:bCs/>
          <w:sz w:val="24"/>
          <w14:ligatures w14:val="none"/>
        </w:rPr>
      </w:pPr>
      <w:r>
        <w:rPr>
          <w:rFonts w:hint="eastAsia" w:ascii="宋体" w:hAnsi="宋体" w:eastAsia="宋体" w:cs="Times New Roman"/>
          <w:b/>
          <w:bCs/>
          <w:sz w:val="24"/>
          <w14:ligatures w14:val="none"/>
        </w:rPr>
        <w:t>第二节</w:t>
      </w:r>
      <w:r>
        <w:rPr>
          <w:rFonts w:ascii="宋体" w:hAnsi="宋体" w:eastAsia="宋体" w:cs="Times New Roman"/>
          <w:b/>
          <w:bCs/>
          <w:sz w:val="24"/>
          <w14:ligatures w14:val="none"/>
        </w:rPr>
        <w:t xml:space="preserve">  </w:t>
      </w:r>
      <w:r>
        <w:rPr>
          <w:rFonts w:hint="eastAsia" w:ascii="宋体" w:hAnsi="宋体" w:eastAsia="宋体" w:cs="Times New Roman"/>
          <w:b/>
          <w:bCs/>
          <w:sz w:val="24"/>
          <w14:ligatures w14:val="none"/>
        </w:rPr>
        <w:t>采购货物概况</w:t>
      </w:r>
    </w:p>
    <w:p>
      <w:pPr>
        <w:spacing w:after="0" w:line="360" w:lineRule="auto"/>
        <w:jc w:val="both"/>
        <w:outlineLvl w:val="3"/>
        <w:rPr>
          <w:rFonts w:hint="eastAsia" w:ascii="等线" w:hAnsi="等线" w:eastAsia="等线" w:cs="Times New Roman"/>
          <w:sz w:val="21"/>
          <w:szCs w:val="22"/>
          <w14:ligatures w14:val="none"/>
        </w:rPr>
      </w:pPr>
      <w:r>
        <w:rPr>
          <w:rFonts w:hint="eastAsia" w:ascii="宋体" w:hAnsi="宋体" w:eastAsia="宋体" w:cs="宋体"/>
          <w:b/>
          <w:sz w:val="24"/>
          <w14:ligatures w14:val="none"/>
        </w:rPr>
        <w:t>一、货物名称：</w:t>
      </w:r>
      <w:r>
        <w:rPr>
          <w:rFonts w:hint="eastAsia" w:ascii="宋体" w:hAnsi="宋体" w:eastAsia="宋体" w:cs="宋体"/>
          <w:sz w:val="24"/>
          <w:szCs w:val="22"/>
          <w:u w:val="single"/>
          <w:lang w:val="en-US" w:eastAsia="zh-CN"/>
          <w14:ligatures w14:val="none"/>
        </w:rPr>
        <w:t>调涂水分烘干室设备</w:t>
      </w:r>
      <w:r>
        <w:rPr>
          <w:rFonts w:hint="eastAsia" w:ascii="宋体" w:hAnsi="宋体" w:eastAsia="宋体" w:cs="宋体"/>
          <w:sz w:val="24"/>
          <w14:ligatures w14:val="none"/>
        </w:rPr>
        <w:t>（详见下表）</w:t>
      </w:r>
    </w:p>
    <w:p>
      <w:pPr>
        <w:spacing w:after="0" w:line="360" w:lineRule="auto"/>
        <w:jc w:val="both"/>
        <w:outlineLvl w:val="3"/>
        <w:rPr>
          <w:rFonts w:hint="eastAsia" w:ascii="宋体" w:hAnsi="宋体" w:eastAsia="宋体" w:cs="宋体"/>
          <w:sz w:val="24"/>
          <w14:ligatures w14:val="none"/>
        </w:rPr>
      </w:pPr>
      <w:r>
        <w:rPr>
          <w:rFonts w:hint="eastAsia" w:ascii="宋体" w:hAnsi="宋体" w:eastAsia="宋体" w:cs="宋体"/>
          <w:b/>
          <w:sz w:val="24"/>
          <w14:ligatures w14:val="none"/>
        </w:rPr>
        <w:t>二、货物数量：</w:t>
      </w:r>
      <w:r>
        <w:rPr>
          <w:rFonts w:hint="eastAsia" w:ascii="宋体" w:hAnsi="宋体" w:eastAsia="宋体" w:cs="宋体"/>
          <w:b/>
          <w:sz w:val="24"/>
          <w:u w:val="single"/>
          <w14:ligatures w14:val="none"/>
        </w:rPr>
        <w:t xml:space="preserve"> </w:t>
      </w:r>
      <w:r>
        <w:rPr>
          <w:rFonts w:hint="eastAsia" w:ascii="宋体" w:hAnsi="宋体" w:eastAsia="宋体" w:cs="宋体"/>
          <w:b/>
          <w:sz w:val="24"/>
          <w:u w:val="single"/>
          <w:lang w:val="en-US" w:eastAsia="zh-CN"/>
          <w14:ligatures w14:val="none"/>
        </w:rPr>
        <w:t>1</w:t>
      </w:r>
      <w:r>
        <w:rPr>
          <w:rFonts w:hint="eastAsia" w:ascii="宋体" w:hAnsi="宋体" w:eastAsia="宋体" w:cs="宋体"/>
          <w:b/>
          <w:sz w:val="24"/>
          <w:u w:val="single"/>
          <w14:ligatures w14:val="none"/>
        </w:rPr>
        <w:t xml:space="preserve">套 </w:t>
      </w:r>
    </w:p>
    <w:p>
      <w:pPr>
        <w:spacing w:after="0" w:line="360" w:lineRule="auto"/>
        <w:jc w:val="both"/>
        <w:outlineLvl w:val="3"/>
        <w:rPr>
          <w:rFonts w:hint="eastAsia" w:ascii="宋体" w:hAnsi="宋体" w:eastAsia="宋体" w:cs="宋体"/>
          <w:b/>
          <w:sz w:val="24"/>
          <w14:ligatures w14:val="none"/>
        </w:rPr>
      </w:pPr>
      <w:r>
        <w:rPr>
          <w:rFonts w:hint="eastAsia" w:ascii="宋体" w:hAnsi="宋体" w:eastAsia="宋体" w:cs="宋体"/>
          <w:b/>
          <w:sz w:val="24"/>
          <w14:ligatures w14:val="none"/>
        </w:rPr>
        <w:t>三、分投分中：不允许</w:t>
      </w:r>
    </w:p>
    <w:p>
      <w:pPr>
        <w:spacing w:after="0" w:line="360" w:lineRule="auto"/>
        <w:jc w:val="both"/>
        <w:outlineLvl w:val="3"/>
        <w:rPr>
          <w:rFonts w:hint="eastAsia" w:ascii="宋体" w:hAnsi="宋体" w:eastAsia="宋体" w:cs="宋体"/>
          <w:b/>
          <w:sz w:val="24"/>
          <w14:ligatures w14:val="none"/>
        </w:rPr>
      </w:pPr>
      <w:r>
        <w:rPr>
          <w:rFonts w:hint="eastAsia" w:ascii="宋体" w:hAnsi="宋体" w:eastAsia="宋体" w:cs="宋体"/>
          <w:b/>
          <w:sz w:val="24"/>
          <w14:ligatures w14:val="none"/>
        </w:rPr>
        <w:t>四、</w:t>
      </w:r>
      <w:r>
        <w:rPr>
          <w:rFonts w:hint="eastAsia" w:ascii="宋体" w:hAnsi="宋体" w:eastAsia="宋体" w:cs="宋体"/>
          <w:b/>
          <w:sz w:val="24"/>
          <w:lang w:val="en-US" w:eastAsia="zh-CN"/>
          <w14:ligatures w14:val="none"/>
        </w:rPr>
        <w:t>调涂水分烘干室</w:t>
      </w:r>
      <w:r>
        <w:rPr>
          <w:rFonts w:hint="eastAsia" w:ascii="宋体" w:hAnsi="宋体" w:eastAsia="宋体" w:cs="宋体"/>
          <w:b/>
          <w:sz w:val="24"/>
          <w14:ligatures w14:val="none"/>
        </w:rPr>
        <w:t>改造主要构成一览表：</w:t>
      </w:r>
    </w:p>
    <w:p>
      <w:pPr>
        <w:spacing w:after="0" w:line="240" w:lineRule="auto"/>
        <w:jc w:val="center"/>
        <w:rPr>
          <w:rFonts w:hint="eastAsia" w:ascii="宋体" w:hAnsi="宋体" w:eastAsia="宋体" w:cs="宋体"/>
          <w:sz w:val="24"/>
          <w14:ligatures w14:val="none"/>
        </w:rPr>
      </w:pPr>
      <w:r>
        <w:rPr>
          <w:rFonts w:hint="eastAsia" w:ascii="宋体" w:hAnsi="宋体" w:eastAsia="宋体" w:cs="宋体"/>
          <w:color w:val="000000"/>
          <w:sz w:val="24"/>
          <w14:ligatures w14:val="none"/>
        </w:rPr>
        <w:t>采购货物主要构成</w:t>
      </w:r>
      <w:r>
        <w:rPr>
          <w:rFonts w:hint="eastAsia" w:ascii="宋体" w:hAnsi="宋体" w:eastAsia="宋体" w:cs="宋体"/>
          <w:sz w:val="24"/>
          <w14:ligatures w14:val="none"/>
        </w:rPr>
        <w:t>一览表：</w:t>
      </w:r>
    </w:p>
    <w:p>
      <w:pPr>
        <w:spacing w:after="0" w:line="240" w:lineRule="auto"/>
        <w:jc w:val="center"/>
        <w:rPr>
          <w:rFonts w:hint="eastAsia" w:ascii="宋体" w:hAnsi="宋体" w:eastAsia="宋体" w:cs="宋体"/>
          <w:sz w:val="24"/>
          <w14:ligatures w14:val="none"/>
        </w:rPr>
      </w:pPr>
      <w:r>
        <w:rPr>
          <w:rFonts w:hint="eastAsia" w:ascii="宋体" w:hAnsi="宋体" w:eastAsia="宋体" w:cs="宋体"/>
          <w:sz w:val="24"/>
          <w14:ligatures w14:val="none"/>
        </w:rPr>
        <w:t>（注：投标时需注明各部分为本地供货或原装进口）</w:t>
      </w:r>
    </w:p>
    <w:tbl>
      <w:tblPr>
        <w:tblStyle w:val="36"/>
        <w:tblW w:w="4997" w:type="pct"/>
        <w:tblInd w:w="0" w:type="dxa"/>
        <w:tblLayout w:type="autofit"/>
        <w:tblCellMar>
          <w:top w:w="0" w:type="dxa"/>
          <w:left w:w="51" w:type="dxa"/>
          <w:bottom w:w="0" w:type="dxa"/>
          <w:right w:w="51" w:type="dxa"/>
        </w:tblCellMar>
      </w:tblPr>
      <w:tblGrid>
        <w:gridCol w:w="609"/>
        <w:gridCol w:w="1323"/>
        <w:gridCol w:w="1099"/>
        <w:gridCol w:w="840"/>
        <w:gridCol w:w="840"/>
        <w:gridCol w:w="2644"/>
        <w:gridCol w:w="1132"/>
        <w:gridCol w:w="679"/>
      </w:tblGrid>
      <w:tr>
        <w:tblPrEx>
          <w:tblCellMar>
            <w:top w:w="0" w:type="dxa"/>
            <w:left w:w="51" w:type="dxa"/>
            <w:bottom w:w="0" w:type="dxa"/>
            <w:right w:w="51" w:type="dxa"/>
          </w:tblCellMar>
        </w:tblPrEx>
        <w:trPr>
          <w:trHeight w:val="525"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序号</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名称</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型号规格</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单位</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数量</w:t>
            </w:r>
          </w:p>
        </w:tc>
        <w:tc>
          <w:tcPr>
            <w:tcW w:w="14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安装地点/服务对象</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供货方式</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备注</w:t>
            </w:r>
          </w:p>
        </w:tc>
      </w:tr>
      <w:tr>
        <w:tblPrEx>
          <w:tblCellMar>
            <w:top w:w="0" w:type="dxa"/>
            <w:left w:w="51" w:type="dxa"/>
            <w:bottom w:w="0" w:type="dxa"/>
            <w:right w:w="51" w:type="dxa"/>
          </w:tblCellMar>
        </w:tblPrEx>
        <w:trPr>
          <w:trHeight w:val="540" w:hRule="atLeast"/>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1</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宋体" w:cs="宋体"/>
                <w:sz w:val="24"/>
                <w:szCs w:val="22"/>
                <w:u w:val="none"/>
                <w:lang w:val="en-US" w:eastAsia="zh-CN"/>
                <w14:ligatures w14:val="none"/>
              </w:rPr>
              <w:t>调涂水分烘干室</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等线" w:cs="宋体"/>
                <w:color w:val="000000"/>
                <w:sz w:val="21"/>
                <w:szCs w:val="21"/>
                <w:lang w:eastAsia="zh-CN"/>
                <w14:ligatures w14:val="none"/>
              </w:rPr>
            </w:pPr>
            <w:r>
              <w:rPr>
                <w:rFonts w:hint="eastAsia" w:ascii="宋体" w:hAnsi="宋体" w:eastAsia="等线" w:cs="宋体"/>
                <w:color w:val="000000"/>
                <w:kern w:val="0"/>
                <w:sz w:val="21"/>
                <w:szCs w:val="21"/>
                <w:lang w:val="en-US" w:eastAsia="zh-CN" w:bidi="ar"/>
                <w14:ligatures w14:val="none"/>
              </w:rPr>
              <w:t>1</w:t>
            </w:r>
          </w:p>
        </w:tc>
        <w:tc>
          <w:tcPr>
            <w:tcW w:w="14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交钥匙</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r>
    </w:tbl>
    <w:p>
      <w:pPr>
        <w:overflowPunct w:val="0"/>
        <w:spacing w:after="0" w:line="360" w:lineRule="auto"/>
        <w:jc w:val="both"/>
        <w:rPr>
          <w:rFonts w:hint="eastAsia" w:ascii="宋体" w:hAnsi="宋体" w:eastAsia="宋体" w:cs="宋体"/>
          <w:sz w:val="21"/>
          <w:szCs w:val="21"/>
          <w14:ligatures w14:val="none"/>
        </w:rPr>
      </w:pPr>
      <w:r>
        <w:rPr>
          <w:rFonts w:hint="eastAsia" w:ascii="宋体" w:hAnsi="宋体" w:eastAsia="宋体" w:cs="宋体"/>
          <w:sz w:val="21"/>
          <w:szCs w:val="21"/>
          <w14:ligatures w14:val="none"/>
        </w:rPr>
        <w:t>备注：</w:t>
      </w:r>
      <w:r>
        <w:rPr>
          <w:rFonts w:ascii="宋体" w:hAnsi="宋体" w:eastAsia="宋体" w:cs="宋体"/>
          <w:sz w:val="21"/>
          <w:szCs w:val="21"/>
          <w14:ligatures w14:val="none"/>
        </w:rPr>
        <w:t>①</w:t>
      </w:r>
      <w:r>
        <w:rPr>
          <w:rFonts w:hint="eastAsia" w:ascii="宋体" w:hAnsi="宋体" w:eastAsia="宋体" w:cs="宋体"/>
          <w:sz w:val="21"/>
          <w:szCs w:val="21"/>
          <w14:ligatures w14:val="none"/>
        </w:rPr>
        <w:t xml:space="preserve"> 本表所列采购货物仅为货物的主要构成部分，应配套供货以及招标方所列其它货物和服务，请投标方认真阅读“供货范围”。若有异议，不管是多么微小，都应在投标文件“商务偏离”章节中予以详细说明。</w:t>
      </w:r>
    </w:p>
    <w:p>
      <w:pPr>
        <w:overflowPunct w:val="0"/>
        <w:spacing w:after="0" w:line="360" w:lineRule="auto"/>
        <w:ind w:firstLine="525" w:firstLineChars="250"/>
        <w:jc w:val="both"/>
        <w:outlineLvl w:val="3"/>
        <w:rPr>
          <w:rFonts w:hint="eastAsia" w:ascii="宋体" w:hAnsi="宋体" w:eastAsia="宋体" w:cs="宋体"/>
          <w:sz w:val="24"/>
          <w14:ligatures w14:val="none"/>
        </w:rPr>
      </w:pPr>
      <w:r>
        <w:rPr>
          <w:rFonts w:ascii="宋体" w:hAnsi="宋体" w:eastAsia="宋体" w:cs="宋体"/>
          <w:sz w:val="21"/>
          <w:szCs w:val="21"/>
          <w14:ligatures w14:val="none"/>
        </w:rPr>
        <w:t>②</w:t>
      </w:r>
      <w:r>
        <w:rPr>
          <w:rFonts w:hint="eastAsia" w:ascii="宋体" w:hAnsi="宋体" w:eastAsia="宋体" w:cs="宋体"/>
          <w:sz w:val="21"/>
          <w:szCs w:val="21"/>
          <w14:ligatures w14:val="none"/>
        </w:rPr>
        <w:t xml:space="preserve"> 本表“供货方式”指：交钥匙方式——包括制造、运输、定点卸货、安装、调试和协助验收以及约定培训等。</w:t>
      </w:r>
    </w:p>
    <w:p>
      <w:pPr>
        <w:overflowPunct w:val="0"/>
        <w:spacing w:after="0" w:line="360" w:lineRule="auto"/>
        <w:jc w:val="both"/>
        <w:outlineLvl w:val="3"/>
        <w:rPr>
          <w:rFonts w:hint="eastAsia" w:ascii="宋体" w:hAnsi="宋体" w:eastAsia="宋体" w:cs="宋体"/>
          <w:b/>
          <w:sz w:val="24"/>
          <w14:ligatures w14:val="none"/>
        </w:rPr>
      </w:pPr>
      <w:r>
        <w:rPr>
          <w:rFonts w:hint="eastAsia" w:ascii="宋体" w:hAnsi="宋体" w:eastAsia="宋体" w:cs="宋体"/>
          <w:b/>
          <w:sz w:val="24"/>
          <w14:ligatures w14:val="none"/>
        </w:rPr>
        <w:t>五、采购货物特别说明</w:t>
      </w:r>
    </w:p>
    <w:p>
      <w:pPr>
        <w:overflowPunct w:val="0"/>
        <w:spacing w:after="0" w:line="360" w:lineRule="auto"/>
        <w:ind w:firstLine="482" w:firstLineChars="200"/>
        <w:jc w:val="both"/>
        <w:outlineLvl w:val="3"/>
        <w:rPr>
          <w:rFonts w:hint="eastAsia" w:ascii="宋体" w:hAnsi="宋体" w:eastAsia="宋体" w:cs="宋体"/>
          <w:b/>
          <w:sz w:val="24"/>
          <w14:ligatures w14:val="none"/>
        </w:rPr>
      </w:pPr>
      <w:bookmarkStart w:id="36" w:name="_Hlk164783987"/>
      <w:r>
        <w:rPr>
          <w:rFonts w:hint="eastAsia" w:ascii="宋体" w:hAnsi="宋体" w:eastAsia="宋体" w:cs="宋体"/>
          <w:b/>
          <w:sz w:val="24"/>
          <w14:ligatures w14:val="none"/>
        </w:rPr>
        <w:t>本项目关键组成部分必须按照买方提供的品牌要求配置，否则因效用不达标造成的时间、经济损失由卖方承担。详见下表：</w:t>
      </w:r>
    </w:p>
    <w:tbl>
      <w:tblPr>
        <w:tblStyle w:val="3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06"/>
        <w:gridCol w:w="2053"/>
        <w:gridCol w:w="6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b/>
                <w:bCs/>
                <w:color w:val="000000"/>
                <w:sz w:val="18"/>
                <w:szCs w:val="18"/>
                <w14:ligatures w14:val="none"/>
              </w:rPr>
            </w:pPr>
            <w:r>
              <w:rPr>
                <w:rFonts w:hint="eastAsia" w:ascii="宋体" w:hAnsi="宋体" w:eastAsia="宋体" w:cs="宋体"/>
                <w:b/>
                <w:bCs/>
                <w:color w:val="000000"/>
                <w:sz w:val="18"/>
                <w:szCs w:val="18"/>
                <w14:ligatures w14:val="none"/>
              </w:rPr>
              <w:t>序号</w:t>
            </w:r>
          </w:p>
        </w:tc>
        <w:tc>
          <w:tcPr>
            <w:tcW w:w="1120" w:type="pct"/>
            <w:vAlign w:val="center"/>
          </w:tcPr>
          <w:p>
            <w:pPr>
              <w:overflowPunct w:val="0"/>
              <w:snapToGrid w:val="0"/>
              <w:spacing w:after="0" w:line="240" w:lineRule="auto"/>
              <w:jc w:val="center"/>
              <w:rPr>
                <w:rFonts w:hint="eastAsia" w:ascii="宋体" w:hAnsi="宋体" w:eastAsia="宋体" w:cs="宋体"/>
                <w:b/>
                <w:bCs/>
                <w:color w:val="000000"/>
                <w:sz w:val="18"/>
                <w:szCs w:val="18"/>
                <w14:ligatures w14:val="none"/>
              </w:rPr>
            </w:pPr>
            <w:r>
              <w:rPr>
                <w:rFonts w:hint="eastAsia" w:ascii="宋体" w:hAnsi="宋体" w:eastAsia="宋体" w:cs="宋体"/>
                <w:b/>
                <w:bCs/>
                <w:color w:val="000000"/>
                <w:sz w:val="18"/>
                <w:szCs w:val="18"/>
                <w14:ligatures w14:val="none"/>
              </w:rPr>
              <w:t>名     称</w:t>
            </w:r>
          </w:p>
        </w:tc>
        <w:tc>
          <w:tcPr>
            <w:tcW w:w="3494" w:type="pct"/>
            <w:vAlign w:val="center"/>
          </w:tcPr>
          <w:p>
            <w:pPr>
              <w:overflowPunct w:val="0"/>
              <w:snapToGrid w:val="0"/>
              <w:spacing w:after="0" w:line="240" w:lineRule="auto"/>
              <w:jc w:val="center"/>
              <w:rPr>
                <w:rFonts w:hint="eastAsia" w:ascii="宋体" w:hAnsi="宋体" w:eastAsia="宋体" w:cs="宋体"/>
                <w:b/>
                <w:bCs/>
                <w:color w:val="000000"/>
                <w:sz w:val="18"/>
                <w:szCs w:val="18"/>
                <w14:ligatures w14:val="none"/>
              </w:rPr>
            </w:pPr>
            <w:r>
              <w:rPr>
                <w:rFonts w:hint="eastAsia" w:ascii="宋体" w:hAnsi="宋体" w:eastAsia="宋体" w:cs="宋体"/>
                <w:b/>
                <w:bCs/>
                <w:color w:val="000000"/>
                <w:sz w:val="18"/>
                <w:szCs w:val="18"/>
                <w14:ligatures w14: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p>
        </w:tc>
        <w:tc>
          <w:tcPr>
            <w:tcW w:w="1120" w:type="pct"/>
            <w:vAlign w:val="center"/>
          </w:tcPr>
          <w:p>
            <w:pPr>
              <w:overflowPunct w:val="0"/>
              <w:snapToGrid w:val="0"/>
              <w:spacing w:after="0" w:line="240" w:lineRule="auto"/>
              <w:jc w:val="both"/>
              <w:rPr>
                <w:rFonts w:hint="eastAsia" w:ascii="宋体" w:hAnsi="宋体" w:eastAsia="宋体" w:cs="宋体"/>
                <w:color w:val="000000"/>
                <w:sz w:val="18"/>
                <w:szCs w:val="18"/>
                <w:lang w:eastAsia="zh-CN"/>
                <w14:ligatures w14:val="none"/>
              </w:rPr>
            </w:pPr>
            <w:r>
              <w:rPr>
                <w:rFonts w:hint="eastAsia" w:ascii="宋体" w:hAnsi="宋体" w:eastAsia="宋体" w:cs="宋体"/>
                <w:color w:val="000000"/>
                <w:sz w:val="18"/>
                <w:szCs w:val="18"/>
                <w:lang w:val="en-US" w:eastAsia="zh-CN"/>
                <w14:ligatures w14:val="none"/>
              </w:rPr>
              <w:t>燃烧器</w:t>
            </w:r>
          </w:p>
        </w:tc>
        <w:tc>
          <w:tcPr>
            <w:tcW w:w="3494" w:type="pct"/>
            <w:vAlign w:val="center"/>
          </w:tcPr>
          <w:p>
            <w:pPr>
              <w:overflowPunct w:val="0"/>
              <w:snapToGrid w:val="0"/>
              <w:spacing w:after="0" w:line="240" w:lineRule="auto"/>
              <w:jc w:val="both"/>
              <w:rPr>
                <w:rFonts w:hint="default" w:ascii="宋体" w:hAnsi="宋体" w:eastAsia="宋体" w:cs="宋体"/>
                <w:color w:val="000000"/>
                <w:sz w:val="18"/>
                <w:szCs w:val="18"/>
                <w:lang w:val="en-US" w:eastAsia="zh-CN"/>
                <w14:ligatures w14:val="none"/>
              </w:rPr>
            </w:pPr>
            <w:r>
              <w:rPr>
                <w:rFonts w:hint="eastAsia" w:ascii="宋体" w:hAnsi="宋体" w:eastAsia="宋体" w:cs="宋体"/>
                <w:color w:val="000000"/>
                <w:sz w:val="18"/>
                <w:szCs w:val="18"/>
                <w:lang w:val="en-US" w:eastAsia="zh-CN"/>
                <w14:ligatures w14:val="none"/>
              </w:rPr>
              <w:t>利雅路、百得、威索</w:t>
            </w:r>
            <w:r>
              <w:rPr>
                <w:rFonts w:hint="eastAsia" w:ascii="宋体" w:hAnsi="宋体" w:eastAsia="宋体" w:cs="宋体"/>
                <w:color w:val="000000"/>
                <w:sz w:val="18"/>
                <w:szCs w:val="18"/>
                <w14:ligatures w14:val="none"/>
              </w:rPr>
              <w:t>等同档次</w:t>
            </w:r>
            <w:r>
              <w:rPr>
                <w:rFonts w:hint="eastAsia" w:ascii="宋体" w:hAnsi="宋体" w:eastAsia="宋体" w:cs="宋体"/>
                <w:color w:val="000000"/>
                <w:sz w:val="18"/>
                <w:szCs w:val="18"/>
                <w:highlight w:val="none"/>
                <w:lang w:val="en-US" w:eastAsia="zh-CN"/>
                <w14:ligatures w14:val="none"/>
              </w:rPr>
              <w:t>及以上</w:t>
            </w:r>
            <w:r>
              <w:rPr>
                <w:rFonts w:hint="eastAsia" w:ascii="宋体" w:hAnsi="宋体" w:eastAsia="宋体" w:cs="宋体"/>
                <w:color w:val="000000"/>
                <w:sz w:val="18"/>
                <w:szCs w:val="18"/>
                <w14:ligatures w14: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2</w:t>
            </w:r>
          </w:p>
        </w:tc>
        <w:tc>
          <w:tcPr>
            <w:tcW w:w="1120"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低压电器</w:t>
            </w:r>
          </w:p>
        </w:tc>
        <w:tc>
          <w:tcPr>
            <w:tcW w:w="3494"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西门子、施耐德或同档次</w:t>
            </w:r>
            <w:r>
              <w:rPr>
                <w:rFonts w:hint="eastAsia" w:ascii="宋体" w:hAnsi="宋体" w:eastAsia="宋体" w:cs="宋体"/>
                <w:color w:val="000000"/>
                <w:sz w:val="18"/>
                <w:szCs w:val="18"/>
                <w:highlight w:val="none"/>
                <w:lang w:val="en-US" w:eastAsia="zh-CN"/>
                <w14:ligatures w14:val="none"/>
              </w:rPr>
              <w:t>及以上</w:t>
            </w:r>
            <w:r>
              <w:rPr>
                <w:rFonts w:hint="eastAsia" w:ascii="宋体" w:hAnsi="宋体" w:eastAsia="宋体" w:cs="宋体"/>
                <w:color w:val="000000"/>
                <w:sz w:val="18"/>
                <w:szCs w:val="18"/>
                <w14:ligatures w14: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3</w:t>
            </w:r>
          </w:p>
        </w:tc>
        <w:tc>
          <w:tcPr>
            <w:tcW w:w="1120"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按钮盒/分线盒/电气柜</w:t>
            </w:r>
          </w:p>
        </w:tc>
        <w:tc>
          <w:tcPr>
            <w:tcW w:w="3494"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要求防护等级达IP65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color w:val="000000"/>
                <w:sz w:val="18"/>
                <w:szCs w:val="18"/>
                <w:lang w:eastAsia="zh-CN"/>
                <w14:ligatures w14:val="none"/>
              </w:rPr>
            </w:pPr>
            <w:r>
              <w:rPr>
                <w:rFonts w:hint="eastAsia" w:ascii="宋体" w:hAnsi="宋体" w:eastAsia="宋体" w:cs="宋体"/>
                <w:color w:val="000000"/>
                <w:sz w:val="18"/>
                <w:szCs w:val="18"/>
                <w:lang w:val="en-US" w:eastAsia="zh-CN"/>
                <w14:ligatures w14:val="none"/>
              </w:rPr>
              <w:t>4</w:t>
            </w:r>
          </w:p>
        </w:tc>
        <w:tc>
          <w:tcPr>
            <w:tcW w:w="1120"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变频器</w:t>
            </w:r>
          </w:p>
        </w:tc>
        <w:tc>
          <w:tcPr>
            <w:tcW w:w="3494"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西门子、力士乐、SEW等同档次</w:t>
            </w:r>
            <w:r>
              <w:rPr>
                <w:rFonts w:hint="eastAsia" w:ascii="宋体" w:hAnsi="宋体" w:eastAsia="宋体" w:cs="宋体"/>
                <w:color w:val="000000"/>
                <w:sz w:val="18"/>
                <w:szCs w:val="18"/>
                <w:highlight w:val="none"/>
                <w:lang w:val="en-US" w:eastAsia="zh-CN"/>
                <w14:ligatures w14:val="none"/>
              </w:rPr>
              <w:t>及以上</w:t>
            </w:r>
            <w:r>
              <w:rPr>
                <w:rFonts w:hint="eastAsia" w:ascii="宋体" w:hAnsi="宋体" w:eastAsia="宋体" w:cs="宋体"/>
                <w:color w:val="000000"/>
                <w:sz w:val="18"/>
                <w:szCs w:val="18"/>
                <w14:ligatures w14: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color w:val="000000"/>
                <w:sz w:val="18"/>
                <w:szCs w:val="18"/>
                <w:lang w:eastAsia="zh-CN"/>
                <w14:ligatures w14:val="none"/>
              </w:rPr>
            </w:pPr>
            <w:r>
              <w:rPr>
                <w:rFonts w:hint="eastAsia" w:ascii="宋体" w:hAnsi="宋体" w:eastAsia="宋体" w:cs="宋体"/>
                <w:color w:val="000000"/>
                <w:sz w:val="18"/>
                <w:szCs w:val="18"/>
                <w:lang w:val="en-US" w:eastAsia="zh-CN"/>
                <w14:ligatures w14:val="none"/>
              </w:rPr>
              <w:t>5</w:t>
            </w:r>
          </w:p>
        </w:tc>
        <w:tc>
          <w:tcPr>
            <w:tcW w:w="1120"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气动元件</w:t>
            </w:r>
          </w:p>
        </w:tc>
        <w:tc>
          <w:tcPr>
            <w:tcW w:w="3494"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festo、SMC等同档次</w:t>
            </w:r>
            <w:r>
              <w:rPr>
                <w:rFonts w:hint="eastAsia" w:ascii="宋体" w:hAnsi="宋体" w:eastAsia="宋体" w:cs="宋体"/>
                <w:color w:val="000000"/>
                <w:sz w:val="18"/>
                <w:szCs w:val="18"/>
                <w:highlight w:val="none"/>
                <w:lang w:val="en-US" w:eastAsia="zh-CN"/>
                <w14:ligatures w14:val="none"/>
              </w:rPr>
              <w:t>及以上</w:t>
            </w:r>
            <w:r>
              <w:rPr>
                <w:rFonts w:hint="eastAsia" w:ascii="宋体" w:hAnsi="宋体" w:eastAsia="宋体" w:cs="宋体"/>
                <w:color w:val="000000"/>
                <w:sz w:val="18"/>
                <w:szCs w:val="18"/>
                <w14:ligatures w14: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color w:val="000000"/>
                <w:sz w:val="18"/>
                <w:szCs w:val="18"/>
                <w:lang w:eastAsia="zh-CN"/>
                <w14:ligatures w14:val="none"/>
              </w:rPr>
            </w:pPr>
            <w:r>
              <w:rPr>
                <w:rFonts w:hint="eastAsia" w:ascii="宋体" w:hAnsi="宋体" w:eastAsia="宋体" w:cs="宋体"/>
                <w:color w:val="000000"/>
                <w:sz w:val="18"/>
                <w:szCs w:val="18"/>
                <w:lang w:val="en-US" w:eastAsia="zh-CN"/>
                <w14:ligatures w14:val="none"/>
              </w:rPr>
              <w:t>6</w:t>
            </w:r>
          </w:p>
        </w:tc>
        <w:tc>
          <w:tcPr>
            <w:tcW w:w="1120"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开关</w:t>
            </w:r>
          </w:p>
        </w:tc>
        <w:tc>
          <w:tcPr>
            <w:tcW w:w="3494"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巴鲁夫、施耐德等同档次</w:t>
            </w:r>
            <w:r>
              <w:rPr>
                <w:rFonts w:hint="eastAsia" w:ascii="宋体" w:hAnsi="宋体" w:eastAsia="宋体" w:cs="宋体"/>
                <w:color w:val="000000"/>
                <w:sz w:val="18"/>
                <w:szCs w:val="18"/>
                <w:highlight w:val="none"/>
                <w:lang w:val="en-US" w:eastAsia="zh-CN"/>
                <w14:ligatures w14:val="none"/>
              </w:rPr>
              <w:t>及以上</w:t>
            </w:r>
            <w:r>
              <w:rPr>
                <w:rFonts w:hint="eastAsia" w:ascii="宋体" w:hAnsi="宋体" w:eastAsia="宋体" w:cs="宋体"/>
                <w:color w:val="000000"/>
                <w:sz w:val="18"/>
                <w:szCs w:val="18"/>
                <w14:ligatures w14: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color w:val="000000"/>
                <w:sz w:val="18"/>
                <w:szCs w:val="18"/>
                <w:lang w:eastAsia="zh-CN"/>
                <w14:ligatures w14:val="none"/>
              </w:rPr>
            </w:pPr>
            <w:r>
              <w:rPr>
                <w:rFonts w:hint="eastAsia" w:ascii="宋体" w:hAnsi="宋体" w:eastAsia="宋体" w:cs="宋体"/>
                <w:color w:val="000000"/>
                <w:sz w:val="18"/>
                <w:szCs w:val="18"/>
                <w:lang w:val="en-US" w:eastAsia="zh-CN"/>
                <w14:ligatures w14:val="none"/>
              </w:rPr>
              <w:t>7</w:t>
            </w:r>
          </w:p>
        </w:tc>
        <w:tc>
          <w:tcPr>
            <w:tcW w:w="1120" w:type="pct"/>
            <w:vAlign w:val="center"/>
          </w:tcPr>
          <w:p>
            <w:pPr>
              <w:overflowPunct w:val="0"/>
              <w:snapToGrid w:val="0"/>
              <w:spacing w:after="0" w:line="240" w:lineRule="auto"/>
              <w:jc w:val="both"/>
              <w:rPr>
                <w:rFonts w:hint="eastAsia" w:ascii="宋体" w:hAnsi="宋体" w:eastAsia="宋体" w:cs="宋体"/>
                <w:color w:val="000000"/>
                <w:sz w:val="18"/>
                <w:szCs w:val="18"/>
                <w:lang w:eastAsia="zh-CN"/>
                <w14:ligatures w14:val="none"/>
              </w:rPr>
            </w:pPr>
            <w:r>
              <w:rPr>
                <w:rFonts w:hint="eastAsia" w:ascii="宋体" w:hAnsi="宋体" w:eastAsia="宋体" w:cs="宋体"/>
                <w:color w:val="000000"/>
                <w:sz w:val="18"/>
                <w:szCs w:val="18"/>
                <w:lang w:val="en-US" w:eastAsia="zh-CN"/>
                <w14:ligatures w14:val="none"/>
              </w:rPr>
              <w:t>PLC</w:t>
            </w:r>
          </w:p>
        </w:tc>
        <w:tc>
          <w:tcPr>
            <w:tcW w:w="3494" w:type="pct"/>
            <w:vAlign w:val="center"/>
          </w:tcPr>
          <w:p>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color w:val="000000"/>
                <w:sz w:val="18"/>
                <w:szCs w:val="18"/>
                <w:lang w:eastAsia="zh-CN"/>
                <w14:ligatures w14:val="none"/>
              </w:rPr>
            </w:pPr>
            <w:r>
              <w:rPr>
                <w:rFonts w:hint="eastAsia" w:ascii="宋体" w:hAnsi="宋体" w:eastAsia="宋体" w:cs="宋体"/>
                <w:color w:val="000000"/>
                <w:sz w:val="18"/>
                <w:szCs w:val="18"/>
                <w:lang w:val="en-US" w:eastAsia="zh-CN"/>
                <w14:ligatures w14:val="none"/>
              </w:rPr>
              <w:t>8</w:t>
            </w:r>
          </w:p>
        </w:tc>
        <w:tc>
          <w:tcPr>
            <w:tcW w:w="1120" w:type="pct"/>
            <w:vAlign w:val="center"/>
          </w:tcPr>
          <w:p>
            <w:pPr>
              <w:overflowPunct w:val="0"/>
              <w:snapToGrid w:val="0"/>
              <w:spacing w:after="0" w:line="240" w:lineRule="auto"/>
              <w:jc w:val="both"/>
              <w:rPr>
                <w:rFonts w:hint="default" w:ascii="宋体" w:hAnsi="宋体" w:eastAsia="宋体" w:cs="宋体"/>
                <w:color w:val="000000"/>
                <w:sz w:val="18"/>
                <w:szCs w:val="18"/>
                <w:lang w:val="en-US" w:eastAsia="zh-CN"/>
                <w14:ligatures w14:val="none"/>
              </w:rPr>
            </w:pPr>
            <w:r>
              <w:rPr>
                <w:rFonts w:hint="eastAsia" w:ascii="宋体" w:hAnsi="宋体" w:eastAsia="宋体" w:cs="宋体"/>
                <w:color w:val="000000"/>
                <w:sz w:val="18"/>
                <w:szCs w:val="18"/>
                <w:lang w:val="en-US" w:eastAsia="zh-CN"/>
                <w14:ligatures w14:val="none"/>
              </w:rPr>
              <w:t>PLC模块</w:t>
            </w:r>
          </w:p>
        </w:tc>
        <w:tc>
          <w:tcPr>
            <w:tcW w:w="3494" w:type="pct"/>
            <w:vAlign w:val="center"/>
          </w:tcPr>
          <w:p>
            <w:pPr>
              <w:overflowPunct w:val="0"/>
              <w:snapToGrid w:val="0"/>
              <w:spacing w:after="0" w:line="240" w:lineRule="auto"/>
              <w:jc w:val="both"/>
              <w:rPr>
                <w:rFonts w:hint="default" w:ascii="宋体" w:hAnsi="宋体" w:eastAsia="宋体" w:cs="宋体"/>
                <w:color w:val="000000"/>
                <w:sz w:val="18"/>
                <w:szCs w:val="18"/>
                <w:lang w:val="en-US" w:eastAsia="zh-CN"/>
                <w14:ligatures w14:val="none"/>
              </w:rPr>
            </w:pPr>
            <w:r>
              <w:rPr>
                <w:rFonts w:hint="eastAsia" w:ascii="宋体" w:hAnsi="宋体" w:eastAsia="宋体" w:cs="宋体"/>
                <w:color w:val="000000"/>
                <w:sz w:val="18"/>
                <w:szCs w:val="18"/>
                <w14:ligatures w14:val="none"/>
              </w:rPr>
              <w:t>西门子</w:t>
            </w:r>
            <w:r>
              <w:rPr>
                <w:rFonts w:hint="eastAsia" w:ascii="宋体" w:hAnsi="宋体" w:eastAsia="宋体" w:cs="宋体"/>
                <w:color w:val="000000"/>
                <w:sz w:val="18"/>
                <w:szCs w:val="18"/>
                <w:lang w:val="en-US" w:eastAsia="zh-CN"/>
                <w14:ligatures w14:val="none"/>
              </w:rPr>
              <w:t>ET200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eastAsia" w:ascii="宋体" w:hAnsi="宋体" w:eastAsia="宋体" w:cs="宋体"/>
                <w:color w:val="000000"/>
                <w:sz w:val="18"/>
                <w:szCs w:val="18"/>
                <w:lang w:eastAsia="zh-CN"/>
                <w14:ligatures w14:val="none"/>
              </w:rPr>
            </w:pPr>
            <w:r>
              <w:rPr>
                <w:rFonts w:hint="eastAsia" w:ascii="宋体" w:hAnsi="宋体" w:eastAsia="宋体" w:cs="宋体"/>
                <w:color w:val="000000"/>
                <w:sz w:val="18"/>
                <w:szCs w:val="18"/>
                <w:lang w:val="en-US" w:eastAsia="zh-CN"/>
                <w14:ligatures w14:val="none"/>
              </w:rPr>
              <w:t>9</w:t>
            </w:r>
          </w:p>
        </w:tc>
        <w:tc>
          <w:tcPr>
            <w:tcW w:w="1120" w:type="pct"/>
            <w:vAlign w:val="center"/>
          </w:tcPr>
          <w:p>
            <w:pPr>
              <w:overflowPunct w:val="0"/>
              <w:snapToGrid w:val="0"/>
              <w:spacing w:after="0" w:line="240" w:lineRule="auto"/>
              <w:jc w:val="both"/>
              <w:rPr>
                <w:rFonts w:hint="eastAsia" w:ascii="宋体" w:hAnsi="宋体" w:eastAsia="宋体" w:cs="宋体"/>
                <w:color w:val="000000"/>
                <w:sz w:val="18"/>
                <w:szCs w:val="18"/>
                <w:highlight w:val="none"/>
                <w:lang w:eastAsia="zh-CN"/>
                <w14:ligatures w14:val="none"/>
              </w:rPr>
            </w:pPr>
            <w:r>
              <w:rPr>
                <w:rFonts w:hint="eastAsia" w:ascii="宋体" w:hAnsi="宋体" w:eastAsia="宋体" w:cs="宋体"/>
                <w:color w:val="000000"/>
                <w:sz w:val="18"/>
                <w:szCs w:val="18"/>
                <w:highlight w:val="none"/>
                <w:lang w:val="en-US" w:eastAsia="zh-CN"/>
                <w14:ligatures w14:val="none"/>
              </w:rPr>
              <w:t>温控器</w:t>
            </w:r>
          </w:p>
        </w:tc>
        <w:tc>
          <w:tcPr>
            <w:tcW w:w="3494" w:type="pct"/>
            <w:vAlign w:val="center"/>
          </w:tcPr>
          <w:p>
            <w:pPr>
              <w:overflowPunct w:val="0"/>
              <w:snapToGrid w:val="0"/>
              <w:spacing w:after="0" w:line="240" w:lineRule="auto"/>
              <w:jc w:val="both"/>
              <w:rPr>
                <w:rFonts w:hint="default" w:ascii="宋体" w:hAnsi="宋体" w:eastAsia="宋体" w:cs="宋体"/>
                <w:color w:val="000000"/>
                <w:sz w:val="18"/>
                <w:szCs w:val="18"/>
                <w:highlight w:val="none"/>
                <w:lang w:val="en-US" w:eastAsia="zh-CN"/>
                <w14:ligatures w14:val="none"/>
              </w:rPr>
            </w:pPr>
            <w:r>
              <w:rPr>
                <w:rFonts w:hint="eastAsia" w:ascii="宋体" w:hAnsi="宋体" w:eastAsia="宋体" w:cs="宋体"/>
                <w:color w:val="000000"/>
                <w:sz w:val="18"/>
                <w:szCs w:val="18"/>
                <w:highlight w:val="none"/>
                <w:lang w:val="en-US" w:eastAsia="zh-CN"/>
                <w14:ligatures w14:val="none"/>
              </w:rPr>
              <w:t>霍尼韦尔、施耐德、山武</w:t>
            </w:r>
            <w:r>
              <w:rPr>
                <w:rFonts w:hint="eastAsia" w:ascii="宋体" w:hAnsi="宋体" w:eastAsia="宋体" w:cs="宋体"/>
                <w:color w:val="000000"/>
                <w:sz w:val="18"/>
                <w:szCs w:val="18"/>
                <w14:ligatures w14:val="none"/>
              </w:rPr>
              <w:t>等同档次</w:t>
            </w:r>
            <w:r>
              <w:rPr>
                <w:rFonts w:hint="eastAsia" w:ascii="宋体" w:hAnsi="宋体" w:eastAsia="宋体" w:cs="宋体"/>
                <w:color w:val="000000"/>
                <w:sz w:val="18"/>
                <w:szCs w:val="18"/>
                <w:highlight w:val="none"/>
                <w:lang w:val="en-US" w:eastAsia="zh-CN"/>
                <w14:ligatures w14:val="none"/>
              </w:rPr>
              <w:t>及以上</w:t>
            </w:r>
            <w:r>
              <w:rPr>
                <w:rFonts w:hint="eastAsia" w:ascii="宋体" w:hAnsi="宋体" w:eastAsia="宋体" w:cs="宋体"/>
                <w:color w:val="000000"/>
                <w:sz w:val="18"/>
                <w:szCs w:val="18"/>
                <w14:ligatures w14: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pPr>
              <w:overflowPunct w:val="0"/>
              <w:snapToGrid w:val="0"/>
              <w:spacing w:after="0" w:line="240" w:lineRule="auto"/>
              <w:jc w:val="center"/>
              <w:rPr>
                <w:rFonts w:hint="default" w:ascii="宋体" w:hAnsi="宋体" w:eastAsia="宋体" w:cs="宋体"/>
                <w:color w:val="000000"/>
                <w:sz w:val="18"/>
                <w:szCs w:val="18"/>
                <w:lang w:val="en-US" w:eastAsia="zh-CN"/>
                <w14:ligatures w14:val="none"/>
              </w:rPr>
            </w:pPr>
            <w:r>
              <w:rPr>
                <w:rFonts w:hint="eastAsia" w:ascii="宋体" w:hAnsi="宋体" w:eastAsia="宋体" w:cs="宋体"/>
                <w:color w:val="000000"/>
                <w:sz w:val="18"/>
                <w:szCs w:val="18"/>
                <w:lang w:val="en-US" w:eastAsia="zh-CN"/>
                <w14:ligatures w14:val="none"/>
              </w:rPr>
              <w:t>10</w:t>
            </w:r>
          </w:p>
        </w:tc>
        <w:tc>
          <w:tcPr>
            <w:tcW w:w="1120" w:type="pct"/>
            <w:vAlign w:val="center"/>
          </w:tcPr>
          <w:p>
            <w:pPr>
              <w:overflowPunct w:val="0"/>
              <w:snapToGrid w:val="0"/>
              <w:spacing w:after="0" w:line="240" w:lineRule="auto"/>
              <w:jc w:val="both"/>
              <w:rPr>
                <w:rFonts w:hint="default" w:ascii="宋体" w:hAnsi="宋体" w:eastAsia="宋体" w:cs="宋体"/>
                <w:color w:val="000000"/>
                <w:sz w:val="18"/>
                <w:szCs w:val="18"/>
                <w:lang w:val="en-US" w:eastAsia="zh-CN"/>
                <w14:ligatures w14:val="none"/>
              </w:rPr>
            </w:pPr>
            <w:r>
              <w:rPr>
                <w:rFonts w:hint="eastAsia" w:ascii="宋体" w:hAnsi="宋体" w:eastAsia="宋体" w:cs="宋体"/>
                <w:color w:val="000000"/>
                <w:sz w:val="18"/>
                <w:szCs w:val="18"/>
                <w:lang w:val="en-US" w:eastAsia="zh-CN"/>
                <w14:ligatures w14:val="none"/>
              </w:rPr>
              <w:t>开关电源</w:t>
            </w:r>
          </w:p>
        </w:tc>
        <w:tc>
          <w:tcPr>
            <w:tcW w:w="3494" w:type="pct"/>
            <w:vAlign w:val="center"/>
          </w:tcPr>
          <w:p>
            <w:pPr>
              <w:overflowPunct w:val="0"/>
              <w:snapToGrid w:val="0"/>
              <w:spacing w:after="0" w:line="240" w:lineRule="auto"/>
              <w:jc w:val="both"/>
              <w:rPr>
                <w:rFonts w:hint="default" w:ascii="宋体" w:hAnsi="宋体" w:eastAsia="宋体" w:cs="宋体"/>
                <w:color w:val="000000"/>
                <w:sz w:val="18"/>
                <w:szCs w:val="18"/>
                <w:lang w:val="en-US" w:eastAsia="zh-CN"/>
                <w14:ligatures w14:val="none"/>
              </w:rPr>
            </w:pPr>
            <w:r>
              <w:rPr>
                <w:rFonts w:hint="eastAsia" w:ascii="宋体" w:hAnsi="宋体" w:eastAsia="宋体" w:cs="宋体"/>
                <w:color w:val="000000"/>
                <w:sz w:val="18"/>
                <w:szCs w:val="18"/>
                <w:lang w:val="en-US" w:eastAsia="zh-CN"/>
                <w14:ligatures w14:val="none"/>
              </w:rPr>
              <w:t>明纬、西门子</w:t>
            </w:r>
            <w:r>
              <w:rPr>
                <w:rFonts w:hint="eastAsia" w:ascii="宋体" w:hAnsi="宋体" w:eastAsia="宋体" w:cs="宋体"/>
                <w:color w:val="000000"/>
                <w:sz w:val="18"/>
                <w:szCs w:val="18"/>
                <w14:ligatures w14:val="none"/>
              </w:rPr>
              <w:t>等同档次</w:t>
            </w:r>
            <w:r>
              <w:rPr>
                <w:rFonts w:hint="eastAsia" w:ascii="宋体" w:hAnsi="宋体" w:eastAsia="宋体" w:cs="宋体"/>
                <w:color w:val="000000"/>
                <w:sz w:val="18"/>
                <w:szCs w:val="18"/>
                <w:highlight w:val="none"/>
                <w:lang w:val="en-US" w:eastAsia="zh-CN"/>
                <w14:ligatures w14:val="none"/>
              </w:rPr>
              <w:t>及以上</w:t>
            </w:r>
            <w:r>
              <w:rPr>
                <w:rFonts w:hint="eastAsia" w:ascii="宋体" w:hAnsi="宋体" w:eastAsia="宋体" w:cs="宋体"/>
                <w:color w:val="000000"/>
                <w:sz w:val="18"/>
                <w:szCs w:val="18"/>
                <w14:ligatures w14:val="none"/>
              </w:rPr>
              <w:t>品牌</w:t>
            </w:r>
          </w:p>
        </w:tc>
      </w:tr>
      <w:bookmarkEnd w:id="36"/>
    </w:tbl>
    <w:p>
      <w:pPr>
        <w:overflowPunct w:val="0"/>
        <w:spacing w:after="0" w:line="240" w:lineRule="auto"/>
        <w:ind w:firstLine="482" w:firstLineChars="200"/>
        <w:jc w:val="both"/>
        <w:outlineLvl w:val="1"/>
        <w:rPr>
          <w:rFonts w:ascii="Arial" w:hAnsi="Arial" w:eastAsia="宋体" w:cs="Times New Roman"/>
          <w:b/>
          <w:bCs/>
          <w:sz w:val="24"/>
          <w:szCs w:val="32"/>
          <w14:ligatures w14:val="none"/>
        </w:rPr>
      </w:pPr>
    </w:p>
    <w:p>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bookmarkStart w:id="37" w:name="_Toc169605880"/>
      <w:r>
        <w:rPr>
          <w:rFonts w:hint="eastAsia" w:ascii="宋体" w:hAnsi="宋体" w:eastAsia="宋体" w:cs="Times New Roman"/>
          <w:b/>
          <w:bCs/>
          <w:kern w:val="44"/>
          <w:sz w:val="28"/>
          <w:szCs w:val="28"/>
          <w14:ligatures w14:val="none"/>
        </w:rPr>
        <w:t>第二章  技术要求</w:t>
      </w:r>
    </w:p>
    <w:bookmarkEnd w:id="37"/>
    <w:p>
      <w:pPr>
        <w:keepNext/>
        <w:keepLines/>
        <w:spacing w:after="0" w:line="360" w:lineRule="auto"/>
        <w:ind w:firstLine="482" w:firstLineChars="200"/>
        <w:outlineLvl w:val="2"/>
        <w:rPr>
          <w:rFonts w:hint="eastAsia" w:ascii="宋体" w:hAnsi="宋体" w:eastAsia="宋体" w:cs="宋体"/>
          <w:b/>
          <w:sz w:val="24"/>
          <w14:ligatures w14:val="none"/>
        </w:rPr>
      </w:pPr>
      <w:bookmarkStart w:id="38" w:name="_Toc169605881"/>
      <w:r>
        <w:rPr>
          <w:rFonts w:hint="eastAsia" w:ascii="宋体" w:hAnsi="宋体" w:eastAsia="宋体" w:cs="宋体"/>
          <w:b/>
          <w:sz w:val="24"/>
          <w14:ligatures w14:val="none"/>
        </w:rPr>
        <w:t>一、特别提示</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 xml:space="preserve"> 1.本章技术要求，仅对功能、设计、结构、性能、安装和试验检验等方面，提出了最低和一般性的技术要求，并未对一切技术细节作出规定。</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 xml:space="preserve"> 2.本技术要求所使用的标准、规范等，如与投标人所执行的标准、规范不一致时，应按高于本技术要求所列的标准、规范执行。</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3.投标人认为所供货物必需由招标人配备、解决或提供的其它要求，如设备基础隔振和减振设施、软化水、洁净气源等，均应在投标文件“技术偏离”中予以充分说明。</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投标人应根据招投标货物具体要求，提出对厂房、设备基础（或安装平台）、公用设施、消防、环保等超出招标文件、投标文件、答疑文件、技术交流文件、技术协议书和合同等规定的、有特殊需要的解释、说明和要求。</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5.无论是否有技术偏离，投标人均应在投标文件“技术偏离”中明确作出有无说明。若有异议，不管是多么微小，投标人必须予以明确和详细的说明或澄清。</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6.为避免投标人优势在招标评审时漏项，质保期超出本技术标书要求的，应当在投标文件“技术偏离”中特别注明。</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7.投标文件中，针对“特别提示”条款所做的回应，将作为投标人能否中标的重要依据之一。</w:t>
      </w:r>
    </w:p>
    <w:p>
      <w:pPr>
        <w:keepNext/>
        <w:keepLines/>
        <w:spacing w:after="0" w:line="360" w:lineRule="auto"/>
        <w:ind w:firstLine="482" w:firstLineChars="200"/>
        <w:outlineLvl w:val="2"/>
        <w:rPr>
          <w:rFonts w:hint="eastAsia" w:ascii="宋体" w:hAnsi="宋体" w:eastAsia="宋体" w:cs="宋体"/>
          <w:b/>
          <w:sz w:val="24"/>
          <w14:ligatures w14:val="none"/>
        </w:rPr>
      </w:pPr>
      <w:r>
        <w:rPr>
          <w:rFonts w:hint="eastAsia" w:ascii="宋体" w:hAnsi="宋体" w:eastAsia="宋体" w:cs="宋体"/>
          <w:b/>
          <w:sz w:val="24"/>
          <w14:ligatures w14:val="none"/>
        </w:rPr>
        <w:t>二、基本要求</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1.投标方负责本项目相关的备配件运输、卸车，现场调试时的水电气的连接工作，招标方只负责提供接口。</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2.投标方应自行设计、改造该设备，并负责相关备配件的运输、安装、调试等工作，不得将本项目转包给其他单位，并对该设备改造项目的质量负责。</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3.投标方应注明主要零部件的型号、参数和生产厂家。</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4.投标人所供的货物，必须符合中国最新版的法律、法规和相关标准、规范的要求，符合项目所在地政府有关特殊要求。</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5.投标人所供货物涉及的专利权技术以及知识产权保护的其它技术等，应保证招标人不因此受到任何侵权指控以及实际损失。</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6.投标人应保证所供货物的先进性、可靠性、经济性和实用性，并为全新货物（或设备）。</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7.投标人应满足招标人提出的各项技术要求，必要时应当免费提供技术承诺或担保。</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8.投标人应保证所供货物（或设备）为中国政府指定或规定的主管部门公布的非淘汰货物（或设备），并尽力提供中国政府指定或规定的主管部门认可的环保型和节能型货物（或设备）。</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9.投标人应保证所供货物的完整性和成套性，能保证货物的正常运行、使用。</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10.投标人应对招标人采购的货物所涉及的技术、产能等信息负有保密义务，招标人拥有追究投标人泄密责任的权利；招标人如有需要，投标人应无条件签署保密协议。</w:t>
      </w:r>
    </w:p>
    <w:p>
      <w:pPr>
        <w:keepNext/>
        <w:keepLines/>
        <w:spacing w:after="0" w:line="360" w:lineRule="auto"/>
        <w:ind w:firstLine="482" w:firstLineChars="200"/>
        <w:outlineLvl w:val="2"/>
        <w:rPr>
          <w:rFonts w:hint="eastAsia" w:ascii="宋体" w:hAnsi="宋体" w:eastAsia="宋体" w:cs="宋体"/>
          <w:b/>
          <w:sz w:val="24"/>
          <w14:ligatures w14:val="none"/>
        </w:rPr>
      </w:pPr>
      <w:r>
        <w:rPr>
          <w:rFonts w:hint="eastAsia" w:ascii="宋体" w:hAnsi="宋体" w:eastAsia="宋体" w:cs="宋体"/>
          <w:b/>
          <w:sz w:val="24"/>
          <w14:ligatures w14:val="none"/>
        </w:rPr>
        <w:t>三、技术要求</w:t>
      </w:r>
    </w:p>
    <w:p>
      <w:pPr>
        <w:spacing w:after="0" w:line="360" w:lineRule="auto"/>
        <w:ind w:firstLine="482" w:firstLineChars="200"/>
        <w:jc w:val="both"/>
        <w:rPr>
          <w:rFonts w:hint="eastAsia" w:ascii="宋体" w:hAnsi="宋体" w:eastAsia="宋体" w:cs="宋体"/>
          <w:b/>
          <w:bCs/>
          <w:sz w:val="24"/>
          <w14:ligatures w14:val="none"/>
        </w:rPr>
      </w:pPr>
      <w:r>
        <w:rPr>
          <w:rFonts w:hint="eastAsia" w:ascii="宋体" w:hAnsi="宋体" w:eastAsia="宋体" w:cs="宋体"/>
          <w:b/>
          <w:bCs/>
          <w:sz w:val="24"/>
          <w14:ligatures w14:val="none"/>
        </w:rPr>
        <w:t>1</w:t>
      </w:r>
      <w:r>
        <w:rPr>
          <w:rFonts w:hint="eastAsia" w:ascii="宋体" w:hAnsi="宋体" w:eastAsia="宋体" w:cs="宋体"/>
          <w:b/>
          <w:bCs/>
          <w:sz w:val="24"/>
          <w:lang w:val="en-US" w:eastAsia="zh-CN"/>
          <w14:ligatures w14:val="none"/>
        </w:rPr>
        <w:t>.</w:t>
      </w:r>
      <w:r>
        <w:rPr>
          <w:rFonts w:hint="eastAsia" w:ascii="宋体" w:hAnsi="宋体" w:eastAsia="宋体" w:cs="宋体"/>
          <w:b/>
          <w:bCs/>
          <w:sz w:val="24"/>
          <w14:ligatures w14:val="none"/>
        </w:rPr>
        <w:t>产品概况</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发动机长*宽*高=1510*816*1136</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发动机整机重量不大于1300千克</w:t>
      </w:r>
    </w:p>
    <w:p>
      <w:pPr>
        <w:spacing w:after="0" w:line="360" w:lineRule="auto"/>
        <w:ind w:firstLine="482" w:firstLineChars="200"/>
        <w:jc w:val="both"/>
        <w:rPr>
          <w:rFonts w:hint="eastAsia" w:ascii="宋体" w:hAnsi="宋体" w:eastAsia="宋体" w:cs="宋体"/>
          <w:b/>
          <w:bCs/>
          <w:sz w:val="24"/>
          <w:lang w:val="en-US" w:eastAsia="zh-CN"/>
          <w14:ligatures w14:val="none"/>
        </w:rPr>
      </w:pPr>
      <w:r>
        <w:rPr>
          <w:rFonts w:hint="eastAsia" w:ascii="宋体" w:hAnsi="宋体" w:eastAsia="宋体" w:cs="宋体"/>
          <w:b/>
          <w:bCs/>
          <w:sz w:val="24"/>
          <w:lang w:val="en-US" w:eastAsia="zh-CN"/>
          <w14:ligatures w14:val="none"/>
        </w:rPr>
        <w:t>2.工艺要求</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烘干室设定温度90℃±5℃</w:t>
      </w:r>
    </w:p>
    <w:p>
      <w:pPr>
        <w:rPr>
          <w:rFonts w:hint="default"/>
          <w:lang w:val="en-US"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highlight w:val="none"/>
          <w:lang w:val="en-US" w:eastAsia="zh-CN"/>
        </w:rPr>
        <w:t xml:space="preserve"> 工件温度＞30℃</w:t>
      </w:r>
    </w:p>
    <w:p>
      <w:pPr>
        <w:spacing w:after="0" w:line="360" w:lineRule="auto"/>
        <w:jc w:val="both"/>
        <w:rPr>
          <w:rFonts w:hint="eastAsia" w:ascii="宋体" w:hAnsi="宋体" w:eastAsia="宋体" w:cs="宋体"/>
          <w:sz w:val="24"/>
          <w14:ligatures w14:val="none"/>
        </w:rPr>
      </w:pPr>
      <w:r>
        <w:rPr>
          <w:rFonts w:hint="eastAsia" w:ascii="宋体" w:hAnsi="宋体" w:eastAsia="宋体" w:cs="宋体"/>
          <w:sz w:val="24"/>
          <w14:ligatures w14:val="none"/>
        </w:rPr>
        <w:t xml:space="preserve"> </w:t>
      </w:r>
      <w:r>
        <w:rPr>
          <w:rFonts w:hint="eastAsia" w:ascii="宋体" w:hAnsi="宋体" w:eastAsia="宋体" w:cs="宋体"/>
          <w:b/>
          <w:bCs/>
          <w:sz w:val="24"/>
          <w14:ligatures w14:val="none"/>
        </w:rPr>
        <w:t xml:space="preserve"> </w:t>
      </w:r>
      <w:r>
        <w:rPr>
          <w:rFonts w:hint="eastAsia" w:ascii="宋体" w:hAnsi="宋体" w:eastAsia="宋体" w:cs="宋体"/>
          <w:b/>
          <w:bCs/>
          <w:sz w:val="24"/>
          <w:lang w:val="en-US" w:eastAsia="zh-CN"/>
          <w14:ligatures w14:val="none"/>
        </w:rPr>
        <w:t xml:space="preserve"> </w:t>
      </w:r>
      <w:r>
        <w:rPr>
          <w:rFonts w:hint="eastAsia" w:ascii="宋体" w:hAnsi="宋体" w:eastAsia="宋体" w:cs="宋体"/>
          <w:b/>
          <w:bCs/>
          <w:sz w:val="24"/>
          <w14:ligatures w14:val="none"/>
        </w:rPr>
        <w:t xml:space="preserve"> </w:t>
      </w:r>
      <w:r>
        <w:rPr>
          <w:rFonts w:hint="eastAsia" w:ascii="宋体" w:hAnsi="宋体" w:eastAsia="宋体" w:cs="宋体"/>
          <w:b/>
          <w:bCs/>
          <w:sz w:val="24"/>
          <w:lang w:val="en-US" w:eastAsia="zh-CN"/>
          <w14:ligatures w14:val="none"/>
        </w:rPr>
        <w:t>3.</w:t>
      </w:r>
      <w:r>
        <w:rPr>
          <w:rFonts w:hint="eastAsia" w:ascii="宋体" w:hAnsi="宋体" w:eastAsia="宋体" w:cs="宋体"/>
          <w:b/>
          <w:bCs/>
          <w:sz w:val="24"/>
          <w14:ligatures w14:val="none"/>
        </w:rPr>
        <w:t>主要改造内容及要求</w:t>
      </w:r>
    </w:p>
    <w:tbl>
      <w:tblPr>
        <w:tblStyle w:val="37"/>
        <w:tblpPr w:leftFromText="180" w:rightFromText="180" w:vertAnchor="text" w:horzAnchor="page" w:tblpX="1417" w:tblpY="4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395"/>
        <w:gridCol w:w="3104"/>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17" w:type="dxa"/>
            <w:vAlign w:val="bottom"/>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bookmarkStart w:id="39" w:name="_Hlk78993199"/>
            <w:r>
              <w:rPr>
                <w:rFonts w:hint="eastAsia" w:ascii="宋体" w:hAnsi="宋体" w:eastAsia="宋体" w:cs="宋体"/>
                <w:color w:val="auto"/>
                <w:sz w:val="24"/>
                <w:szCs w:val="24"/>
              </w:rPr>
              <w:t>序号</w:t>
            </w:r>
          </w:p>
        </w:tc>
        <w:tc>
          <w:tcPr>
            <w:tcW w:w="2395" w:type="dxa"/>
            <w:vAlign w:val="bottom"/>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3104" w:type="dxa"/>
            <w:vAlign w:val="bottom"/>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改造内容</w:t>
            </w:r>
          </w:p>
        </w:tc>
        <w:tc>
          <w:tcPr>
            <w:tcW w:w="2206" w:type="dxa"/>
            <w:vAlign w:val="bottom"/>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17"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395" w:type="dxa"/>
            <w:vAlign w:val="center"/>
          </w:tcPr>
          <w:p>
            <w:pPr>
              <w:widowControl/>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室体</w:t>
            </w:r>
          </w:p>
        </w:tc>
        <w:tc>
          <w:tcPr>
            <w:tcW w:w="3104"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新增室体约8米，室体增加保温材料</w:t>
            </w:r>
          </w:p>
        </w:tc>
        <w:tc>
          <w:tcPr>
            <w:tcW w:w="2206"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17"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395" w:type="dxa"/>
            <w:vAlign w:val="center"/>
          </w:tcPr>
          <w:p>
            <w:pPr>
              <w:widowControl/>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风道</w:t>
            </w:r>
          </w:p>
        </w:tc>
        <w:tc>
          <w:tcPr>
            <w:tcW w:w="3104"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主要包含：</w:t>
            </w:r>
            <w:r>
              <w:rPr>
                <w:rFonts w:hint="eastAsia" w:ascii="宋体" w:hAnsi="宋体" w:eastAsia="宋体" w:cs="宋体"/>
                <w:color w:val="auto"/>
                <w:sz w:val="24"/>
                <w:szCs w:val="24"/>
                <w:lang w:val="en-US" w:eastAsia="zh-CN"/>
              </w:rPr>
              <w:t>主风道、风机保温</w:t>
            </w:r>
          </w:p>
        </w:tc>
        <w:tc>
          <w:tcPr>
            <w:tcW w:w="2206"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17"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395" w:type="dxa"/>
            <w:vAlign w:val="center"/>
          </w:tcPr>
          <w:p>
            <w:pPr>
              <w:widowControl/>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热风炉及烟囱</w:t>
            </w:r>
          </w:p>
        </w:tc>
        <w:tc>
          <w:tcPr>
            <w:tcW w:w="3104"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主要包含：</w:t>
            </w:r>
            <w:r>
              <w:rPr>
                <w:rFonts w:hint="eastAsia" w:ascii="宋体" w:hAnsi="宋体" w:eastAsia="宋体" w:cs="宋体"/>
                <w:color w:val="auto"/>
                <w:sz w:val="24"/>
                <w:szCs w:val="24"/>
                <w:lang w:val="en-US" w:eastAsia="zh-CN"/>
              </w:rPr>
              <w:t>热风炉箱体1套，燃烧器1套、箱体风机安装平台1套、不锈钢换热器1套、耐高温风机1套</w:t>
            </w:r>
          </w:p>
        </w:tc>
        <w:tc>
          <w:tcPr>
            <w:tcW w:w="2206"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17"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2395" w:type="dxa"/>
            <w:vAlign w:val="center"/>
          </w:tcPr>
          <w:p>
            <w:pPr>
              <w:widowControl/>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控制系统</w:t>
            </w:r>
          </w:p>
        </w:tc>
        <w:tc>
          <w:tcPr>
            <w:tcW w:w="3104"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主要</w:t>
            </w:r>
            <w:r>
              <w:rPr>
                <w:rFonts w:hint="eastAsia" w:ascii="宋体" w:hAnsi="宋体" w:eastAsia="宋体" w:cs="宋体"/>
                <w:color w:val="auto"/>
                <w:sz w:val="24"/>
                <w:szCs w:val="24"/>
                <w:lang w:val="en-US" w:eastAsia="zh-CN"/>
              </w:rPr>
              <w:t>包含：电气柜1套、PLC及模块1套、低压电气1套</w:t>
            </w:r>
          </w:p>
        </w:tc>
        <w:tc>
          <w:tcPr>
            <w:tcW w:w="2206"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17"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2395" w:type="dxa"/>
            <w:vAlign w:val="center"/>
          </w:tcPr>
          <w:p>
            <w:pPr>
              <w:widowControl/>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排风机及排烟管改造</w:t>
            </w:r>
          </w:p>
        </w:tc>
        <w:tc>
          <w:tcPr>
            <w:tcW w:w="3104"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主要包含：</w:t>
            </w:r>
            <w:r>
              <w:rPr>
                <w:rFonts w:hint="eastAsia" w:ascii="宋体" w:hAnsi="宋体" w:eastAsia="宋体" w:cs="宋体"/>
                <w:color w:val="auto"/>
                <w:sz w:val="24"/>
                <w:szCs w:val="24"/>
                <w:lang w:val="en-US" w:eastAsia="zh-CN"/>
              </w:rPr>
              <w:t>风机1套、排烟管改造1套</w:t>
            </w:r>
          </w:p>
        </w:tc>
        <w:tc>
          <w:tcPr>
            <w:tcW w:w="2206"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rPr>
            </w:pPr>
          </w:p>
        </w:tc>
      </w:tr>
    </w:tbl>
    <w:p>
      <w:pPr>
        <w:overflowPunct w:val="0"/>
        <w:snapToGrid w:val="0"/>
        <w:spacing w:after="0" w:line="360" w:lineRule="auto"/>
        <w:ind w:firstLine="480" w:firstLineChars="200"/>
        <w:jc w:val="both"/>
        <w:rPr>
          <w:rFonts w:hint="eastAsia" w:ascii="宋体" w:hAnsi="宋体" w:eastAsia="宋体" w:cs="宋体"/>
          <w:sz w:val="24"/>
          <w14:ligatures w14:val="none"/>
        </w:rPr>
      </w:pP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3.1室体</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现有的烘干室室体延长约8米，烘干室出口与喷漆室之间预留足够的空间，室体四周用岩棉保温。</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外：δ0.50mm彩涂板，内：δ1.20mm镀锌板，厚度：100mm,岩棉（容重：120kg/m3）岩棉板，板与板插接之间填塞硅酸铝棉、密封胶密封。</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室体辅材：包角、槽轨：1.8mm碳钢板；内密封：1.2mm镀锌板；架台框架：50*100*1.7/80*80*2.0mm方管，烘道立壁50*50*1.5m方管。</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室体外壁表面温度不应高于室温15℃。烘干室入口与出口均设有工件仿形门，以减少炉内的热空气外溢。将现有的水分烘干室南侧的排风系统改造至新建烘干室的南侧出口处，排风系统由镀锌钢板制成，采用轴流风机强制排风。</w:t>
      </w:r>
    </w:p>
    <w:p>
      <w:pPr>
        <w:spacing w:after="0" w:line="360" w:lineRule="auto"/>
        <w:ind w:firstLine="480" w:firstLineChars="200"/>
        <w:jc w:val="both"/>
        <w:rPr>
          <w:rFonts w:hint="default"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室体出口配备防爆风幕用于隔绝水分烘干室与喷漆室。</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3.2风道</w:t>
      </w:r>
    </w:p>
    <w:p>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风道用1.2mm镀锌钢板，抽拉式调风口，角钢法兰加固；角钢框架、外0.6mm彩涂板防护，1.2mm镀锌板包角，中间填塞绝热干棉。</w:t>
      </w:r>
    </w:p>
    <w:p>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热风循环为内风道侧部送风、顶部回风。</w:t>
      </w:r>
    </w:p>
    <w:p>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3.3热风炉及烟囱</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烘干室加热能力要求</w:t>
      </w:r>
      <w:r>
        <w:rPr>
          <w:rFonts w:hint="eastAsia" w:ascii="宋体" w:hAnsi="宋体" w:eastAsia="宋体" w:cs="宋体"/>
          <w:color w:val="auto"/>
          <w:sz w:val="24"/>
          <w:highlight w:val="none"/>
          <w:lang w:val="en-US" w:eastAsia="zh-CN"/>
          <w14:ligatures w14:val="none"/>
        </w:rPr>
        <w:t>120℃</w:t>
      </w:r>
      <w:r>
        <w:rPr>
          <w:rFonts w:hint="eastAsia" w:ascii="宋体" w:hAnsi="宋体" w:eastAsia="宋体" w:cs="宋体"/>
          <w:sz w:val="24"/>
          <w:highlight w:val="none"/>
          <w:lang w:val="en-US" w:eastAsia="zh-CN"/>
          <w14:ligatures w14:val="none"/>
        </w:rPr>
        <w:t>，控制精度±5℃。</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热风炉箱体：100*100*2.2/50*100*1.7mm方管框架，外为0.6mm彩涂板,内为1.2mmSUS304不锈钢板,中间填塞绝热干棉,新风口、泄爆门。</w:t>
      </w:r>
    </w:p>
    <w:p>
      <w:pPr>
        <w:keepNext w:val="0"/>
        <w:keepLines w:val="0"/>
        <w:pageBreakBefore w:val="0"/>
        <w:widowControl w:val="0"/>
        <w:kinsoku/>
        <w:wordWrap/>
        <w:overflowPunct w:val="0"/>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sz w:val="24"/>
          <w:highlight w:val="none"/>
          <w:lang w:val="en-US" w:eastAsia="zh-CN"/>
          <w14:ligatures w14:val="none"/>
        </w:rPr>
      </w:pPr>
      <w:r>
        <w:rPr>
          <w:rFonts w:hint="eastAsia" w:ascii="宋体" w:hAnsi="宋体" w:eastAsia="宋体" w:cs="宋体"/>
          <w:sz w:val="24"/>
          <w:highlight w:val="none"/>
          <w:lang w:val="en-US" w:eastAsia="zh-CN"/>
          <w14:ligatures w14:val="none"/>
        </w:rPr>
        <w:t>热风炉：</w:t>
      </w:r>
      <w:r>
        <w:rPr>
          <w:rFonts w:hint="eastAsia" w:ascii="宋体" w:hAnsi="宋体" w:eastAsia="宋体" w:cs="宋体"/>
          <w:b w:val="0"/>
          <w:bCs w:val="0"/>
          <w:color w:val="auto"/>
          <w:sz w:val="24"/>
          <w:szCs w:val="24"/>
          <w:lang w:val="en-US" w:eastAsia="zh-CN"/>
        </w:rPr>
        <w:t>燃烧器功率不低于30万大卡/小时，</w:t>
      </w:r>
      <w:r>
        <w:rPr>
          <w:rFonts w:hint="eastAsia" w:ascii="宋体" w:hAnsi="宋体" w:eastAsia="宋体" w:cs="宋体"/>
          <w:sz w:val="24"/>
          <w:highlight w:val="none"/>
          <w:lang w:val="en-US" w:eastAsia="zh-CN"/>
          <w14:ligatures w14:val="none"/>
        </w:rPr>
        <w:t>低氮燃烧技术</w:t>
      </w:r>
      <w:r>
        <w:rPr>
          <w:rFonts w:hint="eastAsia" w:ascii="宋体" w:hAnsi="宋体" w:eastAsia="宋体" w:cs="宋体"/>
          <w:color w:val="auto"/>
          <w:sz w:val="24"/>
          <w:highlight w:val="none"/>
          <w:lang w:val="en-US" w:eastAsia="zh-CN"/>
          <w14:ligatures w14:val="none"/>
        </w:rPr>
        <w:t>，</w:t>
      </w:r>
      <w:r>
        <w:rPr>
          <w:rFonts w:hint="eastAsia" w:ascii="仿宋" w:hAnsi="仿宋" w:eastAsia="仿宋" w:cs="仿宋"/>
          <w:color w:val="auto"/>
          <w:sz w:val="24"/>
          <w:szCs w:val="24"/>
        </w:rPr>
        <w:t>氮氧化物排放浓度≤50mg/m³</w:t>
      </w:r>
      <w:r>
        <w:rPr>
          <w:rFonts w:hint="eastAsia" w:ascii="宋体" w:hAnsi="宋体" w:eastAsia="宋体" w:cs="宋体"/>
          <w:color w:val="auto"/>
          <w:sz w:val="24"/>
          <w:szCs w:val="24"/>
          <w:highlight w:val="none"/>
          <w:lang w:val="en-US" w:eastAsia="zh-CN"/>
          <w14:ligatures w14:val="none"/>
        </w:rPr>
        <w:t>。</w:t>
      </w:r>
      <w:r>
        <w:rPr>
          <w:rFonts w:hint="eastAsia" w:ascii="宋体" w:hAnsi="宋体" w:eastAsia="宋体" w:cs="宋体"/>
          <w:color w:val="auto"/>
          <w:sz w:val="24"/>
          <w:highlight w:val="none"/>
          <w:lang w:val="en-US" w:eastAsia="zh-CN"/>
          <w14:ligatures w14:val="none"/>
        </w:rPr>
        <w:t>燃烧器的管路从现有管道处引入，所需要的管道包含在投标方案中。燃烧器配备德图烟气分析仪用于监控燃烧器运行状态。</w:t>
      </w:r>
    </w:p>
    <w:p>
      <w:pPr>
        <w:keepNext w:val="0"/>
        <w:keepLines w:val="0"/>
        <w:pageBreakBefore w:val="0"/>
        <w:widowControl w:val="0"/>
        <w:kinsoku/>
        <w:wordWrap/>
        <w:overflowPunct w:val="0"/>
        <w:topLinePunct w:val="0"/>
        <w:autoSpaceDE/>
        <w:autoSpaceDN/>
        <w:bidi w:val="0"/>
        <w:adjustRightInd/>
        <w:snapToGrid/>
        <w:spacing w:after="0" w:line="360" w:lineRule="auto"/>
        <w:ind w:firstLine="480" w:firstLineChars="200"/>
        <w:textAlignment w:val="auto"/>
        <w:rPr>
          <w:rFonts w:hint="default"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现场天然气压力为35kpa，燃烧器总管路上配备电子天然气流量计、自动断燃气电磁阀、可燃气体报警探头，报警探头接入消防监控室。</w:t>
      </w:r>
    </w:p>
    <w:p>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箱体风机安装在钢结构平台：立柱：150*150*4.5mm方管，14号槽钢、方管框架，2.5mm花纹板底面，平台配备斜梯、护栏、踢脚线。</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不锈钢换热器：SUS304、3.0mm不锈钢板</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天然气报警装置：在燃烧器天然气管道上方安装可燃气体报警探头，探头接入现有的控制器。</w:t>
      </w:r>
    </w:p>
    <w:p>
      <w:pPr>
        <w:spacing w:after="0" w:line="360" w:lineRule="auto"/>
        <w:ind w:firstLine="480" w:firstLineChars="200"/>
        <w:jc w:val="both"/>
        <w:rPr>
          <w:rFonts w:hint="default"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耐高温风机:根据实际工况选择合适风量的耐高温循环风机，风量不低于40000m³/h，换气次数5-10次/分，循环风机绝缘温度等级F级，过滤等级不低于F6，尺寸580*440*20。补充新风过滤等级不低于G4，过滤器两端安装电子压差计，压差计信号接入PLC控制系统，压差超过设定值后系统报警，提醒操作者更换过滤棉。原水分烘干室、面漆烘干室及新增水分烘干室过滤器与换热器之间配备热电偶及温控器，当温度超过设定温度时，关闭燃烧器及天然气，防止事故发生。</w:t>
      </w:r>
    </w:p>
    <w:p>
      <w:pPr>
        <w:spacing w:after="0" w:line="360" w:lineRule="auto"/>
        <w:ind w:firstLine="480" w:firstLineChars="200"/>
        <w:jc w:val="both"/>
        <w:rPr>
          <w:rFonts w:hint="default"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风机配备变频器。</w:t>
      </w:r>
      <w:r>
        <w:rPr>
          <w:rFonts w:hint="eastAsia" w:ascii="宋体" w:hAnsi="宋体" w:eastAsia="宋体" w:cs="宋体"/>
          <w:color w:val="auto"/>
          <w:sz w:val="24"/>
          <w:highlight w:val="none"/>
          <w:lang w:val="en-US" w:eastAsia="zh-CN"/>
          <w14:ligatures w14:val="none"/>
        </w:rPr>
        <w:t>配备皮带张力计用于检测皮带的运行状态。</w:t>
      </w:r>
    </w:p>
    <w:p>
      <w:pPr>
        <w:spacing w:after="0" w:line="360" w:lineRule="auto"/>
        <w:ind w:firstLine="480" w:firstLineChars="200"/>
        <w:jc w:val="both"/>
        <w:rPr>
          <w:rFonts w:hint="default"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3.4控制系统：</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设备要能检测室体内温度、炉膛内温度、出风口温度，温度具备超温报警功能。</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系统包含：电气柜、PLC、输入输出模块，PLC选用1200系列。</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控制系统充分考虑互锁及逻辑控制，开机时先开风机再开燃烧器，关机时先关燃烧器再关风机，炉内温度可自动按设定数值进行控制，并设超温报警功能。燃烧器配备两套火焰探测器，当探测到外部火焰时，切断燃气电磁阀。</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电气柜配备电子电能表。</w:t>
      </w:r>
    </w:p>
    <w:p>
      <w:pPr>
        <w:overflowPunct w:val="0"/>
        <w:spacing w:line="360" w:lineRule="auto"/>
        <w:ind w:firstLine="480" w:firstLineChars="200"/>
        <w:rPr>
          <w:rFonts w:hint="default"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配备热成像监控系统，可实时监控温度和现场画面，并将监控连至监控室，超过设定值可报警。</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3.5排风机及排烟管改造</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烘干室进出口位置配备防爆风幕，风机功率及风量根据实际工况确定。进出口上部配备轴流风机，轴流风机配备防火阀，风机的出口与VOCs的管道连接。</w:t>
      </w:r>
    </w:p>
    <w:p>
      <w:pPr>
        <w:spacing w:after="0" w:line="360" w:lineRule="auto"/>
        <w:ind w:firstLine="480" w:firstLineChars="200"/>
        <w:jc w:val="both"/>
        <w:rPr>
          <w:rFonts w:hint="default"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3.6其他要求</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输送链1处回转机构固定支架螺栓孔损坏，需要更换回转机构及支架。</w:t>
      </w:r>
    </w:p>
    <w:p>
      <w:pPr>
        <w:spacing w:after="0" w:line="360" w:lineRule="auto"/>
        <w:ind w:firstLine="480" w:firstLineChars="200"/>
        <w:jc w:val="both"/>
        <w:rPr>
          <w:rFonts w:hint="eastAsia" w:ascii="宋体" w:hAnsi="宋体" w:eastAsia="宋体" w:cs="宋体"/>
          <w:color w:val="auto"/>
          <w:sz w:val="24"/>
          <w:highlight w:val="none"/>
          <w:lang w:val="en-US" w:eastAsia="zh-CN"/>
          <w14:ligatures w14:val="none"/>
        </w:rPr>
      </w:pPr>
      <w:r>
        <w:rPr>
          <w:rFonts w:hint="eastAsia" w:ascii="宋体" w:hAnsi="宋体" w:eastAsia="宋体" w:cs="宋体"/>
          <w:color w:val="auto"/>
          <w:sz w:val="24"/>
          <w:highlight w:val="none"/>
          <w:lang w:val="en-US" w:eastAsia="zh-CN"/>
          <w14:ligatures w14:val="none"/>
        </w:rPr>
        <w:t>在输送链上罩光漆烘干室至前处理之间增加一处道岔，按钮控制道岔的动作，增加单独的驱动，用于驱动小车在输送链的两个方向上输送。</w:t>
      </w:r>
    </w:p>
    <w:p>
      <w:pPr>
        <w:spacing w:after="0" w:line="360" w:lineRule="auto"/>
        <w:ind w:firstLine="480" w:firstLineChars="200"/>
        <w:jc w:val="both"/>
        <w:rPr>
          <w:rFonts w:hint="default" w:ascii="宋体" w:hAnsi="宋体" w:eastAsia="宋体" w:cs="宋体"/>
          <w:color w:val="auto"/>
          <w:sz w:val="24"/>
          <w:highlight w:val="none"/>
          <w:lang w:val="en-US" w:eastAsia="zh-CN"/>
          <w14:ligatures w14:val="none"/>
        </w:rPr>
      </w:pPr>
      <w:r>
        <w:rPr>
          <w:rFonts w:hint="eastAsia" w:ascii="宋体" w:hAnsi="宋体" w:eastAsia="宋体" w:cs="宋体"/>
          <w:color w:val="auto"/>
          <w:sz w:val="24"/>
          <w:highlight w:val="none"/>
          <w:lang w:val="en-US" w:eastAsia="zh-CN"/>
          <w14:ligatures w14:val="none"/>
        </w:rPr>
        <w:t>水分烘干室改造后，烘干室距离喷漆室太近，为了防止夏季温度过高，需要配备空调马甲6套，防止喷漆工人中暑。配备的空调马甲应能在外界环境温度高达40℃时，依然有效工作，确保穿戴者体感温度保持在21-25℃的安全舒适范围，以防止喷漆工人在高温环境下作业中暑。</w:t>
      </w:r>
    </w:p>
    <w:p>
      <w:pPr>
        <w:spacing w:after="0" w:line="360" w:lineRule="auto"/>
        <w:ind w:firstLine="480" w:firstLineChars="200"/>
        <w:jc w:val="both"/>
        <w:rPr>
          <w:rFonts w:hint="default" w:ascii="宋体" w:hAnsi="宋体" w:eastAsia="宋体" w:cs="宋体"/>
          <w:color w:val="FF0000"/>
          <w:sz w:val="24"/>
          <w:highlight w:val="none"/>
          <w:lang w:val="en-US" w:eastAsia="zh-CN"/>
          <w14:ligatures w14:val="none"/>
        </w:rPr>
      </w:pPr>
      <w:r>
        <w:rPr>
          <w:rFonts w:hint="eastAsia" w:ascii="宋体" w:hAnsi="宋体" w:eastAsia="宋体" w:cs="宋体"/>
          <w:color w:val="auto"/>
          <w:sz w:val="24"/>
          <w:highlight w:val="none"/>
          <w:lang w:val="en-US" w:eastAsia="zh-CN"/>
          <w14:ligatures w14:val="none"/>
        </w:rPr>
        <w:t>原水分烘干室、面漆烘干室、新增水分烘干室内的输送链刷高温银粉漆。</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上线升降机配重链条需要更换（招标方提供链条，投标方负责安装附件及安装）。</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为了确保烘干室满足需求，输送链的改造（如停止器移位或者增减）包含在方案中。</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施工中拆除的废材料由投标方负责处置，费用在投标报价中体现。</w:t>
      </w:r>
    </w:p>
    <w:p>
      <w:pPr>
        <w:spacing w:after="0" w:line="360" w:lineRule="auto"/>
        <w:ind w:firstLine="480" w:firstLineChars="200"/>
        <w:jc w:val="both"/>
        <w:rPr>
          <w:rFonts w:hint="eastAsia" w:ascii="宋体" w:hAnsi="宋体" w:eastAsia="宋体" w:cs="宋体"/>
          <w:sz w:val="24"/>
          <w:highlight w:val="none"/>
          <w:lang w:val="en-US" w:eastAsia="zh-CN"/>
          <w14:ligatures w14:val="none"/>
        </w:rPr>
      </w:pPr>
      <w:r>
        <w:rPr>
          <w:rFonts w:hint="eastAsia" w:ascii="宋体" w:hAnsi="宋体" w:eastAsia="宋体" w:cs="宋体"/>
          <w:sz w:val="24"/>
          <w:highlight w:val="none"/>
          <w:lang w:val="en-US" w:eastAsia="zh-CN"/>
          <w14:ligatures w14:val="none"/>
        </w:rPr>
        <w:t>设备所需要的动力电需要由母线排中引入，所需要的插接箱及动力线包含在投标方案中。</w:t>
      </w:r>
    </w:p>
    <w:p>
      <w:pPr>
        <w:spacing w:after="0" w:line="360" w:lineRule="auto"/>
        <w:ind w:firstLine="480" w:firstLineChars="200"/>
        <w:jc w:val="both"/>
        <w:rPr>
          <w:rFonts w:hint="eastAsia" w:ascii="宋体" w:hAnsi="宋体" w:eastAsia="宋体" w:cs="宋体"/>
          <w:color w:val="auto"/>
          <w:sz w:val="24"/>
          <w:highlight w:val="none"/>
          <w:lang w:val="en-US" w:eastAsia="zh-CN"/>
          <w14:ligatures w14:val="none"/>
        </w:rPr>
      </w:pPr>
      <w:r>
        <w:rPr>
          <w:rFonts w:hint="eastAsia" w:ascii="宋体" w:hAnsi="宋体" w:eastAsia="宋体" w:cs="宋体"/>
          <w:color w:val="auto"/>
          <w:sz w:val="24"/>
          <w:highlight w:val="none"/>
          <w:lang w:val="en-US" w:eastAsia="zh-CN"/>
          <w14:ligatures w14:val="none"/>
        </w:rPr>
        <w:t>需要增加等电位接地体5套，将喷漆室、3个烘干室、VOCs等设备的室体、风机、风道等附件进行可靠接地。</w:t>
      </w:r>
    </w:p>
    <w:p>
      <w:pPr>
        <w:spacing w:after="0" w:line="360" w:lineRule="auto"/>
        <w:ind w:firstLine="480" w:firstLineChars="200"/>
        <w:jc w:val="both"/>
        <w:rPr>
          <w:rFonts w:hint="default" w:ascii="宋体" w:hAnsi="宋体" w:eastAsia="宋体" w:cs="宋体"/>
          <w:color w:val="auto"/>
          <w:sz w:val="24"/>
          <w:highlight w:val="none"/>
          <w:lang w:val="en-US" w:eastAsia="zh-CN"/>
          <w14:ligatures w14:val="none"/>
        </w:rPr>
      </w:pPr>
      <w:r>
        <w:rPr>
          <w:rFonts w:hint="eastAsia" w:ascii="宋体" w:hAnsi="宋体" w:eastAsia="宋体" w:cs="宋体"/>
          <w:color w:val="auto"/>
          <w:sz w:val="24"/>
          <w:highlight w:val="none"/>
          <w:lang w:val="en-US" w:eastAsia="zh-CN"/>
          <w14:ligatures w14:val="none"/>
        </w:rPr>
        <w:t>水分烘干室延长部分及现有部分增加消防喷淋管路及喷头。喷淋管路由喷漆室接入，喷头温度141℃。</w:t>
      </w:r>
    </w:p>
    <w:bookmarkEnd w:id="39"/>
    <w:p>
      <w:pPr>
        <w:spacing w:after="0" w:line="360" w:lineRule="auto"/>
        <w:ind w:firstLine="482" w:firstLineChars="200"/>
        <w:jc w:val="both"/>
        <w:rPr>
          <w:rFonts w:hint="eastAsia" w:ascii="宋体" w:hAnsi="宋体" w:eastAsia="宋体" w:cs="宋体"/>
          <w:sz w:val="24"/>
          <w14:ligatures w14:val="none"/>
        </w:rPr>
      </w:pPr>
      <w:bookmarkStart w:id="40" w:name="_Toc338936964"/>
      <w:bookmarkStart w:id="41" w:name="_Toc53110725"/>
      <w:bookmarkStart w:id="42" w:name="_Hlk164784094"/>
      <w:r>
        <w:rPr>
          <w:rFonts w:hint="eastAsia" w:ascii="宋体" w:hAnsi="宋体" w:eastAsia="宋体" w:cs="宋体"/>
          <w:b/>
          <w:bCs/>
          <w:sz w:val="24"/>
          <w:lang w:val="en-US" w:eastAsia="zh-CN"/>
          <w14:ligatures w14:val="none"/>
        </w:rPr>
        <w:t>4</w:t>
      </w:r>
      <w:r>
        <w:rPr>
          <w:rFonts w:hint="eastAsia" w:ascii="宋体" w:hAnsi="宋体" w:eastAsia="宋体" w:cs="宋体"/>
          <w:b/>
          <w:bCs/>
          <w:sz w:val="24"/>
          <w14:ligatures w14:val="none"/>
        </w:rPr>
        <w:t>.安全防护一般性技术要求</w:t>
      </w:r>
      <w:bookmarkEnd w:id="40"/>
      <w:bookmarkEnd w:id="41"/>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4</w:t>
      </w:r>
      <w:r>
        <w:rPr>
          <w:rFonts w:hint="eastAsia" w:ascii="宋体" w:hAnsi="宋体" w:eastAsia="宋体" w:cs="宋体"/>
          <w:sz w:val="24"/>
          <w14:ligatures w14:val="none"/>
        </w:rPr>
        <w:t>.1卖方应对设备的安全性负责，在设计时应注意到整体和局部的安全性问题。</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4</w:t>
      </w:r>
      <w:r>
        <w:rPr>
          <w:rFonts w:hint="eastAsia" w:ascii="宋体" w:hAnsi="宋体" w:eastAsia="宋体" w:cs="宋体"/>
          <w:sz w:val="24"/>
          <w14:ligatures w14:val="none"/>
        </w:rPr>
        <w:t>.2旋转轴、联节器、齿轮和其它旋转部件应完全防护，防护罩的设计应能使人容易接近润滑油脂加注点和其他检查点，以便操作人员能够没有危险的或者不需拆除防护体的任何部件情况下，就可进行日常观察、维修。</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4</w:t>
      </w:r>
      <w:r>
        <w:rPr>
          <w:rFonts w:hint="eastAsia" w:ascii="宋体" w:hAnsi="宋体" w:eastAsia="宋体" w:cs="宋体"/>
          <w:sz w:val="24"/>
          <w14:ligatures w14:val="none"/>
        </w:rPr>
        <w:t>.3各部</w:t>
      </w:r>
      <w:r>
        <w:rPr>
          <w:rFonts w:hint="eastAsia" w:ascii="宋体" w:hAnsi="宋体" w:eastAsia="宋体" w:cs="宋体"/>
          <w:sz w:val="24"/>
          <w:lang w:val="en-US" w:eastAsia="zh-CN"/>
          <w14:ligatures w14:val="none"/>
        </w:rPr>
        <w:t>分</w:t>
      </w:r>
      <w:r>
        <w:rPr>
          <w:rFonts w:hint="eastAsia" w:ascii="宋体" w:hAnsi="宋体" w:eastAsia="宋体" w:cs="宋体"/>
          <w:sz w:val="24"/>
          <w14:ligatures w14:val="none"/>
        </w:rPr>
        <w:t>安全联锁和限位装置、缓冲器、制动器、安全护栏等齐全</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安全可靠。</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4</w:t>
      </w:r>
      <w:r>
        <w:rPr>
          <w:rFonts w:hint="eastAsia" w:ascii="宋体" w:hAnsi="宋体" w:eastAsia="宋体" w:cs="宋体"/>
          <w:sz w:val="24"/>
          <w14:ligatures w14:val="none"/>
        </w:rPr>
        <w:t>.4设备的噪音和振动应符合国家相关标准。</w:t>
      </w:r>
    </w:p>
    <w:p>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4.5</w:t>
      </w:r>
      <w:r>
        <w:rPr>
          <w:rFonts w:ascii="宋体" w:hAnsi="宋体" w:eastAsia="宋体" w:cs="宋体"/>
          <w:sz w:val="24"/>
          <w:szCs w:val="24"/>
        </w:rPr>
        <w:t>天然气燃烧炉燃气安全设施应符合工贸行业重大事故隐患判定标准中机械行业标准要求</w:t>
      </w:r>
      <w:r>
        <w:rPr>
          <w:rFonts w:hint="eastAsia" w:ascii="宋体" w:hAnsi="宋体" w:eastAsia="宋体" w:cs="宋体"/>
          <w:sz w:val="24"/>
          <w:szCs w:val="24"/>
          <w:lang w:eastAsia="zh-CN"/>
        </w:rPr>
        <w:t>，</w:t>
      </w:r>
      <w:r>
        <w:rPr>
          <w:rFonts w:ascii="宋体" w:hAnsi="宋体" w:eastAsia="宋体" w:cs="宋体"/>
          <w:sz w:val="24"/>
          <w:szCs w:val="24"/>
        </w:rPr>
        <w:t>并提供具体操作说明和培训。</w:t>
      </w:r>
    </w:p>
    <w:p>
      <w:pPr>
        <w:pStyle w:val="22"/>
        <w:keepNext w:val="0"/>
        <w:keepLines w:val="0"/>
        <w:pageBreakBefore w:val="0"/>
        <w:widowControl w:val="0"/>
        <w:kinsoku/>
        <w:wordWrap/>
        <w:overflowPunct/>
        <w:topLinePunct w:val="0"/>
        <w:autoSpaceDE/>
        <w:autoSpaceDN/>
        <w:bidi w:val="0"/>
        <w:adjustRightInd/>
        <w:textAlignment w:val="auto"/>
        <w:rPr>
          <w:rFonts w:hint="eastAsia" w:ascii="宋体" w:hAnsi="宋体" w:eastAsia="宋体" w:cs="宋体"/>
          <w:b/>
          <w:bCs/>
          <w:sz w:val="24"/>
          <w:lang w:val="en-US" w:eastAsia="zh-CN"/>
          <w14:ligatures w14:val="none"/>
        </w:rPr>
      </w:pPr>
      <w:r>
        <w:rPr>
          <w:rFonts w:hint="eastAsia" w:ascii="宋体" w:hAnsi="宋体" w:eastAsia="宋体" w:cs="宋体"/>
          <w:sz w:val="24"/>
          <w:lang w:val="en-US" w:eastAsia="zh-CN"/>
          <w14:ligatures w14:val="none"/>
        </w:rPr>
        <w:t xml:space="preserve">    </w:t>
      </w:r>
      <w:r>
        <w:rPr>
          <w:rFonts w:hint="eastAsia" w:ascii="宋体" w:hAnsi="宋体" w:eastAsia="宋体" w:cs="宋体"/>
          <w:b/>
          <w:bCs/>
          <w:sz w:val="24"/>
          <w:lang w:val="en-US" w:eastAsia="zh-CN"/>
          <w14:ligatures w14:val="none"/>
        </w:rPr>
        <w:t>5.电气系统</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5.1 设备的电气控制部分设计、制造和安装应当遵循国家标准和相关规定(如3C认证等)。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5.2 防护等级：电气柜、按钮箱、分线盒、防护等级IP54； 限位、压力等开关防护等级IP65。</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5.3 电气柜：独立落地型。柜内空间大，带照明和维修电源插座，维修电源插座必须配备漏电保护器。</w:t>
      </w:r>
    </w:p>
    <w:p>
      <w:pPr>
        <w:pStyle w:val="22"/>
        <w:keepNext w:val="0"/>
        <w:keepLines w:val="0"/>
        <w:pageBreakBefore w:val="0"/>
        <w:widowControl w:val="0"/>
        <w:kinsoku/>
        <w:wordWrap/>
        <w:overflowPunct/>
        <w:topLinePunct w:val="0"/>
        <w:autoSpaceDE/>
        <w:autoSpaceDN/>
        <w:bidi w:val="0"/>
        <w:adjustRightInd/>
        <w:spacing w:line="360" w:lineRule="auto"/>
        <w:textAlignment w:val="auto"/>
        <w:rPr>
          <w:rFonts w:hint="default"/>
          <w:lang w:val="en-US" w:eastAsia="zh-CN"/>
        </w:rPr>
      </w:pPr>
      <w:r>
        <w:rPr>
          <w:rFonts w:hint="eastAsia" w:ascii="宋体" w:hAnsi="宋体" w:eastAsia="宋体" w:cs="宋体"/>
          <w:color w:val="auto"/>
          <w:sz w:val="24"/>
          <w:szCs w:val="24"/>
          <w:lang w:val="en-US" w:eastAsia="zh-CN"/>
        </w:rPr>
        <w:t xml:space="preserve">    5</w:t>
      </w:r>
      <w:r>
        <w:rPr>
          <w:rFonts w:hint="eastAsia" w:ascii="宋体" w:hAnsi="宋体" w:eastAsia="宋体" w:cs="宋体"/>
          <w:color w:val="auto"/>
          <w:kern w:val="2"/>
          <w:sz w:val="24"/>
          <w:szCs w:val="24"/>
          <w:lang w:val="en-US" w:eastAsia="zh-CN" w:bidi="ar-SA"/>
          <w14:ligatures w14:val="standardContextual"/>
        </w:rPr>
        <w:t>.4接地：电气系统设计时要设计等电位接地装置，将室体、立柱、管道、热风炉、风机等金属部件可靠接地。</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sz w:val="24"/>
          <w:lang w:val="en-US" w:eastAsia="zh-CN"/>
          <w14:ligatures w14:val="none"/>
        </w:rPr>
        <w:t>6.设备漆色：</w:t>
      </w:r>
      <w:r>
        <w:rPr>
          <w:rFonts w:hint="eastAsia" w:ascii="宋体" w:hAnsi="宋体" w:eastAsia="宋体" w:cs="宋体"/>
          <w:color w:val="auto"/>
          <w:sz w:val="24"/>
          <w:szCs w:val="24"/>
          <w:lang w:val="en-US" w:eastAsia="zh-CN"/>
        </w:rPr>
        <w:t>设备外观（含原产线设备）喷涂颜色按中国重型汽车集团有限公司设备设施颜色标识附件4《Q/ZZ 30070—2020》规定执行。机器人颜色按原生产线颜色执行。</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sz w:val="24"/>
          <w:lang w:val="en-US" w:eastAsia="zh-CN"/>
          <w14:ligatures w14:val="none"/>
        </w:rPr>
        <w:t>7.标识：</w:t>
      </w:r>
      <w:r>
        <w:rPr>
          <w:rFonts w:hint="eastAsia" w:ascii="宋体" w:hAnsi="宋体" w:eastAsia="宋体" w:cs="宋体"/>
          <w:color w:val="auto"/>
          <w:sz w:val="24"/>
          <w:szCs w:val="24"/>
          <w:lang w:val="en-US" w:eastAsia="zh-CN"/>
        </w:rPr>
        <w:t>电气系统、气动系统、油路系统都要有明确标识。液位、气压等有明显的上下限识别标识；气动系统、油路系统的管路有进出方向标识；电气柜各元器件标识明确、线缆线号便于维修时查找。</w:t>
      </w:r>
    </w:p>
    <w:p>
      <w:pPr>
        <w:keepNext w:val="0"/>
        <w:keepLines w:val="0"/>
        <w:pageBreakBefore w:val="0"/>
        <w:widowControl w:val="0"/>
        <w:kinsoku/>
        <w:wordWrap/>
        <w:overflowPunct/>
        <w:topLinePunct w:val="0"/>
        <w:autoSpaceDE/>
        <w:autoSpaceDN/>
        <w:bidi w:val="0"/>
        <w:adjustRightInd/>
        <w:spacing w:after="0" w:line="360" w:lineRule="auto"/>
        <w:ind w:firstLine="482" w:firstLineChars="200"/>
        <w:jc w:val="both"/>
        <w:textAlignment w:val="auto"/>
        <w:rPr>
          <w:rFonts w:hint="eastAsia" w:ascii="宋体" w:hAnsi="宋体" w:eastAsia="宋体" w:cs="宋体"/>
          <w:b/>
          <w:bCs/>
          <w:sz w:val="24"/>
          <w:lang w:val="en-US" w:eastAsia="zh-CN"/>
          <w14:ligatures w14:val="none"/>
        </w:rPr>
      </w:pPr>
      <w:r>
        <w:rPr>
          <w:rFonts w:hint="eastAsia" w:ascii="宋体" w:hAnsi="宋体" w:eastAsia="宋体" w:cs="宋体"/>
          <w:b/>
          <w:bCs/>
          <w:sz w:val="24"/>
          <w:lang w:val="en-US" w:eastAsia="zh-CN"/>
          <w14:ligatures w14:val="none"/>
        </w:rPr>
        <w:t>8.测量设备要求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方提供《监视、测量设备清单》，清单应包含所有监视和测量设备，如：压力表、温度计、流量计、传感器等。验收前，需提供清单中设备对应的国家、省、市、县级法定计量检测机构第三方检测机构出具的检定、校准或测试报告。</w:t>
      </w:r>
    </w:p>
    <w:p>
      <w:pPr>
        <w:keepNext w:val="0"/>
        <w:keepLines w:val="0"/>
        <w:pageBreakBefore w:val="0"/>
        <w:widowControl w:val="0"/>
        <w:kinsoku/>
        <w:wordWrap/>
        <w:overflowPunct/>
        <w:topLinePunct w:val="0"/>
        <w:autoSpaceDE/>
        <w:autoSpaceDN/>
        <w:bidi w:val="0"/>
        <w:adjustRightInd/>
        <w:spacing w:after="0" w:line="360" w:lineRule="auto"/>
        <w:ind w:firstLine="482" w:firstLineChars="200"/>
        <w:jc w:val="both"/>
        <w:textAlignment w:val="auto"/>
        <w:rPr>
          <w:rFonts w:hint="eastAsia" w:ascii="宋体" w:hAnsi="宋体" w:eastAsia="宋体" w:cs="宋体"/>
          <w:b/>
          <w:bCs/>
          <w:sz w:val="24"/>
          <w:lang w:val="en-US" w:eastAsia="zh-CN"/>
          <w14:ligatures w14:val="none"/>
        </w:rPr>
      </w:pPr>
      <w:r>
        <w:rPr>
          <w:rFonts w:hint="eastAsia" w:ascii="宋体" w:hAnsi="宋体" w:eastAsia="宋体" w:cs="宋体"/>
          <w:b/>
          <w:bCs/>
          <w:sz w:val="24"/>
          <w:lang w:val="en-US" w:eastAsia="zh-CN"/>
          <w14:ligatures w14:val="none"/>
        </w:rPr>
        <w:t>9.程序图纸要求</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必须提供所有设备程序的源代码，包括但不限于 PLC程序、HMI 程序等。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所提供的程序不得设置任何密码、保护等限制手段，PLC 不得设置修改下载权限，功能块不得设置密码保护。</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.3 HMI 界面等需要密码保护的程序，</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必须提供所有级别的用户名、密码。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 xml:space="preserve">.4 </w:t>
      </w:r>
      <w:r>
        <w:rPr>
          <w:rFonts w:hint="eastAsia" w:ascii="宋体" w:hAnsi="宋体" w:eastAsia="宋体" w:cs="Times New Roman"/>
          <w:color w:val="auto"/>
          <w:sz w:val="24"/>
          <w:szCs w:val="24"/>
          <w:highlight w:val="none"/>
          <w:lang w:val="en-US" w:eastAsia="zh-CN"/>
        </w:rPr>
        <w:t>投标</w:t>
      </w:r>
      <w:r>
        <w:rPr>
          <w:rFonts w:hint="eastAsia" w:ascii="宋体" w:hAnsi="宋体" w:eastAsia="宋体" w:cs="Times New Roman"/>
          <w:color w:val="auto"/>
          <w:sz w:val="24"/>
          <w:szCs w:val="24"/>
          <w:highlight w:val="none"/>
        </w:rPr>
        <w:t>方需在设备</w:t>
      </w:r>
      <w:r>
        <w:rPr>
          <w:rFonts w:hint="eastAsia" w:ascii="宋体" w:hAnsi="宋体" w:eastAsia="宋体" w:cs="Times New Roman"/>
          <w:color w:val="auto"/>
          <w:sz w:val="24"/>
          <w:szCs w:val="24"/>
          <w:highlight w:val="none"/>
          <w:lang w:val="en-US" w:eastAsia="zh-CN"/>
        </w:rPr>
        <w:t>验收</w:t>
      </w:r>
      <w:r>
        <w:rPr>
          <w:rFonts w:hint="eastAsia" w:ascii="宋体" w:hAnsi="宋体" w:eastAsia="宋体" w:cs="Times New Roman"/>
          <w:color w:val="auto"/>
          <w:sz w:val="24"/>
          <w:szCs w:val="24"/>
          <w:highlight w:val="none"/>
        </w:rPr>
        <w:t>前提供设备程序源码，HMI 界面各级用户名和密码，并保证与现场程序一致。</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 xml:space="preserve">.5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需在终验收前提供最新的设备程序源码和电气图纸，图纸要求为可编辑原格式（EPLAN、CAD 格式）且与实际接线一致。</w:t>
      </w:r>
    </w:p>
    <w:p>
      <w:pPr>
        <w:keepNext w:val="0"/>
        <w:keepLines w:val="0"/>
        <w:pageBreakBefore w:val="0"/>
        <w:widowControl w:val="0"/>
        <w:kinsoku/>
        <w:wordWrap/>
        <w:overflowPunct/>
        <w:topLinePunct w:val="0"/>
        <w:autoSpaceDE/>
        <w:autoSpaceDN/>
        <w:bidi w:val="0"/>
        <w:adjustRightInd/>
        <w:spacing w:after="0" w:line="360" w:lineRule="auto"/>
        <w:ind w:firstLine="482" w:firstLineChars="200"/>
        <w:jc w:val="both"/>
        <w:textAlignment w:val="auto"/>
        <w:rPr>
          <w:rFonts w:hint="eastAsia" w:ascii="宋体" w:hAnsi="宋体" w:eastAsia="宋体" w:cs="宋体"/>
          <w:b/>
          <w:bCs/>
          <w:sz w:val="24"/>
          <w:lang w:val="en-US" w:eastAsia="zh-CN"/>
          <w14:ligatures w14:val="none"/>
        </w:rPr>
      </w:pPr>
      <w:r>
        <w:rPr>
          <w:rFonts w:hint="eastAsia" w:ascii="宋体" w:hAnsi="宋体" w:eastAsia="宋体" w:cs="宋体"/>
          <w:b/>
          <w:bCs/>
          <w:sz w:val="24"/>
          <w:lang w:val="en-US" w:eastAsia="zh-CN"/>
          <w14:ligatures w14:val="none"/>
        </w:rPr>
        <w:t>10.接口协议要求</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免费开放所有通讯接口，包括但不限于以太网、RS232、RS485、PROFIBUS、PROFINET、MODBUS 等常见接口，以及设备特有的专用接口。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免费提供数据交互功能，交互数据包括但不限于实时数据、历史数据、报警信息等。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在设备入场前提供接口的技术文档和参数说明，包括但不限于接口协议、通讯速率、数据格式等。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rPr>
        <w:t>.4 设备使用周期内，</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免费派遣技术人员与</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rPr>
        <w:t>方调试团队共同进行设备通讯接口的调试工作。</w:t>
      </w:r>
    </w:p>
    <w:p>
      <w:pPr>
        <w:keepNext w:val="0"/>
        <w:keepLines w:val="0"/>
        <w:pageBreakBefore w:val="0"/>
        <w:widowControl w:val="0"/>
        <w:kinsoku/>
        <w:wordWrap/>
        <w:overflowPunct/>
        <w:topLinePunct w:val="0"/>
        <w:autoSpaceDE/>
        <w:autoSpaceDN/>
        <w:bidi w:val="0"/>
        <w:adjustRightInd/>
        <w:spacing w:after="0" w:line="360" w:lineRule="auto"/>
        <w:ind w:firstLine="482" w:firstLineChars="200"/>
        <w:jc w:val="both"/>
        <w:textAlignment w:val="auto"/>
        <w:rPr>
          <w:rFonts w:hint="default" w:ascii="宋体" w:hAnsi="宋体" w:eastAsia="宋体" w:cs="宋体"/>
          <w:b/>
          <w:bCs/>
          <w:sz w:val="24"/>
          <w:lang w:val="en-US" w:eastAsia="zh-CN"/>
          <w14:ligatures w14:val="none"/>
        </w:rPr>
      </w:pPr>
      <w:r>
        <w:rPr>
          <w:rFonts w:hint="eastAsia" w:ascii="宋体" w:hAnsi="宋体" w:eastAsia="宋体" w:cs="宋体"/>
          <w:b/>
          <w:bCs/>
          <w:sz w:val="24"/>
          <w:lang w:val="en-US" w:eastAsia="zh-CN"/>
          <w14:ligatures w14:val="none"/>
        </w:rPr>
        <w:t>11.能效要求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电</w:t>
      </w:r>
      <w:r>
        <w:rPr>
          <w:rFonts w:hint="eastAsia" w:ascii="宋体" w:hAnsi="宋体" w:eastAsia="宋体" w:cs="Times New Roman"/>
          <w:color w:val="auto"/>
          <w:sz w:val="24"/>
          <w:szCs w:val="24"/>
          <w:highlight w:val="none"/>
        </w:rPr>
        <w:t>新增设备配备的节能要求：电机功率≥7.5KW时，必须选用一级能效；电机功率＜7.5KW时，优先选用一级能效；对于能源供应类设备及年运行时间≥2000小时工艺设备的电机必须选用一级能效；禁止使用三级及以下能效电机；空调必须选用一级能效；变压器最低选用二级能效</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风机最低选用二级能效</w:t>
      </w:r>
      <w:r>
        <w:rPr>
          <w:rFonts w:hint="eastAsia" w:ascii="宋体" w:hAnsi="宋体" w:eastAsia="宋体" w:cs="Times New Roman"/>
          <w:color w:val="auto"/>
          <w:sz w:val="24"/>
          <w:szCs w:val="24"/>
          <w:highlight w:val="none"/>
        </w:rPr>
        <w:t>。</w:t>
      </w:r>
    </w:p>
    <w:bookmarkEnd w:id="42"/>
    <w:p>
      <w:pPr>
        <w:spacing w:after="0" w:line="360" w:lineRule="auto"/>
        <w:ind w:firstLine="482" w:firstLineChars="200"/>
        <w:jc w:val="both"/>
        <w:rPr>
          <w:rFonts w:hint="eastAsia" w:ascii="宋体" w:hAnsi="宋体" w:eastAsia="宋体" w:cs="宋体"/>
          <w:b/>
          <w:bCs/>
          <w:sz w:val="24"/>
          <w:highlight w:val="none"/>
          <w14:ligatures w14:val="none"/>
        </w:rPr>
      </w:pPr>
      <w:bookmarkStart w:id="43" w:name="_Toc53110726"/>
      <w:bookmarkStart w:id="44" w:name="_Toc338936966"/>
      <w:r>
        <w:rPr>
          <w:rFonts w:hint="eastAsia" w:ascii="宋体" w:hAnsi="宋体" w:eastAsia="宋体" w:cs="宋体"/>
          <w:b/>
          <w:bCs/>
          <w:sz w:val="24"/>
          <w:highlight w:val="none"/>
          <w:lang w:val="en-US" w:eastAsia="zh-CN"/>
          <w14:ligatures w14:val="none"/>
        </w:rPr>
        <w:t>12</w:t>
      </w:r>
      <w:r>
        <w:rPr>
          <w:rFonts w:hint="eastAsia" w:ascii="宋体" w:hAnsi="宋体" w:eastAsia="宋体" w:cs="宋体"/>
          <w:b/>
          <w:bCs/>
          <w:sz w:val="24"/>
          <w:highlight w:val="none"/>
          <w14:ligatures w14:val="none"/>
        </w:rPr>
        <w:t>.关于文件及技术资料</w:t>
      </w:r>
      <w:bookmarkEnd w:id="43"/>
      <w:r>
        <w:rPr>
          <w:rFonts w:hint="eastAsia" w:ascii="宋体" w:hAnsi="宋体" w:eastAsia="宋体" w:cs="宋体"/>
          <w:b/>
          <w:bCs/>
          <w:sz w:val="24"/>
          <w:highlight w:val="none"/>
          <w14:ligatures w14:val="none"/>
        </w:rPr>
        <w:t>一般性要求</w:t>
      </w:r>
      <w:bookmarkEnd w:id="44"/>
    </w:p>
    <w:p>
      <w:pPr>
        <w:spacing w:after="0" w:line="360" w:lineRule="auto"/>
        <w:ind w:firstLine="480" w:firstLineChars="200"/>
        <w:jc w:val="both"/>
        <w:rPr>
          <w:rFonts w:hint="eastAsia" w:ascii="宋体" w:hAnsi="宋体" w:eastAsia="宋体" w:cs="宋体"/>
          <w:sz w:val="24"/>
          <w:highlight w:val="none"/>
          <w14:ligatures w14:val="none"/>
        </w:rPr>
      </w:pPr>
      <w:r>
        <w:rPr>
          <w:rFonts w:hint="eastAsia" w:ascii="宋体" w:hAnsi="宋体" w:eastAsia="宋体" w:cs="宋体"/>
          <w:sz w:val="24"/>
          <w:highlight w:val="none"/>
          <w:lang w:val="en-US" w:eastAsia="zh-CN"/>
          <w14:ligatures w14:val="none"/>
        </w:rPr>
        <w:t>12</w:t>
      </w:r>
      <w:r>
        <w:rPr>
          <w:rFonts w:hint="eastAsia" w:ascii="宋体" w:hAnsi="宋体" w:eastAsia="宋体" w:cs="宋体"/>
          <w:sz w:val="24"/>
          <w:highlight w:val="none"/>
          <w14:ligatures w14:val="none"/>
        </w:rPr>
        <w:t>.1提供合同设备的所有技术文件和图纸资料。</w:t>
      </w:r>
    </w:p>
    <w:p>
      <w:pPr>
        <w:spacing w:after="0" w:line="360" w:lineRule="auto"/>
        <w:ind w:firstLine="480" w:firstLineChars="200"/>
        <w:jc w:val="both"/>
        <w:rPr>
          <w:rFonts w:hint="eastAsia" w:ascii="宋体" w:hAnsi="宋体" w:eastAsia="宋体" w:cs="宋体"/>
          <w:sz w:val="24"/>
          <w:highlight w:val="none"/>
          <w14:ligatures w14:val="none"/>
        </w:rPr>
      </w:pPr>
      <w:r>
        <w:rPr>
          <w:rFonts w:hint="eastAsia" w:ascii="宋体" w:hAnsi="宋体" w:eastAsia="宋体" w:cs="宋体"/>
          <w:sz w:val="24"/>
          <w:highlight w:val="none"/>
          <w:lang w:val="en-US" w:eastAsia="zh-CN"/>
          <w14:ligatures w14:val="none"/>
        </w:rPr>
        <w:t>12</w:t>
      </w:r>
      <w:r>
        <w:rPr>
          <w:rFonts w:hint="eastAsia" w:ascii="宋体" w:hAnsi="宋体" w:eastAsia="宋体" w:cs="宋体"/>
          <w:sz w:val="24"/>
          <w:highlight w:val="none"/>
          <w14:ligatures w14:val="none"/>
        </w:rPr>
        <w:t>.2每套机械设备图纸应满足下列要求：</w:t>
      </w:r>
    </w:p>
    <w:p>
      <w:pPr>
        <w:spacing w:after="0" w:line="360" w:lineRule="auto"/>
        <w:ind w:firstLine="480" w:firstLineChars="200"/>
        <w:jc w:val="both"/>
        <w:rPr>
          <w:rFonts w:hint="eastAsia" w:ascii="宋体" w:hAnsi="宋体" w:eastAsia="宋体" w:cs="宋体"/>
          <w:sz w:val="24"/>
          <w:highlight w:val="none"/>
          <w14:ligatures w14:val="none"/>
        </w:rPr>
      </w:pPr>
      <w:r>
        <w:rPr>
          <w:rFonts w:hint="eastAsia" w:ascii="宋体" w:hAnsi="宋体" w:eastAsia="宋体" w:cs="宋体"/>
          <w:sz w:val="24"/>
          <w:highlight w:val="none"/>
          <w:lang w:val="en-US" w:eastAsia="zh-CN"/>
          <w14:ligatures w14:val="none"/>
        </w:rPr>
        <w:t>12</w:t>
      </w:r>
      <w:r>
        <w:rPr>
          <w:rFonts w:hint="eastAsia" w:ascii="宋体" w:hAnsi="宋体" w:eastAsia="宋体" w:cs="宋体"/>
          <w:sz w:val="24"/>
          <w:highlight w:val="none"/>
          <w14:ligatures w14:val="none"/>
        </w:rPr>
        <w:t>.2.1标明详细的结构尺寸、材料以及其它辅助设备的重量、外形、必要的剖面图；</w:t>
      </w:r>
    </w:p>
    <w:p>
      <w:pPr>
        <w:spacing w:after="0" w:line="360" w:lineRule="auto"/>
        <w:ind w:firstLine="480" w:firstLineChars="200"/>
        <w:jc w:val="both"/>
        <w:rPr>
          <w:rFonts w:hint="eastAsia" w:ascii="宋体" w:hAnsi="宋体" w:eastAsia="宋体" w:cs="宋体"/>
          <w:sz w:val="24"/>
          <w:highlight w:val="none"/>
          <w14:ligatures w14:val="none"/>
        </w:rPr>
      </w:pPr>
      <w:r>
        <w:rPr>
          <w:rFonts w:hint="eastAsia" w:ascii="宋体" w:hAnsi="宋体" w:eastAsia="宋体" w:cs="宋体"/>
          <w:sz w:val="24"/>
          <w:highlight w:val="none"/>
          <w:lang w:val="en-US" w:eastAsia="zh-CN"/>
          <w14:ligatures w14:val="none"/>
        </w:rPr>
        <w:t>12</w:t>
      </w:r>
      <w:r>
        <w:rPr>
          <w:rFonts w:hint="eastAsia" w:ascii="宋体" w:hAnsi="宋体" w:eastAsia="宋体" w:cs="宋体"/>
          <w:sz w:val="24"/>
          <w:highlight w:val="none"/>
          <w14:ligatures w14:val="none"/>
        </w:rPr>
        <w:t>.2.2主要部件、产品的材料、名称、型号、数量、性能等详细资料；</w:t>
      </w:r>
    </w:p>
    <w:p>
      <w:pPr>
        <w:spacing w:after="0" w:line="360" w:lineRule="auto"/>
        <w:ind w:firstLine="480" w:firstLineChars="200"/>
        <w:jc w:val="both"/>
        <w:rPr>
          <w:rFonts w:hint="eastAsia" w:ascii="宋体" w:hAnsi="宋体" w:eastAsia="宋体" w:cs="宋体"/>
          <w:sz w:val="24"/>
          <w:highlight w:val="none"/>
          <w14:ligatures w14:val="none"/>
        </w:rPr>
      </w:pPr>
      <w:r>
        <w:rPr>
          <w:rFonts w:hint="eastAsia" w:ascii="宋体" w:hAnsi="宋体" w:eastAsia="宋体" w:cs="宋体"/>
          <w:sz w:val="24"/>
          <w:highlight w:val="none"/>
          <w:lang w:val="en-US" w:eastAsia="zh-CN"/>
          <w14:ligatures w14:val="none"/>
        </w:rPr>
        <w:t>12</w:t>
      </w:r>
      <w:r>
        <w:rPr>
          <w:rFonts w:hint="eastAsia" w:ascii="宋体" w:hAnsi="宋体" w:eastAsia="宋体" w:cs="宋体"/>
          <w:sz w:val="24"/>
          <w:highlight w:val="none"/>
          <w14:ligatures w14:val="none"/>
        </w:rPr>
        <w:t>.2.3配套显示压力、流量表的合格证、质量检验报告等相关资料。</w:t>
      </w:r>
    </w:p>
    <w:p>
      <w:pPr>
        <w:spacing w:after="0" w:line="360" w:lineRule="auto"/>
        <w:ind w:firstLine="482" w:firstLineChars="200"/>
        <w:jc w:val="both"/>
        <w:rPr>
          <w:rFonts w:hint="eastAsia" w:ascii="宋体" w:hAnsi="宋体" w:eastAsia="宋体" w:cs="宋体"/>
          <w:b/>
          <w:bCs/>
          <w:sz w:val="24"/>
          <w14:ligatures w14:val="none"/>
        </w:rPr>
      </w:pPr>
      <w:bookmarkStart w:id="45" w:name="_Toc535375595"/>
      <w:bookmarkStart w:id="46" w:name="_Toc535381333"/>
      <w:bookmarkStart w:id="47" w:name="_Toc535382301"/>
      <w:bookmarkStart w:id="48" w:name="_Toc535381441"/>
      <w:bookmarkStart w:id="49" w:name="_Toc535394334"/>
      <w:bookmarkStart w:id="50" w:name="_Toc535382137"/>
      <w:bookmarkStart w:id="51" w:name="_Toc2479125"/>
      <w:bookmarkStart w:id="52" w:name="_Toc15175272"/>
      <w:bookmarkStart w:id="53" w:name="_Toc338936969"/>
      <w:r>
        <w:rPr>
          <w:rFonts w:hint="eastAsia" w:ascii="宋体" w:hAnsi="宋体" w:eastAsia="宋体" w:cs="宋体"/>
          <w:b/>
          <w:bCs/>
          <w:sz w:val="24"/>
          <w:lang w:val="en-US" w:eastAsia="zh-CN"/>
          <w14:ligatures w14:val="none"/>
        </w:rPr>
        <w:t>13</w:t>
      </w:r>
      <w:r>
        <w:rPr>
          <w:rFonts w:hint="eastAsia" w:ascii="宋体" w:hAnsi="宋体" w:eastAsia="宋体" w:cs="宋体"/>
          <w:b/>
          <w:bCs/>
          <w:sz w:val="24"/>
          <w14:ligatures w14:val="none"/>
        </w:rPr>
        <w:t>.质量保证</w:t>
      </w:r>
      <w:bookmarkEnd w:id="45"/>
      <w:bookmarkEnd w:id="46"/>
      <w:bookmarkEnd w:id="47"/>
      <w:bookmarkEnd w:id="48"/>
      <w:bookmarkEnd w:id="49"/>
      <w:bookmarkEnd w:id="50"/>
      <w:r>
        <w:rPr>
          <w:rFonts w:hint="eastAsia" w:ascii="宋体" w:hAnsi="宋体" w:eastAsia="宋体" w:cs="宋体"/>
          <w:b/>
          <w:bCs/>
          <w:sz w:val="24"/>
          <w14:ligatures w14:val="none"/>
        </w:rPr>
        <w:t>及售后服务</w:t>
      </w:r>
      <w:bookmarkEnd w:id="51"/>
      <w:bookmarkEnd w:id="52"/>
      <w:r>
        <w:rPr>
          <w:rFonts w:hint="eastAsia" w:ascii="宋体" w:hAnsi="宋体" w:eastAsia="宋体" w:cs="宋体"/>
          <w:b/>
          <w:bCs/>
          <w:sz w:val="24"/>
          <w14:ligatures w14:val="none"/>
        </w:rPr>
        <w:t>要求</w:t>
      </w:r>
      <w:bookmarkEnd w:id="53"/>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13</w:t>
      </w:r>
      <w:r>
        <w:rPr>
          <w:rFonts w:hint="eastAsia" w:ascii="宋体" w:hAnsi="宋体" w:eastAsia="宋体" w:cs="宋体"/>
          <w:sz w:val="24"/>
          <w14:ligatures w14:val="none"/>
        </w:rPr>
        <w:t>.1质量保证体系：供货方应建立贯穿整个建造过程的全面质量管理体系，用户有权要求供货方对其质量管理体系进行改进。</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13</w:t>
      </w:r>
      <w:r>
        <w:rPr>
          <w:rFonts w:hint="eastAsia" w:ascii="宋体" w:hAnsi="宋体" w:eastAsia="宋体" w:cs="宋体"/>
          <w:sz w:val="24"/>
          <w14:ligatures w14:val="none"/>
        </w:rPr>
        <w:t>.2项目管理方案：供货方对本项目要有一个完整的项目管理方案，在投标或签订技术协议时，应提供项目管理文件供用户认可，用户有权要求供货方对其项目管理方案进行改进，为双方在项目管理方面的密切配合建立良好的基础。</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13</w:t>
      </w:r>
      <w:r>
        <w:rPr>
          <w:rFonts w:hint="eastAsia" w:ascii="宋体" w:hAnsi="宋体" w:eastAsia="宋体" w:cs="宋体"/>
          <w:sz w:val="24"/>
          <w14:ligatures w14:val="none"/>
        </w:rPr>
        <w:t>.3交工验收完成后质量保证期为12个月。</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13</w:t>
      </w:r>
      <w:r>
        <w:rPr>
          <w:rFonts w:hint="eastAsia" w:ascii="宋体" w:hAnsi="宋体" w:eastAsia="宋体" w:cs="宋体"/>
          <w:sz w:val="24"/>
          <w14:ligatures w14:val="none"/>
        </w:rPr>
        <w:t>.4设备改造所选的机械、电器元件和部件质量要有充分保证。供应商需要在国内拥有完整的售后服务体系，以便为快速服务提供充分的保障。做到有问题8小时内到达现场，主要零部件或及备件能够在24小时内立即供应。</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13</w:t>
      </w:r>
      <w:r>
        <w:rPr>
          <w:rFonts w:hint="eastAsia" w:ascii="宋体" w:hAnsi="宋体" w:eastAsia="宋体" w:cs="宋体"/>
          <w:sz w:val="24"/>
          <w14:ligatures w14:val="none"/>
        </w:rPr>
        <w:t>.5在质量保证期外，制造厂家能够继续提供良好的售后服务和维修保养方案。</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lang w:val="en-US" w:eastAsia="zh-CN"/>
          <w14:ligatures w14:val="none"/>
        </w:rPr>
        <w:t>13</w:t>
      </w:r>
      <w:r>
        <w:rPr>
          <w:rFonts w:hint="eastAsia" w:ascii="宋体" w:hAnsi="宋体" w:eastAsia="宋体" w:cs="宋体"/>
          <w:sz w:val="24"/>
          <w14:ligatures w14:val="none"/>
        </w:rPr>
        <w:t>.6本项目交工验收后供货方应有定期回访，回访时间间隔不超过一年。</w:t>
      </w:r>
    </w:p>
    <w:p>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四、执行标准</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1.招标人此处所列标准仅为涉及的主要标准，而且不保证其为最新版执行标准；投标人应当在投标文件中认真予以填写、补充和修改完善。</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2.投标人需要执行的标准，应当采用所供货物通过买方组织的最终验收之日已经开始执行的最新标准。</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3.采购货物的产品质量、技术标准如在招投标文件中无相应说明，则按中华人民共和国有关部门颁发的最新的国标或专业（部）标准执行及相应的国际标准。</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4.采购货物没有国家或专业（部）标准的，按企业标准执行时，卖方应在合同签署之前，将所涉及的企业标准提供给买方确认。</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5.采购货物如果采用国际标准，其执行标准由投标人提供、招标人确认。</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6.采购货物所涉及的标准不统一时，原则上按照最严格标准执行。</w:t>
      </w:r>
    </w:p>
    <w:p>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第三章  供货范围及供货方式</w:t>
      </w:r>
      <w:bookmarkEnd w:id="38"/>
    </w:p>
    <w:p>
      <w:pPr>
        <w:spacing w:after="0" w:line="240" w:lineRule="auto"/>
        <w:jc w:val="both"/>
        <w:rPr>
          <w:rFonts w:hint="eastAsia" w:ascii="等线" w:hAnsi="等线" w:eastAsia="等线" w:cs="Times New Roman"/>
          <w:sz w:val="21"/>
          <w:szCs w:val="22"/>
          <w14:ligatures w14:val="none"/>
        </w:rPr>
      </w:pPr>
    </w:p>
    <w:p>
      <w:pPr>
        <w:keepNext/>
        <w:keepLines/>
        <w:spacing w:after="0" w:line="360" w:lineRule="auto"/>
        <w:jc w:val="center"/>
        <w:outlineLvl w:val="2"/>
        <w:rPr>
          <w:rFonts w:hint="eastAsia" w:ascii="宋体" w:hAnsi="宋体" w:eastAsia="宋体" w:cs="宋体"/>
          <w:b/>
          <w:bCs/>
          <w:sz w:val="24"/>
          <w:szCs w:val="32"/>
          <w14:ligatures w14:val="none"/>
        </w:rPr>
      </w:pPr>
      <w:bookmarkStart w:id="54" w:name="_Toc169605882"/>
      <w:r>
        <w:rPr>
          <w:rFonts w:hint="eastAsia" w:ascii="宋体" w:hAnsi="宋体" w:eastAsia="宋体" w:cs="宋体"/>
          <w:b/>
          <w:bCs/>
          <w:sz w:val="24"/>
          <w:szCs w:val="32"/>
          <w14:ligatures w14:val="none"/>
        </w:rPr>
        <w:t>第一节  供货范围</w:t>
      </w:r>
      <w:bookmarkEnd w:id="54"/>
    </w:p>
    <w:p>
      <w:pPr>
        <w:spacing w:after="0" w:line="360" w:lineRule="auto"/>
        <w:ind w:firstLine="482" w:firstLineChars="200"/>
        <w:jc w:val="both"/>
        <w:outlineLvl w:val="3"/>
        <w:rPr>
          <w:rFonts w:hint="eastAsia" w:ascii="宋体" w:hAnsi="宋体" w:eastAsia="宋体" w:cs="宋体"/>
          <w:b/>
          <w:bCs/>
          <w:sz w:val="24"/>
          <w:highlight w:val="yellow"/>
          <w14:ligatures w14:val="none"/>
        </w:rPr>
      </w:pPr>
      <w:r>
        <w:rPr>
          <w:rFonts w:hint="eastAsia" w:ascii="宋体" w:hAnsi="宋体" w:eastAsia="宋体" w:cs="宋体"/>
          <w:b/>
          <w:bCs/>
          <w:sz w:val="24"/>
          <w14:ligatures w14:val="none"/>
        </w:rPr>
        <w:t>一、供货范围</w:t>
      </w:r>
    </w:p>
    <w:tbl>
      <w:tblPr>
        <w:tblStyle w:val="36"/>
        <w:tblW w:w="9222"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8"/>
        <w:gridCol w:w="2226"/>
        <w:gridCol w:w="3972"/>
        <w:gridCol w:w="1008"/>
        <w:gridCol w:w="1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名称</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明细</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室体</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室体</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保温材料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风道</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主风道</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风机保温</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热风炉及烟囱</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热风炉箱体</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燃烧器</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箱体风机安装平台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不锈钢换热器</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耐高温风机</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控制系统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电气柜</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PLC及输入输出模块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低压电气</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排风机及排烟管改造</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风幕</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排风机</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管道改造</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培训</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维修培训、操作培训</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设备资料</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电气图纸、程序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机械图纸</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bl>
    <w:p>
      <w:pPr>
        <w:spacing w:after="0" w:line="360" w:lineRule="auto"/>
        <w:ind w:firstLine="241" w:firstLineChars="100"/>
        <w:jc w:val="both"/>
        <w:rPr>
          <w:rFonts w:hint="eastAsia" w:ascii="宋体" w:hAnsi="宋体" w:eastAsia="宋体" w:cs="宋体"/>
          <w:b/>
          <w:sz w:val="24"/>
          <w14:ligatures w14:val="none"/>
        </w:rPr>
      </w:pPr>
      <w:r>
        <w:rPr>
          <w:rFonts w:hint="eastAsia" w:ascii="宋体" w:hAnsi="宋体" w:eastAsia="宋体" w:cs="宋体"/>
          <w:b/>
          <w:bCs/>
          <w:sz w:val="24"/>
          <w14:ligatures w14:val="none"/>
        </w:rPr>
        <w:t>（一）</w:t>
      </w:r>
      <w:r>
        <w:rPr>
          <w:rFonts w:hint="eastAsia" w:ascii="宋体" w:hAnsi="宋体" w:eastAsia="宋体" w:cs="宋体"/>
          <w:b/>
          <w:sz w:val="24"/>
          <w14:ligatures w14:val="none"/>
        </w:rPr>
        <w:t>一般界定</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1.包括本技术标书所列明的主要货物以及货物正常运行所必需的全套连线设备、材料等。</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2.包括为保证货物正常安装、调试和验收完成及以前所必需的整套配件、附件及材料等。</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如果终验收完成后，投标人有需要收回的配件、附件、材料、油料等，应当在投标文件的技术偏离条款中，予以详细说明；否则视同包括在供货范围之内。</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3.包括货物维护维修所必需的专用工具。</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包括为保证货物自身正常运行所必需的、满足使用地点环境条件的通风、冷却、降温等必需设施。</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如投标人难以提供或无优势提供以及属于选用配置的，则应当在投标文件的技术偏离条款中，予以详细说明并注明投标报价未包含该部分的货值。</w:t>
      </w:r>
    </w:p>
    <w:p>
      <w:pPr>
        <w:spacing w:after="0" w:line="360" w:lineRule="auto"/>
        <w:ind w:firstLine="482" w:firstLineChars="200"/>
        <w:jc w:val="both"/>
        <w:rPr>
          <w:rFonts w:hint="eastAsia" w:ascii="宋体" w:hAnsi="宋体" w:eastAsia="宋体" w:cs="宋体"/>
          <w:b/>
          <w:sz w:val="24"/>
          <w14:ligatures w14:val="none"/>
        </w:rPr>
      </w:pPr>
      <w:r>
        <w:rPr>
          <w:rFonts w:hint="eastAsia" w:ascii="宋体" w:hAnsi="宋体" w:eastAsia="宋体" w:cs="宋体"/>
          <w:b/>
          <w:sz w:val="24"/>
          <w14:ligatures w14:val="none"/>
        </w:rPr>
        <w:t>（二）供货范围边界界定</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1.买方提供货物所需的建筑物（如厂房等）和构筑物（如混凝土池、砼基础等），包含正常安装施工所需的预埋件（如穿管、预埋螺栓、螺母及垫片）。</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如果投标人认为能源系统接口地点以及操控地点之间的货物数量不清或难以界定，应当以书面方式询标或以单价方式报价；否则视同满足招标人要求。</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3.对于招标文件中无明确具体要求而投标人认为必须具备的其它货物，投标人必须将该部分货物单独报价（该报价含运杂费及税费等其它费用，而且不再作为其它报价涉及的其它费用的计算基数）。</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w:t>
      </w:r>
      <w:r>
        <w:rPr>
          <w:rFonts w:hint="eastAsia" w:ascii="宋体" w:hAnsi="宋体" w:eastAsia="宋体" w:cs="宋体"/>
          <w:color w:val="000000"/>
          <w:sz w:val="24"/>
          <w14:ligatures w14:val="none"/>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14:ligatures w14:val="none"/>
        </w:rPr>
        <w:t>。</w:t>
      </w:r>
    </w:p>
    <w:p>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二、备品备件、易损件和专用耗材供货范围</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1.备品备件、易损件和专用耗材是招标人为保证货物质保期之后正常运行一年所自备自用的备品备件、易损件和专用耗材。</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质保期之内正常需要的备品备件、易损件和专用耗材全部包括在供货范围之内而不属于本条款界定的范围（应有明细）。</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2.供货范围包括易损件和专用耗材的制造图纸及其技术要求等资料，如涉及专有技术或无法提供，应在投标文件中予以澄清或说明。</w:t>
      </w:r>
    </w:p>
    <w:p>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三、技术资料供货范围</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技术资料供货范围包括：</w:t>
      </w:r>
    </w:p>
    <w:p>
      <w:pPr>
        <w:spacing w:after="0" w:line="360" w:lineRule="auto"/>
        <w:ind w:firstLine="480" w:firstLineChars="200"/>
        <w:jc w:val="both"/>
        <w:rPr>
          <w:rFonts w:hint="eastAsia" w:ascii="宋体" w:hAnsi="宋体" w:eastAsia="宋体" w:cs="宋体"/>
          <w:bCs/>
          <w:sz w:val="24"/>
          <w14:ligatures w14:val="none"/>
        </w:rPr>
      </w:pPr>
      <w:r>
        <w:rPr>
          <w:rFonts w:hint="eastAsia" w:ascii="宋体" w:hAnsi="宋体" w:eastAsia="宋体" w:cs="宋体"/>
          <w:sz w:val="24"/>
          <w14:ligatures w14:val="none"/>
        </w:rPr>
        <w:t>1.在</w:t>
      </w:r>
      <w:r>
        <w:rPr>
          <w:rFonts w:hint="eastAsia" w:ascii="宋体" w:hAnsi="宋体" w:eastAsia="宋体" w:cs="宋体"/>
          <w:bCs/>
          <w:sz w:val="24"/>
          <w14:ligatures w14:val="none"/>
        </w:rPr>
        <w:t>合同签订</w:t>
      </w:r>
      <w:r>
        <w:rPr>
          <w:rFonts w:hint="eastAsia" w:ascii="宋体" w:hAnsi="宋体" w:eastAsia="宋体" w:cs="宋体"/>
          <w:bCs/>
          <w:sz w:val="24"/>
          <w:highlight w:val="none"/>
          <w14:ligatures w14:val="none"/>
        </w:rPr>
        <w:t>后</w:t>
      </w:r>
      <w:r>
        <w:rPr>
          <w:rFonts w:hint="eastAsia" w:ascii="宋体" w:hAnsi="宋体" w:eastAsia="宋体" w:cs="宋体"/>
          <w:bCs/>
          <w:sz w:val="24"/>
          <w:highlight w:val="none"/>
          <w:u w:val="single"/>
          <w:shd w:val="pct10" w:color="auto" w:fill="FFFFFF"/>
          <w14:ligatures w14:val="none"/>
        </w:rPr>
        <w:t>1</w:t>
      </w:r>
      <w:r>
        <w:rPr>
          <w:rFonts w:hint="eastAsia" w:ascii="宋体" w:hAnsi="宋体" w:eastAsia="宋体" w:cs="宋体"/>
          <w:bCs/>
          <w:sz w:val="24"/>
          <w:highlight w:val="none"/>
          <w:u w:val="single"/>
          <w:shd w:val="pct10" w:color="auto" w:fill="FFFFFF"/>
          <w:lang w:val="en-US" w:eastAsia="zh-CN"/>
          <w14:ligatures w14:val="none"/>
        </w:rPr>
        <w:t>5</w:t>
      </w:r>
      <w:r>
        <w:rPr>
          <w:rFonts w:hint="eastAsia" w:ascii="宋体" w:hAnsi="宋体" w:eastAsia="宋体" w:cs="宋体"/>
          <w:bCs/>
          <w:sz w:val="24"/>
          <w:highlight w:val="none"/>
          <w14:ligatures w14:val="none"/>
        </w:rPr>
        <w:t>个日历日内</w:t>
      </w:r>
      <w:r>
        <w:rPr>
          <w:rFonts w:hint="eastAsia" w:ascii="宋体" w:hAnsi="宋体" w:eastAsia="宋体" w:cs="宋体"/>
          <w:bCs/>
          <w:sz w:val="24"/>
          <w14:ligatures w14:val="none"/>
        </w:rPr>
        <w:t>，提供货物基础及相关的设计、制作所需的纸质及电子版资料；电子版文件应当能够使用常用版本软件可以阅读甚至使用，进口货物、设备应有中外文对照。</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2.在终验收前，提供为保证货物后续正常运行所需的工装、吊（挂）具明细及其图纸、具体技术要求等资料（如果供货范围包含该部分实物）。</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3.在终验收前，提供确定的维修所需要且买方可以自行采购的外购件、外协件、电气元件及主要原材料的供货厂家明细表。</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4.在终验收后的第一笔货款支付日之前，提供包括货物的备品备件、易损件和专用耗材的图纸及技术参数、技术要求等资料。</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7.本条款所列要求，如招标人认为投标人提供的资料不能满足要求时，有权要求投标人免费补充或增加。</w:t>
      </w:r>
    </w:p>
    <w:p>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四、供货范围特别提示</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如果投标人认为本节所列的供货范围难以满足，则仍需要按照本要求提供，但该部分货物应当在投标报价中单独列明货物名称及品质、货值。</w:t>
      </w:r>
      <w:bookmarkStart w:id="55" w:name="_Toc169605883"/>
    </w:p>
    <w:p>
      <w:pPr>
        <w:spacing w:after="0" w:line="360" w:lineRule="auto"/>
        <w:jc w:val="both"/>
        <w:rPr>
          <w:rFonts w:ascii="宋体" w:hAnsi="Courier New" w:eastAsia="等线" w:cs="Times New Roman"/>
          <w:sz w:val="21"/>
          <w:szCs w:val="22"/>
          <w14:ligatures w14:val="none"/>
        </w:rPr>
      </w:pPr>
    </w:p>
    <w:p>
      <w:pPr>
        <w:keepNext/>
        <w:keepLines/>
        <w:spacing w:after="0" w:line="360" w:lineRule="auto"/>
        <w:jc w:val="center"/>
        <w:outlineLvl w:val="2"/>
        <w:rPr>
          <w:rFonts w:hint="eastAsia" w:ascii="宋体" w:hAnsi="宋体" w:eastAsia="宋体" w:cs="宋体"/>
          <w:b/>
          <w:bCs/>
          <w:sz w:val="24"/>
          <w:szCs w:val="32"/>
          <w14:ligatures w14:val="none"/>
        </w:rPr>
      </w:pPr>
      <w:r>
        <w:rPr>
          <w:rFonts w:hint="eastAsia" w:ascii="宋体" w:hAnsi="宋体" w:eastAsia="宋体" w:cs="宋体"/>
          <w:b/>
          <w:bCs/>
          <w:sz w:val="24"/>
          <w:szCs w:val="32"/>
          <w14:ligatures w14:val="none"/>
        </w:rPr>
        <w:t>第二节  供货方式</w:t>
      </w:r>
      <w:bookmarkEnd w:id="55"/>
    </w:p>
    <w:p>
      <w:pPr>
        <w:spacing w:after="0" w:line="360" w:lineRule="auto"/>
        <w:ind w:firstLine="482" w:firstLineChars="200"/>
        <w:jc w:val="both"/>
        <w:outlineLvl w:val="3"/>
        <w:rPr>
          <w:rFonts w:hint="eastAsia" w:ascii="宋体" w:hAnsi="宋体" w:eastAsia="宋体" w:cs="宋体"/>
          <w:sz w:val="24"/>
          <w14:ligatures w14:val="none"/>
        </w:rPr>
      </w:pPr>
      <w:r>
        <w:rPr>
          <w:rFonts w:hint="eastAsia" w:ascii="宋体" w:hAnsi="宋体" w:eastAsia="宋体" w:cs="宋体"/>
          <w:b/>
          <w:sz w:val="24"/>
          <w14:ligatures w14:val="none"/>
        </w:rPr>
        <w:t>一、供货方式</w:t>
      </w:r>
    </w:p>
    <w:p>
      <w:pPr>
        <w:spacing w:after="0" w:line="360" w:lineRule="auto"/>
        <w:ind w:firstLine="480" w:firstLineChars="200"/>
        <w:jc w:val="both"/>
        <w:rPr>
          <w:rFonts w:hint="eastAsia" w:ascii="宋体" w:hAnsi="宋体" w:eastAsia="宋体" w:cs="宋体"/>
          <w:b/>
          <w:i/>
          <w:sz w:val="24"/>
          <w14:ligatures w14:val="none"/>
        </w:rPr>
      </w:pPr>
      <w:r>
        <w:rPr>
          <w:rFonts w:hint="eastAsia" w:ascii="宋体" w:hAnsi="宋体" w:eastAsia="宋体" w:cs="宋体"/>
          <w:sz w:val="24"/>
          <w14:ligatures w14:val="none"/>
        </w:rPr>
        <w:t>完全交钥匙方式，即本次招标货物至少包括以下货物及服务：至交货地点的运输（含定点装卸）、安装、调试、买方安装地竣工验收服务、货物移交、约定培训等全流程范围。</w:t>
      </w:r>
    </w:p>
    <w:p>
      <w:pPr>
        <w:spacing w:after="0" w:line="360" w:lineRule="auto"/>
        <w:ind w:firstLine="482" w:firstLineChars="200"/>
        <w:jc w:val="both"/>
        <w:outlineLvl w:val="3"/>
        <w:rPr>
          <w:rFonts w:hint="eastAsia" w:ascii="宋体" w:hAnsi="宋体" w:eastAsia="宋体" w:cs="宋体"/>
          <w:sz w:val="24"/>
          <w:u w:val="single"/>
          <w14:ligatures w14:val="none"/>
        </w:rPr>
      </w:pPr>
      <w:r>
        <w:rPr>
          <w:rFonts w:hint="eastAsia" w:ascii="宋体" w:hAnsi="宋体" w:eastAsia="宋体" w:cs="宋体"/>
          <w:b/>
          <w:bCs/>
          <w:sz w:val="24"/>
          <w14:ligatures w14:val="none"/>
        </w:rPr>
        <w:t>二、供货地点：</w:t>
      </w:r>
      <w:r>
        <w:rPr>
          <w:rFonts w:hint="eastAsia" w:ascii="宋体" w:hAnsi="宋体" w:eastAsia="宋体" w:cs="宋体"/>
          <w:color w:val="000000"/>
          <w:sz w:val="24"/>
          <w:u w:val="single"/>
          <w14:ligatures w14:val="none"/>
        </w:rPr>
        <w:t>章丘区世纪大道7777号重汽工业园</w:t>
      </w:r>
    </w:p>
    <w:p>
      <w:pPr>
        <w:spacing w:after="0" w:line="360" w:lineRule="auto"/>
        <w:ind w:firstLine="482" w:firstLineChars="200"/>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三、供货时间</w:t>
      </w:r>
    </w:p>
    <w:p>
      <w:pPr>
        <w:spacing w:after="0" w:line="360" w:lineRule="auto"/>
        <w:ind w:firstLine="480" w:firstLineChars="200"/>
        <w:rPr>
          <w:rFonts w:hint="eastAsia" w:ascii="宋体" w:hAnsi="宋体" w:eastAsia="宋体" w:cs="宋体"/>
          <w:sz w:val="24"/>
          <w:highlight w:val="none"/>
          <w14:ligatures w14:val="none"/>
        </w:rPr>
      </w:pPr>
      <w:r>
        <w:rPr>
          <w:rFonts w:hint="eastAsia" w:ascii="宋体" w:hAnsi="宋体" w:eastAsia="宋体" w:cs="宋体"/>
          <w:sz w:val="24"/>
          <w:highlight w:val="none"/>
          <w14:ligatures w14:val="none"/>
        </w:rPr>
        <w:t>1.自</w:t>
      </w:r>
      <w:r>
        <w:rPr>
          <w:rFonts w:hint="eastAsia" w:ascii="宋体" w:hAnsi="宋体" w:eastAsia="宋体" w:cs="宋体"/>
          <w:sz w:val="24"/>
          <w:highlight w:val="none"/>
          <w:lang w:val="en-US" w:eastAsia="zh-CN"/>
          <w14:ligatures w14:val="none"/>
        </w:rPr>
        <w:t>收到中标通知书</w:t>
      </w:r>
      <w:r>
        <w:rPr>
          <w:rFonts w:hint="eastAsia" w:ascii="宋体" w:hAnsi="宋体" w:eastAsia="宋体" w:cs="宋体"/>
          <w:sz w:val="24"/>
          <w:highlight w:val="none"/>
          <w14:ligatures w14:val="none"/>
        </w:rPr>
        <w:t>后</w:t>
      </w:r>
      <w:r>
        <w:rPr>
          <w:rFonts w:hint="eastAsia" w:ascii="宋体" w:hAnsi="宋体" w:eastAsia="宋体" w:cs="宋体"/>
          <w:sz w:val="24"/>
          <w:highlight w:val="none"/>
          <w:lang w:val="en-US" w:eastAsia="zh-CN"/>
          <w14:ligatures w14:val="none"/>
        </w:rPr>
        <w:t>50</w:t>
      </w:r>
      <w:r>
        <w:rPr>
          <w:rFonts w:ascii="宋体" w:hAnsi="宋体" w:eastAsia="宋体" w:cs="宋体"/>
          <w:sz w:val="24"/>
          <w:highlight w:val="none"/>
          <w14:ligatures w14:val="none"/>
        </w:rPr>
        <w:t>个</w:t>
      </w:r>
      <w:r>
        <w:rPr>
          <w:rFonts w:hint="eastAsia" w:ascii="宋体" w:hAnsi="宋体" w:eastAsia="宋体" w:cs="宋体"/>
          <w:sz w:val="24"/>
          <w:highlight w:val="none"/>
          <w14:ligatures w14:val="none"/>
        </w:rPr>
        <w:t>日历日</w:t>
      </w:r>
      <w:r>
        <w:rPr>
          <w:rFonts w:ascii="宋体" w:hAnsi="宋体" w:eastAsia="宋体" w:cs="宋体"/>
          <w:sz w:val="24"/>
          <w:highlight w:val="none"/>
          <w14:ligatures w14:val="none"/>
        </w:rPr>
        <w:t>内，中标人须交付设备到招标人指定的安装和使用的现场。</w:t>
      </w:r>
    </w:p>
    <w:p>
      <w:pPr>
        <w:spacing w:after="0" w:line="360" w:lineRule="auto"/>
        <w:ind w:firstLine="480" w:firstLineChars="200"/>
        <w:rPr>
          <w:rFonts w:hint="eastAsia" w:ascii="宋体" w:hAnsi="宋体" w:eastAsia="宋体" w:cs="宋体"/>
          <w:sz w:val="24"/>
          <w:highlight w:val="none"/>
          <w14:ligatures w14:val="none"/>
        </w:rPr>
      </w:pPr>
      <w:r>
        <w:rPr>
          <w:rFonts w:hint="eastAsia" w:ascii="宋体" w:hAnsi="宋体" w:eastAsia="宋体" w:cs="宋体"/>
          <w:sz w:val="24"/>
          <w:highlight w:val="none"/>
          <w14:ligatures w14:val="none"/>
        </w:rPr>
        <w:t>2.接续</w:t>
      </w:r>
      <w:r>
        <w:rPr>
          <w:rFonts w:hint="eastAsia" w:ascii="宋体" w:hAnsi="宋体" w:eastAsia="宋体" w:cs="宋体"/>
          <w:sz w:val="24"/>
          <w:highlight w:val="none"/>
          <w:lang w:val="en-US" w:eastAsia="zh-CN"/>
          <w14:ligatures w14:val="none"/>
        </w:rPr>
        <w:t>60</w:t>
      </w:r>
      <w:r>
        <w:rPr>
          <w:rFonts w:hint="eastAsia" w:ascii="宋体" w:hAnsi="宋体" w:eastAsia="宋体" w:cs="宋体"/>
          <w:sz w:val="24"/>
          <w:highlight w:val="none"/>
          <w14:ligatures w14:val="none"/>
        </w:rPr>
        <w:t>个日历日之内安装调试完毕。</w:t>
      </w:r>
    </w:p>
    <w:p>
      <w:pPr>
        <w:spacing w:after="0" w:line="360" w:lineRule="auto"/>
        <w:ind w:firstLine="480" w:firstLineChars="200"/>
        <w:rPr>
          <w:rFonts w:hint="eastAsia" w:ascii="宋体" w:hAnsi="宋体" w:eastAsia="宋体" w:cs="宋体"/>
          <w:sz w:val="24"/>
          <w:highlight w:val="none"/>
          <w14:ligatures w14:val="none"/>
        </w:rPr>
      </w:pPr>
      <w:r>
        <w:rPr>
          <w:rFonts w:hint="eastAsia" w:ascii="宋体" w:hAnsi="宋体" w:eastAsia="宋体" w:cs="宋体"/>
          <w:sz w:val="24"/>
          <w:highlight w:val="none"/>
          <w14:ligatures w14:val="none"/>
        </w:rPr>
        <w:t>3.接续</w:t>
      </w:r>
      <w:r>
        <w:rPr>
          <w:rFonts w:hint="eastAsia" w:ascii="宋体" w:hAnsi="宋体" w:eastAsia="宋体" w:cs="宋体"/>
          <w:sz w:val="24"/>
          <w:highlight w:val="none"/>
          <w:lang w:val="en-US" w:eastAsia="zh-CN"/>
          <w14:ligatures w14:val="none"/>
        </w:rPr>
        <w:t>60</w:t>
      </w:r>
      <w:r>
        <w:rPr>
          <w:rFonts w:hint="eastAsia" w:ascii="宋体" w:hAnsi="宋体" w:eastAsia="宋体" w:cs="宋体"/>
          <w:sz w:val="24"/>
          <w:highlight w:val="none"/>
          <w14:ligatures w14:val="none"/>
        </w:rPr>
        <w:t>个日历日之内完成终验收。</w:t>
      </w:r>
    </w:p>
    <w:p>
      <w:pPr>
        <w:spacing w:after="0" w:line="360" w:lineRule="auto"/>
        <w:ind w:firstLine="480" w:firstLineChars="200"/>
        <w:rPr>
          <w:rFonts w:hint="eastAsia" w:ascii="等线" w:hAnsi="宋体" w:eastAsia="宋体" w:cs="宋体"/>
          <w:color w:val="000000"/>
          <w:sz w:val="24"/>
          <w14:ligatures w14:val="none"/>
        </w:rPr>
      </w:pPr>
      <w:r>
        <w:rPr>
          <w:rFonts w:hint="eastAsia" w:ascii="等线" w:hAnsi="宋体" w:eastAsia="宋体" w:cs="宋体"/>
          <w:color w:val="000000"/>
          <w:sz w:val="24"/>
          <w14:ligatures w14:val="none"/>
        </w:rPr>
        <w:t>安装调试工期超过</w:t>
      </w:r>
      <w:r>
        <w:rPr>
          <w:rFonts w:hint="eastAsia" w:ascii="宋体" w:hAnsi="宋体" w:eastAsia="宋体" w:cs="宋体"/>
          <w:sz w:val="24"/>
          <w14:ligatures w14:val="none"/>
        </w:rPr>
        <w:t>规定时间</w:t>
      </w:r>
      <w:r>
        <w:rPr>
          <w:rFonts w:hint="eastAsia" w:ascii="等线" w:hAnsi="宋体" w:eastAsia="宋体" w:cs="宋体"/>
          <w:color w:val="000000"/>
          <w:sz w:val="24"/>
          <w14:ligatures w14:val="none"/>
        </w:rPr>
        <w:t>的，投标人应当随标书提供详细的工期计划。</w:t>
      </w:r>
    </w:p>
    <w:p>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四、包装</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1.所提供货物（或设备）的包装，应遵照国家标准和有关包装、包皮的技术条件，或按照最好的商业惯例进行包装。</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3.所提供货物（或设备）的包装，应能防止其一般性被窃或受外力破坏；一般不得采用有大缝隙的板条包装。</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4.应对包装件做必要的加固和固定，以防止运输可能造成的损坏。</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5.每个包装件应有装箱单，并至少标明名称、型号规格、数量、净重和毛重、投标人（或供货商）名称和制造日期等相关内容。</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6.每个包装箱应有明显标志，并具有中文书写的合同号、装运标志、发货和到货地点名称、发货人和收货人名称、货物名称和项目号、箱号和外型尺寸等内容。</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7.应按照不同的装运要求在包装箱上标明“小心轻放”、“箭头向上”、“防潮”、“防磁”、“不准平放”等标志，以及其它适用的国标通用标志。</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8.包装箱应连续编号，不应出现重复编号。</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9.在不受到外界破坏情况下，包装应保证自交货日起一年内货物（或设备）完好无损。</w:t>
      </w:r>
    </w:p>
    <w:p>
      <w:pPr>
        <w:adjustRightInd w:val="0"/>
        <w:snapToGrid w:val="0"/>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五、运输</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1.应负责将货物（或设备）运到目的地，并必须做到货物（或设备）在任何运输过程中不受损坏和遗失。</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2.同批货物（或设备）应统一包装、编号运输。</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3.一般情况下，经由铁路、公路运输的包装件尺寸和重量不应超过国家所规定的尺寸限制，特殊情况应予以说明。</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4.在每批货物（或设备）发出后，应立即通知买方；通知中应指明：合同号、货运单号、件数、重量和货物（或设备）发出日期等相关内容。</w:t>
      </w:r>
    </w:p>
    <w:p>
      <w:pPr>
        <w:adjustRightInd w:val="0"/>
        <w:snapToGrid w:val="0"/>
        <w:spacing w:after="0" w:line="360" w:lineRule="auto"/>
        <w:ind w:firstLine="480" w:firstLineChars="200"/>
        <w:jc w:val="both"/>
        <w:rPr>
          <w:rFonts w:ascii="Arial" w:hAnsi="Arial" w:eastAsia="宋体" w:cs="Times New Roman"/>
          <w:b/>
          <w:bCs/>
          <w:sz w:val="24"/>
          <w:szCs w:val="32"/>
          <w14:ligatures w14:val="none"/>
        </w:rPr>
      </w:pPr>
      <w:r>
        <w:rPr>
          <w:rFonts w:hint="eastAsia" w:ascii="宋体" w:hAnsi="宋体" w:eastAsia="宋体" w:cs="宋体"/>
          <w:sz w:val="24"/>
          <w14:ligatures w14:val="none"/>
        </w:rPr>
        <w:t>5.货物（或设备）运抵交货地点后，应负责货物（或设备）的卸货、搬运、保管等事宜，或按照合同约定。</w:t>
      </w:r>
      <w:bookmarkStart w:id="56" w:name="_Toc169605884"/>
    </w:p>
    <w:p>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第四章  质保期及售后服务</w:t>
      </w:r>
      <w:bookmarkEnd w:id="56"/>
    </w:p>
    <w:p>
      <w:pPr>
        <w:keepNext/>
        <w:keepLines/>
        <w:spacing w:after="0" w:line="360" w:lineRule="auto"/>
        <w:ind w:firstLine="482" w:firstLineChars="200"/>
        <w:jc w:val="both"/>
        <w:outlineLvl w:val="2"/>
        <w:rPr>
          <w:rFonts w:ascii="Times New Roman" w:hAnsi="Times New Roman" w:eastAsia="宋体" w:cs="Times New Roman"/>
          <w:b/>
          <w:bCs/>
          <w:color w:val="000000"/>
          <w:sz w:val="24"/>
          <w14:ligatures w14:val="none"/>
        </w:rPr>
      </w:pPr>
      <w:r>
        <w:rPr>
          <w:rFonts w:hint="eastAsia" w:ascii="Times New Roman" w:hAnsi="Times New Roman" w:eastAsia="宋体" w:cs="Times New Roman"/>
          <w:b/>
          <w:bCs/>
          <w:color w:val="000000"/>
          <w:sz w:val="24"/>
          <w14:ligatures w14:val="none"/>
        </w:rPr>
        <w:t>一、质保期及质保要求</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1</w:t>
      </w:r>
      <w:r>
        <w:rPr>
          <w:rFonts w:hint="eastAsia" w:ascii="宋体" w:hAnsi="宋体" w:eastAsia="宋体" w:cs="宋体"/>
          <w:sz w:val="24"/>
          <w14:ligatures w14:val="none"/>
        </w:rPr>
        <w:t>.全部供货范围内的设备、材料、零配件和工器具等，除合同特别约定外，其质保期均自终验收签字生效之日起12个月。</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投标货物或涉及的关键总成和零件，如果有更长时间质保期，允许更改并说明，此将有利于投标人。</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设计使用寿命短于质保期的易损件除外，但属于易损件的，应当有明确说明。</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2</w:t>
      </w:r>
      <w:r>
        <w:rPr>
          <w:rFonts w:hint="eastAsia" w:ascii="宋体" w:hAnsi="宋体" w:eastAsia="宋体" w:cs="宋体"/>
          <w:sz w:val="24"/>
          <w14:ligatures w14: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3</w:t>
      </w:r>
      <w:r>
        <w:rPr>
          <w:rFonts w:hint="eastAsia" w:ascii="宋体" w:hAnsi="宋体" w:eastAsia="宋体" w:cs="宋体"/>
          <w:sz w:val="24"/>
          <w14:ligatures w14:val="none"/>
        </w:rPr>
        <w:t>.质保期内免费提供零部件和及时有效的服务。质保期内因货物本身缺陷造成的各种故障，卖方应负责免费维修和服务。</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4</w:t>
      </w:r>
      <w:r>
        <w:rPr>
          <w:rFonts w:hint="eastAsia" w:ascii="宋体" w:hAnsi="宋体" w:eastAsia="宋体" w:cs="宋体"/>
          <w:sz w:val="24"/>
          <w14:ligatures w14:val="none"/>
        </w:rPr>
        <w:t>.质保期终止之日起</w:t>
      </w:r>
      <w:r>
        <w:rPr>
          <w:rFonts w:hint="eastAsia" w:ascii="宋体" w:hAnsi="宋体" w:eastAsia="宋体" w:cs="宋体"/>
          <w:sz w:val="24"/>
          <w:u w:val="single"/>
          <w14:ligatures w14:val="none"/>
        </w:rPr>
        <w:t>一年内</w:t>
      </w:r>
      <w:r>
        <w:rPr>
          <w:rFonts w:hint="eastAsia" w:ascii="宋体" w:hAnsi="宋体" w:eastAsia="宋体" w:cs="宋体"/>
          <w:sz w:val="24"/>
          <w14:ligatures w14:val="none"/>
        </w:rPr>
        <w:t>重复出现的质保期之内出现的故障，仍属质保范围而且应当免费。</w:t>
      </w:r>
    </w:p>
    <w:p>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二、技术及培训服务</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1.应负责在买方货物使用现场，对技术、维修和操作人员提供免费的理论、技术和操作、维修等方面的技术指导和培训，并接受买方有关人员的技术咨询。培训工作日不少于5个日历日。</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2.应免费提供一定数量的培训资料。</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3.应按要求免费积极协助和提供买方以及买方所委托的工程设计单位有关人员所需要的、与货物有关的工程设计资料、技术咨询等。</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4.若卖方提供货物涉及到外购外协货物、而且该货物的技术质量等较为关键时，卖方应能保证得到配套厂家的技术支持，并免费为买方提供技术服务。</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三、安装调试及验收服务</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5.卖方应当向买方提供货物试验、验收的有关标准、规范和方法，同时提供货物涉及并使用的软件合法性证明。</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6.服务缺陷视同货物缺陷和履约延期。</w:t>
      </w:r>
    </w:p>
    <w:p>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四、售后服务</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1.卖方提供的货物涉及的所有售后服务均由卖方负责。如果发生问题并且收到通知，卖方应当在2小时内予以答复。</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2.如发现所提供的货物存在问题，需要卖方解决或配合解决时：在质保期之内，应在接到通知后24小时内派有关人员到达现场；在质保期之外，应在接到通知后72小时内派有关人员到达现场。</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3.卖方派往买方使用现场的人员，应具有较高的业务素质；现场解决问题时，不得无故拖延或推迟，应为买方提供最佳的服务。</w:t>
      </w:r>
    </w:p>
    <w:p>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五、其它服务</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1.若卖方所提供货物有需要进口的，卖方一般应自行、自费办理；必要时，买卖双方共同办理。</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2.除招标文件、投标文件、答疑文件、技术标书、合同等约定之外，卖方应免费负责必要的或强制性的货物的检验、试验、化验等直接费用。</w:t>
      </w:r>
    </w:p>
    <w:p>
      <w:pPr>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3.本章节条款所列“免费”，并非指定不可收费，而是指招标文件、投标文件、答疑文件、技术交流文件、技术标书和合同等范围之外，投标人不可另行收取的费用。</w:t>
      </w:r>
    </w:p>
    <w:p>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p>
    <w:p>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第五章  终验收</w:t>
      </w:r>
    </w:p>
    <w:p>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一、验收依据和验收标准</w:t>
      </w:r>
    </w:p>
    <w:p>
      <w:pPr>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1.验收标准一般以技术协议书和合同规定验收。无论技术协议书和合同，是否全部并准确列明验收所涉及的相关标准，均作为验收标准之一。</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2.如果验收过程中，发现招标文件、投标文件、答疑文件、技术交流文件等与技术标书、合同存在差异，原则上以涉及条款中对招标人最有利条款为验收依据。</w:t>
      </w:r>
    </w:p>
    <w:p>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二、检验</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如果采购货物涉及必要的或必需的检验，卖方应当在投标文件中明确可能涉及的检验费用，并将该费用包含在投标总报价之内；不作针对性澄清或说明的，视同包含在投标总价之内。基本约定如下：</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1.国产货物的检验一般由买卖双方共同进行或按照合同要求进行。</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2.进口货物的检验，中标人需要按照下述要求进行：</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2.1 进口货物发货前，应对货物的质量、型号、规格、性能和数量/重量作精密、全面的检验，并出具证明书，证明所供货物符合合同规定。</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 应依据合同规定的要求，提供买卖双方达成一致的货物的验收标准和装箱单，作为招标人检验的依据。</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三、验收基本条件</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买卖双方按照合同约定执行了合同，同时货物完成了试运行并经检验合格，则具备验收条件。</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1.验收一般条件</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1.1 中标人已经按照“供货范围”要求提供了验收资料，并且资料齐全、完整和有效。</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1.2 货物安装调试完毕，在正常工况下运行30日。</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1.3 货物正常运行时，噪声等环境影响因素满足国家和当地环保主管部门规定，安全措施落实、有效。</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1.4 试运行期间或之后无维修、调整等行为（特殊情况除外）。</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 xml:space="preserve">1.5 货物规格型号、技术性能等，达到签定的技术协议书和合同规定的终验收标准。  </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2.验收基本要求</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bookmarkStart w:id="57" w:name="_Toc465187647"/>
      <w:r>
        <w:rPr>
          <w:rFonts w:hint="eastAsia" w:ascii="宋体" w:hAnsi="宋体" w:eastAsia="宋体" w:cs="宋体"/>
          <w:color w:val="000000"/>
          <w:sz w:val="24"/>
          <w:lang w:val="en-US" w:eastAsia="zh-CN"/>
          <w14:ligatures w14:val="none"/>
        </w:rPr>
        <w:t>2.1</w:t>
      </w:r>
      <w:r>
        <w:rPr>
          <w:rFonts w:hint="eastAsia" w:ascii="宋体" w:hAnsi="宋体" w:eastAsia="宋体" w:cs="宋体"/>
          <w:color w:val="000000"/>
          <w:sz w:val="24"/>
          <w14:ligatures w14:val="none"/>
        </w:rPr>
        <w:t>依据招标档、投标档、答疑档、技术交流档等形成并达成一致的技术协议书和合同规定的终验收条件验收。</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lang w:val="en-US" w:eastAsia="zh-CN"/>
          <w14:ligatures w14:val="none"/>
        </w:rPr>
        <w:t>2.2</w:t>
      </w:r>
      <w:r>
        <w:rPr>
          <w:rFonts w:hint="eastAsia" w:ascii="宋体" w:hAnsi="宋体" w:eastAsia="宋体" w:cs="宋体"/>
          <w:color w:val="000000"/>
          <w:sz w:val="24"/>
          <w14:ligatures w14:val="none"/>
        </w:rPr>
        <w:t>出现下列问题之一，视作验收失败：</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lang w:val="en-US" w:eastAsia="zh-CN"/>
          <w14:ligatures w14:val="none"/>
        </w:rPr>
        <w:t>2</w:t>
      </w:r>
      <w:r>
        <w:rPr>
          <w:rFonts w:hint="eastAsia" w:ascii="宋体" w:hAnsi="宋体" w:eastAsia="宋体" w:cs="宋体"/>
          <w:color w:val="000000"/>
          <w:sz w:val="24"/>
          <w14:ligatures w14:val="none"/>
        </w:rPr>
        <w:t>.2.1 设备验收时，其参数无法满足招标书中的技术要求。</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lang w:val="en-US" w:eastAsia="zh-CN"/>
          <w14:ligatures w14:val="none"/>
        </w:rPr>
        <w:t>2</w:t>
      </w:r>
      <w:r>
        <w:rPr>
          <w:rFonts w:hint="eastAsia" w:ascii="宋体" w:hAnsi="宋体" w:eastAsia="宋体" w:cs="宋体"/>
          <w:color w:val="000000"/>
          <w:sz w:val="24"/>
          <w14:ligatures w14:val="none"/>
        </w:rPr>
        <w:t>.2.2 在整个验收过程中发生关键零部件损坏或重大故障；</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lang w:val="en-US" w:eastAsia="zh-CN"/>
          <w14:ligatures w14:val="none"/>
        </w:rPr>
        <w:t>2</w:t>
      </w:r>
      <w:r>
        <w:rPr>
          <w:rFonts w:hint="eastAsia" w:ascii="宋体" w:hAnsi="宋体" w:eastAsia="宋体" w:cs="宋体"/>
          <w:color w:val="000000"/>
          <w:sz w:val="24"/>
          <w14:ligatures w14:val="none"/>
        </w:rPr>
        <w:t>.2.3 更换的零部件货值超过总货值的1%。</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lang w:val="en-US" w:eastAsia="zh-CN"/>
          <w14:ligatures w14:val="none"/>
        </w:rPr>
        <w:t>2</w:t>
      </w:r>
      <w:r>
        <w:rPr>
          <w:rFonts w:hint="eastAsia" w:ascii="宋体" w:hAnsi="宋体" w:eastAsia="宋体" w:cs="宋体"/>
          <w:color w:val="000000"/>
          <w:sz w:val="24"/>
          <w14:ligatures w14:val="none"/>
        </w:rPr>
        <w:t>.3 累计负载运行实际性能（或生产率）达不到合同规定；</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lang w:val="en-US" w:eastAsia="zh-CN"/>
          <w14:ligatures w14:val="none"/>
        </w:rPr>
        <w:t>2</w:t>
      </w:r>
      <w:r>
        <w:rPr>
          <w:rFonts w:hint="eastAsia" w:ascii="宋体" w:hAnsi="宋体" w:eastAsia="宋体" w:cs="宋体"/>
          <w:color w:val="000000"/>
          <w:sz w:val="24"/>
          <w14:ligatures w14:val="none"/>
        </w:rPr>
        <w:t>.4 终验收原则上要求一次完成。若一次验收不成功，最多允许两次；如果出现第三次验收失败，重新作价或退货；</w:t>
      </w:r>
    </w:p>
    <w:p>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lang w:val="en-US" w:eastAsia="zh-CN"/>
          <w14:ligatures w14:val="none"/>
        </w:rPr>
        <w:t>2</w:t>
      </w:r>
      <w:r>
        <w:rPr>
          <w:rFonts w:hint="eastAsia" w:ascii="宋体" w:hAnsi="宋体" w:eastAsia="宋体" w:cs="宋体"/>
          <w:color w:val="000000"/>
          <w:sz w:val="24"/>
          <w14:ligatures w14:val="none"/>
        </w:rPr>
        <w:t>.5 终验收通过后买卖双方共同签署终验收报告，并移交、核对全部供货范围内物品。</w:t>
      </w:r>
    </w:p>
    <w:p>
      <w:pPr>
        <w:adjustRightInd w:val="0"/>
        <w:snapToGrid w:val="0"/>
        <w:spacing w:after="0" w:line="360" w:lineRule="auto"/>
        <w:ind w:firstLine="480" w:firstLineChars="200"/>
        <w:jc w:val="both"/>
        <w:rPr>
          <w:rFonts w:hint="eastAsia" w:ascii="宋体" w:hAnsi="宋体" w:eastAsia="宋体" w:cs="宋体"/>
          <w:color w:val="000000"/>
          <w:sz w:val="24"/>
          <w:lang w:val="en-US" w:eastAsia="zh-CN"/>
          <w14:ligatures w14:val="none"/>
        </w:rPr>
      </w:pPr>
      <w:r>
        <w:rPr>
          <w:rFonts w:hint="eastAsia" w:ascii="宋体" w:hAnsi="宋体" w:eastAsia="宋体" w:cs="宋体"/>
          <w:color w:val="000000"/>
          <w:sz w:val="24"/>
          <w:lang w:val="en-US" w:eastAsia="zh-CN"/>
          <w14:ligatures w14:val="none"/>
        </w:rPr>
        <w:t>3.验收标准</w:t>
      </w:r>
    </w:p>
    <w:p>
      <w:pPr>
        <w:adjustRightInd w:val="0"/>
        <w:snapToGrid w:val="0"/>
        <w:spacing w:after="0" w:line="360" w:lineRule="auto"/>
        <w:ind w:firstLine="480" w:firstLineChars="200"/>
        <w:jc w:val="both"/>
        <w:rPr>
          <w:rFonts w:hint="eastAsia" w:ascii="宋体" w:hAnsi="宋体" w:eastAsia="宋体" w:cs="宋体"/>
          <w:color w:val="000000"/>
          <w:sz w:val="24"/>
          <w:lang w:val="en-US" w:eastAsia="zh-CN"/>
          <w14:ligatures w14:val="none"/>
        </w:rPr>
      </w:pPr>
      <w:r>
        <w:rPr>
          <w:rFonts w:hint="eastAsia" w:ascii="宋体" w:hAnsi="宋体" w:eastAsia="宋体" w:cs="宋体"/>
          <w:color w:val="000000"/>
          <w:sz w:val="24"/>
          <w:lang w:val="en-US" w:eastAsia="zh-CN"/>
          <w14:ligatures w14:val="none"/>
        </w:rPr>
        <w:t xml:space="preserve">3.1供货范围 </w:t>
      </w:r>
    </w:p>
    <w:p>
      <w:pPr>
        <w:adjustRightInd w:val="0"/>
        <w:snapToGrid w:val="0"/>
        <w:spacing w:after="0" w:line="360" w:lineRule="auto"/>
        <w:ind w:firstLine="480" w:firstLineChars="200"/>
        <w:jc w:val="both"/>
        <w:rPr>
          <w:rFonts w:hint="default" w:ascii="宋体" w:hAnsi="宋体" w:eastAsia="宋体" w:cs="宋体"/>
          <w:color w:val="000000"/>
          <w:sz w:val="24"/>
          <w:lang w:val="en-US" w:eastAsia="zh-CN"/>
          <w14:ligatures w14:val="none"/>
        </w:rPr>
      </w:pPr>
      <w:r>
        <w:rPr>
          <w:rFonts w:hint="eastAsia" w:ascii="宋体" w:hAnsi="宋体" w:eastAsia="宋体" w:cs="宋体"/>
          <w:color w:val="000000"/>
          <w:sz w:val="24"/>
          <w:lang w:val="en-US" w:eastAsia="zh-CN"/>
          <w14:ligatures w14:val="none"/>
        </w:rPr>
        <w:t>从设备到货开始到验收阶段，收集整个设备的到货资料，包含收货单、到货卸货的照片及视频等资料。</w:t>
      </w:r>
    </w:p>
    <w:p>
      <w:pPr>
        <w:adjustRightInd w:val="0"/>
        <w:snapToGrid w:val="0"/>
        <w:spacing w:after="0" w:line="360" w:lineRule="auto"/>
        <w:ind w:firstLine="480" w:firstLineChars="200"/>
        <w:jc w:val="both"/>
        <w:rPr>
          <w:rFonts w:hint="eastAsia" w:ascii="宋体" w:hAnsi="宋体" w:eastAsia="宋体" w:cs="宋体"/>
          <w:color w:val="000000"/>
          <w:sz w:val="24"/>
          <w:lang w:val="en-US" w:eastAsia="zh-CN"/>
          <w14:ligatures w14:val="none"/>
        </w:rPr>
      </w:pPr>
      <w:r>
        <w:rPr>
          <w:rFonts w:hint="eastAsia" w:ascii="宋体" w:hAnsi="宋体" w:eastAsia="宋体" w:cs="宋体"/>
          <w:color w:val="000000"/>
          <w:sz w:val="24"/>
          <w:lang w:val="en-US" w:eastAsia="zh-CN"/>
          <w14:ligatures w14:val="none"/>
        </w:rPr>
        <w:t xml:space="preserve">3.2设备外观与结构  </w:t>
      </w:r>
    </w:p>
    <w:p>
      <w:pPr>
        <w:adjustRightInd w:val="0"/>
        <w:snapToGrid w:val="0"/>
        <w:spacing w:after="0" w:line="360" w:lineRule="auto"/>
        <w:ind w:firstLine="480" w:firstLineChars="200"/>
        <w:jc w:val="both"/>
        <w:rPr>
          <w:rFonts w:hint="eastAsia" w:ascii="宋体" w:hAnsi="宋体" w:eastAsia="宋体" w:cs="宋体"/>
          <w:color w:val="000000"/>
          <w:sz w:val="24"/>
          <w:lang w:val="en-US" w:eastAsia="zh-CN"/>
          <w14:ligatures w14:val="none"/>
        </w:rPr>
      </w:pPr>
      <w:r>
        <w:rPr>
          <w:rFonts w:hint="eastAsia" w:ascii="宋体" w:hAnsi="宋体" w:eastAsia="宋体" w:cs="宋体"/>
          <w:color w:val="000000"/>
          <w:sz w:val="24"/>
          <w:lang w:val="en-US" w:eastAsia="zh-CN"/>
          <w14:ligatures w14:val="none"/>
        </w:rPr>
        <w:t>设备及其附件完整无缺，设备安全警示标识清晰，设备铭牌信息完整，按钮、指示灯等标识明确易于识别。</w:t>
      </w:r>
    </w:p>
    <w:p>
      <w:pPr>
        <w:adjustRightInd w:val="0"/>
        <w:snapToGrid w:val="0"/>
        <w:spacing w:after="0" w:line="360" w:lineRule="auto"/>
        <w:ind w:firstLine="480" w:firstLineChars="200"/>
        <w:jc w:val="both"/>
        <w:rPr>
          <w:rFonts w:hint="eastAsia" w:ascii="宋体" w:hAnsi="宋体" w:eastAsia="宋体" w:cs="宋体"/>
          <w:color w:val="000000"/>
          <w:sz w:val="24"/>
          <w:lang w:val="en-US" w:eastAsia="zh-CN"/>
          <w14:ligatures w14:val="none"/>
        </w:rPr>
      </w:pPr>
      <w:r>
        <w:rPr>
          <w:rFonts w:hint="eastAsia" w:ascii="宋体" w:hAnsi="宋体" w:eastAsia="宋体" w:cs="宋体"/>
          <w:color w:val="000000"/>
          <w:sz w:val="24"/>
          <w:lang w:val="en-US" w:eastAsia="zh-CN"/>
          <w14:ligatures w14:val="none"/>
        </w:rPr>
        <w:t>3.2设备性能</w:t>
      </w:r>
    </w:p>
    <w:p>
      <w:pPr>
        <w:adjustRightInd w:val="0"/>
        <w:snapToGrid w:val="0"/>
        <w:spacing w:after="0" w:line="360" w:lineRule="auto"/>
        <w:ind w:firstLine="480" w:firstLineChars="200"/>
        <w:jc w:val="both"/>
        <w:rPr>
          <w:rFonts w:hint="default" w:ascii="宋体" w:hAnsi="宋体" w:eastAsia="宋体" w:cs="宋体"/>
          <w:color w:val="000000"/>
          <w:sz w:val="24"/>
          <w:lang w:val="en-US" w:eastAsia="zh-CN"/>
          <w14:ligatures w14:val="none"/>
        </w:rPr>
      </w:pPr>
      <w:r>
        <w:rPr>
          <w:rFonts w:hint="eastAsia" w:ascii="宋体" w:hAnsi="宋体" w:eastAsia="宋体" w:cs="宋体"/>
          <w:color w:val="000000"/>
          <w:sz w:val="24"/>
          <w:lang w:val="en-US" w:eastAsia="zh-CN"/>
          <w14:ligatures w14:val="none"/>
        </w:rPr>
        <w:t>3.2.1设备功能 安装调试阶段进行，检查设备的各项功能是否满足技术协议的要求；检查各功能模块是否正常运行，有无异常；测试温度是否满足技术协议要求。</w:t>
      </w:r>
    </w:p>
    <w:p>
      <w:pPr>
        <w:adjustRightInd w:val="0"/>
        <w:snapToGrid w:val="0"/>
        <w:spacing w:after="0" w:line="360" w:lineRule="auto"/>
        <w:ind w:firstLine="480" w:firstLineChars="200"/>
        <w:jc w:val="both"/>
        <w:rPr>
          <w:rFonts w:hint="eastAsia" w:ascii="宋体" w:hAnsi="宋体" w:eastAsia="宋体" w:cs="宋体"/>
          <w:color w:val="000000"/>
          <w:sz w:val="24"/>
          <w:lang w:val="en-US" w:eastAsia="zh-CN"/>
          <w14:ligatures w14:val="none"/>
        </w:rPr>
      </w:pPr>
      <w:r>
        <w:rPr>
          <w:rFonts w:hint="eastAsia" w:ascii="宋体" w:hAnsi="宋体" w:eastAsia="宋体" w:cs="宋体"/>
          <w:color w:val="000000"/>
          <w:sz w:val="24"/>
          <w:lang w:val="en-US" w:eastAsia="zh-CN"/>
          <w14:ligatures w14:val="none"/>
        </w:rPr>
        <w:t>3.2.2设备性能 在调试阶段，检查设备运行的稳定性，振动、噪音、温度、风量等参数是否满足要求；检查能能源消耗及能源指标是否符合指标要求。</w:t>
      </w:r>
    </w:p>
    <w:p>
      <w:pPr>
        <w:adjustRightInd w:val="0"/>
        <w:snapToGrid w:val="0"/>
        <w:spacing w:after="0" w:line="360" w:lineRule="auto"/>
        <w:ind w:firstLine="480" w:firstLineChars="200"/>
        <w:jc w:val="both"/>
        <w:rPr>
          <w:rFonts w:hint="eastAsia" w:ascii="等线" w:hAnsi="等线" w:eastAsia="宋体" w:cs="Times New Roman"/>
          <w:b/>
          <w:iCs/>
          <w:kern w:val="44"/>
          <w:sz w:val="28"/>
          <w14:ligatures w14:val="none"/>
        </w:rPr>
      </w:pPr>
      <w:r>
        <w:rPr>
          <w:rFonts w:hint="eastAsia" w:ascii="宋体" w:hAnsi="宋体" w:eastAsia="宋体" w:cs="宋体"/>
          <w:color w:val="000000"/>
          <w:sz w:val="24"/>
          <w:lang w:val="en-US" w:eastAsia="zh-CN"/>
          <w14:ligatures w14:val="none"/>
        </w:rPr>
        <w:t>3.2.3安全性验收 在安装调试及验收阶段，检查电气接地、设备防护、急停、安全互锁、排放措施、防爆措施是否满足技术协议要求。</w:t>
      </w:r>
    </w:p>
    <w:p>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第六章  投标技术文件一般要求</w:t>
      </w:r>
    </w:p>
    <w:p>
      <w:pPr>
        <w:keepNext/>
        <w:keepLines/>
        <w:spacing w:after="0" w:line="360" w:lineRule="auto"/>
        <w:ind w:firstLine="482" w:firstLineChars="200"/>
        <w:jc w:val="both"/>
        <w:outlineLvl w:val="2"/>
        <w:rPr>
          <w:rFonts w:ascii="Times New Roman" w:hAnsi="Times New Roman" w:eastAsia="宋体" w:cs="Times New Roman"/>
          <w:b/>
          <w:bCs/>
          <w:sz w:val="24"/>
          <w14:ligatures w14:val="none"/>
        </w:rPr>
      </w:pPr>
      <w:r>
        <w:rPr>
          <w:rFonts w:ascii="Times New Roman" w:hAnsi="Times New Roman" w:eastAsia="宋体" w:cs="Times New Roman"/>
          <w:b/>
          <w:bCs/>
          <w:sz w:val="24"/>
          <w14:ligatures w14:val="none"/>
        </w:rPr>
        <w:t>一、技术文件一般内容要求</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1.投标人应认真阅读招标文件和本技术标书，并按要求编写投标技术文件。</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2.投标技术文件至少应对投标货物的功能用途、技术性能、质量标准、技术参数等作出详细说明。</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3.投标技术文件至少应根据投标货物的关键设备、总成、零部件或系统作出满足或优于招标文件要求的详细说明。</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4.投标技术文件至少应按照招标文件要求（或投标人建议）列明备品备件、易损件和专用耗材明细。</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5.投标人应当而且必须分别说明所列备品备件、易损件和专用耗材的使用寿命（以有效工作小时数说明）。</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6.投标的货物，应当根据其配置和备品备件、易损件、专用耗材情况，尽可能详细且分类填入下表：</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6.1备品备件、易损件和专用耗材明细表：</w:t>
      </w:r>
    </w:p>
    <w:p>
      <w:pPr>
        <w:adjustRightInd w:val="0"/>
        <w:snapToGrid w:val="0"/>
        <w:spacing w:after="0" w:line="420" w:lineRule="exact"/>
        <w:ind w:firstLine="1890" w:firstLineChars="900"/>
        <w:jc w:val="both"/>
        <w:rPr>
          <w:rFonts w:hint="eastAsia" w:ascii="宋体" w:hAnsi="宋体" w:eastAsia="宋体" w:cs="宋体"/>
          <w:sz w:val="21"/>
          <w:szCs w:val="22"/>
          <w14:ligatures w14:val="none"/>
        </w:rPr>
      </w:pPr>
      <w:r>
        <w:rPr>
          <w:rFonts w:hint="eastAsia" w:ascii="宋体" w:hAnsi="宋体" w:eastAsia="宋体" w:cs="宋体"/>
          <w:sz w:val="21"/>
          <w:szCs w:val="22"/>
          <w14:ligatures w14:val="none"/>
        </w:rPr>
        <w:t>备品备件、易损件和专用耗材明细表             单位：元</w:t>
      </w:r>
    </w:p>
    <w:tbl>
      <w:tblPr>
        <w:tblStyle w:val="36"/>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序号</w:t>
            </w:r>
          </w:p>
        </w:tc>
        <w:tc>
          <w:tcPr>
            <w:tcW w:w="1924"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名称</w:t>
            </w:r>
          </w:p>
        </w:tc>
        <w:tc>
          <w:tcPr>
            <w:tcW w:w="1236"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型号规格</w:t>
            </w: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单位</w:t>
            </w: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数量</w:t>
            </w: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单价</w:t>
            </w: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总价</w:t>
            </w:r>
          </w:p>
        </w:tc>
        <w:tc>
          <w:tcPr>
            <w:tcW w:w="2235"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1</w:t>
            </w:r>
          </w:p>
        </w:tc>
        <w:tc>
          <w:tcPr>
            <w:tcW w:w="1924" w:type="dxa"/>
          </w:tcPr>
          <w:p>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pPr>
              <w:adjustRightInd w:val="0"/>
              <w:snapToGrid w:val="0"/>
              <w:spacing w:after="0" w:line="360" w:lineRule="exact"/>
              <w:jc w:val="both"/>
              <w:rPr>
                <w:rFonts w:hint="eastAsia" w:ascii="宋体" w:hAnsi="宋体" w:eastAsia="宋体" w:cs="宋体"/>
                <w:sz w:val="21"/>
                <w:szCs w:val="22"/>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2</w:t>
            </w:r>
          </w:p>
        </w:tc>
        <w:tc>
          <w:tcPr>
            <w:tcW w:w="1924" w:type="dxa"/>
          </w:tcPr>
          <w:p>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pPr>
              <w:adjustRightInd w:val="0"/>
              <w:snapToGrid w:val="0"/>
              <w:spacing w:after="0" w:line="360" w:lineRule="exact"/>
              <w:jc w:val="both"/>
              <w:rPr>
                <w:rFonts w:hint="eastAsia" w:ascii="宋体" w:hAnsi="宋体" w:eastAsia="宋体" w:cs="宋体"/>
                <w:sz w:val="21"/>
                <w:szCs w:val="22"/>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3</w:t>
            </w:r>
          </w:p>
        </w:tc>
        <w:tc>
          <w:tcPr>
            <w:tcW w:w="1924" w:type="dxa"/>
          </w:tcPr>
          <w:p>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pPr>
              <w:adjustRightInd w:val="0"/>
              <w:snapToGrid w:val="0"/>
              <w:spacing w:after="0" w:line="360" w:lineRule="exact"/>
              <w:jc w:val="both"/>
              <w:rPr>
                <w:rFonts w:hint="eastAsia" w:ascii="宋体" w:hAnsi="宋体" w:eastAsia="宋体" w:cs="宋体"/>
                <w:sz w:val="21"/>
                <w:szCs w:val="22"/>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4</w:t>
            </w:r>
          </w:p>
        </w:tc>
        <w:tc>
          <w:tcPr>
            <w:tcW w:w="1924" w:type="dxa"/>
          </w:tcPr>
          <w:p>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pPr>
              <w:adjustRightInd w:val="0"/>
              <w:snapToGrid w:val="0"/>
              <w:spacing w:after="0" w:line="360" w:lineRule="exact"/>
              <w:jc w:val="both"/>
              <w:rPr>
                <w:rFonts w:hint="eastAsia" w:ascii="宋体" w:hAnsi="宋体" w:eastAsia="宋体" w:cs="宋体"/>
                <w:sz w:val="21"/>
                <w:szCs w:val="22"/>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5</w:t>
            </w:r>
          </w:p>
        </w:tc>
        <w:tc>
          <w:tcPr>
            <w:tcW w:w="1924" w:type="dxa"/>
          </w:tcPr>
          <w:p>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pPr>
              <w:adjustRightInd w:val="0"/>
              <w:snapToGrid w:val="0"/>
              <w:spacing w:after="0" w:line="360" w:lineRule="exact"/>
              <w:jc w:val="both"/>
              <w:rPr>
                <w:rFonts w:hint="eastAsia" w:ascii="宋体" w:hAnsi="宋体" w:eastAsia="宋体" w:cs="宋体"/>
                <w:sz w:val="21"/>
                <w:szCs w:val="22"/>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1924" w:type="dxa"/>
          </w:tcPr>
          <w:p>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pPr>
              <w:adjustRightInd w:val="0"/>
              <w:snapToGrid w:val="0"/>
              <w:spacing w:after="0" w:line="360" w:lineRule="exact"/>
              <w:jc w:val="both"/>
              <w:rPr>
                <w:rFonts w:hint="eastAsia" w:ascii="宋体" w:hAnsi="宋体" w:eastAsia="宋体" w:cs="宋体"/>
                <w:sz w:val="21"/>
                <w:szCs w:val="22"/>
                <w14:ligatures w14:val="none"/>
              </w:rPr>
            </w:pPr>
          </w:p>
        </w:tc>
      </w:tr>
    </w:tbl>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6.2“开标一览表”和“明细表”仅作为投标人编制投标技术文件的一般格式。其中序号编写应当便于招标人了解分类或分项货物之间的所属关系，如1、1.1、1.2；</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6.3应当尽可能将货物的配置列全、列细，这将有助于投标人胜出；</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6.4单价与总价之间、总价与分类小计价之间、分类小计价与合计价之间数据应当齐全而且准确；</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6.5本条款表格中的制造商，应当为全称或公认的简称。</w:t>
      </w:r>
    </w:p>
    <w:p>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二、技术文件中货物报价格式要求</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2.如果投标总报价与其它价格出现错误或不一致，将有可能导致废标。</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3.投标总报价为自合同签定生效至合同无异议执行完毕涉及的买方需要支付的全部费用。如投标人认为本招标及投标货物涉及特需或专门的设计，应当单独列明设计费。</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4.备品备件、易损件和专用耗材，招标人将可能与投标人按照投标价格另行签署供货合同。</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5.要求投标总报价、分项报价、明细报价之间应当具有相互间对应关系以及填报分项和明细报价，仅为便于评标而不妨碍投标人以最合适的形式签署合同。</w:t>
      </w:r>
    </w:p>
    <w:p>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三、验收标准及内容要求</w:t>
      </w:r>
    </w:p>
    <w:p>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除招标文件明确的验收标准或内容之外，投标人应当在投标文件中提供终验收的标准以及规程；在合同签定之前，经投标人和招标人双方洽谈确认并签署，以作为验收标准执行。</w:t>
      </w:r>
    </w:p>
    <w:p>
      <w:pPr>
        <w:adjustRightInd w:val="0"/>
        <w:snapToGrid w:val="0"/>
        <w:spacing w:after="0" w:line="360" w:lineRule="auto"/>
        <w:jc w:val="both"/>
        <w:rPr>
          <w:rFonts w:hint="eastAsia" w:ascii="宋体" w:hAnsi="宋体" w:eastAsia="宋体" w:cs="宋体"/>
          <w:sz w:val="24"/>
          <w14:ligatures w14:val="none"/>
        </w:rPr>
      </w:pPr>
    </w:p>
    <w:bookmarkEnd w:id="57"/>
    <w:p>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第七章  其它要求及说明</w:t>
      </w:r>
    </w:p>
    <w:p>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一、要求</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为保证本技术标书所列采购货物的质量以及先进性、可靠性、经济性和实用性，要求投标人在投标文件中，至少应具备以下资格证明文件或资料：</w:t>
      </w:r>
    </w:p>
    <w:p>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1.投标方应是独立法人。应当在投标文件中提供法人营业执照（国外供应商参考该要求提供有效证明文件），并保证其真实性和有效性。</w:t>
      </w:r>
    </w:p>
    <w:p>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2.投标人应当是通过有关资格认证的法人。应当在投标文件中提供有效期内的资格认证证书，如：ISO9001、QS9000等。</w:t>
      </w:r>
    </w:p>
    <w:p>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3.应附有其它与投标人、采购货物有关的荣誉证书或资料。</w:t>
      </w:r>
    </w:p>
    <w:p>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4.必须附有投标货物涉及产品要求的、国家或行业管理规定要求的、或者投标人认为能够体现其投标货物合法性及先进性的最高级别的证明材料（投标货物不涉及的除外）：</w:t>
      </w:r>
    </w:p>
    <w:p>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5.1国家相关机构颁发的有效期之内所必需的《生产许可证》；</w:t>
      </w:r>
    </w:p>
    <w:p>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5.2产品（或技术）鉴定报告/证书、专利证书或专利许可证书、新技术成果证书等；</w:t>
      </w:r>
    </w:p>
    <w:p>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5.3产品相关检验、试验报告，如：型式试验检验报告、安全试验检验报告、电弧效应试验报告、噪声检测报告等；</w:t>
      </w:r>
    </w:p>
    <w:p>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5.4其它能够证明所供货物的质量水平、技术水平、安全性水平、节能性水平、环保性水平等相关的其它证明文件或资料、报告等；</w:t>
      </w:r>
    </w:p>
    <w:p>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5.5该类报告或证明材料对于投标人胜出乃至中标极为重要！</w:t>
      </w:r>
    </w:p>
    <w:p>
      <w:pPr>
        <w:numPr>
          <w:ilvl w:val="0"/>
          <w:numId w:val="11"/>
        </w:numPr>
        <w:spacing w:after="0" w:line="360" w:lineRule="auto"/>
        <w:ind w:firstLine="482" w:firstLineChars="200"/>
        <w:jc w:val="both"/>
        <w:rPr>
          <w:rFonts w:hint="eastAsia" w:ascii="宋体" w:hAnsi="宋体" w:eastAsia="宋体" w:cs="宋体"/>
          <w:sz w:val="24"/>
          <w14:ligatures w14:val="none"/>
        </w:rPr>
      </w:pPr>
      <w:r>
        <w:rPr>
          <w:rFonts w:hint="eastAsia" w:ascii="宋体" w:hAnsi="宋体" w:eastAsia="宋体" w:cs="宋体"/>
          <w:b/>
          <w:sz w:val="24"/>
          <w14:ligatures w14:val="none"/>
        </w:rPr>
        <w:t>必须附有：</w:t>
      </w:r>
      <w:r>
        <w:rPr>
          <w:rFonts w:hint="eastAsia" w:ascii="宋体" w:hAnsi="宋体" w:eastAsia="宋体" w:cs="宋体"/>
          <w:sz w:val="24"/>
          <w14:ligatures w14: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spacing w:after="0" w:line="420" w:lineRule="exact"/>
        <w:ind w:firstLine="482" w:firstLineChars="200"/>
        <w:jc w:val="both"/>
        <w:rPr>
          <w:rFonts w:hint="eastAsia" w:ascii="等线" w:hAnsi="等线" w:eastAsia="等线" w:cs="Times New Roman"/>
          <w:sz w:val="21"/>
          <w:szCs w:val="22"/>
          <w14:ligatures w14:val="none"/>
        </w:rPr>
      </w:pPr>
      <w:r>
        <w:rPr>
          <w:rFonts w:hint="eastAsia" w:ascii="Times New Roman" w:hAnsi="Times New Roman" w:eastAsia="宋体" w:cs="Times New Roman"/>
          <w:b/>
          <w:color w:val="000000"/>
          <w:sz w:val="24"/>
          <w:szCs w:val="20"/>
          <w14:ligatures w14:val="none"/>
        </w:rPr>
        <w:t>7.设备外观</w:t>
      </w:r>
      <w:r>
        <w:rPr>
          <w:rFonts w:hint="eastAsia" w:ascii="宋体" w:hAnsi="宋体" w:eastAsia="宋体" w:cs="宋体"/>
          <w:b/>
          <w:bCs/>
          <w:sz w:val="24"/>
          <w:szCs w:val="20"/>
          <w14:ligatures w14:val="none"/>
        </w:rPr>
        <w:t>不能存在供应商名称和品牌LOGO等标识。</w:t>
      </w:r>
    </w:p>
    <w:p>
      <w:pPr>
        <w:numPr>
          <w:ilvl w:val="255"/>
          <w:numId w:val="0"/>
        </w:numPr>
        <w:spacing w:after="0" w:line="240" w:lineRule="auto"/>
        <w:jc w:val="both"/>
        <w:rPr>
          <w:rFonts w:ascii="宋体" w:hAnsi="Courier New" w:eastAsia="等线" w:cs="Times New Roman"/>
          <w:sz w:val="21"/>
          <w:szCs w:val="22"/>
          <w14:ligatures w14:val="none"/>
        </w:rPr>
      </w:pPr>
    </w:p>
    <w:p>
      <w:pPr>
        <w:keepNext/>
        <w:keepLines/>
        <w:spacing w:after="0" w:line="360" w:lineRule="auto"/>
        <w:ind w:firstLine="482" w:firstLineChars="200"/>
        <w:jc w:val="both"/>
        <w:outlineLvl w:val="2"/>
        <w:rPr>
          <w:rFonts w:ascii="Times New Roman" w:hAnsi="Times New Roman" w:eastAsia="宋体" w:cs="Times New Roman"/>
          <w:b/>
          <w:bCs/>
          <w:color w:val="000000"/>
          <w:sz w:val="24"/>
          <w14:ligatures w14:val="none"/>
        </w:rPr>
      </w:pPr>
      <w:r>
        <w:rPr>
          <w:rFonts w:hint="eastAsia" w:ascii="宋体" w:hAnsi="宋体" w:eastAsia="宋体" w:cs="宋体"/>
          <w:b/>
          <w:bCs/>
          <w:sz w:val="24"/>
          <w14:ligatures w14:val="none"/>
        </w:rPr>
        <w:t>二、其他</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1.投标人可以根据自身的技术、经验等优势以及对招标文件和本技术标书的理解，写明对招标人所采购货物的优化方案或建议意见。投标人的这些努力，招标人表示感谢，并将有助于投标人优先胜出。</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2.即使有建议意见或建议方案，仍应依据招标文件和本技术标书要求，编写符合要求的投标文件。建议方案或建议意见，应以单独篇章或文件，予以说明和报价。</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4.招标文件、投标文件、答疑文件、技术交流文件、技术标书等，在采购过程全部为有效文件，如有差异，以对招标人最有利的条款为准。</w:t>
      </w:r>
    </w:p>
    <w:p>
      <w:pPr>
        <w:spacing w:line="480" w:lineRule="exact"/>
        <w:ind w:firstLine="480" w:firstLineChars="200"/>
        <w:rPr>
          <w:rFonts w:hint="eastAsia" w:ascii="宋体" w:hAnsi="宋体"/>
        </w:rPr>
      </w:pPr>
      <w:r>
        <w:rPr>
          <w:rFonts w:hint="eastAsia" w:ascii="宋体" w:hAnsi="宋体" w:eastAsia="宋体" w:cs="宋体"/>
          <w:sz w:val="24"/>
          <w14:ligatures w14:val="none"/>
        </w:rPr>
        <w:t>5.为避免歧义，本技术标书涉及招投标环节的条款，均将潜在的卖方称为投标人、将买方称为招标人；定标后合同签署环节以及后续的合同执行环节条款，招标人称为买方、投标人中的中标方称为卖方。</w:t>
      </w:r>
    </w:p>
    <w:p>
      <w:pPr>
        <w:spacing w:line="360" w:lineRule="auto"/>
        <w:ind w:firstLine="480" w:firstLineChars="200"/>
        <w:rPr>
          <w:rFonts w:ascii="宋体" w:hAnsi="宋体" w:eastAsia="宋体" w:cs="宋体"/>
          <w:sz w:val="24"/>
          <w:szCs w:val="24"/>
        </w:rPr>
      </w:pPr>
    </w:p>
    <w:p>
      <w:pPr>
        <w:spacing w:line="360" w:lineRule="auto"/>
        <w:ind w:firstLine="480" w:firstLineChars="200"/>
        <w:rPr>
          <w:rFonts w:hint="eastAsia" w:ascii="宋体" w:hAnsi="宋体" w:eastAsia="宋体" w:cs="宋体"/>
          <w:sz w:val="24"/>
          <w:szCs w:val="24"/>
          <w:lang w:val="en-US" w:eastAsia="zh-CN"/>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bookmarkEnd w:id="33"/>
    <w:bookmarkEnd w:id="34"/>
    <w:p>
      <w:pPr>
        <w:pStyle w:val="17"/>
      </w:pPr>
    </w:p>
    <w:p>
      <w:pPr>
        <w:spacing w:line="360" w:lineRule="auto"/>
        <w:jc w:val="center"/>
        <w:outlineLvl w:val="0"/>
        <w:rPr>
          <w:rFonts w:ascii="宋体" w:hAnsi="Calibri" w:eastAsia="宋体" w:cs="Times New Roman"/>
          <w:b/>
          <w:sz w:val="36"/>
          <w:szCs w:val="36"/>
        </w:rPr>
      </w:pPr>
      <w:bookmarkStart w:id="58"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8"/>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9"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0" w:name="_Toc16330018"/>
      <w:bookmarkStart w:id="61" w:name="_Toc11930"/>
      <w:bookmarkStart w:id="62" w:name="_Toc17619"/>
      <w:bookmarkStart w:id="63" w:name="_Toc11823"/>
      <w:r>
        <w:rPr>
          <w:rFonts w:hint="eastAsia" w:ascii="黑体" w:hAnsi="黑体" w:eastAsia="黑体" w:cstheme="minorEastAsia"/>
          <w:b w:val="0"/>
          <w:sz w:val="28"/>
          <w:szCs w:val="28"/>
        </w:rPr>
        <w:t>1 合同设备</w:t>
      </w:r>
      <w:bookmarkEnd w:id="60"/>
      <w:bookmarkEnd w:id="61"/>
      <w:bookmarkEnd w:id="62"/>
      <w:bookmarkEnd w:id="6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64" w:name="_Toc32510"/>
      <w:bookmarkStart w:id="65" w:name="_Toc22800"/>
      <w:bookmarkStart w:id="66"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16330019"/>
      <w:r>
        <w:rPr>
          <w:rFonts w:hint="eastAsia" w:ascii="黑体" w:hAnsi="黑体" w:eastAsia="黑体" w:cstheme="minorEastAsia"/>
          <w:b w:val="0"/>
          <w:sz w:val="28"/>
          <w:szCs w:val="28"/>
        </w:rPr>
        <w:t>2 包装</w:t>
      </w:r>
      <w:bookmarkEnd w:id="64"/>
      <w:bookmarkEnd w:id="65"/>
      <w:bookmarkEnd w:id="66"/>
      <w:bookmarkEnd w:id="6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8" w:name="_Toc27144"/>
      <w:bookmarkStart w:id="69" w:name="_Toc2833"/>
      <w:bookmarkStart w:id="70" w:name="_Toc27453"/>
      <w:bookmarkStart w:id="71" w:name="_Toc16330020"/>
      <w:r>
        <w:rPr>
          <w:rFonts w:hint="eastAsia" w:ascii="黑体" w:hAnsi="黑体" w:eastAsia="黑体" w:cstheme="minorEastAsia"/>
          <w:b w:val="0"/>
          <w:sz w:val="28"/>
          <w:szCs w:val="28"/>
        </w:rPr>
        <w:t>3 运输标记</w:t>
      </w:r>
      <w:bookmarkEnd w:id="68"/>
      <w:bookmarkEnd w:id="69"/>
      <w:bookmarkEnd w:id="70"/>
      <w:bookmarkEnd w:id="7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2" w:name="_Toc16330021"/>
      <w:bookmarkStart w:id="73" w:name="_Toc10630"/>
      <w:bookmarkStart w:id="74" w:name="_Toc16133"/>
      <w:bookmarkStart w:id="75" w:name="_Toc7431"/>
      <w:r>
        <w:rPr>
          <w:rFonts w:hint="eastAsia" w:ascii="黑体" w:hAnsi="黑体" w:eastAsia="黑体" w:cstheme="minorEastAsia"/>
          <w:b w:val="0"/>
          <w:sz w:val="28"/>
          <w:szCs w:val="28"/>
        </w:rPr>
        <w:t>4 检验</w:t>
      </w:r>
      <w:bookmarkEnd w:id="72"/>
      <w:bookmarkEnd w:id="73"/>
      <w:bookmarkEnd w:id="74"/>
      <w:bookmarkEnd w:id="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6" w:name="_Toc11217"/>
      <w:bookmarkStart w:id="77" w:name="_Toc24467"/>
      <w:bookmarkStart w:id="78" w:name="_Toc16330022"/>
      <w:bookmarkStart w:id="79" w:name="_Toc19850"/>
      <w:r>
        <w:rPr>
          <w:rFonts w:hint="eastAsia" w:ascii="黑体" w:hAnsi="黑体" w:eastAsia="黑体" w:cstheme="minorEastAsia"/>
          <w:b w:val="0"/>
          <w:sz w:val="28"/>
          <w:szCs w:val="28"/>
        </w:rPr>
        <w:t>5 权利担保</w:t>
      </w:r>
      <w:bookmarkEnd w:id="76"/>
      <w:bookmarkEnd w:id="77"/>
      <w:bookmarkEnd w:id="78"/>
      <w:bookmarkEnd w:id="7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0" w:name="_Toc14809"/>
      <w:bookmarkStart w:id="81" w:name="_Toc16330023"/>
      <w:bookmarkStart w:id="82" w:name="_Toc11759"/>
      <w:bookmarkStart w:id="83" w:name="_Toc27500"/>
      <w:r>
        <w:rPr>
          <w:rFonts w:hint="eastAsia" w:ascii="黑体" w:hAnsi="黑体" w:eastAsia="黑体" w:cstheme="minorEastAsia"/>
          <w:b w:val="0"/>
          <w:sz w:val="28"/>
          <w:szCs w:val="28"/>
        </w:rPr>
        <w:t>6 交货</w:t>
      </w:r>
      <w:bookmarkEnd w:id="80"/>
      <w:bookmarkEnd w:id="81"/>
      <w:bookmarkEnd w:id="82"/>
      <w:bookmarkEnd w:id="8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4" w:name="_Toc2984"/>
      <w:bookmarkStart w:id="85" w:name="_Toc8024"/>
      <w:bookmarkStart w:id="86" w:name="_Toc25510"/>
      <w:bookmarkStart w:id="87" w:name="_Toc16330024"/>
      <w:r>
        <w:rPr>
          <w:rFonts w:hint="eastAsia" w:ascii="黑体" w:hAnsi="黑体" w:eastAsia="黑体" w:cstheme="minorEastAsia"/>
          <w:b w:val="0"/>
          <w:sz w:val="28"/>
          <w:szCs w:val="28"/>
        </w:rPr>
        <w:t>7 安装、调试</w:t>
      </w:r>
      <w:bookmarkEnd w:id="84"/>
      <w:bookmarkEnd w:id="85"/>
      <w:bookmarkEnd w:id="86"/>
      <w:bookmarkEnd w:id="87"/>
    </w:p>
    <w:p>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8" w:name="_Toc6350"/>
      <w:bookmarkStart w:id="89" w:name="_Toc14098"/>
      <w:bookmarkStart w:id="90" w:name="_Toc16330025"/>
      <w:bookmarkStart w:id="91" w:name="_Toc14260"/>
      <w:r>
        <w:rPr>
          <w:rFonts w:hint="eastAsia" w:ascii="黑体" w:hAnsi="黑体" w:eastAsia="黑体" w:cstheme="minorEastAsia"/>
          <w:b w:val="0"/>
          <w:sz w:val="28"/>
          <w:szCs w:val="28"/>
        </w:rPr>
        <w:t>8 价款与支付</w:t>
      </w:r>
      <w:bookmarkEnd w:id="88"/>
      <w:bookmarkEnd w:id="89"/>
      <w:bookmarkEnd w:id="90"/>
      <w:bookmarkEnd w:id="9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92" w:name="_Toc14676804"/>
      <w:bookmarkStart w:id="93"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92"/>
      <w:bookmarkEnd w:id="93"/>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16330026"/>
      <w:bookmarkStart w:id="95" w:name="_Toc6726"/>
      <w:bookmarkStart w:id="96" w:name="_Toc24085"/>
      <w:bookmarkStart w:id="97" w:name="_Toc25708"/>
      <w:r>
        <w:rPr>
          <w:rFonts w:hint="eastAsia" w:ascii="黑体" w:hAnsi="黑体" w:eastAsia="黑体" w:cstheme="minorEastAsia"/>
          <w:b w:val="0"/>
          <w:sz w:val="28"/>
          <w:szCs w:val="28"/>
        </w:rPr>
        <w:t>9 质量保证及售后服务</w:t>
      </w:r>
      <w:bookmarkEnd w:id="94"/>
      <w:bookmarkEnd w:id="95"/>
      <w:bookmarkEnd w:id="96"/>
      <w:bookmarkEnd w:id="9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2927"/>
      <w:bookmarkStart w:id="99" w:name="_Toc10359"/>
      <w:bookmarkStart w:id="100" w:name="_Toc16330027"/>
      <w:bookmarkStart w:id="101" w:name="_Toc15570"/>
      <w:r>
        <w:rPr>
          <w:rFonts w:hint="eastAsia" w:ascii="黑体" w:hAnsi="黑体" w:eastAsia="黑体" w:cstheme="minorEastAsia"/>
          <w:b w:val="0"/>
          <w:sz w:val="28"/>
          <w:szCs w:val="28"/>
        </w:rPr>
        <w:t>10法定责任</w:t>
      </w:r>
      <w:bookmarkEnd w:id="98"/>
      <w:bookmarkEnd w:id="99"/>
      <w:bookmarkEnd w:id="100"/>
      <w:bookmarkEnd w:id="10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9708"/>
      <w:bookmarkStart w:id="103" w:name="_Toc16330028"/>
      <w:bookmarkStart w:id="104" w:name="_Toc30381"/>
      <w:bookmarkStart w:id="105" w:name="_Toc27314"/>
      <w:r>
        <w:rPr>
          <w:rFonts w:hint="eastAsia" w:ascii="黑体" w:hAnsi="黑体" w:eastAsia="黑体" w:cstheme="minorEastAsia"/>
          <w:b w:val="0"/>
          <w:sz w:val="28"/>
          <w:szCs w:val="28"/>
        </w:rPr>
        <w:t>11 违约责任</w:t>
      </w:r>
      <w:bookmarkEnd w:id="102"/>
      <w:bookmarkEnd w:id="103"/>
      <w:bookmarkEnd w:id="104"/>
      <w:bookmarkEnd w:id="10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6" w:name="_Toc1827"/>
      <w:bookmarkStart w:id="107" w:name="_Toc31554"/>
      <w:bookmarkStart w:id="108" w:name="_Toc9172"/>
      <w:bookmarkStart w:id="109" w:name="_Toc16330029"/>
      <w:r>
        <w:rPr>
          <w:rFonts w:hint="eastAsia" w:ascii="黑体" w:hAnsi="黑体" w:eastAsia="黑体" w:cstheme="minorEastAsia"/>
          <w:b w:val="0"/>
          <w:sz w:val="28"/>
          <w:szCs w:val="28"/>
        </w:rPr>
        <w:t>12 合同的终止与解除</w:t>
      </w:r>
      <w:bookmarkEnd w:id="106"/>
      <w:bookmarkEnd w:id="107"/>
      <w:bookmarkEnd w:id="108"/>
      <w:bookmarkEnd w:id="10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0" w:name="_Toc13671"/>
      <w:bookmarkStart w:id="111" w:name="_Toc8620"/>
      <w:bookmarkStart w:id="112" w:name="_Toc31945"/>
      <w:bookmarkStart w:id="113" w:name="_Toc16330030"/>
      <w:r>
        <w:rPr>
          <w:rFonts w:hint="eastAsia" w:ascii="黑体" w:hAnsi="黑体" w:eastAsia="黑体" w:cstheme="minorEastAsia"/>
          <w:b w:val="0"/>
          <w:sz w:val="28"/>
          <w:szCs w:val="28"/>
        </w:rPr>
        <w:t>13 不可抗力</w:t>
      </w:r>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4" w:name="_Toc30389"/>
      <w:bookmarkStart w:id="115" w:name="_Toc31243"/>
      <w:bookmarkStart w:id="116" w:name="_Toc16330031"/>
      <w:bookmarkStart w:id="117" w:name="_Toc637"/>
      <w:r>
        <w:rPr>
          <w:rFonts w:hint="eastAsia" w:ascii="黑体" w:hAnsi="黑体" w:eastAsia="黑体" w:cstheme="minorEastAsia"/>
          <w:b w:val="0"/>
          <w:sz w:val="28"/>
          <w:szCs w:val="28"/>
        </w:rPr>
        <w:t>14 通讯</w:t>
      </w:r>
      <w:bookmarkEnd w:id="114"/>
      <w:bookmarkEnd w:id="115"/>
      <w:bookmarkEnd w:id="116"/>
      <w:bookmarkEnd w:id="11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18" w:name="_Toc12984"/>
      <w:bookmarkStart w:id="119" w:name="_Toc9915"/>
      <w:bookmarkStart w:id="120" w:name="_Toc11290"/>
      <w:bookmarkStart w:id="121" w:name="_Toc16330032"/>
      <w:r>
        <w:rPr>
          <w:rFonts w:hint="eastAsia" w:ascii="黑体" w:hAnsi="黑体" w:eastAsia="黑体" w:cstheme="minorEastAsia"/>
          <w:b w:val="0"/>
          <w:sz w:val="28"/>
          <w:szCs w:val="28"/>
        </w:rPr>
        <w:t>15 适用法律及争议解决</w:t>
      </w:r>
      <w:bookmarkEnd w:id="118"/>
      <w:bookmarkEnd w:id="119"/>
      <w:bookmarkEnd w:id="120"/>
      <w:bookmarkEnd w:id="12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2" w:name="_Toc16330033"/>
      <w:bookmarkStart w:id="123" w:name="_Toc18207"/>
      <w:bookmarkStart w:id="124" w:name="_Toc23765"/>
      <w:bookmarkStart w:id="125" w:name="_Toc23906"/>
      <w:r>
        <w:rPr>
          <w:rFonts w:hint="eastAsia" w:ascii="黑体" w:hAnsi="黑体" w:eastAsia="黑体" w:cstheme="minorEastAsia"/>
          <w:b w:val="0"/>
          <w:sz w:val="28"/>
          <w:szCs w:val="28"/>
        </w:rPr>
        <w:t>16 附件</w:t>
      </w:r>
      <w:bookmarkEnd w:id="122"/>
      <w:bookmarkEnd w:id="123"/>
      <w:bookmarkEnd w:id="124"/>
      <w:bookmarkEnd w:id="12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6" w:name="_Toc17656"/>
      <w:bookmarkStart w:id="127" w:name="_Toc27202"/>
      <w:bookmarkStart w:id="128" w:name="_Toc16330034"/>
      <w:bookmarkStart w:id="129" w:name="_Toc31331"/>
      <w:r>
        <w:rPr>
          <w:rFonts w:hint="eastAsia" w:ascii="黑体" w:hAnsi="黑体" w:eastAsia="黑体" w:cstheme="minorEastAsia"/>
          <w:b w:val="0"/>
          <w:sz w:val="28"/>
          <w:szCs w:val="28"/>
        </w:rPr>
        <w:t>17 其他规定</w:t>
      </w:r>
      <w:bookmarkEnd w:id="126"/>
      <w:bookmarkEnd w:id="127"/>
      <w:bookmarkEnd w:id="128"/>
      <w:bookmarkEnd w:id="12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0" w:name="_Toc29136"/>
      <w:bookmarkStart w:id="131" w:name="_Toc16330035"/>
      <w:bookmarkStart w:id="132" w:name="_Toc17952"/>
      <w:bookmarkStart w:id="133"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30"/>
      <w:bookmarkEnd w:id="131"/>
      <w:bookmarkEnd w:id="132"/>
      <w:bookmarkEnd w:id="13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34" w:name="_Toc24623"/>
      <w:bookmarkStart w:id="135" w:name="_Toc5379"/>
      <w:bookmarkStart w:id="136" w:name="_Toc3778"/>
      <w:bookmarkStart w:id="137" w:name="_Toc25120"/>
      <w:bookmarkStart w:id="138" w:name="_Toc16330037"/>
      <w:r>
        <w:rPr>
          <w:rFonts w:hint="eastAsia" w:asciiTheme="minorEastAsia" w:hAnsiTheme="minorEastAsia" w:eastAsiaTheme="minorEastAsia" w:cstheme="minorEastAsia"/>
          <w:sz w:val="20"/>
          <w:szCs w:val="20"/>
        </w:rPr>
        <w:br w:type="page"/>
      </w:r>
    </w:p>
    <w:p>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34"/>
      <w:bookmarkEnd w:id="135"/>
      <w:bookmarkEnd w:id="136"/>
      <w:bookmarkEnd w:id="137"/>
      <w:bookmarkEnd w:id="138"/>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39" w:name="_Toc14341849"/>
    </w:p>
    <w:p>
      <w:pPr>
        <w:ind w:right="480"/>
        <w:jc w:val="center"/>
        <w:rPr>
          <w:sz w:val="24"/>
          <w:szCs w:val="24"/>
        </w:rPr>
      </w:pPr>
      <w:r>
        <w:rPr>
          <w:rFonts w:hint="eastAsia" w:ascii="楷体_GB2312" w:hAnsi="宋体" w:eastAsia="楷体_GB2312"/>
          <w:sz w:val="24"/>
        </w:rPr>
        <w:t xml:space="preserve">                                    </w:t>
      </w:r>
    </w:p>
    <w:bookmarkEnd w:id="139"/>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3"/>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3"/>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3"/>
        <w:ind w:left="0" w:firstLine="0"/>
        <w:rPr>
          <w:rFonts w:ascii="楷体" w:hAnsi="楷体" w:eastAsia="楷体" w:cs="楷体"/>
          <w:b/>
          <w:sz w:val="24"/>
          <w:szCs w:val="28"/>
        </w:rPr>
      </w:pPr>
    </w:p>
    <w:p>
      <w:pPr>
        <w:pStyle w:val="13"/>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3"/>
        <w:ind w:left="0" w:firstLine="0"/>
        <w:rPr>
          <w:rFonts w:ascii="楷体" w:hAnsi="楷体" w:eastAsia="楷体" w:cs="楷体"/>
          <w:b/>
          <w:sz w:val="24"/>
          <w:szCs w:val="28"/>
        </w:rPr>
      </w:pPr>
    </w:p>
    <w:p>
      <w:pPr>
        <w:pStyle w:val="13"/>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9"/>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0" w:name="_Toc212369550"/>
      <w:bookmarkStart w:id="141" w:name="_Toc353881012"/>
      <w:bookmarkStart w:id="142" w:name="_Toc25811"/>
      <w:bookmarkStart w:id="143"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0"/>
      <w:bookmarkEnd w:id="141"/>
      <w:bookmarkEnd w:id="142"/>
      <w:bookmarkEnd w:id="143"/>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济南发动机厂调涂水分烘干室改造技改项目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济南发动机厂调涂水分烘干室改造技改项目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CGZX2025020132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济南发动机厂调涂水分烘干室改造技改项目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济南发动机厂调涂水分烘干室改造技改项目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noWrap w:val="0"/>
            <w:vAlign w:val="top"/>
          </w:tcPr>
          <w:p>
            <w:pPr>
              <w:spacing w:before="97" w:line="186" w:lineRule="auto"/>
              <w:ind w:left="304"/>
              <w:rPr>
                <w:rFonts w:ascii="宋体" w:hAnsi="宋体" w:eastAsia="宋体" w:cs="宋体"/>
                <w:szCs w:val="21"/>
              </w:rPr>
            </w:pPr>
            <w:r>
              <w:rPr>
                <w:rFonts w:ascii="宋体" w:hAnsi="宋体" w:eastAsia="宋体" w:cs="宋体"/>
                <w:szCs w:val="21"/>
              </w:rPr>
              <w:t>1</w:t>
            </w:r>
          </w:p>
        </w:tc>
        <w:tc>
          <w:tcPr>
            <w:tcW w:w="1578" w:type="dxa"/>
            <w:noWrap w:val="0"/>
            <w:vAlign w:val="top"/>
          </w:tcPr>
          <w:p>
            <w:pPr>
              <w:spacing w:before="98" w:line="185" w:lineRule="auto"/>
              <w:ind w:left="1071"/>
              <w:rPr>
                <w:rFonts w:ascii="宋体" w:hAnsi="宋体" w:eastAsia="宋体" w:cs="宋体"/>
                <w:szCs w:val="21"/>
              </w:rPr>
            </w:pPr>
            <w:r>
              <w:rPr>
                <w:rFonts w:ascii="宋体" w:hAnsi="宋体" w:eastAsia="宋体" w:cs="宋体"/>
                <w:szCs w:val="21"/>
              </w:rPr>
              <w:t>2</w:t>
            </w:r>
          </w:p>
        </w:tc>
        <w:tc>
          <w:tcPr>
            <w:tcW w:w="4171" w:type="dxa"/>
            <w:noWrap w:val="0"/>
            <w:vAlign w:val="top"/>
          </w:tcPr>
          <w:p>
            <w:pPr>
              <w:spacing w:before="99" w:line="183" w:lineRule="auto"/>
              <w:ind w:left="1075"/>
              <w:rPr>
                <w:rFonts w:ascii="宋体" w:hAnsi="宋体" w:eastAsia="宋体" w:cs="宋体"/>
                <w:szCs w:val="21"/>
              </w:rPr>
            </w:pPr>
            <w:r>
              <w:rPr>
                <w:rFonts w:ascii="宋体" w:hAnsi="宋体" w:eastAsia="宋体" w:cs="宋体"/>
                <w:szCs w:val="21"/>
              </w:rPr>
              <w:t>3</w:t>
            </w:r>
          </w:p>
        </w:tc>
        <w:tc>
          <w:tcPr>
            <w:tcW w:w="1639" w:type="dxa"/>
            <w:noWrap w:val="0"/>
            <w:vAlign w:val="top"/>
          </w:tcPr>
          <w:p>
            <w:pPr>
              <w:spacing w:before="98" w:line="185" w:lineRule="auto"/>
              <w:ind w:left="511"/>
              <w:rPr>
                <w:rFonts w:ascii="宋体" w:hAnsi="宋体" w:eastAsia="宋体" w:cs="宋体"/>
                <w:szCs w:val="21"/>
              </w:rPr>
            </w:pPr>
            <w:r>
              <w:rPr>
                <w:rFonts w:ascii="宋体" w:hAnsi="宋体" w:eastAsia="宋体" w:cs="宋体"/>
                <w:szCs w:val="21"/>
              </w:rPr>
              <w:t>4</w:t>
            </w:r>
          </w:p>
        </w:tc>
        <w:tc>
          <w:tcPr>
            <w:tcW w:w="1117" w:type="dxa"/>
            <w:noWrap w:val="0"/>
            <w:vAlign w:val="top"/>
          </w:tcPr>
          <w:p>
            <w:pPr>
              <w:spacing w:before="100" w:line="182" w:lineRule="auto"/>
              <w:ind w:left="798"/>
              <w:rPr>
                <w:rFonts w:ascii="宋体" w:hAnsi="宋体" w:eastAsia="宋体" w:cs="宋体"/>
                <w:szCs w:val="21"/>
              </w:rPr>
            </w:pPr>
            <w:r>
              <w:rPr>
                <w:rFonts w:ascii="宋体" w:hAnsi="宋体" w:eastAsia="宋体" w:cs="宋体"/>
                <w:szCs w:val="21"/>
              </w:rPr>
              <w:t>5</w:t>
            </w:r>
          </w:p>
        </w:tc>
        <w:tc>
          <w:tcPr>
            <w:tcW w:w="3336" w:type="dxa"/>
            <w:tcBorders>
              <w:left w:val="single" w:color="000000" w:sz="4" w:space="0"/>
            </w:tcBorders>
            <w:noWrap w:val="0"/>
            <w:vAlign w:val="top"/>
          </w:tcPr>
          <w:p>
            <w:pPr>
              <w:spacing w:before="100" w:line="182" w:lineRule="auto"/>
              <w:ind w:left="1007"/>
              <w:rPr>
                <w:rFonts w:ascii="宋体" w:hAnsi="宋体" w:eastAsia="宋体" w:cs="宋体"/>
                <w:szCs w:val="21"/>
              </w:rPr>
            </w:pPr>
            <w:r>
              <w:rPr>
                <w:rFonts w:ascii="宋体" w:hAnsi="宋体" w:eastAsia="宋体" w:cs="宋体"/>
                <w:szCs w:val="21"/>
              </w:rPr>
              <w:t>7</w:t>
            </w:r>
          </w:p>
        </w:tc>
        <w:tc>
          <w:tcPr>
            <w:tcW w:w="1271" w:type="dxa"/>
            <w:noWrap w:val="0"/>
            <w:vAlign w:val="top"/>
          </w:tcPr>
          <w:p>
            <w:pPr>
              <w:spacing w:before="99" w:line="183" w:lineRule="auto"/>
              <w:ind w:firstLine="420" w:firstLineChars="200"/>
              <w:rPr>
                <w:rFonts w:ascii="宋体" w:hAnsi="宋体" w:eastAsia="宋体" w:cs="宋体"/>
                <w:szCs w:val="21"/>
              </w:rPr>
            </w:pPr>
            <w:r>
              <w:rPr>
                <w:rFonts w:ascii="宋体" w:hAnsi="宋体" w:eastAsia="宋体" w:cs="宋体"/>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序号</w:t>
            </w:r>
          </w:p>
        </w:tc>
        <w:tc>
          <w:tcPr>
            <w:tcW w:w="1578" w:type="dxa"/>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货物名称</w:t>
            </w:r>
          </w:p>
        </w:tc>
        <w:tc>
          <w:tcPr>
            <w:tcW w:w="4171"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1639"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1117"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3336" w:type="dxa"/>
            <w:tcBorders>
              <w:left w:val="single" w:color="000000" w:sz="4" w:space="0"/>
            </w:tcBorders>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1271"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1</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室体</w:t>
            </w:r>
          </w:p>
        </w:tc>
        <w:tc>
          <w:tcPr>
            <w:tcW w:w="4171"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非标</w:t>
            </w:r>
          </w:p>
        </w:tc>
        <w:tc>
          <w:tcPr>
            <w:tcW w:w="1639"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1</w:t>
            </w:r>
          </w:p>
        </w:tc>
        <w:tc>
          <w:tcPr>
            <w:tcW w:w="1117" w:type="dxa"/>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auto"/>
                <w:kern w:val="0"/>
                <w:sz w:val="24"/>
                <w:szCs w:val="24"/>
                <w:u w:val="none"/>
                <w:lang w:val="en-US" w:eastAsia="zh-CN" w:bidi="ar"/>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风道</w:t>
            </w:r>
          </w:p>
        </w:tc>
        <w:tc>
          <w:tcPr>
            <w:tcW w:w="4171"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非标</w:t>
            </w:r>
          </w:p>
        </w:tc>
        <w:tc>
          <w:tcPr>
            <w:tcW w:w="1639"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1</w:t>
            </w:r>
          </w:p>
        </w:tc>
        <w:tc>
          <w:tcPr>
            <w:tcW w:w="1117"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热风炉及烟囱</w:t>
            </w:r>
          </w:p>
        </w:tc>
        <w:tc>
          <w:tcPr>
            <w:tcW w:w="4171"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非标</w:t>
            </w:r>
          </w:p>
        </w:tc>
        <w:tc>
          <w:tcPr>
            <w:tcW w:w="1639"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1</w:t>
            </w:r>
          </w:p>
        </w:tc>
        <w:tc>
          <w:tcPr>
            <w:tcW w:w="1117"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控制系统</w:t>
            </w:r>
          </w:p>
        </w:tc>
        <w:tc>
          <w:tcPr>
            <w:tcW w:w="4171"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1639"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1</w:t>
            </w:r>
          </w:p>
        </w:tc>
        <w:tc>
          <w:tcPr>
            <w:tcW w:w="1117"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排风机及排烟管改造</w:t>
            </w:r>
          </w:p>
        </w:tc>
        <w:tc>
          <w:tcPr>
            <w:tcW w:w="4171"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非标</w:t>
            </w:r>
          </w:p>
        </w:tc>
        <w:tc>
          <w:tcPr>
            <w:tcW w:w="1639"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1</w:t>
            </w:r>
          </w:p>
        </w:tc>
        <w:tc>
          <w:tcPr>
            <w:tcW w:w="1117"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auto"/>
                <w:kern w:val="0"/>
                <w:sz w:val="24"/>
                <w:szCs w:val="24"/>
                <w:u w:val="none"/>
                <w:lang w:val="en-US" w:eastAsia="zh-CN" w:bidi="ar"/>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1578" w:type="dxa"/>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宋体" w:hAnsi="宋体" w:eastAsia="宋体" w:cs="宋体"/>
                <w:i w:val="0"/>
                <w:iCs w:val="0"/>
                <w:color w:val="auto"/>
                <w:kern w:val="0"/>
                <w:sz w:val="24"/>
                <w:szCs w:val="24"/>
                <w:u w:val="none"/>
                <w:lang w:val="en-US" w:eastAsia="zh-CN" w:bidi="ar"/>
              </w:rPr>
              <w:t>其他</w:t>
            </w:r>
          </w:p>
        </w:tc>
        <w:tc>
          <w:tcPr>
            <w:tcW w:w="417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非标</w:t>
            </w:r>
          </w:p>
        </w:tc>
        <w:tc>
          <w:tcPr>
            <w:tcW w:w="1639"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1117"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c>
          <w:tcPr>
            <w:tcW w:w="3336" w:type="dxa"/>
            <w:tcBorders>
              <w:left w:val="single" w:color="000000" w:sz="4" w:space="0"/>
            </w:tcBorders>
            <w:shd w:val="clear" w:color="auto" w:fill="auto"/>
            <w:noWrap w:val="0"/>
            <w:vAlign w:val="top"/>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adjustRightInd w:val="0"/>
              <w:snapToGrid w:val="0"/>
              <w:spacing w:before="0" w:line="240" w:lineRule="auto"/>
              <w:ind w:left="0"/>
              <w:jc w:val="center"/>
              <w:rPr>
                <w:rFonts w:ascii="宋体" w:hAnsi="宋体" w:eastAsia="宋体" w:cs="宋体"/>
                <w:szCs w:val="21"/>
              </w:rPr>
            </w:pPr>
          </w:p>
        </w:tc>
        <w:tc>
          <w:tcPr>
            <w:tcW w:w="1578" w:type="dxa"/>
            <w:noWrap w:val="0"/>
            <w:vAlign w:val="top"/>
          </w:tcPr>
          <w:p>
            <w:pPr>
              <w:rPr>
                <w:rFonts w:hint="eastAsia" w:ascii="宋体" w:hAnsi="宋体" w:eastAsia="宋体" w:cs="Times New Roman"/>
                <w:sz w:val="18"/>
                <w:szCs w:val="18"/>
              </w:rPr>
            </w:pPr>
            <w:r>
              <w:rPr>
                <w:rFonts w:hint="eastAsia" w:ascii="宋体" w:hAnsi="宋体" w:eastAsia="宋体" w:cs="Times New Roman"/>
                <w:sz w:val="18"/>
                <w:szCs w:val="18"/>
              </w:rPr>
              <w:t>以上投标设备不足之处请往下添加序号自行补充</w:t>
            </w:r>
          </w:p>
        </w:tc>
        <w:tc>
          <w:tcPr>
            <w:tcW w:w="4171" w:type="dxa"/>
            <w:noWrap w:val="0"/>
            <w:vAlign w:val="top"/>
          </w:tcPr>
          <w:p>
            <w:pPr>
              <w:rPr>
                <w:rFonts w:ascii="Arial"/>
              </w:rPr>
            </w:pPr>
          </w:p>
        </w:tc>
        <w:tc>
          <w:tcPr>
            <w:tcW w:w="1639" w:type="dxa"/>
            <w:noWrap w:val="0"/>
            <w:vAlign w:val="top"/>
          </w:tcPr>
          <w:p>
            <w:pPr>
              <w:rPr>
                <w:rFonts w:ascii="Arial"/>
              </w:rPr>
            </w:pPr>
          </w:p>
        </w:tc>
        <w:tc>
          <w:tcPr>
            <w:tcW w:w="1117" w:type="dxa"/>
            <w:noWrap w:val="0"/>
            <w:vAlign w:val="top"/>
          </w:tcPr>
          <w:p>
            <w:pPr>
              <w:rPr>
                <w:rFonts w:ascii="Arial"/>
              </w:rPr>
            </w:pPr>
          </w:p>
        </w:tc>
        <w:tc>
          <w:tcPr>
            <w:tcW w:w="3336" w:type="dxa"/>
            <w:tcBorders>
              <w:left w:val="single" w:color="000000" w:sz="4" w:space="0"/>
            </w:tcBorders>
            <w:noWrap w:val="0"/>
            <w:vAlign w:val="top"/>
          </w:tcPr>
          <w:p>
            <w:pPr>
              <w:rPr>
                <w:rFonts w:ascii="Arial"/>
              </w:rPr>
            </w:pPr>
          </w:p>
        </w:tc>
        <w:tc>
          <w:tcPr>
            <w:tcW w:w="1271" w:type="dxa"/>
            <w:noWrap w:val="0"/>
            <w:vAlign w:val="top"/>
          </w:tcPr>
          <w:p>
            <w:pPr>
              <w:rPr>
                <w:rFonts w:ascii="Arial"/>
              </w:rPr>
            </w:pPr>
          </w:p>
        </w:tc>
      </w:tr>
    </w:tbl>
    <w:p>
      <w:pPr>
        <w:spacing w:before="78" w:line="219" w:lineRule="auto"/>
        <w:ind w:left="431"/>
        <w:rPr>
          <w:rFonts w:ascii="宋体" w:hAnsi="宋体" w:eastAsia="宋体" w:cs="宋体"/>
          <w:spacing w:val="-8"/>
          <w:szCs w:val="21"/>
        </w:rPr>
      </w:pPr>
    </w:p>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济南发动机厂调涂水分烘干室改造技改项目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济南发动机厂调涂水分烘干室改造技改项目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济南发动机厂调涂水分烘干室改造技改项目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济南发动机厂调涂水分烘干室改造技改项目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812"/>
        <w:gridCol w:w="775"/>
        <w:gridCol w:w="2006"/>
        <w:gridCol w:w="1532"/>
        <w:gridCol w:w="625"/>
        <w:gridCol w:w="488"/>
        <w:gridCol w:w="2271"/>
        <w:gridCol w:w="720"/>
        <w:gridCol w:w="1515"/>
        <w:gridCol w:w="1955"/>
        <w:gridCol w:w="8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538" w:type="dxa"/>
            <w:noWrap w:val="0"/>
            <w:vAlign w:val="center"/>
          </w:tcPr>
          <w:p>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rPr>
            </w:pPr>
            <w:r>
              <w:rPr>
                <w:rFonts w:ascii="宋体" w:hAnsi="宋体" w:eastAsia="宋体" w:cs="宋体"/>
                <w:szCs w:val="21"/>
              </w:rPr>
              <w:t>1</w:t>
            </w:r>
          </w:p>
        </w:tc>
        <w:tc>
          <w:tcPr>
            <w:tcW w:w="15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rPr>
              <w:t>2</w:t>
            </w:r>
          </w:p>
        </w:tc>
        <w:tc>
          <w:tcPr>
            <w:tcW w:w="2006" w:type="dxa"/>
            <w:noWrap w:val="0"/>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532" w:type="dxa"/>
            <w:noWrap w:val="0"/>
            <w:vAlign w:val="center"/>
          </w:tcPr>
          <w:p>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488" w:type="dxa"/>
            <w:noWrap w:val="0"/>
            <w:vAlign w:val="center"/>
          </w:tcPr>
          <w:p>
            <w:pPr>
              <w:keepNext w:val="0"/>
              <w:keepLines w:val="0"/>
              <w:pageBreakBefore w:val="0"/>
              <w:widowControl w:val="0"/>
              <w:kinsoku/>
              <w:wordWrap/>
              <w:overflowPunct/>
              <w:topLinePunct w:val="0"/>
              <w:autoSpaceDE/>
              <w:autoSpaceDN/>
              <w:bidi w:val="0"/>
              <w:adjustRightInd/>
              <w:snapToGrid/>
              <w:spacing w:line="182" w:lineRule="auto"/>
              <w:ind w:left="0" w:leftChars="0"/>
              <w:jc w:val="center"/>
              <w:textAlignment w:val="auto"/>
              <w:rPr>
                <w:rFonts w:ascii="宋体" w:hAnsi="宋体" w:eastAsia="宋体" w:cs="宋体"/>
                <w:kern w:val="2"/>
                <w:sz w:val="21"/>
                <w:szCs w:val="21"/>
                <w:lang w:val="en-US" w:eastAsia="zh-CN" w:bidi="ar-SA"/>
              </w:rPr>
            </w:pPr>
            <w:r>
              <w:rPr>
                <w:rFonts w:hint="eastAsia" w:ascii="宋体" w:hAnsi="宋体" w:eastAsia="宋体" w:cs="宋体"/>
                <w:szCs w:val="21"/>
                <w:lang w:val="en-US" w:eastAsia="zh-CN"/>
              </w:rPr>
              <w:t>6</w:t>
            </w:r>
          </w:p>
        </w:tc>
        <w:tc>
          <w:tcPr>
            <w:tcW w:w="2271" w:type="dxa"/>
            <w:noWrap w:val="0"/>
            <w:vAlign w:val="center"/>
          </w:tcPr>
          <w:p>
            <w:pPr>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7</w:t>
            </w:r>
          </w:p>
        </w:tc>
        <w:tc>
          <w:tcPr>
            <w:tcW w:w="2235" w:type="dxa"/>
            <w:gridSpan w:val="2"/>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182"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1955"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9</w:t>
            </w:r>
          </w:p>
        </w:tc>
        <w:tc>
          <w:tcPr>
            <w:tcW w:w="857" w:type="dxa"/>
            <w:noWrap w:val="0"/>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center"/>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38" w:type="dxa"/>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序号</w:t>
            </w:r>
          </w:p>
        </w:tc>
        <w:tc>
          <w:tcPr>
            <w:tcW w:w="1587" w:type="dxa"/>
            <w:gridSpan w:val="2"/>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货物名称</w:t>
            </w:r>
          </w:p>
        </w:tc>
        <w:tc>
          <w:tcPr>
            <w:tcW w:w="2006" w:type="dxa"/>
            <w:noWrap w:val="0"/>
            <w:vAlign w:val="center"/>
          </w:tcPr>
          <w:p>
            <w:pPr>
              <w:spacing w:line="221" w:lineRule="auto"/>
              <w:jc w:val="center"/>
              <w:rPr>
                <w:rFonts w:hint="eastAsia" w:ascii="宋体" w:hAnsi="宋体" w:eastAsia="宋体" w:cs="宋体"/>
                <w:b/>
                <w:bCs/>
                <w:spacing w:val="-1"/>
                <w:szCs w:val="21"/>
              </w:rPr>
            </w:pPr>
            <w:r>
              <w:rPr>
                <w:rFonts w:hint="eastAsia" w:ascii="宋体" w:hAnsi="宋体" w:eastAsia="宋体" w:cs="Times New Roman"/>
                <w:b/>
                <w:bCs/>
                <w:spacing w:val="-2"/>
                <w:kern w:val="0"/>
                <w:sz w:val="20"/>
                <w:szCs w:val="20"/>
                <w:lang w:val="en-US" w:eastAsia="zh-CN"/>
              </w:rPr>
              <w:t>明细</w:t>
            </w:r>
          </w:p>
        </w:tc>
        <w:tc>
          <w:tcPr>
            <w:tcW w:w="1532" w:type="dxa"/>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型号和规格</w:t>
            </w:r>
          </w:p>
        </w:tc>
        <w:tc>
          <w:tcPr>
            <w:tcW w:w="625" w:type="dxa"/>
            <w:noWrap w:val="0"/>
            <w:vAlign w:val="center"/>
          </w:tcPr>
          <w:p>
            <w:pPr>
              <w:spacing w:line="221" w:lineRule="auto"/>
              <w:jc w:val="center"/>
              <w:rPr>
                <w:rFonts w:hint="eastAsia" w:ascii="宋体" w:hAnsi="宋体" w:eastAsia="宋体" w:cs="宋体"/>
                <w:b/>
                <w:bCs/>
                <w:spacing w:val="-1"/>
                <w:szCs w:val="21"/>
                <w:lang w:eastAsia="zh-CN"/>
              </w:rPr>
            </w:pPr>
            <w:r>
              <w:rPr>
                <w:rFonts w:hint="eastAsia" w:ascii="宋体" w:hAnsi="宋体" w:eastAsia="宋体" w:cs="宋体"/>
                <w:b/>
                <w:bCs/>
                <w:spacing w:val="-1"/>
                <w:szCs w:val="21"/>
                <w:lang w:val="en-US" w:eastAsia="zh-CN"/>
              </w:rPr>
              <w:t>单位</w:t>
            </w:r>
          </w:p>
        </w:tc>
        <w:tc>
          <w:tcPr>
            <w:tcW w:w="488" w:type="dxa"/>
            <w:noWrap w:val="0"/>
            <w:vAlign w:val="center"/>
          </w:tcPr>
          <w:p>
            <w:pPr>
              <w:spacing w:line="221" w:lineRule="auto"/>
              <w:jc w:val="center"/>
              <w:rPr>
                <w:rFonts w:hint="eastAsia" w:ascii="宋体" w:hAnsi="宋体" w:eastAsia="宋体" w:cs="宋体"/>
                <w:b/>
                <w:bCs/>
                <w:spacing w:val="-1"/>
                <w:szCs w:val="21"/>
                <w:lang w:val="en-US" w:eastAsia="zh-CN"/>
              </w:rPr>
            </w:pPr>
            <w:r>
              <w:rPr>
                <w:rFonts w:hint="eastAsia" w:ascii="宋体" w:hAnsi="宋体" w:eastAsia="宋体" w:cs="宋体"/>
                <w:b/>
                <w:bCs/>
                <w:spacing w:val="-1"/>
                <w:szCs w:val="21"/>
                <w:lang w:val="en-US" w:eastAsia="zh-CN"/>
              </w:rPr>
              <w:t>数量</w:t>
            </w:r>
          </w:p>
        </w:tc>
        <w:tc>
          <w:tcPr>
            <w:tcW w:w="2271" w:type="dxa"/>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原产地和制造商名称</w:t>
            </w:r>
          </w:p>
        </w:tc>
        <w:tc>
          <w:tcPr>
            <w:tcW w:w="2235" w:type="dxa"/>
            <w:gridSpan w:val="2"/>
            <w:tcBorders>
              <w:right w:val="single" w:color="000000" w:sz="4" w:space="0"/>
            </w:tcBorders>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单价（不含税）</w:t>
            </w:r>
          </w:p>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(元)</w:t>
            </w:r>
          </w:p>
        </w:tc>
        <w:tc>
          <w:tcPr>
            <w:tcW w:w="1955" w:type="dxa"/>
            <w:tcBorders>
              <w:left w:val="single" w:color="000000" w:sz="4" w:space="0"/>
            </w:tcBorders>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总价[</w:t>
            </w:r>
            <w:r>
              <w:rPr>
                <w:rFonts w:hint="eastAsia" w:ascii="宋体" w:hAnsi="宋体" w:eastAsia="宋体" w:cs="宋体"/>
                <w:b/>
                <w:bCs/>
                <w:spacing w:val="-1"/>
                <w:szCs w:val="21"/>
                <w:lang w:val="en-US" w:eastAsia="zh-CN"/>
              </w:rPr>
              <w:t>6</w:t>
            </w:r>
            <w:r>
              <w:rPr>
                <w:rFonts w:hint="eastAsia" w:ascii="宋体" w:hAnsi="宋体" w:eastAsia="宋体" w:cs="宋体"/>
                <w:b/>
                <w:bCs/>
                <w:spacing w:val="-1"/>
                <w:szCs w:val="21"/>
              </w:rPr>
              <w:t>×</w:t>
            </w:r>
            <w:r>
              <w:rPr>
                <w:rFonts w:hint="eastAsia" w:ascii="宋体" w:hAnsi="宋体" w:eastAsia="宋体" w:cs="宋体"/>
                <w:b/>
                <w:bCs/>
                <w:spacing w:val="-1"/>
                <w:szCs w:val="21"/>
                <w:lang w:val="en-US" w:eastAsia="zh-CN"/>
              </w:rPr>
              <w:t>8</w:t>
            </w:r>
            <w:r>
              <w:rPr>
                <w:rFonts w:hint="eastAsia" w:ascii="宋体" w:hAnsi="宋体" w:eastAsia="宋体" w:cs="宋体"/>
                <w:b/>
                <w:bCs/>
                <w:spacing w:val="-1"/>
                <w:szCs w:val="21"/>
              </w:rPr>
              <w:t>]（不含税）</w:t>
            </w:r>
          </w:p>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(元)</w:t>
            </w:r>
          </w:p>
        </w:tc>
        <w:tc>
          <w:tcPr>
            <w:tcW w:w="857" w:type="dxa"/>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1</w:t>
            </w:r>
          </w:p>
        </w:tc>
        <w:tc>
          <w:tcPr>
            <w:tcW w:w="1587" w:type="dxa"/>
            <w:gridSpan w:val="2"/>
            <w:vMerge w:val="restar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auto"/>
                <w:kern w:val="0"/>
                <w:sz w:val="24"/>
                <w:szCs w:val="24"/>
                <w:u w:val="none"/>
                <w:lang w:val="en-US" w:eastAsia="zh-CN" w:bidi="ar"/>
              </w:rPr>
              <w:t>室体</w:t>
            </w: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室体</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587" w:type="dxa"/>
            <w:gridSpan w:val="2"/>
            <w:vMerge w:val="continue"/>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保温材料</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38"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587" w:type="dxa"/>
            <w:gridSpan w:val="2"/>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auto"/>
                <w:kern w:val="0"/>
                <w:sz w:val="24"/>
                <w:szCs w:val="24"/>
                <w:u w:val="none"/>
                <w:lang w:val="en-US" w:eastAsia="zh-CN" w:bidi="ar"/>
              </w:rPr>
              <w:t>热风炉及烟囱</w:t>
            </w: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主风道</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587" w:type="dxa"/>
            <w:gridSpan w:val="2"/>
            <w:vMerge w:val="restar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r>
              <w:rPr>
                <w:rFonts w:hint="eastAsia" w:ascii="宋体" w:hAnsi="宋体" w:eastAsia="宋体" w:cs="宋体"/>
                <w:i w:val="0"/>
                <w:iCs w:val="0"/>
                <w:color w:val="auto"/>
                <w:kern w:val="0"/>
                <w:sz w:val="24"/>
                <w:szCs w:val="24"/>
                <w:u w:val="none"/>
                <w:lang w:val="en-US" w:eastAsia="zh-CN" w:bidi="ar"/>
              </w:rPr>
              <w:t>热风炉及烟囱</w:t>
            </w: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风机保温</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38"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1587" w:type="dxa"/>
            <w:gridSpan w:val="2"/>
            <w:vMerge w:val="continue"/>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热风炉箱体</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燃烧器</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箱体风机安装平台</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不锈钢换热器</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耐高温风机</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587" w:type="dxa"/>
            <w:gridSpan w:val="2"/>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auto"/>
                <w:kern w:val="0"/>
                <w:sz w:val="24"/>
                <w:szCs w:val="24"/>
                <w:u w:val="none"/>
                <w:lang w:val="en-US" w:eastAsia="zh-CN" w:bidi="ar"/>
              </w:rPr>
              <w:t>控制系统</w:t>
            </w: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电气柜</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PLC及输入输出模块</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低压电气</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1587" w:type="dxa"/>
            <w:gridSpan w:val="2"/>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auto"/>
                <w:kern w:val="0"/>
                <w:sz w:val="24"/>
                <w:szCs w:val="24"/>
                <w:u w:val="none"/>
                <w:lang w:val="en-US" w:eastAsia="zh-CN" w:bidi="ar"/>
              </w:rPr>
              <w:t>排风机及排烟管改造</w:t>
            </w: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风幕</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排风机</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管道改造</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1587" w:type="dxa"/>
            <w:gridSpan w:val="2"/>
            <w:vMerge w:val="restar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auto"/>
                <w:kern w:val="0"/>
                <w:sz w:val="24"/>
                <w:szCs w:val="24"/>
                <w:u w:val="none"/>
                <w:lang w:val="en-US" w:eastAsia="zh-CN" w:bidi="ar"/>
              </w:rPr>
              <w:t>其他</w:t>
            </w: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r>
              <w:rPr>
                <w:rFonts w:hint="eastAsia" w:ascii="宋体" w:hAnsi="宋体" w:eastAsia="宋体" w:cs="宋体"/>
                <w:sz w:val="24"/>
                <w:highlight w:val="none"/>
                <w:lang w:val="en-US" w:eastAsia="zh-CN"/>
                <w14:ligatures w14:val="none"/>
              </w:rPr>
              <w:t>回转机构及支架</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r>
              <w:rPr>
                <w:rFonts w:hint="eastAsia" w:ascii="宋体" w:hAnsi="宋体" w:eastAsia="宋体" w:cs="宋体"/>
                <w:color w:val="auto"/>
                <w:sz w:val="24"/>
                <w:highlight w:val="none"/>
                <w:lang w:val="en-US" w:eastAsia="zh-CN"/>
                <w14:ligatures w14:val="none"/>
              </w:rPr>
              <w:t>道岔</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r>
              <w:rPr>
                <w:rFonts w:hint="eastAsia" w:ascii="宋体" w:hAnsi="宋体" w:eastAsia="宋体" w:cs="宋体"/>
                <w:color w:val="auto"/>
                <w:sz w:val="24"/>
                <w:highlight w:val="none"/>
                <w:lang w:val="en-US" w:eastAsia="zh-CN"/>
                <w14:ligatures w14:val="none"/>
              </w:rPr>
              <w:t>空调马甲</w:t>
            </w:r>
          </w:p>
        </w:tc>
        <w:tc>
          <w:tcPr>
            <w:tcW w:w="1532" w:type="dxa"/>
            <w:shd w:val="clear" w:color="auto" w:fill="auto"/>
            <w:noWrap w:val="0"/>
            <w:vAlign w:val="center"/>
          </w:tcPr>
          <w:p>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62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19</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p>
        </w:tc>
        <w:tc>
          <w:tcPr>
            <w:tcW w:w="2006" w:type="dxa"/>
            <w:shd w:val="clear" w:color="auto" w:fill="auto"/>
            <w:noWrap w:val="0"/>
            <w:vAlign w:val="center"/>
          </w:tcPr>
          <w:p>
            <w:pPr>
              <w:widowControl/>
              <w:jc w:val="center"/>
              <w:textAlignment w:val="center"/>
              <w:rPr>
                <w:rFonts w:hint="eastAsia" w:ascii="宋体" w:hAnsi="宋体" w:eastAsia="宋体" w:cs="Times New Roman"/>
                <w:color w:val="000000"/>
                <w:kern w:val="0"/>
                <w:sz w:val="22"/>
                <w:szCs w:val="22"/>
                <w:lang w:val="en-US" w:eastAsia="zh-CN" w:bidi="ar-SA"/>
              </w:rPr>
            </w:pPr>
            <w:r>
              <w:rPr>
                <w:rFonts w:hint="eastAsia" w:ascii="宋体" w:hAnsi="宋体" w:eastAsia="宋体" w:cs="宋体"/>
                <w:sz w:val="24"/>
                <w:highlight w:val="none"/>
                <w:lang w:val="en-US" w:eastAsia="zh-CN"/>
                <w14:ligatures w14:val="none"/>
              </w:rPr>
              <w:t>动力电</w:t>
            </w:r>
          </w:p>
        </w:tc>
        <w:tc>
          <w:tcPr>
            <w:tcW w:w="1532" w:type="dxa"/>
            <w:shd w:val="clear" w:color="auto" w:fill="auto"/>
            <w:noWrap w:val="0"/>
            <w:vAlign w:val="center"/>
          </w:tcPr>
          <w:p>
            <w:pPr>
              <w:widowControl/>
              <w:jc w:val="center"/>
              <w:textAlignment w:val="center"/>
              <w:rPr>
                <w:rFonts w:hint="eastAsia" w:ascii="宋体" w:hAnsi="宋体" w:eastAsia="宋体" w:cs="Times New Roman"/>
                <w:color w:val="000000"/>
                <w:kern w:val="0"/>
                <w:sz w:val="22"/>
                <w:szCs w:val="22"/>
                <w:lang w:val="en-US" w:eastAsia="zh-CN" w:bidi="ar-SA"/>
              </w:rPr>
            </w:pPr>
          </w:p>
        </w:tc>
        <w:tc>
          <w:tcPr>
            <w:tcW w:w="625" w:type="dxa"/>
            <w:shd w:val="clear" w:color="auto" w:fill="auto"/>
            <w:noWrap w:val="0"/>
            <w:vAlign w:val="center"/>
          </w:tcPr>
          <w:p>
            <w:pPr>
              <w:widowControl/>
              <w:jc w:val="center"/>
              <w:textAlignment w:val="center"/>
              <w:rPr>
                <w:rFonts w:hint="eastAsia" w:ascii="宋体" w:hAnsi="宋体" w:eastAsia="宋体" w:cs="Times New Roman"/>
                <w:kern w:val="2"/>
                <w:sz w:val="24"/>
                <w:szCs w:val="24"/>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488" w:type="dxa"/>
            <w:shd w:val="clear" w:color="auto" w:fill="auto"/>
            <w:noWrap w:val="0"/>
            <w:vAlign w:val="center"/>
          </w:tcPr>
          <w:p>
            <w:pPr>
              <w:widowControl/>
              <w:jc w:val="center"/>
              <w:textAlignment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szCs w:val="24"/>
                <w:lang w:val="en-US" w:eastAsia="zh-CN"/>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widowControl/>
              <w:jc w:val="center"/>
              <w:textAlignment w:val="center"/>
              <w:rPr>
                <w:rFonts w:hint="eastAsia" w:ascii="宋体" w:hAnsi="宋体" w:eastAsia="宋体" w:cs="宋体"/>
                <w:kern w:val="2"/>
                <w:sz w:val="24"/>
                <w:szCs w:val="22"/>
                <w:highlight w:val="none"/>
                <w:lang w:val="en-US" w:eastAsia="zh-CN" w:bidi="ar-SA"/>
                <w14:ligatures w14:val="none"/>
              </w:rPr>
            </w:pPr>
            <w:r>
              <w:rPr>
                <w:rFonts w:hint="eastAsia" w:ascii="宋体" w:hAnsi="宋体" w:eastAsia="宋体" w:cs="宋体"/>
                <w:color w:val="auto"/>
                <w:sz w:val="24"/>
                <w:highlight w:val="none"/>
                <w:lang w:val="en-US" w:eastAsia="zh-CN"/>
                <w14:ligatures w14:val="none"/>
              </w:rPr>
              <w:t>等电位接地体5套</w:t>
            </w:r>
          </w:p>
        </w:tc>
        <w:tc>
          <w:tcPr>
            <w:tcW w:w="1532" w:type="dxa"/>
            <w:shd w:val="clear" w:color="auto" w:fill="auto"/>
            <w:noWrap w:val="0"/>
            <w:vAlign w:val="center"/>
          </w:tcPr>
          <w:p>
            <w:pPr>
              <w:widowControl/>
              <w:jc w:val="center"/>
              <w:textAlignment w:val="center"/>
              <w:rPr>
                <w:rFonts w:hint="eastAsia" w:ascii="宋体" w:hAnsi="宋体" w:eastAsia="宋体" w:cs="Times New Roman"/>
                <w:color w:val="000000"/>
                <w:kern w:val="0"/>
                <w:sz w:val="22"/>
                <w:szCs w:val="22"/>
                <w:lang w:val="en-US" w:eastAsia="zh-CN" w:bidi="ar-SA"/>
              </w:rPr>
            </w:pPr>
          </w:p>
        </w:tc>
        <w:tc>
          <w:tcPr>
            <w:tcW w:w="625" w:type="dxa"/>
            <w:shd w:val="clear" w:color="auto" w:fill="auto"/>
            <w:noWrap w:val="0"/>
            <w:vAlign w:val="center"/>
          </w:tcPr>
          <w:p>
            <w:pPr>
              <w:widowControl/>
              <w:jc w:val="center"/>
              <w:textAlignment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szCs w:val="24"/>
                <w:lang w:val="en-US" w:eastAsia="zh-CN"/>
              </w:rPr>
              <w:t>套</w:t>
            </w:r>
          </w:p>
        </w:tc>
        <w:tc>
          <w:tcPr>
            <w:tcW w:w="488" w:type="dxa"/>
            <w:shd w:val="clear" w:color="auto" w:fill="auto"/>
            <w:noWrap w:val="0"/>
            <w:vAlign w:val="center"/>
          </w:tcPr>
          <w:p>
            <w:pPr>
              <w:widowControl/>
              <w:jc w:val="center"/>
              <w:textAlignment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szCs w:val="24"/>
                <w:lang w:val="en-US" w:eastAsia="zh-CN"/>
              </w:rPr>
              <w:t>5</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widowControl/>
              <w:jc w:val="center"/>
              <w:textAlignment w:val="center"/>
              <w:rPr>
                <w:rFonts w:hint="eastAsia" w:ascii="宋体" w:hAnsi="宋体" w:eastAsia="宋体" w:cs="宋体"/>
                <w:kern w:val="2"/>
                <w:sz w:val="24"/>
                <w:szCs w:val="22"/>
                <w:highlight w:val="none"/>
                <w:lang w:val="en-US" w:eastAsia="zh-CN" w:bidi="ar-SA"/>
                <w14:ligatures w14:val="none"/>
              </w:rPr>
            </w:pPr>
            <w:r>
              <w:rPr>
                <w:rFonts w:hint="eastAsia" w:ascii="宋体" w:hAnsi="宋体" w:eastAsia="宋体" w:cs="宋体"/>
                <w:sz w:val="24"/>
                <w:highlight w:val="none"/>
                <w:lang w:val="en-US" w:eastAsia="zh-CN"/>
                <w14:ligatures w14:val="none"/>
              </w:rPr>
              <w:t>喷淋</w:t>
            </w:r>
          </w:p>
        </w:tc>
        <w:tc>
          <w:tcPr>
            <w:tcW w:w="1532" w:type="dxa"/>
            <w:shd w:val="clear" w:color="auto" w:fill="auto"/>
            <w:noWrap w:val="0"/>
            <w:vAlign w:val="center"/>
          </w:tcPr>
          <w:p>
            <w:pPr>
              <w:widowControl/>
              <w:jc w:val="center"/>
              <w:textAlignment w:val="center"/>
              <w:rPr>
                <w:rFonts w:hint="eastAsia" w:ascii="宋体" w:hAnsi="宋体" w:eastAsia="宋体" w:cs="Times New Roman"/>
                <w:color w:val="000000"/>
                <w:kern w:val="0"/>
                <w:sz w:val="22"/>
                <w:szCs w:val="22"/>
                <w:lang w:val="en-US" w:eastAsia="zh-CN" w:bidi="ar-SA"/>
              </w:rPr>
            </w:pPr>
          </w:p>
        </w:tc>
        <w:tc>
          <w:tcPr>
            <w:tcW w:w="625" w:type="dxa"/>
            <w:shd w:val="clear" w:color="auto" w:fill="auto"/>
            <w:noWrap w:val="0"/>
            <w:vAlign w:val="center"/>
          </w:tcPr>
          <w:p>
            <w:pPr>
              <w:widowControl/>
              <w:jc w:val="center"/>
              <w:textAlignment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szCs w:val="24"/>
                <w:lang w:val="en-US" w:eastAsia="zh-CN"/>
              </w:rPr>
              <w:t>套</w:t>
            </w:r>
          </w:p>
        </w:tc>
        <w:tc>
          <w:tcPr>
            <w:tcW w:w="488" w:type="dxa"/>
            <w:shd w:val="clear" w:color="auto" w:fill="auto"/>
            <w:noWrap w:val="0"/>
            <w:vAlign w:val="center"/>
          </w:tcPr>
          <w:p>
            <w:pPr>
              <w:widowControl/>
              <w:jc w:val="center"/>
              <w:textAlignment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szCs w:val="24"/>
                <w:lang w:val="en-US" w:eastAsia="zh-CN"/>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38" w:type="dxa"/>
            <w:shd w:val="clear" w:color="auto" w:fill="auto"/>
            <w:noWrap w:val="0"/>
            <w:vAlign w:val="center"/>
          </w:tcPr>
          <w:p>
            <w:pPr>
              <w:adjustRightInd w:val="0"/>
              <w:snapToGrid w:val="0"/>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1587" w:type="dxa"/>
            <w:gridSpan w:val="2"/>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006" w:type="dxa"/>
            <w:shd w:val="clear" w:color="auto" w:fill="auto"/>
            <w:noWrap w:val="0"/>
            <w:vAlign w:val="center"/>
          </w:tcPr>
          <w:p>
            <w:pPr>
              <w:widowControl/>
              <w:jc w:val="center"/>
              <w:textAlignment w:val="center"/>
              <w:rPr>
                <w:rFonts w:hint="eastAsia" w:ascii="宋体" w:hAnsi="宋体" w:eastAsia="宋体" w:cs="宋体"/>
                <w:kern w:val="2"/>
                <w:sz w:val="24"/>
                <w:szCs w:val="22"/>
                <w:highlight w:val="none"/>
                <w:lang w:val="en-US" w:eastAsia="zh-CN" w:bidi="ar-SA"/>
                <w14:ligatures w14:val="none"/>
              </w:rPr>
            </w:pPr>
            <w:r>
              <w:rPr>
                <w:rFonts w:hint="eastAsia" w:ascii="宋体" w:hAnsi="宋体" w:eastAsia="宋体" w:cs="宋体"/>
                <w:sz w:val="24"/>
                <w:highlight w:val="none"/>
                <w:lang w:val="en-US" w:eastAsia="zh-CN"/>
                <w14:ligatures w14:val="none"/>
              </w:rPr>
              <w:t>设备检修</w:t>
            </w:r>
          </w:p>
        </w:tc>
        <w:tc>
          <w:tcPr>
            <w:tcW w:w="1532" w:type="dxa"/>
            <w:shd w:val="clear" w:color="auto" w:fill="auto"/>
            <w:noWrap w:val="0"/>
            <w:vAlign w:val="center"/>
          </w:tcPr>
          <w:p>
            <w:pPr>
              <w:widowControl/>
              <w:jc w:val="center"/>
              <w:textAlignment w:val="center"/>
              <w:rPr>
                <w:rFonts w:hint="eastAsia" w:ascii="宋体" w:hAnsi="宋体" w:eastAsia="宋体" w:cs="Times New Roman"/>
                <w:color w:val="000000"/>
                <w:kern w:val="0"/>
                <w:sz w:val="22"/>
                <w:szCs w:val="22"/>
                <w:lang w:val="en-US" w:eastAsia="zh-CN" w:bidi="ar-SA"/>
              </w:rPr>
            </w:pPr>
          </w:p>
        </w:tc>
        <w:tc>
          <w:tcPr>
            <w:tcW w:w="625" w:type="dxa"/>
            <w:shd w:val="clear" w:color="auto" w:fill="auto"/>
            <w:noWrap w:val="0"/>
            <w:vAlign w:val="center"/>
          </w:tcPr>
          <w:p>
            <w:pPr>
              <w:widowControl/>
              <w:jc w:val="center"/>
              <w:textAlignment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szCs w:val="24"/>
                <w:lang w:val="en-US" w:eastAsia="zh-CN"/>
              </w:rPr>
              <w:t>套</w:t>
            </w:r>
          </w:p>
        </w:tc>
        <w:tc>
          <w:tcPr>
            <w:tcW w:w="488" w:type="dxa"/>
            <w:shd w:val="clear" w:color="auto" w:fill="auto"/>
            <w:noWrap w:val="0"/>
            <w:vAlign w:val="center"/>
          </w:tcPr>
          <w:p>
            <w:pPr>
              <w:widowControl/>
              <w:jc w:val="center"/>
              <w:textAlignment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szCs w:val="24"/>
                <w:lang w:val="en-US" w:eastAsia="zh-CN"/>
              </w:rPr>
              <w:t>1</w:t>
            </w:r>
          </w:p>
        </w:tc>
        <w:tc>
          <w:tcPr>
            <w:tcW w:w="2271" w:type="dxa"/>
            <w:noWrap w:val="0"/>
            <w:vAlign w:val="top"/>
          </w:tcPr>
          <w:p>
            <w:pPr>
              <w:rPr>
                <w:rFonts w:hint="eastAsia" w:ascii="宋体" w:hAnsi="宋体" w:eastAsia="宋体" w:cs="宋体"/>
                <w:kern w:val="2"/>
                <w:sz w:val="21"/>
                <w:szCs w:val="21"/>
                <w:lang w:val="en-US" w:eastAsia="zh-CN" w:bidi="ar-SA"/>
              </w:rPr>
            </w:pPr>
          </w:p>
        </w:tc>
        <w:tc>
          <w:tcPr>
            <w:tcW w:w="2235" w:type="dxa"/>
            <w:gridSpan w:val="2"/>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1955"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857"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538" w:type="dxa"/>
            <w:noWrap w:val="0"/>
            <w:vAlign w:val="center"/>
          </w:tcPr>
          <w:p>
            <w:pPr>
              <w:spacing w:before="0" w:line="240" w:lineRule="auto"/>
              <w:ind w:left="0"/>
              <w:jc w:val="center"/>
              <w:rPr>
                <w:rFonts w:ascii="宋体" w:hAnsi="宋体" w:eastAsia="宋体" w:cs="宋体"/>
                <w:szCs w:val="21"/>
              </w:rPr>
            </w:pPr>
            <w:r>
              <w:rPr>
                <w:rFonts w:ascii="宋体" w:hAnsi="宋体" w:eastAsia="宋体" w:cs="宋体"/>
                <w:position w:val="1"/>
                <w:szCs w:val="21"/>
              </w:rPr>
              <w:t>…</w:t>
            </w:r>
          </w:p>
        </w:tc>
        <w:tc>
          <w:tcPr>
            <w:tcW w:w="1587" w:type="dxa"/>
            <w:gridSpan w:val="2"/>
            <w:noWrap w:val="0"/>
            <w:vAlign w:val="top"/>
          </w:tcPr>
          <w:p>
            <w:pPr>
              <w:rPr>
                <w:rFonts w:ascii="Arial"/>
              </w:rPr>
            </w:pPr>
            <w:r>
              <w:rPr>
                <w:rFonts w:hint="eastAsia" w:ascii="宋体" w:hAnsi="宋体" w:eastAsia="宋体" w:cs="宋体"/>
              </w:rPr>
              <w:t>以上投标设备不足之处请往下添加序号自行补充</w:t>
            </w:r>
          </w:p>
        </w:tc>
        <w:tc>
          <w:tcPr>
            <w:tcW w:w="2006" w:type="dxa"/>
            <w:noWrap w:val="0"/>
            <w:vAlign w:val="top"/>
          </w:tcPr>
          <w:p>
            <w:pPr>
              <w:rPr>
                <w:rFonts w:hint="eastAsia" w:ascii="宋体" w:hAnsi="宋体" w:eastAsia="宋体" w:cs="宋体"/>
              </w:rPr>
            </w:pPr>
          </w:p>
        </w:tc>
        <w:tc>
          <w:tcPr>
            <w:tcW w:w="1532" w:type="dxa"/>
            <w:noWrap w:val="0"/>
            <w:vAlign w:val="top"/>
          </w:tcPr>
          <w:p>
            <w:pPr>
              <w:rPr>
                <w:rFonts w:ascii="Arial"/>
              </w:rPr>
            </w:pPr>
          </w:p>
        </w:tc>
        <w:tc>
          <w:tcPr>
            <w:tcW w:w="625" w:type="dxa"/>
            <w:noWrap w:val="0"/>
            <w:vAlign w:val="top"/>
          </w:tcPr>
          <w:p>
            <w:pPr>
              <w:rPr>
                <w:rFonts w:ascii="Arial"/>
              </w:rPr>
            </w:pPr>
          </w:p>
        </w:tc>
        <w:tc>
          <w:tcPr>
            <w:tcW w:w="488" w:type="dxa"/>
            <w:noWrap w:val="0"/>
            <w:vAlign w:val="top"/>
          </w:tcPr>
          <w:p>
            <w:pPr>
              <w:rPr>
                <w:rFonts w:ascii="Arial"/>
              </w:rPr>
            </w:pPr>
          </w:p>
        </w:tc>
        <w:tc>
          <w:tcPr>
            <w:tcW w:w="2271" w:type="dxa"/>
            <w:noWrap w:val="0"/>
            <w:vAlign w:val="top"/>
          </w:tcPr>
          <w:p>
            <w:pPr>
              <w:rPr>
                <w:rFonts w:ascii="Arial"/>
              </w:rPr>
            </w:pPr>
          </w:p>
        </w:tc>
        <w:tc>
          <w:tcPr>
            <w:tcW w:w="2235" w:type="dxa"/>
            <w:gridSpan w:val="2"/>
            <w:tcBorders>
              <w:right w:val="single" w:color="000000" w:sz="4" w:space="0"/>
            </w:tcBorders>
            <w:noWrap w:val="0"/>
            <w:vAlign w:val="top"/>
          </w:tcPr>
          <w:p>
            <w:pPr>
              <w:rPr>
                <w:rFonts w:ascii="Arial"/>
              </w:rPr>
            </w:pPr>
          </w:p>
        </w:tc>
        <w:tc>
          <w:tcPr>
            <w:tcW w:w="1955" w:type="dxa"/>
            <w:tcBorders>
              <w:left w:val="single" w:color="000000" w:sz="4" w:space="0"/>
            </w:tcBorders>
            <w:noWrap w:val="0"/>
            <w:vAlign w:val="top"/>
          </w:tcPr>
          <w:p>
            <w:pPr>
              <w:rPr>
                <w:rFonts w:ascii="Arial"/>
              </w:rPr>
            </w:pPr>
          </w:p>
        </w:tc>
        <w:tc>
          <w:tcPr>
            <w:tcW w:w="857" w:type="dxa"/>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50" w:type="dxa"/>
            <w:gridSpan w:val="2"/>
            <w:tcBorders>
              <w:right w:val="single" w:color="000000" w:sz="4" w:space="0"/>
            </w:tcBorders>
            <w:noWrap w:val="0"/>
            <w:vAlign w:val="top"/>
          </w:tcPr>
          <w:p>
            <w:pPr>
              <w:jc w:val="center"/>
              <w:rPr>
                <w:rFonts w:ascii="宋体" w:hAnsi="宋体" w:eastAsia="宋体" w:cs="宋体"/>
                <w:spacing w:val="-6"/>
                <w:szCs w:val="21"/>
              </w:rPr>
            </w:pPr>
          </w:p>
        </w:tc>
        <w:tc>
          <w:tcPr>
            <w:tcW w:w="8417" w:type="dxa"/>
            <w:gridSpan w:val="7"/>
            <w:tcBorders>
              <w:right w:val="single" w:color="000000" w:sz="4" w:space="0"/>
            </w:tcBorders>
            <w:noWrap w:val="0"/>
            <w:vAlign w:val="top"/>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515" w:type="dxa"/>
            <w:tcBorders>
              <w:left w:val="single" w:color="000000" w:sz="4" w:space="0"/>
            </w:tcBorders>
            <w:noWrap w:val="0"/>
            <w:vAlign w:val="top"/>
          </w:tcPr>
          <w:p>
            <w:pPr>
              <w:jc w:val="center"/>
              <w:rPr>
                <w:rFonts w:ascii="宋体" w:hAnsi="宋体" w:eastAsia="宋体" w:cs="宋体"/>
                <w:spacing w:val="-6"/>
                <w:szCs w:val="21"/>
              </w:rPr>
            </w:pPr>
          </w:p>
        </w:tc>
        <w:tc>
          <w:tcPr>
            <w:tcW w:w="1955" w:type="dxa"/>
            <w:tcBorders>
              <w:left w:val="single" w:color="000000" w:sz="4" w:space="0"/>
            </w:tcBorders>
            <w:noWrap w:val="0"/>
            <w:vAlign w:val="top"/>
          </w:tcPr>
          <w:p>
            <w:pPr>
              <w:rPr>
                <w:rFonts w:ascii="Arial"/>
              </w:rPr>
            </w:pPr>
          </w:p>
        </w:tc>
        <w:tc>
          <w:tcPr>
            <w:tcW w:w="857" w:type="dxa"/>
            <w:noWrap w:val="0"/>
            <w:vAlign w:val="top"/>
          </w:tcPr>
          <w:p>
            <w:pPr>
              <w:rPr>
                <w:rFonts w:ascii="Arial"/>
              </w:rPr>
            </w:pP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2"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noWrap w:val="0"/>
            <w:vAlign w:val="top"/>
          </w:tcPr>
          <w:p>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noWrap w:val="0"/>
            <w:vAlign w:val="top"/>
          </w:tcPr>
          <w:p>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596" w:type="dxa"/>
            <w:noWrap w:val="0"/>
            <w:vAlign w:val="top"/>
          </w:tcPr>
          <w:p>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164" w:type="dxa"/>
            <w:noWrap w:val="0"/>
            <w:vAlign w:val="top"/>
          </w:tcPr>
          <w:p>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pPr>
              <w:rPr>
                <w:rFonts w:ascii="Arial"/>
              </w:rPr>
            </w:pPr>
          </w:p>
        </w:tc>
        <w:tc>
          <w:tcPr>
            <w:tcW w:w="3530" w:type="dxa"/>
            <w:vMerge w:val="continue"/>
            <w:tcBorders>
              <w:top w:val="nil"/>
            </w:tcBorders>
            <w:noWrap w:val="0"/>
            <w:vAlign w:val="top"/>
          </w:tcPr>
          <w:p>
            <w:pPr>
              <w:rPr>
                <w:rFonts w:ascii="Arial"/>
              </w:rPr>
            </w:pPr>
          </w:p>
        </w:tc>
        <w:tc>
          <w:tcPr>
            <w:tcW w:w="2159" w:type="dxa"/>
            <w:noWrap w:val="0"/>
            <w:vAlign w:val="top"/>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noWrap w:val="0"/>
            <w:vAlign w:val="top"/>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noWrap w:val="0"/>
            <w:vAlign w:val="top"/>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noWrap w:val="0"/>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noWrap w:val="0"/>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vMerge w:val="restart"/>
            <w:tcBorders>
              <w:bottom w:val="nil"/>
            </w:tcBorders>
            <w:noWrap w:val="0"/>
            <w:vAlign w:val="top"/>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noWrap w:val="0"/>
            <w:vAlign w:val="top"/>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vMerge w:val="continue"/>
            <w:tcBorders>
              <w:top w:val="nil"/>
            </w:tcBorders>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noWrap w:val="0"/>
            <w:vAlign w:val="top"/>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7" w:line="183" w:lineRule="auto"/>
              <w:ind w:left="352" w:leftChars="0"/>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3530" w:type="dxa"/>
            <w:noWrap w:val="0"/>
            <w:vAlign w:val="top"/>
          </w:tcPr>
          <w:p>
            <w:pPr>
              <w:spacing w:before="211" w:line="221" w:lineRule="auto"/>
              <w:ind w:left="1557" w:leftChars="0"/>
              <w:rPr>
                <w:rFonts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spacing w:before="210" w:line="221" w:lineRule="auto"/>
              <w:ind w:left="456" w:leftChars="0"/>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line="172" w:lineRule="exact"/>
      </w:pPr>
    </w:p>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5"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济南发动机厂调涂水分烘干室改造技改项目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济南发动机厂调涂水分烘干室改造技改项目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济南发动机厂调涂水分烘干室改造技改项目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济南发动机厂调涂水分烘干室改造技改项目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rPr>
          <w:rFonts w:hint="eastAsia" w:ascii="宋体" w:hAnsi="宋体" w:eastAsia="宋体" w:cs="Times New Roman"/>
          <w:b/>
          <w:bCs/>
          <w:sz w:val="24"/>
          <w:szCs w:val="24"/>
          <w:highlight w:val="none"/>
        </w:rPr>
      </w:pPr>
    </w:p>
    <w:tbl>
      <w:tblPr>
        <w:tblStyle w:val="36"/>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317"/>
        <w:gridCol w:w="2813"/>
        <w:gridCol w:w="623"/>
        <w:gridCol w:w="5068"/>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715" w:type="dxa"/>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评价类型</w:t>
            </w:r>
          </w:p>
        </w:tc>
        <w:tc>
          <w:tcPr>
            <w:tcW w:w="317" w:type="dxa"/>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序号</w:t>
            </w:r>
          </w:p>
        </w:tc>
        <w:tc>
          <w:tcPr>
            <w:tcW w:w="2813" w:type="dxa"/>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内</w:t>
            </w:r>
            <w:r>
              <w:rPr>
                <w:rFonts w:ascii="宋体" w:hAnsi="宋体" w:cs="Times New Roman"/>
                <w:b/>
                <w:sz w:val="18"/>
                <w:szCs w:val="18"/>
              </w:rPr>
              <w:t xml:space="preserve">   </w:t>
            </w:r>
            <w:r>
              <w:rPr>
                <w:rFonts w:hint="eastAsia" w:ascii="宋体" w:hAnsi="宋体" w:cs="Times New Roman"/>
                <w:b/>
                <w:sz w:val="18"/>
                <w:szCs w:val="18"/>
              </w:rPr>
              <w:t>容</w:t>
            </w:r>
          </w:p>
        </w:tc>
        <w:tc>
          <w:tcPr>
            <w:tcW w:w="623" w:type="dxa"/>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标准分</w:t>
            </w:r>
          </w:p>
        </w:tc>
        <w:tc>
          <w:tcPr>
            <w:tcW w:w="5069" w:type="dxa"/>
            <w:gridSpan w:val="2"/>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9" w:hRule="atLeast"/>
          <w:jc w:val="center"/>
        </w:trPr>
        <w:tc>
          <w:tcPr>
            <w:tcW w:w="715" w:type="dxa"/>
            <w:vMerge w:val="restart"/>
            <w:noWrap w:val="0"/>
            <w:vAlign w:val="center"/>
          </w:tcPr>
          <w:p>
            <w:pPr>
              <w:tabs>
                <w:tab w:val="left" w:pos="13965"/>
              </w:tabs>
              <w:jc w:val="center"/>
              <w:rPr>
                <w:rFonts w:hint="eastAsia" w:ascii="宋体" w:hAnsi="宋体" w:eastAsia="等线" w:cs="Times New Roman"/>
                <w:b/>
                <w:bCs/>
                <w:sz w:val="18"/>
                <w:szCs w:val="18"/>
                <w:lang w:val="en-US" w:eastAsia="zh-CN"/>
              </w:rPr>
            </w:pPr>
            <w:r>
              <w:rPr>
                <w:rFonts w:hint="eastAsia" w:ascii="宋体" w:hAnsi="宋体" w:cs="Times New Roman"/>
                <w:b/>
                <w:bCs/>
                <w:sz w:val="18"/>
                <w:szCs w:val="18"/>
              </w:rPr>
              <w:t>技术</w:t>
            </w:r>
            <w:r>
              <w:rPr>
                <w:rFonts w:hint="eastAsia" w:ascii="宋体" w:hAnsi="宋体" w:cs="Times New Roman"/>
                <w:b/>
                <w:bCs/>
                <w:sz w:val="18"/>
                <w:szCs w:val="18"/>
                <w:lang w:val="en-US" w:eastAsia="zh-CN"/>
              </w:rPr>
              <w:t>标</w:t>
            </w:r>
          </w:p>
          <w:p>
            <w:pPr>
              <w:tabs>
                <w:tab w:val="left" w:pos="13965"/>
              </w:tabs>
              <w:rPr>
                <w:rFonts w:ascii="宋体" w:hAnsi="宋体" w:cs="Times New Roman"/>
                <w:sz w:val="18"/>
                <w:szCs w:val="18"/>
              </w:rPr>
            </w:pPr>
            <w:r>
              <w:rPr>
                <w:rFonts w:ascii="宋体" w:hAnsi="宋体" w:cs="Times New Roman"/>
                <w:sz w:val="18"/>
                <w:szCs w:val="18"/>
              </w:rPr>
              <w:t>100</w:t>
            </w:r>
            <w:r>
              <w:rPr>
                <w:rFonts w:hint="eastAsia" w:ascii="宋体" w:hAnsi="宋体" w:cs="Times New Roman"/>
                <w:sz w:val="18"/>
                <w:szCs w:val="18"/>
              </w:rPr>
              <w:t>分</w:t>
            </w:r>
          </w:p>
        </w:tc>
        <w:tc>
          <w:tcPr>
            <w:tcW w:w="31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1</w:t>
            </w:r>
          </w:p>
        </w:tc>
        <w:tc>
          <w:tcPr>
            <w:tcW w:w="281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设备制造商同 类型项目业绩</w:t>
            </w:r>
          </w:p>
        </w:tc>
        <w:tc>
          <w:tcPr>
            <w:tcW w:w="62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5069"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  的评价，按照优、良、一般进行赋分，优 得6分，良得4分， 一般得2分(时间以签订日期为准)。投标人在20</w:t>
            </w:r>
            <w:r>
              <w:rPr>
                <w:rFonts w:hint="eastAsia" w:ascii="宋体" w:hAnsi="宋体" w:eastAsia="宋体" w:cs="Times New Roman"/>
                <w:bCs/>
                <w:sz w:val="22"/>
                <w:szCs w:val="22"/>
                <w:lang w:val="en-US" w:eastAsia="zh-CN"/>
              </w:rPr>
              <w:t>20</w:t>
            </w:r>
            <w:r>
              <w:rPr>
                <w:rFonts w:hint="eastAsia" w:ascii="宋体" w:hAnsi="宋体" w:eastAsia="宋体" w:cs="Times New Roman"/>
                <w:bCs/>
                <w:sz w:val="22"/>
                <w:szCs w:val="22"/>
              </w:rPr>
              <w:t>年1月1日以来在中国与本标同类规格产品的业 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7" w:hRule="atLeast"/>
          <w:jc w:val="center"/>
        </w:trPr>
        <w:tc>
          <w:tcPr>
            <w:tcW w:w="715" w:type="dxa"/>
            <w:vMerge w:val="continue"/>
            <w:noWrap w:val="0"/>
            <w:vAlign w:val="center"/>
          </w:tcPr>
          <w:p>
            <w:pPr>
              <w:jc w:val="center"/>
              <w:rPr>
                <w:rFonts w:ascii="宋体" w:hAnsi="宋体" w:cs="Times New Roman"/>
                <w:sz w:val="18"/>
                <w:szCs w:val="18"/>
              </w:rPr>
            </w:pPr>
          </w:p>
        </w:tc>
        <w:tc>
          <w:tcPr>
            <w:tcW w:w="31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2</w:t>
            </w:r>
          </w:p>
        </w:tc>
        <w:tc>
          <w:tcPr>
            <w:tcW w:w="281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设备制造商装备制造能力、生产设备、加工工艺、完善程度</w:t>
            </w:r>
          </w:p>
        </w:tc>
        <w:tc>
          <w:tcPr>
            <w:tcW w:w="62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5069"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7" w:hRule="atLeast"/>
          <w:jc w:val="center"/>
        </w:trPr>
        <w:tc>
          <w:tcPr>
            <w:tcW w:w="715" w:type="dxa"/>
            <w:vMerge w:val="continue"/>
            <w:noWrap w:val="0"/>
            <w:vAlign w:val="center"/>
          </w:tcPr>
          <w:p>
            <w:pPr>
              <w:jc w:val="center"/>
              <w:rPr>
                <w:rFonts w:ascii="宋体" w:hAnsi="宋体" w:cs="Times New Roman"/>
                <w:sz w:val="18"/>
                <w:szCs w:val="18"/>
              </w:rPr>
            </w:pPr>
          </w:p>
        </w:tc>
        <w:tc>
          <w:tcPr>
            <w:tcW w:w="31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lang w:val="en-US" w:eastAsia="zh-CN"/>
              </w:rPr>
              <w:t>3</w:t>
            </w:r>
          </w:p>
        </w:tc>
        <w:tc>
          <w:tcPr>
            <w:tcW w:w="281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产品方案技术先进、各系统完善、性能可靠，设备主要核心部件，具备自身技术优势</w:t>
            </w:r>
          </w:p>
        </w:tc>
        <w:tc>
          <w:tcPr>
            <w:tcW w:w="62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50</w:t>
            </w:r>
          </w:p>
        </w:tc>
        <w:tc>
          <w:tcPr>
            <w:tcW w:w="5069"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以下各项由评标委员会成员独立进行</w:t>
            </w:r>
            <w:r>
              <w:rPr>
                <w:rFonts w:hint="eastAsia" w:ascii="宋体" w:hAnsi="宋体" w:eastAsia="宋体" w:cs="Times New Roman"/>
                <w:bCs/>
                <w:sz w:val="22"/>
                <w:szCs w:val="22"/>
                <w:lang w:val="en-US" w:eastAsia="zh-CN"/>
              </w:rPr>
              <w:t>客观</w:t>
            </w:r>
            <w:r>
              <w:rPr>
                <w:rFonts w:hint="eastAsia" w:ascii="宋体" w:hAnsi="宋体" w:eastAsia="宋体" w:cs="Times New Roman"/>
                <w:bCs/>
                <w:sz w:val="22"/>
                <w:szCs w:val="22"/>
              </w:rPr>
              <w:t>、公正的评价打分。</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①定制系统方案已到达招标要求，设备主要核心部件，具备自身技术优势，打分0-16分。</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②系统配置齐全，其精度、参数、技术水平、可靠性等优势明显，打分0-16分。</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③操作灵活方便，系统开放程度高，打分0-10分。</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④综合评价，打分0-8分。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7" w:hRule="atLeast"/>
          <w:jc w:val="center"/>
        </w:trPr>
        <w:tc>
          <w:tcPr>
            <w:tcW w:w="715" w:type="dxa"/>
            <w:vMerge w:val="continue"/>
            <w:noWrap w:val="0"/>
            <w:vAlign w:val="center"/>
          </w:tcPr>
          <w:p>
            <w:pPr>
              <w:jc w:val="center"/>
              <w:rPr>
                <w:rFonts w:ascii="宋体" w:hAnsi="宋体" w:cs="Times New Roman"/>
                <w:sz w:val="18"/>
                <w:szCs w:val="18"/>
              </w:rPr>
            </w:pPr>
          </w:p>
        </w:tc>
        <w:tc>
          <w:tcPr>
            <w:tcW w:w="31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4</w:t>
            </w:r>
          </w:p>
        </w:tc>
        <w:tc>
          <w:tcPr>
            <w:tcW w:w="281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现场答疑</w:t>
            </w:r>
          </w:p>
        </w:tc>
        <w:tc>
          <w:tcPr>
            <w:tcW w:w="62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8</w:t>
            </w:r>
          </w:p>
        </w:tc>
        <w:tc>
          <w:tcPr>
            <w:tcW w:w="5069"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投标人代表对方案、技术优势的讲解，</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以及就该项目难点回答评标专家现场提问，打分0-8分。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5" w:hRule="atLeast"/>
          <w:jc w:val="center"/>
        </w:trPr>
        <w:tc>
          <w:tcPr>
            <w:tcW w:w="715" w:type="dxa"/>
            <w:vMerge w:val="continue"/>
            <w:noWrap w:val="0"/>
            <w:vAlign w:val="center"/>
          </w:tcPr>
          <w:p>
            <w:pPr>
              <w:jc w:val="center"/>
              <w:rPr>
                <w:rFonts w:ascii="宋体" w:hAnsi="宋体" w:cs="Times New Roman"/>
                <w:sz w:val="18"/>
                <w:szCs w:val="18"/>
              </w:rPr>
            </w:pPr>
          </w:p>
        </w:tc>
        <w:tc>
          <w:tcPr>
            <w:tcW w:w="31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5</w:t>
            </w:r>
          </w:p>
        </w:tc>
        <w:tc>
          <w:tcPr>
            <w:tcW w:w="281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技术偏离</w:t>
            </w:r>
          </w:p>
        </w:tc>
        <w:tc>
          <w:tcPr>
            <w:tcW w:w="62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12</w:t>
            </w:r>
          </w:p>
        </w:tc>
        <w:tc>
          <w:tcPr>
            <w:tcW w:w="5069"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  的评价，根据各投标人的核心产品的配  置参数、技术偏离情况，在满足我司技术 基本要求的前提下偏离，无偏离得满分12分，较大偏离每一项扣4分，一 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7" w:hRule="atLeast"/>
          <w:jc w:val="center"/>
        </w:trPr>
        <w:tc>
          <w:tcPr>
            <w:tcW w:w="715" w:type="dxa"/>
            <w:vMerge w:val="continue"/>
            <w:noWrap w:val="0"/>
            <w:vAlign w:val="center"/>
          </w:tcPr>
          <w:p>
            <w:pPr>
              <w:jc w:val="center"/>
              <w:rPr>
                <w:rFonts w:ascii="宋体" w:hAnsi="宋体" w:cs="Times New Roman"/>
                <w:sz w:val="18"/>
                <w:szCs w:val="18"/>
              </w:rPr>
            </w:pPr>
          </w:p>
        </w:tc>
        <w:tc>
          <w:tcPr>
            <w:tcW w:w="31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281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技 术 培 训 方 案：对</w:t>
            </w:r>
            <w:r>
              <w:rPr>
                <w:rFonts w:hint="eastAsia" w:ascii="宋体" w:hAnsi="宋体" w:eastAsia="宋体" w:cs="Times New Roman"/>
                <w:bCs/>
                <w:sz w:val="22"/>
                <w:szCs w:val="22"/>
                <w:lang w:val="en-US" w:eastAsia="zh-CN"/>
              </w:rPr>
              <w:t>招标</w:t>
            </w:r>
            <w:r>
              <w:rPr>
                <w:rFonts w:hint="eastAsia" w:ascii="宋体" w:hAnsi="宋体" w:eastAsia="宋体" w:cs="Times New Roman"/>
                <w:bCs/>
                <w:sz w:val="22"/>
                <w:szCs w:val="22"/>
              </w:rPr>
              <w:t>方 人员的技术培 训方案安排科 学、合理、可 行</w:t>
            </w:r>
          </w:p>
        </w:tc>
        <w:tc>
          <w:tcPr>
            <w:tcW w:w="62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5069"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  的评价，按照优、良、一般进行赋分，优 得6分，良得4分， 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7" w:hRule="atLeast"/>
          <w:jc w:val="center"/>
        </w:trPr>
        <w:tc>
          <w:tcPr>
            <w:tcW w:w="715" w:type="dxa"/>
            <w:vMerge w:val="continue"/>
            <w:noWrap w:val="0"/>
            <w:vAlign w:val="center"/>
          </w:tcPr>
          <w:p>
            <w:pPr>
              <w:jc w:val="center"/>
              <w:rPr>
                <w:rFonts w:ascii="宋体" w:hAnsi="宋体" w:cs="Times New Roman"/>
                <w:sz w:val="18"/>
                <w:szCs w:val="18"/>
              </w:rPr>
            </w:pPr>
          </w:p>
        </w:tc>
        <w:tc>
          <w:tcPr>
            <w:tcW w:w="31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7</w:t>
            </w:r>
          </w:p>
        </w:tc>
        <w:tc>
          <w:tcPr>
            <w:tcW w:w="281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lang w:val="en-US" w:eastAsia="zh-CN"/>
              </w:rPr>
              <w:t>安装调试方案：有详尽的安装调试计划及方案，方案科学合理，可实施性强。</w:t>
            </w:r>
          </w:p>
        </w:tc>
        <w:tc>
          <w:tcPr>
            <w:tcW w:w="62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5069"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  的评价，按照优、良、一般进行赋分，优 得6分，良得4分， 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7" w:hRule="atLeast"/>
          <w:jc w:val="center"/>
        </w:trPr>
        <w:tc>
          <w:tcPr>
            <w:tcW w:w="715" w:type="dxa"/>
            <w:vMerge w:val="continue"/>
            <w:noWrap w:val="0"/>
            <w:vAlign w:val="center"/>
          </w:tcPr>
          <w:p>
            <w:pPr>
              <w:jc w:val="center"/>
              <w:rPr>
                <w:rFonts w:ascii="宋体" w:hAnsi="宋体" w:cs="Times New Roman"/>
                <w:sz w:val="18"/>
                <w:szCs w:val="18"/>
              </w:rPr>
            </w:pPr>
          </w:p>
        </w:tc>
        <w:tc>
          <w:tcPr>
            <w:tcW w:w="31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8</w:t>
            </w:r>
          </w:p>
        </w:tc>
        <w:tc>
          <w:tcPr>
            <w:tcW w:w="281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售后服务及时周到，有相应 的服务承诺和具体的保证措施</w:t>
            </w:r>
          </w:p>
        </w:tc>
        <w:tc>
          <w:tcPr>
            <w:tcW w:w="62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5069"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  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9" w:hRule="atLeast"/>
          <w:jc w:val="center"/>
        </w:trPr>
        <w:tc>
          <w:tcPr>
            <w:tcW w:w="715" w:type="dxa"/>
            <w:noWrap w:val="0"/>
            <w:vAlign w:val="center"/>
          </w:tcPr>
          <w:p>
            <w:pPr>
              <w:jc w:val="center"/>
              <w:rPr>
                <w:rFonts w:hint="default" w:ascii="宋体" w:hAnsi="宋体" w:eastAsia="等线" w:cs="Times New Roman"/>
                <w:sz w:val="18"/>
                <w:szCs w:val="18"/>
                <w:lang w:val="en-US" w:eastAsia="zh-CN"/>
              </w:rPr>
            </w:pPr>
            <w:r>
              <w:rPr>
                <w:rFonts w:hint="eastAsia" w:ascii="宋体" w:hAnsi="宋体" w:cs="Times New Roman"/>
                <w:b/>
                <w:bCs/>
                <w:sz w:val="18"/>
                <w:szCs w:val="18"/>
                <w:lang w:val="en-US" w:eastAsia="zh-CN"/>
              </w:rPr>
              <w:t>商务标</w:t>
            </w:r>
            <w:r>
              <w:rPr>
                <w:rFonts w:hint="eastAsia" w:ascii="宋体" w:hAnsi="宋体" w:cs="Times New Roman"/>
                <w:sz w:val="18"/>
                <w:szCs w:val="18"/>
                <w:lang w:val="en-US" w:eastAsia="zh-CN"/>
              </w:rPr>
              <w:t>100分</w:t>
            </w:r>
          </w:p>
        </w:tc>
        <w:tc>
          <w:tcPr>
            <w:tcW w:w="8822" w:type="dxa"/>
            <w:gridSpan w:val="5"/>
            <w:noWrap w:val="0"/>
            <w:vAlign w:val="center"/>
          </w:tcPr>
          <w:p>
            <w:pPr>
              <w:spacing w:line="360" w:lineRule="auto"/>
              <w:rPr>
                <w:rFonts w:ascii="宋体" w:hAnsi="宋体" w:eastAsia="宋体" w:cs="Times New Roman"/>
                <w:bCs/>
                <w:sz w:val="22"/>
                <w:szCs w:val="22"/>
              </w:rPr>
            </w:pPr>
            <w:r>
              <w:rPr>
                <w:rFonts w:hint="eastAsia" w:ascii="宋体" w:hAnsi="宋体" w:eastAsia="宋体" w:cs="Times New Roman"/>
                <w:bCs/>
                <w:sz w:val="22"/>
                <w:szCs w:val="22"/>
              </w:rPr>
              <w:t xml:space="preserve">评标基准价： </w:t>
            </w:r>
          </w:p>
          <w:p>
            <w:pPr>
              <w:spacing w:line="360" w:lineRule="auto"/>
              <w:rPr>
                <w:rFonts w:ascii="宋体" w:hAnsi="宋体" w:eastAsia="宋体" w:cs="Times New Roman"/>
                <w:bCs/>
                <w:sz w:val="22"/>
                <w:szCs w:val="22"/>
              </w:rPr>
            </w:pPr>
            <w:r>
              <w:rPr>
                <w:rFonts w:hint="eastAsia" w:ascii="宋体" w:hAnsi="宋体" w:eastAsia="宋体" w:cs="Times New Roman"/>
                <w:bCs/>
                <w:sz w:val="22"/>
                <w:szCs w:val="22"/>
              </w:rPr>
              <w:t>1、评标基准价为所有合理有效的最终投标报价的最低价。</w:t>
            </w:r>
          </w:p>
          <w:p>
            <w:pPr>
              <w:spacing w:line="360" w:lineRule="auto"/>
              <w:rPr>
                <w:rFonts w:ascii="宋体" w:hAnsi="宋体" w:eastAsia="宋体" w:cs="Times New Roman"/>
                <w:bCs/>
                <w:sz w:val="22"/>
                <w:szCs w:val="22"/>
              </w:rPr>
            </w:pPr>
            <w:r>
              <w:rPr>
                <w:rFonts w:hint="eastAsia" w:ascii="宋体" w:hAnsi="宋体" w:eastAsia="宋体" w:cs="Times New Roman"/>
                <w:bCs/>
                <w:sz w:val="22"/>
                <w:szCs w:val="22"/>
              </w:rPr>
              <w:t>2、有效的评标基准价得</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分；其他投标人的价格得分按下列公式计算：投标价格得分=</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×（评标基准价/投标报价）。</w:t>
            </w:r>
          </w:p>
          <w:p>
            <w:pPr>
              <w:rPr>
                <w:rFonts w:hint="eastAsia" w:ascii="宋体" w:hAnsi="宋体" w:eastAsia="宋体" w:cs="Times New Roman"/>
                <w:bCs/>
                <w:sz w:val="22"/>
                <w:szCs w:val="22"/>
              </w:rPr>
            </w:pPr>
            <w:r>
              <w:rPr>
                <w:rFonts w:hint="eastAsia" w:ascii="宋体" w:hAnsi="宋体" w:eastAsia="宋体" w:cs="Times New Roman"/>
                <w:bCs/>
                <w:sz w:val="22"/>
                <w:szCs w:val="22"/>
              </w:rPr>
              <w:t>注：得分值取小数点后两位，不足一个百分点的，按照四舍五入法计算。</w:t>
            </w:r>
            <w:r>
              <w:rPr>
                <w:rFonts w:ascii="宋体" w:hAnsi="宋体" w:eastAsia="宋体" w:cs="Times New Roman"/>
                <w:bCs/>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958" w:hRule="atLeast"/>
          <w:jc w:val="center"/>
        </w:trPr>
        <w:tc>
          <w:tcPr>
            <w:tcW w:w="715" w:type="dxa"/>
            <w:noWrap w:val="0"/>
            <w:vAlign w:val="center"/>
          </w:tcPr>
          <w:p>
            <w:pPr>
              <w:jc w:val="center"/>
              <w:rPr>
                <w:rFonts w:hint="default" w:ascii="宋体" w:hAnsi="宋体" w:eastAsia="等线" w:cs="Times New Roman"/>
                <w:sz w:val="18"/>
                <w:szCs w:val="18"/>
                <w:lang w:val="en-US" w:eastAsia="zh-CN"/>
              </w:rPr>
            </w:pPr>
            <w:r>
              <w:rPr>
                <w:rFonts w:hint="eastAsia" w:ascii="宋体" w:hAnsi="宋体" w:cs="Times New Roman"/>
                <w:b/>
                <w:bCs/>
                <w:sz w:val="20"/>
                <w:szCs w:val="20"/>
                <w:lang w:val="en-US" w:eastAsia="zh-CN"/>
              </w:rPr>
              <w:t>综合得分</w:t>
            </w:r>
          </w:p>
        </w:tc>
        <w:tc>
          <w:tcPr>
            <w:tcW w:w="8821" w:type="dxa"/>
            <w:gridSpan w:val="4"/>
            <w:noWrap w:val="0"/>
            <w:vAlign w:val="center"/>
          </w:tcPr>
          <w:p>
            <w:pPr>
              <w:tabs>
                <w:tab w:val="left" w:pos="1654"/>
              </w:tabs>
              <w:jc w:val="both"/>
              <w:rPr>
                <w:rFonts w:hint="eastAsia" w:ascii="宋体" w:hAnsi="宋体" w:cs="Times New Roman"/>
                <w:bCs/>
                <w:sz w:val="16"/>
                <w:szCs w:val="16"/>
                <w:lang w:eastAsia="zh-CN"/>
              </w:rPr>
            </w:pPr>
            <w:r>
              <w:rPr>
                <w:rFonts w:hint="eastAsia" w:ascii="宋体" w:hAnsi="Times New Roman" w:eastAsia="宋体" w:cs="Times New Roman"/>
                <w:b/>
                <w:bCs w:val="0"/>
                <w:sz w:val="22"/>
                <w:szCs w:val="22"/>
                <w:lang w:val="en-US" w:eastAsia="zh-CN"/>
              </w:rPr>
              <w:t>综合得分=技术标得分×30%＋商务标得分×70%</w:t>
            </w:r>
          </w:p>
        </w:tc>
      </w:tr>
    </w:tbl>
    <w:p>
      <w:pPr>
        <w:pStyle w:val="17"/>
        <w:rPr>
          <w:rFonts w:hint="eastAsia"/>
        </w:rPr>
        <w:sectPr>
          <w:pgSz w:w="11906" w:h="16838"/>
          <w:pgMar w:top="1588" w:right="1418" w:bottom="1134" w:left="1418" w:header="851" w:footer="992" w:gutter="0"/>
          <w:cols w:space="720" w:num="1"/>
          <w:titlePg/>
          <w:docGrid w:type="lines" w:linePitch="312" w:charSpace="0"/>
        </w:sectPr>
      </w:pPr>
    </w:p>
    <w:p>
      <w:pPr>
        <w:pStyle w:val="17"/>
        <w:rPr>
          <w:rFonts w:hint="eastAsia"/>
        </w:rPr>
      </w:pPr>
    </w:p>
    <w:p>
      <w:pPr>
        <w:rPr>
          <w:rFonts w:hint="eastAsia" w:ascii="宋体" w:hAnsi="宋体" w:eastAsia="宋体" w:cs="宋体"/>
          <w:b/>
          <w:bCs/>
          <w:color w:val="000000"/>
          <w:sz w:val="24"/>
          <w:szCs w:val="24"/>
          <w:lang w:val="en-US" w:eastAsia="zh-CN"/>
        </w:r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3"/>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4"/>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5"/>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6"/>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7"/>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8"/>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59E5AF3"/>
    <w:multiLevelType w:val="singleLevel"/>
    <w:tmpl w:val="E59E5AF3"/>
    <w:lvl w:ilvl="0" w:tentative="0">
      <w:start w:val="6"/>
      <w:numFmt w:val="decimal"/>
      <w:lvlText w:val="%1."/>
      <w:lvlJc w:val="left"/>
      <w:pPr>
        <w:tabs>
          <w:tab w:val="left" w:pos="312"/>
        </w:tabs>
      </w:p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7DE7897"/>
    <w:multiLevelType w:val="singleLevel"/>
    <w:tmpl w:val="77DE7897"/>
    <w:lvl w:ilvl="0" w:tentative="0">
      <w:start w:val="1"/>
      <w:numFmt w:val="decimal"/>
      <w:lvlText w:val="%1."/>
      <w:lvlJc w:val="left"/>
      <w:pPr>
        <w:tabs>
          <w:tab w:val="left" w:pos="312"/>
        </w:tabs>
      </w:p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0"/>
  </w:num>
  <w:num w:numId="5">
    <w:abstractNumId w:val="5"/>
  </w:num>
  <w:num w:numId="6">
    <w:abstractNumId w:val="3"/>
  </w:num>
  <w:num w:numId="7">
    <w:abstractNumId w:val="7"/>
  </w:num>
  <w:num w:numId="8">
    <w:abstractNumId w:val="1"/>
  </w:num>
  <w:num w:numId="9">
    <w:abstractNumId w:val="6"/>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4E104A4"/>
    <w:rsid w:val="05412745"/>
    <w:rsid w:val="05491761"/>
    <w:rsid w:val="05A351AD"/>
    <w:rsid w:val="05F9748A"/>
    <w:rsid w:val="06266F78"/>
    <w:rsid w:val="063E7B7A"/>
    <w:rsid w:val="06582413"/>
    <w:rsid w:val="06682E69"/>
    <w:rsid w:val="067E33B8"/>
    <w:rsid w:val="06E82FCB"/>
    <w:rsid w:val="06F34B95"/>
    <w:rsid w:val="07571DAC"/>
    <w:rsid w:val="07867620"/>
    <w:rsid w:val="08DD171B"/>
    <w:rsid w:val="08E64121"/>
    <w:rsid w:val="0942017F"/>
    <w:rsid w:val="09BA1FBB"/>
    <w:rsid w:val="09CB139F"/>
    <w:rsid w:val="0A0106F5"/>
    <w:rsid w:val="0A112AB7"/>
    <w:rsid w:val="0A4E5482"/>
    <w:rsid w:val="0AAA504A"/>
    <w:rsid w:val="0AD71BC7"/>
    <w:rsid w:val="0AF420EB"/>
    <w:rsid w:val="0B2B2BF5"/>
    <w:rsid w:val="0B2F3908"/>
    <w:rsid w:val="0B3F6206"/>
    <w:rsid w:val="0B6A2214"/>
    <w:rsid w:val="0BDE715C"/>
    <w:rsid w:val="0BE12DB6"/>
    <w:rsid w:val="0BFC6504"/>
    <w:rsid w:val="0C345AD1"/>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8772322"/>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1C3BAF"/>
    <w:rsid w:val="1F32415A"/>
    <w:rsid w:val="1F542F9A"/>
    <w:rsid w:val="1F702632"/>
    <w:rsid w:val="1F7E2174"/>
    <w:rsid w:val="1FB64E98"/>
    <w:rsid w:val="20107567"/>
    <w:rsid w:val="20AB56C6"/>
    <w:rsid w:val="21547789"/>
    <w:rsid w:val="2176507C"/>
    <w:rsid w:val="21BE35AF"/>
    <w:rsid w:val="21C11174"/>
    <w:rsid w:val="22244B28"/>
    <w:rsid w:val="22467FD4"/>
    <w:rsid w:val="229451FD"/>
    <w:rsid w:val="22A12DB6"/>
    <w:rsid w:val="236356D1"/>
    <w:rsid w:val="23A91C83"/>
    <w:rsid w:val="23C962E8"/>
    <w:rsid w:val="245D20CC"/>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610EA"/>
    <w:rsid w:val="307776D1"/>
    <w:rsid w:val="30862574"/>
    <w:rsid w:val="30B631E1"/>
    <w:rsid w:val="311933AA"/>
    <w:rsid w:val="317D15BB"/>
    <w:rsid w:val="31C825FC"/>
    <w:rsid w:val="31D07E6C"/>
    <w:rsid w:val="323F65DA"/>
    <w:rsid w:val="32412074"/>
    <w:rsid w:val="329F3286"/>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334280"/>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DD07DB"/>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063909"/>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5C563D"/>
    <w:rsid w:val="626A1704"/>
    <w:rsid w:val="627921C2"/>
    <w:rsid w:val="62B362C8"/>
    <w:rsid w:val="62C1330E"/>
    <w:rsid w:val="6342085E"/>
    <w:rsid w:val="636F415C"/>
    <w:rsid w:val="64917820"/>
    <w:rsid w:val="64AA1CC5"/>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0F81685"/>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771D49"/>
    <w:rsid w:val="73A1354E"/>
    <w:rsid w:val="74006876"/>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paragraph" w:customStyle="1" w:styleId="13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header" Target="header9.xml"/><Relationship Id="rId38" Type="http://schemas.openxmlformats.org/officeDocument/2006/relationships/header" Target="header8.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11535</Words>
  <Characters>12202</Characters>
  <Lines>305</Lines>
  <Paragraphs>86</Paragraphs>
  <TotalTime>4</TotalTime>
  <ScaleCrop>false</ScaleCrop>
  <LinksUpToDate>false</LinksUpToDate>
  <CharactersWithSpaces>12507</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Admin</cp:lastModifiedBy>
  <cp:lastPrinted>2022-07-01T03:19:00Z</cp:lastPrinted>
  <dcterms:modified xsi:type="dcterms:W3CDTF">2025-02-28T03:21:23Z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6BAE9AC8F6DF46378FBB8B05943F77A4_13</vt:lpwstr>
  </property>
  <property fmtid="{D5CDD505-2E9C-101B-9397-08002B2CF9AE}" pid="4" name="KSOTemplateDocerSaveRecord">
    <vt:lpwstr>eyJoZGlkIjoiMDExZmI5NTc2OTFhZWY2NDZlZTFkMTUzMWFkYzBmYWMiLCJ1c2VySWQiOiIyMjk2MTM5MDEifQ==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