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B9930">
      <w:pPr>
        <w:pStyle w:val="94"/>
      </w:pPr>
      <w:r>
        <w:rPr>
          <w:sz w:val="48"/>
          <w:szCs w:val="48"/>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66F0CAD5">
      <w:pPr>
        <w:ind w:right="280"/>
        <w:jc w:val="center"/>
        <w:rPr>
          <w:rFonts w:ascii="宋体" w:hAnsi="宋体"/>
          <w:sz w:val="48"/>
          <w:szCs w:val="48"/>
        </w:rPr>
      </w:pPr>
    </w:p>
    <w:p w14:paraId="3EA24C15">
      <w:pPr>
        <w:ind w:right="280"/>
        <w:jc w:val="center"/>
        <w:rPr>
          <w:rFonts w:ascii="宋体" w:hAnsi="宋体"/>
          <w:sz w:val="48"/>
          <w:szCs w:val="48"/>
        </w:rPr>
      </w:pPr>
    </w:p>
    <w:p w14:paraId="734DA162">
      <w:pPr>
        <w:ind w:right="280"/>
        <w:jc w:val="center"/>
        <w:rPr>
          <w:rFonts w:ascii="宋体" w:hAnsi="宋体"/>
          <w:sz w:val="48"/>
          <w:szCs w:val="48"/>
        </w:rPr>
      </w:pPr>
    </w:p>
    <w:p w14:paraId="0435320E">
      <w:pPr>
        <w:ind w:right="280"/>
        <w:jc w:val="center"/>
        <w:rPr>
          <w:rFonts w:ascii="宋体" w:hAnsi="宋体"/>
          <w:sz w:val="48"/>
          <w:szCs w:val="48"/>
        </w:rPr>
      </w:pPr>
    </w:p>
    <w:p w14:paraId="07CDE389">
      <w:pPr>
        <w:ind w:right="280"/>
        <w:jc w:val="center"/>
        <w:rPr>
          <w:rFonts w:ascii="楷体_GB2312" w:hAnsi="宋体" w:eastAsia="楷体_GB2312"/>
          <w:sz w:val="52"/>
          <w:szCs w:val="52"/>
        </w:rPr>
      </w:pPr>
    </w:p>
    <w:p w14:paraId="49D28135">
      <w:pPr>
        <w:pStyle w:val="114"/>
        <w:jc w:val="center"/>
        <w:rPr>
          <w:rStyle w:val="115"/>
          <w:rFonts w:hint="eastAsia" w:ascii="宋体" w:hAnsi="宋体" w:cs="仿宋"/>
          <w:b/>
          <w:bCs/>
          <w:sz w:val="48"/>
          <w:szCs w:val="48"/>
          <w:lang w:val="en-US" w:eastAsia="zh-CN"/>
        </w:rPr>
      </w:pPr>
      <w:r>
        <w:rPr>
          <w:rFonts w:hint="eastAsia" w:ascii="楷体_GB2312" w:hAnsi="宋体" w:eastAsia="楷体_GB2312"/>
          <w:sz w:val="52"/>
          <w:szCs w:val="52"/>
          <w:highlight w:val="none"/>
          <w:lang w:val="en-US" w:eastAsia="zh-CN"/>
        </w:rPr>
        <w:t>济南部件</w:t>
      </w:r>
      <w:r>
        <w:rPr>
          <w:rFonts w:hint="eastAsia" w:ascii="楷体_GB2312" w:hAnsi="宋体" w:eastAsia="楷体_GB2312" w:cs="Times New Roman"/>
          <w:sz w:val="52"/>
          <w:szCs w:val="52"/>
          <w:highlight w:val="none"/>
          <w:lang w:val="en-US" w:eastAsia="zh-CN"/>
        </w:rPr>
        <w:t>公司多联机空调维保项目</w:t>
      </w:r>
    </w:p>
    <w:p w14:paraId="1F719623">
      <w:pPr>
        <w:jc w:val="center"/>
        <w:rPr>
          <w:rFonts w:hint="eastAsia" w:ascii="宋体" w:hAnsi="宋体" w:cs="宋体"/>
          <w:sz w:val="72"/>
          <w:szCs w:val="72"/>
          <w:highlight w:val="none"/>
        </w:rPr>
      </w:pPr>
    </w:p>
    <w:p w14:paraId="6418E5FF">
      <w:pPr>
        <w:jc w:val="center"/>
        <w:rPr>
          <w:rFonts w:ascii="宋体" w:hAnsi="宋体" w:cs="宋体"/>
          <w:sz w:val="72"/>
          <w:szCs w:val="72"/>
          <w:highlight w:val="none"/>
        </w:rPr>
      </w:pPr>
      <w:r>
        <w:rPr>
          <w:rFonts w:hint="eastAsia" w:ascii="宋体" w:hAnsi="宋体" w:cs="宋体"/>
          <w:sz w:val="72"/>
          <w:szCs w:val="72"/>
          <w:highlight w:val="none"/>
        </w:rPr>
        <w:t>招标文件</w:t>
      </w:r>
    </w:p>
    <w:p w14:paraId="6993BE58">
      <w:pPr>
        <w:jc w:val="center"/>
        <w:rPr>
          <w:rFonts w:ascii="宋体" w:hAnsi="宋体"/>
          <w:sz w:val="48"/>
          <w:szCs w:val="48"/>
          <w:highlight w:val="none"/>
        </w:rPr>
      </w:pPr>
      <w:r>
        <w:rPr>
          <w:rFonts w:hint="eastAsia" w:ascii="宋体" w:hAnsi="宋体" w:cs="宋体"/>
          <w:b/>
          <w:bCs/>
          <w:kern w:val="0"/>
          <w:sz w:val="32"/>
          <w:szCs w:val="32"/>
          <w:highlight w:val="none"/>
        </w:rPr>
        <w:t>项目编号：ZBGL2026070161</w:t>
      </w:r>
    </w:p>
    <w:p w14:paraId="10A10BCC">
      <w:pPr>
        <w:jc w:val="both"/>
        <w:rPr>
          <w:rFonts w:ascii="宋体" w:hAnsi="宋体"/>
          <w:sz w:val="48"/>
          <w:szCs w:val="48"/>
          <w:highlight w:val="none"/>
        </w:rPr>
      </w:pPr>
    </w:p>
    <w:p w14:paraId="0D4E54EC">
      <w:pPr>
        <w:jc w:val="center"/>
        <w:rPr>
          <w:rFonts w:ascii="宋体" w:hAnsi="宋体"/>
          <w:sz w:val="48"/>
          <w:szCs w:val="48"/>
          <w:highlight w:val="none"/>
        </w:rPr>
      </w:pPr>
    </w:p>
    <w:p w14:paraId="111CA3F9">
      <w:pPr>
        <w:jc w:val="center"/>
        <w:rPr>
          <w:rFonts w:ascii="宋体" w:hAnsi="宋体"/>
          <w:sz w:val="28"/>
          <w:szCs w:val="28"/>
          <w:highlight w:val="none"/>
        </w:rPr>
      </w:pPr>
    </w:p>
    <w:p w14:paraId="12CB50D1">
      <w:pPr>
        <w:jc w:val="center"/>
        <w:rPr>
          <w:rFonts w:ascii="宋体" w:hAnsi="宋体"/>
          <w:sz w:val="28"/>
          <w:szCs w:val="28"/>
          <w:highlight w:val="none"/>
        </w:rPr>
      </w:pPr>
    </w:p>
    <w:p w14:paraId="1CE80EBC">
      <w:pPr>
        <w:jc w:val="center"/>
        <w:rPr>
          <w:rFonts w:hint="eastAsia" w:ascii="宋体" w:hAnsi="宋体" w:eastAsia="宋体"/>
          <w:sz w:val="28"/>
          <w:szCs w:val="28"/>
          <w:highlight w:val="none"/>
          <w:lang w:eastAsia="zh-CN"/>
        </w:rPr>
      </w:pPr>
      <w:r>
        <w:rPr>
          <w:rFonts w:hint="eastAsia" w:ascii="宋体" w:hAnsi="宋体"/>
          <w:sz w:val="28"/>
          <w:szCs w:val="28"/>
          <w:highlight w:val="none"/>
        </w:rPr>
        <w:t>招 标 人：</w:t>
      </w:r>
      <w:r>
        <w:rPr>
          <w:rFonts w:hint="eastAsia" w:ascii="宋体" w:hAnsi="宋体"/>
          <w:sz w:val="28"/>
          <w:szCs w:val="28"/>
          <w:highlight w:val="none"/>
          <w:lang w:eastAsia="zh-CN"/>
        </w:rPr>
        <w:t>中国重汽集团济南汽车部件有限公司</w:t>
      </w:r>
    </w:p>
    <w:p w14:paraId="0D8A0D9A">
      <w:pPr>
        <w:jc w:val="center"/>
        <w:rPr>
          <w:rFonts w:ascii="宋体" w:hAnsi="宋体"/>
          <w:sz w:val="28"/>
          <w:szCs w:val="28"/>
          <w:highlight w:val="none"/>
        </w:rPr>
      </w:pPr>
    </w:p>
    <w:p w14:paraId="09CB3C92">
      <w:pPr>
        <w:spacing w:line="480" w:lineRule="auto"/>
        <w:jc w:val="center"/>
        <w:rPr>
          <w:rFonts w:ascii="宋体" w:hAnsi="宋体"/>
          <w:b/>
          <w:bCs/>
          <w:sz w:val="48"/>
          <w:szCs w:val="48"/>
          <w:highlight w:val="none"/>
        </w:rPr>
      </w:pPr>
      <w:r>
        <w:rPr>
          <w:rFonts w:hint="eastAsia" w:ascii="宋体" w:hAnsi="宋体"/>
          <w:sz w:val="28"/>
          <w:szCs w:val="28"/>
          <w:highlight w:val="none"/>
          <w:u w:val="single"/>
        </w:rPr>
        <w:t>20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0</w:t>
      </w:r>
      <w:bookmarkStart w:id="34" w:name="_GoBack"/>
      <w:r>
        <w:rPr>
          <w:rFonts w:hint="eastAsia" w:ascii="宋体" w:hAnsi="宋体"/>
          <w:sz w:val="28"/>
          <w:szCs w:val="28"/>
          <w:highlight w:val="none"/>
          <w:u w:val="single"/>
          <w:lang w:val="en-US" w:eastAsia="zh-CN"/>
        </w:rPr>
        <w:t>7月</w:t>
      </w:r>
      <w:bookmarkEnd w:id="34"/>
    </w:p>
    <w:p w14:paraId="0125E2BF">
      <w:pPr>
        <w:spacing w:line="480" w:lineRule="auto"/>
        <w:jc w:val="center"/>
        <w:rPr>
          <w:rFonts w:ascii="宋体" w:hAnsi="宋体"/>
          <w:b/>
          <w:bCs/>
          <w:sz w:val="48"/>
          <w:szCs w:val="48"/>
        </w:rPr>
        <w:sectPr>
          <w:footerReference r:id="rId6" w:type="first"/>
          <w:headerReference r:id="rId3" w:type="default"/>
          <w:footerReference r:id="rId4" w:type="default"/>
          <w:footerReference r:id="rId5" w:type="even"/>
          <w:pgSz w:w="11906" w:h="16838"/>
          <w:pgMar w:top="1701" w:right="1418" w:bottom="1134" w:left="1418" w:header="851" w:footer="992" w:gutter="0"/>
          <w:pgNumType w:fmt="numberInDash" w:start="1"/>
          <w:cols w:space="720" w:num="1"/>
          <w:titlePg/>
          <w:docGrid w:type="lines" w:linePitch="312" w:charSpace="0"/>
        </w:sectPr>
      </w:pPr>
    </w:p>
    <w:sdt>
      <w:sdtPr>
        <w:rPr>
          <w:rFonts w:ascii="Times New Roman" w:hAnsi="Times New Roman" w:eastAsia="宋体" w:cs="Times New Roman"/>
          <w:color w:val="auto"/>
          <w:kern w:val="2"/>
          <w:sz w:val="21"/>
          <w:szCs w:val="20"/>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176426B1">
          <w:pPr>
            <w:pStyle w:val="68"/>
            <w:jc w:val="center"/>
            <w:rPr>
              <w:rFonts w:ascii="黑体" w:hAnsi="黑体" w:eastAsia="黑体"/>
              <w:b/>
              <w:color w:val="auto"/>
              <w:sz w:val="44"/>
              <w:szCs w:val="44"/>
              <w:lang w:val="zh-CN"/>
            </w:rPr>
          </w:pPr>
          <w:r>
            <w:rPr>
              <w:rFonts w:ascii="黑体" w:hAnsi="黑体" w:eastAsia="黑体"/>
              <w:b/>
              <w:color w:val="auto"/>
              <w:sz w:val="44"/>
              <w:szCs w:val="44"/>
              <w:lang w:val="zh-CN"/>
            </w:rPr>
            <w:t>目</w:t>
          </w:r>
          <w:r>
            <w:rPr>
              <w:rFonts w:hint="eastAsia" w:ascii="黑体" w:hAnsi="黑体" w:eastAsia="黑体"/>
              <w:b/>
              <w:color w:val="auto"/>
              <w:sz w:val="44"/>
              <w:szCs w:val="44"/>
              <w:lang w:val="zh-CN"/>
            </w:rPr>
            <w:t xml:space="preserve"> </w:t>
          </w:r>
          <w:r>
            <w:rPr>
              <w:rFonts w:ascii="黑体" w:hAnsi="黑体" w:eastAsia="黑体"/>
              <w:b/>
              <w:color w:val="auto"/>
              <w:sz w:val="44"/>
              <w:szCs w:val="44"/>
              <w:lang w:val="zh-CN"/>
            </w:rPr>
            <w:t xml:space="preserve">    录</w:t>
          </w:r>
        </w:p>
        <w:p w14:paraId="35A69E4D">
          <w:pPr>
            <w:pStyle w:val="20"/>
            <w:tabs>
              <w:tab w:val="right" w:leader="dot" w:pos="9070"/>
              <w:tab w:val="clear" w:pos="8729"/>
            </w:tabs>
          </w:pPr>
          <w:r>
            <w:rPr>
              <w:rFonts w:hint="eastAsia" w:ascii="Calibri" w:hAnsi="Calibri"/>
              <w:bCs/>
              <w:kern w:val="44"/>
              <w:sz w:val="36"/>
              <w:szCs w:val="44"/>
            </w:rPr>
            <w:fldChar w:fldCharType="begin"/>
          </w:r>
          <w:r>
            <w:rPr>
              <w:rFonts w:hint="eastAsia" w:ascii="Calibri" w:hAnsi="Calibri"/>
              <w:bCs/>
              <w:kern w:val="44"/>
              <w:sz w:val="36"/>
              <w:szCs w:val="44"/>
            </w:rPr>
            <w:instrText xml:space="preserve">TOC \o "1-1" \h \u </w:instrText>
          </w:r>
          <w:r>
            <w:rPr>
              <w:rFonts w:hint="eastAsia" w:ascii="Calibri" w:hAnsi="Calibri"/>
              <w:bCs/>
              <w:kern w:val="44"/>
              <w:sz w:val="36"/>
              <w:szCs w:val="44"/>
            </w:rPr>
            <w:fldChar w:fldCharType="separate"/>
          </w:r>
          <w:r>
            <w:rPr>
              <w:rFonts w:hint="eastAsia" w:ascii="Calibri" w:hAnsi="Calibri"/>
              <w:bCs/>
              <w:kern w:val="44"/>
              <w:szCs w:val="44"/>
            </w:rPr>
            <w:fldChar w:fldCharType="begin"/>
          </w:r>
          <w:r>
            <w:rPr>
              <w:rFonts w:hint="eastAsia" w:ascii="Calibri" w:hAnsi="Calibri"/>
              <w:bCs/>
              <w:kern w:val="44"/>
              <w:szCs w:val="44"/>
            </w:rPr>
            <w:instrText xml:space="preserve"> HYPERLINK \l _Toc23927 </w:instrText>
          </w:r>
          <w:r>
            <w:rPr>
              <w:rFonts w:hint="eastAsia" w:ascii="Calibri" w:hAnsi="Calibri"/>
              <w:bCs/>
              <w:kern w:val="44"/>
              <w:szCs w:val="44"/>
            </w:rPr>
            <w:fldChar w:fldCharType="separate"/>
          </w:r>
          <w:r>
            <w:rPr>
              <w:rFonts w:hint="eastAsia"/>
            </w:rPr>
            <w:t>第一部分  投标人须知</w:t>
          </w:r>
          <w:r>
            <w:tab/>
          </w:r>
          <w:r>
            <w:fldChar w:fldCharType="begin"/>
          </w:r>
          <w:r>
            <w:instrText xml:space="preserve"> PAGEREF _Toc23927 \h </w:instrText>
          </w:r>
          <w:r>
            <w:fldChar w:fldCharType="separate"/>
          </w:r>
          <w:r>
            <w:t>2</w:t>
          </w:r>
          <w:r>
            <w:fldChar w:fldCharType="end"/>
          </w:r>
          <w:r>
            <w:rPr>
              <w:rFonts w:hint="eastAsia" w:ascii="Calibri" w:hAnsi="Calibri"/>
              <w:bCs/>
              <w:kern w:val="44"/>
              <w:szCs w:val="44"/>
            </w:rPr>
            <w:fldChar w:fldCharType="end"/>
          </w:r>
        </w:p>
        <w:p w14:paraId="39051F0A">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_Toc16839 </w:instrText>
          </w:r>
          <w:r>
            <w:rPr>
              <w:rFonts w:hint="eastAsia" w:ascii="Calibri" w:hAnsi="Calibri" w:eastAsia="宋体" w:cs="Times New Roman"/>
              <w:bCs/>
              <w:kern w:val="44"/>
              <w:szCs w:val="44"/>
            </w:rPr>
            <w:fldChar w:fldCharType="separate"/>
          </w:r>
          <w:r>
            <w:rPr>
              <w:rFonts w:hint="eastAsia"/>
            </w:rPr>
            <w:t>第二部分　</w:t>
          </w:r>
          <w:r>
            <w:rPr>
              <w:rFonts w:hint="eastAsia"/>
              <w:lang w:val="en-US" w:eastAsia="zh-CN"/>
            </w:rPr>
            <w:t>技术标书</w:t>
          </w:r>
          <w:r>
            <w:tab/>
          </w:r>
          <w:r>
            <w:fldChar w:fldCharType="begin"/>
          </w:r>
          <w:r>
            <w:instrText xml:space="preserve"> PAGEREF _Toc16839 \h </w:instrText>
          </w:r>
          <w:r>
            <w:fldChar w:fldCharType="separate"/>
          </w:r>
          <w:r>
            <w:t>13</w:t>
          </w:r>
          <w:r>
            <w:fldChar w:fldCharType="end"/>
          </w:r>
          <w:r>
            <w:rPr>
              <w:rFonts w:hint="eastAsia" w:ascii="Calibri" w:hAnsi="Calibri" w:eastAsia="宋体" w:cs="Times New Roman"/>
              <w:bCs/>
              <w:kern w:val="44"/>
              <w:szCs w:val="44"/>
            </w:rPr>
            <w:fldChar w:fldCharType="end"/>
          </w:r>
        </w:p>
        <w:p w14:paraId="012CB70F">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_Toc8030 </w:instrText>
          </w:r>
          <w:r>
            <w:rPr>
              <w:rFonts w:hint="eastAsia" w:ascii="Calibri" w:hAnsi="Calibri" w:eastAsia="宋体" w:cs="Times New Roman"/>
              <w:bCs/>
              <w:kern w:val="44"/>
              <w:szCs w:val="44"/>
            </w:rPr>
            <w:fldChar w:fldCharType="separate"/>
          </w:r>
          <w:r>
            <w:rPr>
              <w:rFonts w:hint="eastAsia"/>
            </w:rPr>
            <w:t xml:space="preserve">第三部分 </w:t>
          </w:r>
          <w:r>
            <w:rPr>
              <w:rFonts w:hint="eastAsia"/>
              <w:lang w:val="en-US" w:eastAsia="zh-CN"/>
            </w:rPr>
            <w:t xml:space="preserve"> </w:t>
          </w:r>
          <w:r>
            <w:rPr>
              <w:rFonts w:hint="eastAsia"/>
            </w:rPr>
            <w:t>合同主要条款</w:t>
          </w:r>
          <w:r>
            <w:tab/>
          </w:r>
          <w:r>
            <w:fldChar w:fldCharType="begin"/>
          </w:r>
          <w:r>
            <w:instrText xml:space="preserve"> PAGEREF _Toc8030 \h </w:instrText>
          </w:r>
          <w:r>
            <w:fldChar w:fldCharType="separate"/>
          </w:r>
          <w:r>
            <w:t>14</w:t>
          </w:r>
          <w:r>
            <w:fldChar w:fldCharType="end"/>
          </w:r>
          <w:r>
            <w:rPr>
              <w:rFonts w:hint="eastAsia" w:ascii="Calibri" w:hAnsi="Calibri" w:eastAsia="宋体" w:cs="Times New Roman"/>
              <w:bCs/>
              <w:kern w:val="44"/>
              <w:szCs w:val="44"/>
            </w:rPr>
            <w:fldChar w:fldCharType="end"/>
          </w:r>
        </w:p>
        <w:p w14:paraId="4C8160F4">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_Toc16500 </w:instrText>
          </w:r>
          <w:r>
            <w:rPr>
              <w:rFonts w:hint="eastAsia" w:ascii="Calibri" w:hAnsi="Calibri" w:eastAsia="宋体" w:cs="Times New Roman"/>
              <w:bCs/>
              <w:kern w:val="44"/>
              <w:szCs w:val="44"/>
            </w:rPr>
            <w:fldChar w:fldCharType="separate"/>
          </w:r>
          <w:r>
            <w:rPr>
              <w:rFonts w:hint="eastAsia"/>
            </w:rPr>
            <w:t>第四部分　</w:t>
          </w:r>
          <w:r>
            <w:rPr>
              <w:rFonts w:hint="eastAsia"/>
              <w:lang w:val="en-US" w:eastAsia="zh-CN"/>
            </w:rPr>
            <w:t>投标文件附件</w:t>
          </w:r>
          <w:r>
            <w:tab/>
          </w:r>
          <w:r>
            <w:fldChar w:fldCharType="begin"/>
          </w:r>
          <w:r>
            <w:instrText xml:space="preserve"> PAGEREF _Toc16500 \h </w:instrText>
          </w:r>
          <w:r>
            <w:fldChar w:fldCharType="separate"/>
          </w:r>
          <w:r>
            <w:t>15</w:t>
          </w:r>
          <w:r>
            <w:fldChar w:fldCharType="end"/>
          </w:r>
          <w:r>
            <w:rPr>
              <w:rFonts w:hint="eastAsia" w:ascii="Calibri" w:hAnsi="Calibri" w:eastAsia="宋体" w:cs="Times New Roman"/>
              <w:bCs/>
              <w:kern w:val="44"/>
              <w:szCs w:val="44"/>
            </w:rPr>
            <w:fldChar w:fldCharType="end"/>
          </w:r>
        </w:p>
        <w:p w14:paraId="6617A57C">
          <w:pPr>
            <w:pStyle w:val="20"/>
          </w:pPr>
          <w:r>
            <w:rPr>
              <w:rFonts w:hint="eastAsia" w:ascii="Calibri" w:hAnsi="Calibri" w:eastAsia="宋体" w:cs="Times New Roman"/>
              <w:bCs/>
              <w:kern w:val="44"/>
              <w:szCs w:val="44"/>
            </w:rPr>
            <w:fldChar w:fldCharType="end"/>
          </w:r>
        </w:p>
      </w:sdtContent>
    </w:sdt>
    <w:p w14:paraId="582BF911">
      <w:pPr>
        <w:pStyle w:val="14"/>
        <w:tabs>
          <w:tab w:val="left" w:pos="2940"/>
        </w:tabs>
        <w:spacing w:line="360" w:lineRule="auto"/>
      </w:pPr>
      <w:r>
        <w:tab/>
      </w:r>
    </w:p>
    <w:p w14:paraId="29FEE1FC">
      <w:pPr>
        <w:pStyle w:val="14"/>
        <w:spacing w:line="360" w:lineRule="auto"/>
        <w:jc w:val="center"/>
      </w:pPr>
    </w:p>
    <w:p w14:paraId="185495F9">
      <w:pPr>
        <w:pStyle w:val="14"/>
        <w:spacing w:line="360" w:lineRule="auto"/>
        <w:jc w:val="center"/>
        <w:sectPr>
          <w:pgSz w:w="11906" w:h="16838"/>
          <w:pgMar w:top="1701" w:right="1418" w:bottom="1134" w:left="1418" w:header="851" w:footer="992" w:gutter="0"/>
          <w:pgNumType w:fmt="numberInDash" w:start="1"/>
          <w:cols w:space="720" w:num="1"/>
          <w:titlePg/>
          <w:docGrid w:type="lines" w:linePitch="312" w:charSpace="0"/>
        </w:sectPr>
      </w:pPr>
    </w:p>
    <w:p w14:paraId="3D820EEC">
      <w:pPr>
        <w:pStyle w:val="71"/>
      </w:pPr>
      <w:bookmarkStart w:id="0" w:name="_Toc23927"/>
      <w:bookmarkStart w:id="1" w:name="_Toc47976595"/>
      <w:r>
        <w:rPr>
          <w:rFonts w:hint="eastAsia"/>
        </w:rPr>
        <w:t>第一部分  投标人须知</w:t>
      </w:r>
      <w:bookmarkEnd w:id="0"/>
      <w:bookmarkEnd w:id="1"/>
    </w:p>
    <w:p w14:paraId="418340FC">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bookmarkStart w:id="2" w:name="_Toc47976596"/>
      <w:r>
        <w:rPr>
          <w:rFonts w:hint="eastAsia" w:cs="Times New Roman"/>
        </w:rPr>
        <w:t>项目</w:t>
      </w:r>
      <w:r>
        <w:rPr>
          <w:rFonts w:hint="eastAsia"/>
        </w:rPr>
        <w:t>介绍</w:t>
      </w:r>
      <w:bookmarkEnd w:id="2"/>
    </w:p>
    <w:p w14:paraId="64B4CFB9">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rPr>
        <w:t>项目名称：</w:t>
      </w:r>
      <w:r>
        <w:rPr>
          <w:rFonts w:hint="eastAsia" w:asciiTheme="minorEastAsia" w:hAnsiTheme="minorEastAsia"/>
          <w:bCs/>
          <w:szCs w:val="24"/>
          <w:lang w:val="en-US" w:eastAsia="zh-CN"/>
        </w:rPr>
        <w:t>济南部件公</w:t>
      </w:r>
      <w:r>
        <w:rPr>
          <w:rFonts w:hint="eastAsia" w:eastAsia="宋体" w:cs="Times New Roman" w:asciiTheme="minorEastAsia" w:hAnsiTheme="minorEastAsia"/>
          <w:bCs/>
          <w:szCs w:val="24"/>
          <w:lang w:val="en-US" w:eastAsia="zh-CN"/>
        </w:rPr>
        <w:t>司多联机空调维保项目</w:t>
      </w:r>
    </w:p>
    <w:p w14:paraId="17A97EAA">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highlight w:val="none"/>
        </w:rPr>
        <w:t>项目编号：ZBGL2026070161</w:t>
      </w:r>
    </w:p>
    <w:p w14:paraId="5C6CF568">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highlight w:val="none"/>
          <w:lang w:val="en-US"/>
        </w:rPr>
      </w:pPr>
      <w:r>
        <w:rPr>
          <w:rFonts w:hint="eastAsia"/>
          <w:highlight w:val="none"/>
        </w:rPr>
        <w:t>招标形式：</w:t>
      </w:r>
      <w:bookmarkStart w:id="3" w:name="_Toc47112482"/>
      <w:r>
        <w:rPr>
          <w:rFonts w:hint="eastAsia"/>
          <w:highlight w:val="none"/>
          <w:lang w:val="en-US" w:eastAsia="zh-CN"/>
        </w:rPr>
        <w:t>公开招标</w:t>
      </w:r>
    </w:p>
    <w:p w14:paraId="742B3A80">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14" w:leftChars="0" w:hanging="14" w:firstLineChars="0"/>
        <w:textAlignment w:val="auto"/>
        <w:rPr>
          <w:rFonts w:hint="eastAsia" w:asciiTheme="minorEastAsia" w:hAnsiTheme="minorEastAsia"/>
          <w:bCs/>
          <w:szCs w:val="24"/>
          <w:lang w:val="en-US" w:eastAsia="zh-CN"/>
        </w:rPr>
      </w:pPr>
      <w:r>
        <w:rPr>
          <w:rFonts w:hint="eastAsia"/>
          <w:lang w:val="en-US" w:eastAsia="zh-CN"/>
        </w:rPr>
        <w:t>项目</w:t>
      </w:r>
      <w:r>
        <w:rPr>
          <w:rFonts w:hint="eastAsia" w:asciiTheme="minorEastAsia" w:hAnsiTheme="minorEastAsia"/>
          <w:bCs/>
          <w:szCs w:val="24"/>
          <w:lang w:val="en-US" w:eastAsia="zh-CN"/>
        </w:rPr>
        <w:t>概况：本项目为多联机空调全流程维保服务，包含空调滤网清洁、外机保养、故障排查维修、原厂配件更换、系统调试检测等全部维保内容。</w:t>
      </w:r>
    </w:p>
    <w:p w14:paraId="151561C8">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ascii="宋体" w:hAnsi="Courier New" w:eastAsia="宋体" w:cs="Times New Roman"/>
          <w:highlight w:val="none"/>
          <w:lang w:val="en-US" w:eastAsia="zh-CN"/>
        </w:rPr>
      </w:pPr>
      <w:r>
        <w:rPr>
          <w:rFonts w:hint="eastAsia" w:cs="Times New Roman"/>
          <w:highlight w:val="none"/>
          <w:lang w:val="en-US" w:eastAsia="zh-CN"/>
        </w:rPr>
        <w:t>招标内容</w:t>
      </w:r>
      <w:r>
        <w:rPr>
          <w:rFonts w:hint="eastAsia" w:ascii="宋体" w:hAnsi="Courier New" w:eastAsia="宋体" w:cs="Times New Roman"/>
          <w:highlight w:val="none"/>
          <w:lang w:val="en-US" w:eastAsia="zh-CN"/>
        </w:rPr>
        <w:t>具体要求详见《技术标书》。</w:t>
      </w:r>
    </w:p>
    <w:p w14:paraId="10BC6F77">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u w:val="none"/>
          <w:lang w:val="en-US" w:eastAsia="zh-CN"/>
        </w:rPr>
      </w:pPr>
      <w:r>
        <w:rPr>
          <w:rFonts w:hint="eastAsia"/>
          <w:lang w:val="en-US" w:eastAsia="zh-CN"/>
        </w:rPr>
        <w:t>报价：</w:t>
      </w:r>
    </w:p>
    <w:p w14:paraId="40FB1354">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b/>
          <w:bCs/>
          <w:color w:val="FF0000"/>
          <w:sz w:val="21"/>
          <w:szCs w:val="21"/>
          <w:highlight w:val="yellow"/>
          <w:u w:val="none"/>
          <w:lang w:val="en-US" w:eastAsia="zh-CN"/>
        </w:rPr>
      </w:pPr>
      <w:r>
        <w:rPr>
          <w:rFonts w:hint="eastAsia" w:ascii="宋体" w:hAnsi="宋体" w:eastAsia="宋体" w:cs="宋体"/>
          <w:i w:val="0"/>
          <w:iCs w:val="0"/>
          <w:caps w:val="0"/>
          <w:color w:val="0F1115"/>
          <w:spacing w:val="0"/>
          <w:sz w:val="21"/>
          <w:szCs w:val="21"/>
          <w:shd w:val="clear" w:fill="FFFFFF"/>
          <w:lang w:val="en-US" w:eastAsia="zh-CN"/>
        </w:rPr>
        <w:t>本</w:t>
      </w:r>
      <w:r>
        <w:rPr>
          <w:rFonts w:hint="eastAsia" w:ascii="宋体" w:hAnsi="宋体" w:eastAsia="宋体" w:cs="宋体"/>
          <w:i w:val="0"/>
          <w:iCs w:val="0"/>
          <w:caps w:val="0"/>
          <w:color w:val="0F1115"/>
          <w:spacing w:val="0"/>
          <w:sz w:val="21"/>
          <w:szCs w:val="21"/>
          <w:shd w:val="clear" w:fill="FFFFFF"/>
        </w:rPr>
        <w:t>项目的所有报价均以人民币填报。投标人应分别报出不含税金额、税率和</w:t>
      </w:r>
      <w:r>
        <w:rPr>
          <w:rFonts w:hint="eastAsia" w:cs="Times New Roman"/>
          <w:b/>
          <w:bCs/>
          <w:color w:val="auto"/>
          <w:highlight w:val="none"/>
          <w:u w:val="none"/>
          <w:lang w:val="en-US" w:eastAsia="zh-CN"/>
        </w:rPr>
        <w:t>价税合计金额</w:t>
      </w:r>
      <w:r>
        <w:rPr>
          <w:rFonts w:hint="eastAsia" w:ascii="宋体" w:hAnsi="宋体" w:eastAsia="宋体" w:cs="宋体"/>
          <w:i w:val="0"/>
          <w:iCs w:val="0"/>
          <w:caps w:val="0"/>
          <w:color w:val="0F1115"/>
          <w:spacing w:val="0"/>
          <w:sz w:val="21"/>
          <w:szCs w:val="21"/>
          <w:shd w:val="clear" w:fill="FFFFFF"/>
        </w:rPr>
        <w:t>。</w:t>
      </w:r>
    </w:p>
    <w:p w14:paraId="3B448AB2">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default" w:cs="Times New Roman"/>
          <w:highlight w:val="none"/>
          <w:u w:val="none"/>
          <w:lang w:val="en-US" w:eastAsia="zh-CN"/>
        </w:rPr>
      </w:pPr>
      <w:r>
        <w:rPr>
          <w:rFonts w:hint="eastAsia" w:hAnsi="宋体" w:cs="宋体"/>
          <w:i w:val="0"/>
          <w:iCs w:val="0"/>
          <w:caps w:val="0"/>
          <w:color w:val="0F1115"/>
          <w:spacing w:val="0"/>
          <w:sz w:val="21"/>
          <w:szCs w:val="21"/>
          <w:highlight w:val="none"/>
          <w:shd w:val="clear" w:fill="FFFFFF"/>
          <w:lang w:val="en-US" w:eastAsia="zh-CN"/>
        </w:rPr>
        <w:t>项目预算3万元（含税）</w:t>
      </w:r>
      <w:r>
        <w:rPr>
          <w:rFonts w:hint="eastAsia" w:ascii="宋体" w:hAnsi="宋体" w:eastAsia="宋体" w:cs="宋体"/>
          <w:i w:val="0"/>
          <w:iCs w:val="0"/>
          <w:caps w:val="0"/>
          <w:color w:val="0F1115"/>
          <w:spacing w:val="0"/>
          <w:sz w:val="21"/>
          <w:szCs w:val="21"/>
          <w:highlight w:val="none"/>
          <w:shd w:val="clear" w:fill="FFFFFF"/>
        </w:rPr>
        <w:t>。</w:t>
      </w:r>
    </w:p>
    <w:p w14:paraId="67327B73">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eastAsia="宋体" w:cs="Times New Roman"/>
          <w:highlight w:val="none"/>
          <w:u w:val="none"/>
          <w:lang w:val="en-US" w:eastAsia="zh-CN"/>
        </w:rPr>
      </w:pPr>
      <w:r>
        <w:rPr>
          <w:rFonts w:hint="eastAsia" w:ascii="Times New Roman" w:hAnsi="Times New Roman" w:cs="Times New Roman"/>
          <w:color w:val="000000"/>
          <w:sz w:val="24"/>
          <w:szCs w:val="24"/>
          <w:highlight w:val="none"/>
          <w:lang w:val="en-US" w:eastAsia="zh-CN"/>
        </w:rPr>
        <w:t>注：</w:t>
      </w:r>
      <w:r>
        <w:rPr>
          <w:rFonts w:hint="default" w:ascii="Times New Roman" w:hAnsi="Times New Roman" w:eastAsia="宋体" w:cs="Times New Roman"/>
          <w:color w:val="000000"/>
          <w:sz w:val="24"/>
          <w:szCs w:val="24"/>
          <w:highlight w:val="none"/>
        </w:rPr>
        <w:t>投标人自行勘察现场，进行合理报价。投标总报价应包括设备费、原厂服务费及相关配件、随机资料、保险、税费、运杂、安装调试、与其他专业配合及可预见的风险以及其它不可预见等全部费用。</w:t>
      </w:r>
    </w:p>
    <w:p w14:paraId="4FF8F32C">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highlight w:val="none"/>
          <w:lang w:val="en-US" w:eastAsia="zh-CN"/>
        </w:rPr>
      </w:pPr>
      <w:r>
        <w:rPr>
          <w:rFonts w:hint="default" w:cs="Times New Roman"/>
          <w:highlight w:val="none"/>
          <w:lang w:val="en-US" w:eastAsia="zh-CN"/>
        </w:rPr>
        <w:t>资金来源：企业自筹。</w:t>
      </w:r>
    </w:p>
    <w:p w14:paraId="2A2F2260">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eastAsia" w:cs="Times New Roman"/>
          <w:highlight w:val="none"/>
          <w:lang w:val="en-US" w:eastAsia="zh-CN"/>
        </w:rPr>
      </w:pPr>
      <w:r>
        <w:rPr>
          <w:rFonts w:hint="eastAsia" w:ascii="宋体" w:hAnsi="Courier New" w:eastAsia="宋体" w:cs="Times New Roman"/>
          <w:highlight w:val="none"/>
          <w:lang w:val="en-US" w:eastAsia="zh-CN"/>
        </w:rPr>
        <w:t>招标人信息：</w:t>
      </w:r>
    </w:p>
    <w:p w14:paraId="7DD6045B">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招标人名称：</w:t>
      </w:r>
      <w:r>
        <w:rPr>
          <w:rFonts w:hint="eastAsia" w:ascii="宋体" w:hAnsi="Courier New" w:cs="Times New Roman"/>
          <w:kern w:val="2"/>
          <w:sz w:val="21"/>
          <w:highlight w:val="none"/>
          <w:lang w:val="en-US" w:eastAsia="zh-CN" w:bidi="ar-SA"/>
        </w:rPr>
        <w:t>中国重汽集团济南汽车部件有限公司</w:t>
      </w:r>
      <w:r>
        <w:rPr>
          <w:rFonts w:hint="eastAsia" w:ascii="宋体" w:hAnsi="Courier New" w:eastAsia="宋体" w:cs="Times New Roman"/>
          <w:kern w:val="2"/>
          <w:sz w:val="21"/>
          <w:highlight w:val="none"/>
          <w:lang w:val="en-US" w:eastAsia="zh-CN" w:bidi="ar-SA"/>
        </w:rPr>
        <w:t xml:space="preserve"> </w:t>
      </w:r>
    </w:p>
    <w:p w14:paraId="03FCD7F2">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招标人地址：</w:t>
      </w:r>
      <w:r>
        <w:rPr>
          <w:rFonts w:hint="default" w:ascii="宋体" w:hAnsi="Courier New" w:eastAsia="宋体" w:cs="Times New Roman"/>
          <w:kern w:val="2"/>
          <w:sz w:val="21"/>
          <w:highlight w:val="none"/>
          <w:lang w:val="en-US" w:eastAsia="zh-CN" w:bidi="ar-SA"/>
        </w:rPr>
        <w:t>济南市章丘区圣井街道潘王路西重汽工业园北三厂</w:t>
      </w:r>
      <w:r>
        <w:rPr>
          <w:rFonts w:hint="eastAsia" w:ascii="宋体" w:hAnsi="Courier New" w:eastAsia="宋体" w:cs="Times New Roman"/>
          <w:kern w:val="2"/>
          <w:sz w:val="21"/>
          <w:highlight w:val="none"/>
          <w:lang w:val="en-US" w:eastAsia="zh-CN" w:bidi="ar-SA"/>
        </w:rPr>
        <w:t xml:space="preserve"> </w:t>
      </w:r>
    </w:p>
    <w:p w14:paraId="4842B46D">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textAlignment w:val="auto"/>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b/>
          <w:bCs/>
          <w:kern w:val="2"/>
          <w:sz w:val="21"/>
          <w:highlight w:val="none"/>
          <w:lang w:val="en-US" w:eastAsia="zh-CN" w:bidi="ar-SA"/>
        </w:rPr>
        <w:t>商务联系人：</w:t>
      </w:r>
      <w:r>
        <w:rPr>
          <w:rFonts w:hint="eastAsia" w:ascii="宋体" w:hAnsi="Courier New" w:cs="Times New Roman"/>
          <w:kern w:val="2"/>
          <w:sz w:val="21"/>
          <w:highlight w:val="none"/>
          <w:lang w:val="en-US" w:eastAsia="zh-CN" w:bidi="ar-SA"/>
        </w:rPr>
        <w:t>郝龙磊</w:t>
      </w:r>
    </w:p>
    <w:p w14:paraId="29BCF26A">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Fonts w:hint="eastAsia" w:ascii="宋体" w:hAnsi="Courier New"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电话：</w:t>
      </w:r>
      <w:r>
        <w:rPr>
          <w:rFonts w:hint="eastAsia" w:ascii="宋体" w:hAnsi="Courier New" w:cs="Times New Roman"/>
          <w:kern w:val="2"/>
          <w:sz w:val="21"/>
          <w:highlight w:val="none"/>
          <w:lang w:val="en-US" w:eastAsia="zh-CN" w:bidi="ar-SA"/>
        </w:rPr>
        <w:t>13853169035</w:t>
      </w:r>
    </w:p>
    <w:p w14:paraId="412224C5">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Fonts w:hint="default" w:ascii="宋体" w:hAnsi="Courier New" w:eastAsia="宋体" w:cs="Times New Roman"/>
          <w:color w:val="auto"/>
          <w:kern w:val="2"/>
          <w:sz w:val="21"/>
          <w:highlight w:val="none"/>
          <w:lang w:val="en-US" w:eastAsia="zh-CN" w:bidi="ar-SA"/>
        </w:rPr>
      </w:pPr>
      <w:r>
        <w:rPr>
          <w:rFonts w:hint="eastAsia" w:ascii="宋体" w:hAnsi="Courier New" w:eastAsia="宋体" w:cs="Times New Roman"/>
          <w:kern w:val="2"/>
          <w:sz w:val="21"/>
          <w:highlight w:val="none"/>
          <w:lang w:val="en-US" w:eastAsia="zh-CN" w:bidi="ar-SA"/>
        </w:rPr>
        <w:t>邮箱：</w:t>
      </w:r>
      <w:r>
        <w:rPr>
          <w:rFonts w:hint="eastAsia" w:ascii="宋体" w:hAnsi="Courier New" w:cs="Times New Roman"/>
          <w:kern w:val="2"/>
          <w:sz w:val="21"/>
          <w:highlight w:val="none"/>
          <w:lang w:val="en-US" w:eastAsia="zh-CN" w:bidi="ar-SA"/>
        </w:rPr>
        <w:t>haolonglei@sinotruk.com</w:t>
      </w:r>
    </w:p>
    <w:p w14:paraId="114C34D0">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textAlignment w:val="auto"/>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b/>
          <w:bCs/>
          <w:kern w:val="2"/>
          <w:sz w:val="21"/>
          <w:highlight w:val="none"/>
          <w:lang w:val="en-US" w:eastAsia="zh-CN" w:bidi="ar-SA"/>
        </w:rPr>
        <w:t>技术联系人：</w:t>
      </w:r>
      <w:r>
        <w:rPr>
          <w:rFonts w:hint="eastAsia" w:ascii="宋体" w:hAnsi="Courier New" w:cs="Times New Roman"/>
          <w:kern w:val="2"/>
          <w:sz w:val="21"/>
          <w:highlight w:val="none"/>
          <w:lang w:val="en-US" w:eastAsia="zh-CN" w:bidi="ar-SA"/>
        </w:rPr>
        <w:t>郝龙磊</w:t>
      </w:r>
    </w:p>
    <w:p w14:paraId="1DF28AB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Courier New" w:cs="Times New Roman"/>
          <w:kern w:val="2"/>
          <w:sz w:val="21"/>
          <w:highlight w:val="none"/>
          <w:lang w:val="en-US" w:eastAsia="zh-CN" w:bidi="ar-SA"/>
        </w:rPr>
      </w:pPr>
      <w:r>
        <w:rPr>
          <w:rStyle w:val="37"/>
          <w:rFonts w:hint="eastAsia" w:ascii="宋体" w:hAnsi="Courier New" w:eastAsia="宋体" w:cs="Times New Roman"/>
          <w:color w:val="auto"/>
          <w:kern w:val="2"/>
          <w:sz w:val="21"/>
          <w:highlight w:val="none"/>
          <w:lang w:val="en-US" w:eastAsia="zh-CN" w:bidi="ar-SA"/>
        </w:rPr>
        <w:t>电话：</w:t>
      </w:r>
      <w:r>
        <w:rPr>
          <w:rFonts w:hint="eastAsia" w:ascii="宋体" w:hAnsi="Courier New" w:cs="Times New Roman"/>
          <w:kern w:val="2"/>
          <w:sz w:val="21"/>
          <w:highlight w:val="none"/>
          <w:lang w:val="en-US" w:eastAsia="zh-CN" w:bidi="ar-SA"/>
        </w:rPr>
        <w:t>13853169035</w:t>
      </w:r>
    </w:p>
    <w:p w14:paraId="1CB85566">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Style w:val="37"/>
          <w:rFonts w:hint="default" w:ascii="宋体" w:hAnsi="Courier New" w:eastAsia="宋体" w:cs="Times New Roman"/>
          <w:color w:val="auto"/>
          <w:kern w:val="2"/>
          <w:sz w:val="21"/>
          <w:highlight w:val="none"/>
          <w:lang w:val="en-US" w:eastAsia="zh-CN" w:bidi="ar-SA"/>
        </w:rPr>
      </w:pPr>
      <w:r>
        <w:rPr>
          <w:rStyle w:val="37"/>
          <w:rFonts w:hint="eastAsia" w:ascii="宋体" w:hAnsi="Courier New" w:cs="Times New Roman"/>
          <w:color w:val="auto"/>
          <w:kern w:val="2"/>
          <w:sz w:val="21"/>
          <w:highlight w:val="none"/>
          <w:lang w:val="en-US" w:eastAsia="zh-CN" w:bidi="ar-SA"/>
        </w:rPr>
        <w:t>邮箱：</w:t>
      </w:r>
      <w:r>
        <w:rPr>
          <w:rFonts w:hint="eastAsia" w:ascii="宋体" w:hAnsi="Courier New" w:cs="Times New Roman"/>
          <w:kern w:val="2"/>
          <w:sz w:val="21"/>
          <w:highlight w:val="none"/>
          <w:lang w:val="en-US" w:eastAsia="zh-CN" w:bidi="ar-SA"/>
        </w:rPr>
        <w:t>haolonglei@sinotruk.com</w:t>
      </w:r>
    </w:p>
    <w:bookmarkEnd w:id="3"/>
    <w:p w14:paraId="50DC6C75">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bookmarkStart w:id="4" w:name="_Toc47976598"/>
      <w:r>
        <w:rPr>
          <w:rFonts w:hint="eastAsia"/>
          <w:highlight w:val="none"/>
        </w:rPr>
        <w:t>合格的投标人</w:t>
      </w:r>
      <w:bookmarkEnd w:id="4"/>
    </w:p>
    <w:p w14:paraId="5243DD9C">
      <w:pPr>
        <w:pStyle w:val="14"/>
        <w:spacing w:line="360" w:lineRule="auto"/>
        <w:ind w:firstLine="420" w:firstLineChars="200"/>
        <w:rPr>
          <w:b/>
          <w:highlight w:val="none"/>
        </w:rPr>
      </w:pPr>
      <w:r>
        <w:rPr>
          <w:rFonts w:hint="eastAsia" w:ascii="仿宋" w:hAnsi="仿宋" w:eastAsia="仿宋"/>
          <w:highlight w:val="none"/>
        </w:rPr>
        <w:t>(1)</w:t>
      </w:r>
      <w:r>
        <w:rPr>
          <w:rFonts w:hint="eastAsia" w:cs="Arial"/>
          <w:color w:val="000000"/>
          <w:szCs w:val="21"/>
          <w:highlight w:val="none"/>
        </w:rPr>
        <w:t>投标人须遵守《中华人民共和国招标投标法》及其它有关的法律和法规</w:t>
      </w:r>
      <w:r>
        <w:rPr>
          <w:rFonts w:hint="eastAsia"/>
          <w:highlight w:val="none"/>
        </w:rPr>
        <w:t>；为中华人民共和国境内注册的独立法人机构，具有独立承担民事责任能力；</w:t>
      </w:r>
    </w:p>
    <w:p w14:paraId="32CCC7C1">
      <w:pPr>
        <w:pStyle w:val="14"/>
        <w:spacing w:line="360" w:lineRule="auto"/>
        <w:ind w:firstLine="422" w:firstLineChars="200"/>
        <w:rPr>
          <w:highlight w:val="none"/>
        </w:rPr>
      </w:pPr>
      <w:r>
        <w:rPr>
          <w:rFonts w:hint="eastAsia" w:hAnsi="宋体"/>
          <w:b/>
          <w:highlight w:val="none"/>
        </w:rPr>
        <w:t>*</w:t>
      </w:r>
      <w:r>
        <w:rPr>
          <w:rFonts w:hint="eastAsia" w:ascii="仿宋" w:hAnsi="仿宋" w:eastAsia="仿宋"/>
          <w:highlight w:val="none"/>
        </w:rPr>
        <w:t>(</w:t>
      </w:r>
      <w:r>
        <w:rPr>
          <w:rFonts w:ascii="仿宋" w:hAnsi="仿宋" w:eastAsia="仿宋"/>
          <w:highlight w:val="none"/>
        </w:rPr>
        <w:t>2</w:t>
      </w:r>
      <w:r>
        <w:rPr>
          <w:rFonts w:hint="eastAsia" w:ascii="仿宋" w:hAnsi="仿宋" w:eastAsia="仿宋"/>
          <w:highlight w:val="none"/>
        </w:rPr>
        <w:t>)</w:t>
      </w:r>
      <w:r>
        <w:rPr>
          <w:rFonts w:hint="eastAsia"/>
          <w:highlight w:val="none"/>
        </w:rPr>
        <w:t>公司成立</w:t>
      </w:r>
      <w:r>
        <w:rPr>
          <w:rFonts w:hint="eastAsia"/>
          <w:highlight w:val="none"/>
          <w:lang w:val="en-US" w:eastAsia="zh-CN"/>
        </w:rPr>
        <w:t>一</w:t>
      </w:r>
      <w:r>
        <w:rPr>
          <w:rFonts w:hint="eastAsia"/>
          <w:highlight w:val="none"/>
        </w:rPr>
        <w:t>年以上（以营业执照成立日期到开标当日</w:t>
      </w:r>
      <w:r>
        <w:rPr>
          <w:rFonts w:hint="eastAsia" w:ascii="仿宋" w:hAnsi="仿宋" w:eastAsia="仿宋"/>
          <w:b/>
          <w:bCs/>
          <w:highlight w:val="none"/>
        </w:rPr>
        <w:t>满</w:t>
      </w:r>
      <w:r>
        <w:rPr>
          <w:rFonts w:hint="eastAsia" w:ascii="仿宋" w:hAnsi="仿宋" w:eastAsia="仿宋"/>
          <w:b/>
          <w:bCs/>
          <w:highlight w:val="none"/>
          <w:lang w:val="en-US" w:eastAsia="zh-CN"/>
        </w:rPr>
        <w:t>一</w:t>
      </w:r>
      <w:r>
        <w:rPr>
          <w:rFonts w:hint="eastAsia" w:ascii="仿宋" w:hAnsi="仿宋" w:eastAsia="仿宋"/>
          <w:b/>
          <w:bCs/>
          <w:highlight w:val="none"/>
        </w:rPr>
        <w:t>年为准</w:t>
      </w:r>
      <w:r>
        <w:rPr>
          <w:rFonts w:hint="eastAsia"/>
          <w:highlight w:val="none"/>
        </w:rPr>
        <w:t>）；</w:t>
      </w:r>
      <w:r>
        <w:rPr>
          <w:rFonts w:hint="eastAsia" w:ascii="仿宋" w:hAnsi="仿宋" w:eastAsia="仿宋"/>
          <w:b/>
          <w:bCs/>
          <w:highlight w:val="none"/>
        </w:rPr>
        <w:t>注册资金不少于</w:t>
      </w:r>
      <w:r>
        <w:rPr>
          <w:rFonts w:hint="eastAsia" w:eastAsia="仿宋"/>
          <w:b/>
          <w:color w:val="FF0000"/>
          <w:highlight w:val="none"/>
          <w:lang w:val="en-US" w:eastAsia="zh-CN"/>
        </w:rPr>
        <w:t>100</w:t>
      </w:r>
      <w:r>
        <w:rPr>
          <w:rFonts w:hint="eastAsia"/>
          <w:b/>
          <w:color w:val="FF0000"/>
          <w:highlight w:val="none"/>
        </w:rPr>
        <w:t>万</w:t>
      </w:r>
      <w:r>
        <w:rPr>
          <w:rFonts w:hint="eastAsia" w:hAnsi="宋体"/>
          <w:sz w:val="24"/>
          <w:highlight w:val="none"/>
        </w:rPr>
        <w:t>；</w:t>
      </w:r>
      <w:r>
        <w:rPr>
          <w:rFonts w:hint="eastAsia"/>
          <w:highlight w:val="none"/>
        </w:rPr>
        <w:t>经营范围满足招标项目需求；</w:t>
      </w:r>
    </w:p>
    <w:p w14:paraId="33A39BB6">
      <w:pPr>
        <w:pStyle w:val="14"/>
        <w:spacing w:line="360" w:lineRule="auto"/>
        <w:ind w:firstLine="422" w:firstLineChars="200"/>
        <w:rPr>
          <w:rFonts w:ascii="仿宋" w:hAnsi="仿宋" w:eastAsia="仿宋"/>
          <w:b/>
          <w:bCs/>
          <w:highlight w:val="none"/>
        </w:rPr>
      </w:pPr>
      <w:r>
        <w:rPr>
          <w:rFonts w:hint="eastAsia" w:hAnsi="宋体"/>
          <w:b/>
          <w:highlight w:val="none"/>
        </w:rPr>
        <w:t>*</w:t>
      </w:r>
      <w:r>
        <w:rPr>
          <w:rFonts w:hint="eastAsia" w:ascii="仿宋" w:hAnsi="仿宋" w:eastAsia="仿宋"/>
          <w:highlight w:val="none"/>
        </w:rPr>
        <w:t>(</w:t>
      </w:r>
      <w:r>
        <w:rPr>
          <w:rFonts w:ascii="仿宋" w:hAnsi="仿宋" w:eastAsia="仿宋"/>
          <w:highlight w:val="none"/>
        </w:rPr>
        <w:t>3</w:t>
      </w:r>
      <w:r>
        <w:rPr>
          <w:rFonts w:hint="eastAsia" w:ascii="仿宋" w:hAnsi="仿宋" w:eastAsia="仿宋"/>
          <w:highlight w:val="none"/>
        </w:rPr>
        <w:t>)</w:t>
      </w:r>
      <w:r>
        <w:rPr>
          <w:rFonts w:hint="eastAsia"/>
          <w:highlight w:val="none"/>
        </w:rPr>
        <w:t>投标人须提供具有统一社会信用代码的新版营业执照副本</w:t>
      </w:r>
      <w:r>
        <w:rPr>
          <w:rFonts w:hint="eastAsia" w:ascii="仿宋" w:hAnsi="仿宋" w:eastAsia="仿宋"/>
          <w:b/>
          <w:bCs/>
          <w:highlight w:val="none"/>
        </w:rPr>
        <w:t>原件或复印件（加盖公章）；</w:t>
      </w:r>
    </w:p>
    <w:p w14:paraId="0DC1EC28">
      <w:pPr>
        <w:pStyle w:val="14"/>
        <w:spacing w:line="360" w:lineRule="auto"/>
        <w:ind w:firstLine="420" w:firstLineChars="200"/>
        <w:rPr>
          <w:b/>
          <w:highlight w:val="none"/>
        </w:rPr>
      </w:pPr>
      <w:r>
        <w:rPr>
          <w:rFonts w:hint="eastAsia" w:ascii="仿宋" w:hAnsi="仿宋" w:eastAsia="仿宋"/>
          <w:highlight w:val="none"/>
        </w:rPr>
        <w:t>(</w:t>
      </w:r>
      <w:r>
        <w:rPr>
          <w:rFonts w:ascii="仿宋" w:hAnsi="仿宋" w:eastAsia="仿宋"/>
          <w:highlight w:val="none"/>
        </w:rPr>
        <w:t>4</w:t>
      </w:r>
      <w:r>
        <w:rPr>
          <w:rFonts w:hint="eastAsia" w:ascii="仿宋" w:hAnsi="仿宋" w:eastAsia="仿宋"/>
          <w:highlight w:val="none"/>
        </w:rPr>
        <w:t>)</w:t>
      </w:r>
      <w:r>
        <w:rPr>
          <w:rFonts w:hint="eastAsia"/>
          <w:highlight w:val="none"/>
        </w:rPr>
        <w:t>具有良好的商业信誉，在国家企业信用信息公示系统中无与招标项目相关的重大行政处罚、列入经营异常名录和列入严重违法失信企业名单（黑名单）信息或上述信息已被移除。</w:t>
      </w:r>
    </w:p>
    <w:p w14:paraId="064911DE">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5</w:t>
      </w:r>
      <w:r>
        <w:rPr>
          <w:rFonts w:hint="eastAsia" w:ascii="仿宋" w:hAnsi="仿宋" w:eastAsia="仿宋"/>
          <w:highlight w:val="none"/>
        </w:rPr>
        <w:t>)</w:t>
      </w:r>
      <w:r>
        <w:rPr>
          <w:rFonts w:hint="eastAsia"/>
          <w:highlight w:val="none"/>
        </w:rPr>
        <w:t>投标人在近</w:t>
      </w:r>
      <w:r>
        <w:rPr>
          <w:rFonts w:hint="eastAsia"/>
          <w:highlight w:val="none"/>
          <w:lang w:val="en-US" w:eastAsia="zh-CN"/>
        </w:rPr>
        <w:t>三</w:t>
      </w:r>
      <w:r>
        <w:rPr>
          <w:rFonts w:hint="eastAsia"/>
          <w:highlight w:val="none"/>
        </w:rPr>
        <w:t>年内在经营活动中无违法记录。</w:t>
      </w:r>
    </w:p>
    <w:p w14:paraId="4857DABB">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6</w:t>
      </w:r>
      <w:r>
        <w:rPr>
          <w:rFonts w:hint="eastAsia" w:ascii="仿宋" w:hAnsi="仿宋" w:eastAsia="仿宋"/>
          <w:highlight w:val="none"/>
        </w:rPr>
        <w:t>)</w:t>
      </w:r>
      <w:r>
        <w:rPr>
          <w:rFonts w:hint="eastAsia"/>
          <w:highlight w:val="none"/>
        </w:rPr>
        <w:t>具有健全的财务会计制度，财务状况和市场行为良好。没有处于被有权机关吊销营业执照、吊销资质、停业整顿、取消投标资格以及财产被接管、冻结或进入破产程序等。</w:t>
      </w:r>
    </w:p>
    <w:p w14:paraId="450E82B0">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7</w:t>
      </w:r>
      <w:r>
        <w:rPr>
          <w:rFonts w:hint="eastAsia" w:ascii="仿宋" w:hAnsi="仿宋" w:eastAsia="仿宋"/>
          <w:highlight w:val="none"/>
        </w:rPr>
        <w:t>)</w:t>
      </w:r>
      <w:r>
        <w:rPr>
          <w:rFonts w:hint="eastAsia"/>
          <w:highlight w:val="none"/>
        </w:rPr>
        <w:t>投标人没有被列入招标人处《黑名单》（《黑名单》指投标人</w:t>
      </w:r>
      <w:r>
        <w:rPr>
          <w:highlight w:val="none"/>
        </w:rPr>
        <w:t>与招标人在以往</w:t>
      </w:r>
      <w:r>
        <w:rPr>
          <w:rFonts w:hint="eastAsia"/>
          <w:highlight w:val="none"/>
        </w:rPr>
        <w:t>或</w:t>
      </w:r>
      <w:r>
        <w:rPr>
          <w:highlight w:val="none"/>
        </w:rPr>
        <w:t>正在</w:t>
      </w:r>
      <w:r>
        <w:rPr>
          <w:rFonts w:hint="eastAsia"/>
          <w:highlight w:val="none"/>
        </w:rPr>
        <w:t>进行</w:t>
      </w:r>
      <w:r>
        <w:rPr>
          <w:highlight w:val="none"/>
        </w:rPr>
        <w:t>的合作中</w:t>
      </w:r>
      <w:r>
        <w:rPr>
          <w:rFonts w:hint="eastAsia"/>
          <w:highlight w:val="none"/>
        </w:rPr>
        <w:t>，</w:t>
      </w:r>
      <w:r>
        <w:rPr>
          <w:highlight w:val="none"/>
        </w:rPr>
        <w:t>存在</w:t>
      </w:r>
      <w:r>
        <w:rPr>
          <w:rFonts w:hint="eastAsia"/>
          <w:highlight w:val="none"/>
        </w:rPr>
        <w:t>招标人</w:t>
      </w:r>
      <w:r>
        <w:rPr>
          <w:highlight w:val="none"/>
        </w:rPr>
        <w:t>认为的</w:t>
      </w:r>
      <w:r>
        <w:rPr>
          <w:rFonts w:hint="eastAsia"/>
          <w:highlight w:val="none"/>
        </w:rPr>
        <w:t>违反合同</w:t>
      </w:r>
      <w:r>
        <w:rPr>
          <w:highlight w:val="none"/>
        </w:rPr>
        <w:t>约定或</w:t>
      </w:r>
      <w:r>
        <w:rPr>
          <w:rFonts w:hint="eastAsia"/>
          <w:highlight w:val="none"/>
        </w:rPr>
        <w:t>违反法律法规</w:t>
      </w:r>
      <w:r>
        <w:rPr>
          <w:highlight w:val="none"/>
        </w:rPr>
        <w:t>等的</w:t>
      </w:r>
      <w:r>
        <w:rPr>
          <w:rFonts w:hint="eastAsia"/>
          <w:highlight w:val="none"/>
        </w:rPr>
        <w:t>失信行为）的。</w:t>
      </w:r>
    </w:p>
    <w:p w14:paraId="74A49E01">
      <w:pPr>
        <w:pStyle w:val="14"/>
        <w:spacing w:line="360" w:lineRule="auto"/>
        <w:ind w:firstLine="422" w:firstLineChars="200"/>
        <w:rPr>
          <w:rFonts w:ascii="仿宋" w:hAnsi="仿宋" w:eastAsia="仿宋"/>
          <w:highlight w:val="none"/>
        </w:rPr>
      </w:pPr>
      <w:r>
        <w:rPr>
          <w:rFonts w:hint="eastAsia" w:ascii="仿宋" w:hAnsi="仿宋" w:eastAsia="仿宋"/>
          <w:b/>
          <w:bCs/>
          <w:highlight w:val="none"/>
        </w:rPr>
        <w:t>*(</w:t>
      </w:r>
      <w:r>
        <w:rPr>
          <w:rFonts w:ascii="仿宋" w:hAnsi="仿宋" w:eastAsia="仿宋"/>
          <w:b/>
          <w:bCs/>
          <w:highlight w:val="none"/>
        </w:rPr>
        <w:t>8</w:t>
      </w:r>
      <w:r>
        <w:rPr>
          <w:rFonts w:hint="eastAsia" w:ascii="仿宋" w:hAnsi="仿宋" w:eastAsia="仿宋"/>
          <w:b/>
          <w:bCs/>
          <w:highlight w:val="none"/>
        </w:rPr>
        <w:t>)投标人提供经会计师事务所审计且出具无保留意见的近</w:t>
      </w:r>
      <w:r>
        <w:rPr>
          <w:rFonts w:hint="eastAsia" w:ascii="仿宋" w:hAnsi="仿宋" w:eastAsia="仿宋"/>
          <w:b/>
          <w:bCs/>
          <w:highlight w:val="none"/>
          <w:lang w:val="en-US" w:eastAsia="zh-CN"/>
        </w:rPr>
        <w:t>三</w:t>
      </w:r>
      <w:r>
        <w:rPr>
          <w:rFonts w:hint="eastAsia" w:ascii="仿宋" w:hAnsi="仿宋" w:eastAsia="仿宋"/>
          <w:b/>
          <w:bCs/>
          <w:highlight w:val="none"/>
        </w:rPr>
        <w:t>年的财务审计报告原件，并加盖公章，包括但不限于报告页、经审计的资产负债表、利润表及报表附注。如投标人公司没有经审计的财务报告，可提供加盖公章的近</w:t>
      </w:r>
      <w:r>
        <w:rPr>
          <w:rFonts w:hint="eastAsia" w:ascii="仿宋" w:hAnsi="仿宋" w:eastAsia="仿宋"/>
          <w:b/>
          <w:bCs/>
          <w:highlight w:val="none"/>
          <w:lang w:val="en-US" w:eastAsia="zh-CN"/>
        </w:rPr>
        <w:t>三</w:t>
      </w:r>
      <w:r>
        <w:rPr>
          <w:rFonts w:hint="eastAsia" w:ascii="仿宋" w:hAnsi="仿宋" w:eastAsia="仿宋"/>
          <w:b/>
          <w:bCs/>
          <w:highlight w:val="none"/>
        </w:rPr>
        <w:t>年财务报表，包括但不限于资产负债表、利润表。应提供中文版本的审计报告或财务报表。</w:t>
      </w:r>
    </w:p>
    <w:p w14:paraId="2740ACDD">
      <w:pPr>
        <w:pStyle w:val="14"/>
        <w:spacing w:line="360" w:lineRule="auto"/>
        <w:ind w:firstLine="422" w:firstLineChars="200"/>
        <w:rPr>
          <w:highlight w:val="none"/>
        </w:rPr>
      </w:pPr>
      <w:r>
        <w:rPr>
          <w:rFonts w:hint="eastAsia" w:hAnsi="宋体"/>
          <w:b/>
          <w:highlight w:val="none"/>
        </w:rPr>
        <w:t>*</w:t>
      </w:r>
      <w:r>
        <w:rPr>
          <w:rFonts w:hint="eastAsia" w:ascii="仿宋" w:hAnsi="仿宋" w:eastAsia="仿宋"/>
          <w:highlight w:val="none"/>
        </w:rPr>
        <w:t>(</w:t>
      </w:r>
      <w:r>
        <w:rPr>
          <w:rFonts w:ascii="仿宋" w:hAnsi="仿宋" w:eastAsia="仿宋"/>
          <w:highlight w:val="none"/>
        </w:rPr>
        <w:t>9</w:t>
      </w:r>
      <w:r>
        <w:rPr>
          <w:rFonts w:hint="eastAsia" w:ascii="仿宋" w:hAnsi="仿宋" w:eastAsia="仿宋"/>
          <w:highlight w:val="none"/>
        </w:rPr>
        <w:t>)</w:t>
      </w:r>
      <w:r>
        <w:rPr>
          <w:rFonts w:hint="eastAsia"/>
          <w:highlight w:val="none"/>
        </w:rPr>
        <w:t>投标人须提供法人授权委托书原件（在投标文件副本中可用复印件）及投标单位的法定代表人或授权代表的身份证原件及复印件（加盖公章）；</w:t>
      </w:r>
    </w:p>
    <w:p w14:paraId="0A45CD7D">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10</w:t>
      </w:r>
      <w:r>
        <w:rPr>
          <w:rFonts w:hint="eastAsia" w:ascii="仿宋" w:hAnsi="仿宋" w:eastAsia="仿宋"/>
          <w:highlight w:val="none"/>
        </w:rPr>
        <w:t>)</w:t>
      </w:r>
      <w:r>
        <w:rPr>
          <w:rFonts w:hint="eastAsia"/>
          <w:highlight w:val="none"/>
        </w:rPr>
        <w:t>投标人须具有履行合同所必须的设备、财务、技术、服务等方面的资质和能力；</w:t>
      </w:r>
    </w:p>
    <w:p w14:paraId="26CC6CB3">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11</w:t>
      </w:r>
      <w:r>
        <w:rPr>
          <w:rFonts w:hint="eastAsia" w:ascii="仿宋" w:hAnsi="仿宋" w:eastAsia="仿宋"/>
          <w:highlight w:val="none"/>
        </w:rPr>
        <w:t>)</w:t>
      </w:r>
      <w:r>
        <w:rPr>
          <w:rFonts w:hint="eastAsia"/>
          <w:highlight w:val="none"/>
        </w:rPr>
        <w:t>投标人须具有完全履行招标文件的所有要求的能力；</w:t>
      </w:r>
    </w:p>
    <w:p w14:paraId="7055EC6E">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12</w:t>
      </w:r>
      <w:r>
        <w:rPr>
          <w:rFonts w:hint="eastAsia" w:ascii="仿宋" w:hAnsi="仿宋" w:eastAsia="仿宋"/>
          <w:highlight w:val="none"/>
        </w:rPr>
        <w:t>)</w:t>
      </w:r>
      <w:r>
        <w:rPr>
          <w:rFonts w:hint="eastAsia"/>
          <w:highlight w:val="none"/>
        </w:rPr>
        <w:t>投标人须负责提供合理的便于运输的包装物，并承担相关费用；</w:t>
      </w:r>
    </w:p>
    <w:p w14:paraId="6CE477B3">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13</w:t>
      </w:r>
      <w:r>
        <w:rPr>
          <w:rFonts w:hint="eastAsia" w:ascii="仿宋" w:hAnsi="仿宋" w:eastAsia="仿宋"/>
          <w:highlight w:val="none"/>
        </w:rPr>
        <w:t>)</w:t>
      </w:r>
      <w:r>
        <w:rPr>
          <w:rFonts w:hint="eastAsia"/>
          <w:highlight w:val="none"/>
        </w:rPr>
        <w:t>投标人须认可招标人的工作指令，包括节、假日能正常开展工作的要求；</w:t>
      </w:r>
    </w:p>
    <w:p w14:paraId="3EBE3C04">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14</w:t>
      </w:r>
      <w:r>
        <w:rPr>
          <w:rFonts w:hint="eastAsia" w:ascii="仿宋" w:hAnsi="仿宋" w:eastAsia="仿宋"/>
          <w:highlight w:val="none"/>
        </w:rPr>
        <w:t>)</w:t>
      </w:r>
      <w:r>
        <w:rPr>
          <w:rFonts w:hint="eastAsia"/>
          <w:highlight w:val="none"/>
        </w:rPr>
        <w:t>投标人必须是最终投标、签订合同的单位，不得以任何理由将已中标项目以任何形式转包给其他单位；</w:t>
      </w:r>
    </w:p>
    <w:p w14:paraId="4EBB4A91">
      <w:pPr>
        <w:pStyle w:val="14"/>
        <w:spacing w:line="360" w:lineRule="auto"/>
        <w:ind w:firstLine="420" w:firstLineChars="200"/>
        <w:rPr>
          <w:rFonts w:hint="default" w:eastAsia="宋体"/>
          <w:highlight w:val="none"/>
          <w:lang w:val="en-US" w:eastAsia="zh-CN"/>
        </w:rPr>
      </w:pPr>
      <w:r>
        <w:rPr>
          <w:rFonts w:hint="eastAsia" w:ascii="仿宋" w:hAnsi="仿宋" w:eastAsia="仿宋"/>
          <w:highlight w:val="none"/>
        </w:rPr>
        <w:t>(</w:t>
      </w:r>
      <w:r>
        <w:rPr>
          <w:rFonts w:ascii="仿宋" w:hAnsi="仿宋" w:eastAsia="仿宋"/>
          <w:highlight w:val="none"/>
        </w:rPr>
        <w:t>15</w:t>
      </w:r>
      <w:r>
        <w:rPr>
          <w:rFonts w:hint="eastAsia" w:ascii="仿宋" w:hAnsi="仿宋" w:eastAsia="仿宋"/>
          <w:highlight w:val="none"/>
        </w:rPr>
        <w:t>)</w:t>
      </w:r>
      <w:r>
        <w:rPr>
          <w:rFonts w:hint="eastAsia"/>
          <w:highlight w:val="none"/>
        </w:rPr>
        <w:t>本次招标项目不接受联合体投标；</w:t>
      </w:r>
      <w:r>
        <w:rPr>
          <w:rFonts w:hint="eastAsia"/>
          <w:highlight w:val="none"/>
          <w:lang w:val="en-US" w:eastAsia="zh-CN"/>
        </w:rPr>
        <w:t>接受代理商投标；</w:t>
      </w:r>
    </w:p>
    <w:p w14:paraId="4C70ED7D">
      <w:pPr>
        <w:pStyle w:val="14"/>
        <w:spacing w:line="360" w:lineRule="auto"/>
        <w:ind w:firstLine="422" w:firstLineChars="200"/>
        <w:rPr>
          <w:highlight w:val="none"/>
        </w:rPr>
      </w:pPr>
      <w:r>
        <w:rPr>
          <w:rFonts w:hint="eastAsia" w:hAnsi="宋体"/>
          <w:b/>
          <w:highlight w:val="none"/>
        </w:rPr>
        <w:t>*</w:t>
      </w:r>
      <w:r>
        <w:rPr>
          <w:rFonts w:hint="eastAsia" w:ascii="仿宋" w:hAnsi="仿宋" w:eastAsia="仿宋"/>
          <w:highlight w:val="none"/>
        </w:rPr>
        <w:t>(</w:t>
      </w:r>
      <w:r>
        <w:rPr>
          <w:rFonts w:ascii="仿宋" w:hAnsi="仿宋" w:eastAsia="仿宋"/>
          <w:highlight w:val="none"/>
        </w:rPr>
        <w:t>16</w:t>
      </w:r>
      <w:r>
        <w:rPr>
          <w:rFonts w:hint="eastAsia" w:ascii="仿宋" w:hAnsi="仿宋" w:eastAsia="仿宋"/>
          <w:highlight w:val="none"/>
        </w:rPr>
        <w:t>)</w:t>
      </w:r>
      <w:r>
        <w:rPr>
          <w:rFonts w:hint="eastAsia"/>
          <w:highlight w:val="none"/>
        </w:rPr>
        <w:t>投标人在向招标人出示</w:t>
      </w:r>
      <w:r>
        <w:rPr>
          <w:rFonts w:hint="eastAsia" w:ascii="仿宋" w:hAnsi="仿宋" w:eastAsia="仿宋"/>
          <w:b/>
          <w:highlight w:val="none"/>
        </w:rPr>
        <w:t>《投标保证金缴纳凭证》</w:t>
      </w:r>
      <w:r>
        <w:rPr>
          <w:rFonts w:hint="eastAsia"/>
          <w:highlight w:val="none"/>
        </w:rPr>
        <w:t>后方可进行投标；</w:t>
      </w:r>
    </w:p>
    <w:p w14:paraId="42FF06CE">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17</w:t>
      </w:r>
      <w:r>
        <w:rPr>
          <w:rFonts w:hint="eastAsia"/>
          <w:highlight w:val="none"/>
        </w:rPr>
        <w:t>)投标文件1正4副共计5份并附U盘电子版（详见本招标文件“第二章 投标文件编制”）。</w:t>
      </w:r>
    </w:p>
    <w:p w14:paraId="0997E972">
      <w:pPr>
        <w:adjustRightInd w:val="0"/>
        <w:snapToGrid w:val="0"/>
        <w:spacing w:line="360" w:lineRule="auto"/>
        <w:ind w:firstLine="420" w:firstLineChars="200"/>
        <w:jc w:val="left"/>
        <w:rPr>
          <w:rFonts w:ascii="Arial" w:hAnsi="Arial" w:cs="Arial"/>
          <w:color w:val="333333"/>
          <w:szCs w:val="21"/>
          <w:highlight w:val="none"/>
          <w:shd w:val="clear" w:color="auto" w:fill="FFFFFF"/>
        </w:rPr>
      </w:pPr>
      <w:r>
        <w:rPr>
          <w:rFonts w:hint="eastAsia" w:ascii="仿宋" w:hAnsi="仿宋" w:eastAsia="仿宋"/>
          <w:highlight w:val="none"/>
        </w:rPr>
        <w:t>(</w:t>
      </w:r>
      <w:r>
        <w:rPr>
          <w:rFonts w:ascii="仿宋" w:hAnsi="仿宋" w:eastAsia="仿宋"/>
          <w:highlight w:val="none"/>
        </w:rPr>
        <w:t>18</w:t>
      </w:r>
      <w:r>
        <w:rPr>
          <w:rFonts w:hint="eastAsia" w:ascii="仿宋" w:hAnsi="仿宋" w:eastAsia="仿宋"/>
          <w:highlight w:val="none"/>
        </w:rPr>
        <w:t>)</w:t>
      </w:r>
      <w:r>
        <w:rPr>
          <w:rFonts w:ascii="Arial" w:hAnsi="Arial" w:cs="Arial"/>
          <w:color w:val="333333"/>
          <w:szCs w:val="21"/>
          <w:highlight w:val="none"/>
          <w:shd w:val="clear" w:color="auto" w:fill="FFFFFF"/>
        </w:rPr>
        <w:t>投标人须提供类似业绩合同原件。</w:t>
      </w:r>
    </w:p>
    <w:p w14:paraId="7AAB64C9">
      <w:pPr>
        <w:pStyle w:val="14"/>
        <w:spacing w:line="360" w:lineRule="auto"/>
        <w:ind w:firstLine="422" w:firstLineChars="200"/>
        <w:rPr>
          <w:rFonts w:ascii="仿宋" w:hAnsi="仿宋" w:eastAsia="仿宋"/>
          <w:highlight w:val="none"/>
        </w:rPr>
      </w:pPr>
      <w:r>
        <w:rPr>
          <w:rFonts w:hint="eastAsia" w:ascii="仿宋" w:hAnsi="仿宋" w:eastAsia="仿宋"/>
          <w:b/>
          <w:bCs/>
          <w:highlight w:val="none"/>
        </w:rPr>
        <w:t>注：上述带“*”项为必备的资格文件，缺项</w:t>
      </w:r>
      <w:r>
        <w:rPr>
          <w:rFonts w:hint="eastAsia" w:ascii="仿宋" w:hAnsi="仿宋" w:eastAsia="仿宋"/>
          <w:b/>
          <w:bCs/>
          <w:szCs w:val="22"/>
          <w:highlight w:val="none"/>
        </w:rPr>
        <w:t>会按不响应招标文件或无效投标处理</w:t>
      </w:r>
      <w:r>
        <w:rPr>
          <w:rFonts w:hint="eastAsia" w:ascii="仿宋" w:hAnsi="仿宋" w:eastAsia="仿宋"/>
          <w:b/>
          <w:bCs/>
          <w:highlight w:val="none"/>
        </w:rPr>
        <w:t>，由专家组评定扣分或废标处理；第2、3、8、9、16项在开标前核验（由投标人单独提供），其余文件开标后核验。</w:t>
      </w:r>
    </w:p>
    <w:p w14:paraId="0873D6C9">
      <w:pPr>
        <w:pStyle w:val="14"/>
        <w:spacing w:line="360" w:lineRule="auto"/>
        <w:ind w:firstLine="420" w:firstLineChars="200"/>
        <w:rPr>
          <w:rFonts w:ascii="Arial" w:hAnsi="Arial" w:cs="Arial"/>
          <w:color w:val="333333"/>
          <w:szCs w:val="21"/>
          <w:highlight w:val="none"/>
          <w:shd w:val="clear" w:color="auto" w:fill="FFFFFF"/>
        </w:rPr>
      </w:pPr>
      <w:r>
        <w:rPr>
          <w:rFonts w:hint="eastAsia"/>
          <w:highlight w:val="none"/>
        </w:rPr>
        <w:t>逾期的投标文件招标人不予受理。</w:t>
      </w:r>
    </w:p>
    <w:p w14:paraId="31CA8C38">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5FF44D4D">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发标时间：</w:t>
      </w:r>
      <w:r>
        <w:rPr>
          <w:rFonts w:hint="eastAsia" w:ascii="宋体" w:hAnsi="Courier New" w:eastAsia="宋体" w:cs="Times New Roman"/>
          <w:highlight w:val="none"/>
          <w:u w:val="single"/>
          <w:lang w:val="en-US" w:eastAsia="zh-CN"/>
        </w:rPr>
        <w:t>20</w:t>
      </w:r>
      <w:r>
        <w:rPr>
          <w:rFonts w:hint="eastAsia" w:cs="Times New Roman"/>
          <w:highlight w:val="none"/>
          <w:u w:val="single"/>
          <w:lang w:val="en-US" w:eastAsia="zh-CN"/>
        </w:rPr>
        <w:t>26</w:t>
      </w:r>
      <w:r>
        <w:rPr>
          <w:rFonts w:hint="eastAsia" w:ascii="宋体" w:hAnsi="Courier New" w:eastAsia="宋体" w:cs="Times New Roman"/>
          <w:highlight w:val="none"/>
          <w:u w:val="single"/>
          <w:lang w:val="en-US" w:eastAsia="zh-CN"/>
        </w:rPr>
        <w:t>年</w:t>
      </w:r>
      <w:r>
        <w:rPr>
          <w:rFonts w:hint="eastAsia" w:cs="Times New Roman"/>
          <w:highlight w:val="none"/>
          <w:u w:val="single"/>
          <w:lang w:val="en-US" w:eastAsia="zh-CN"/>
        </w:rPr>
        <w:t>7</w:t>
      </w:r>
      <w:r>
        <w:rPr>
          <w:rFonts w:hint="eastAsia" w:ascii="宋体" w:hAnsi="Courier New" w:eastAsia="宋体" w:cs="Times New Roman"/>
          <w:highlight w:val="none"/>
          <w:u w:val="single"/>
          <w:lang w:val="en-US" w:eastAsia="zh-CN"/>
        </w:rPr>
        <w:t>月</w:t>
      </w:r>
      <w:r>
        <w:rPr>
          <w:rFonts w:hint="eastAsia" w:cs="Times New Roman"/>
          <w:highlight w:val="none"/>
          <w:u w:val="single"/>
          <w:lang w:val="en-US" w:eastAsia="zh-CN"/>
        </w:rPr>
        <w:t>10</w:t>
      </w:r>
      <w:r>
        <w:rPr>
          <w:rFonts w:hint="eastAsia" w:ascii="宋体" w:hAnsi="Courier New" w:eastAsia="宋体" w:cs="Times New Roman"/>
          <w:highlight w:val="none"/>
          <w:u w:val="single"/>
          <w:lang w:val="en-US" w:eastAsia="zh-CN"/>
        </w:rPr>
        <w:t>日</w:t>
      </w:r>
      <w:r>
        <w:rPr>
          <w:rFonts w:hint="eastAsia" w:cs="Times New Roman"/>
          <w:highlight w:val="none"/>
          <w:u w:val="single"/>
          <w:lang w:val="en-US" w:eastAsia="zh-CN"/>
        </w:rPr>
        <w:t>；</w:t>
      </w:r>
    </w:p>
    <w:p w14:paraId="44BC705F">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投标报名</w:t>
      </w:r>
    </w:p>
    <w:p w14:paraId="22D0959D">
      <w:pPr>
        <w:pStyle w:val="76"/>
        <w:keepNext w:val="0"/>
        <w:keepLines w:val="0"/>
        <w:pageBreakBefore w:val="0"/>
        <w:widowControl w:val="0"/>
        <w:numPr>
          <w:ilvl w:val="1"/>
          <w:numId w:val="11"/>
        </w:numPr>
        <w:kinsoku/>
        <w:wordWrap/>
        <w:overflowPunct/>
        <w:topLinePunct w:val="0"/>
        <w:autoSpaceDE/>
        <w:autoSpaceDN/>
        <w:bidi w:val="0"/>
        <w:adjustRightInd/>
        <w:snapToGrid/>
        <w:spacing w:line="440" w:lineRule="exact"/>
        <w:ind w:left="0" w:leftChars="0" w:firstLine="420" w:firstLineChars="0"/>
        <w:jc w:val="both"/>
        <w:textAlignment w:val="auto"/>
        <w:rPr>
          <w:rFonts w:hint="eastAsia" w:ascii="宋体" w:hAnsi="Courier New" w:eastAsia="宋体" w:cs="Times New Roman"/>
          <w:highlight w:val="none"/>
          <w:lang w:val="en-US" w:eastAsia="zh-CN"/>
        </w:rPr>
      </w:pPr>
      <w:r>
        <w:rPr>
          <w:rFonts w:hint="eastAsia" w:cs="Times New Roman"/>
          <w:highlight w:val="none"/>
          <w:lang w:val="en-US" w:eastAsia="zh-CN"/>
        </w:rPr>
        <w:t>应标截止时间：</w:t>
      </w:r>
      <w:r>
        <w:rPr>
          <w:rFonts w:hint="eastAsia" w:eastAsia="宋体" w:cs="宋体"/>
          <w:highlight w:val="none"/>
          <w:u w:val="single"/>
        </w:rPr>
        <w:t>202</w:t>
      </w:r>
      <w:r>
        <w:rPr>
          <w:rFonts w:hint="eastAsia" w:cs="宋体"/>
          <w:highlight w:val="none"/>
          <w:u w:val="single"/>
          <w:lang w:val="en-US" w:eastAsia="zh-CN"/>
        </w:rPr>
        <w:t>6</w:t>
      </w:r>
      <w:r>
        <w:rPr>
          <w:rFonts w:hint="eastAsia" w:eastAsia="宋体" w:cs="宋体"/>
          <w:highlight w:val="none"/>
          <w:u w:val="single"/>
        </w:rPr>
        <w:t>年</w:t>
      </w:r>
      <w:r>
        <w:rPr>
          <w:rFonts w:hint="eastAsia" w:cs="宋体"/>
          <w:highlight w:val="none"/>
          <w:u w:val="single"/>
          <w:lang w:val="en-US" w:eastAsia="zh-CN"/>
        </w:rPr>
        <w:t>7</w:t>
      </w:r>
      <w:r>
        <w:rPr>
          <w:rFonts w:hint="eastAsia" w:eastAsia="宋体" w:cs="宋体"/>
          <w:highlight w:val="none"/>
          <w:u w:val="single"/>
        </w:rPr>
        <w:t>月</w:t>
      </w:r>
      <w:r>
        <w:rPr>
          <w:rFonts w:hint="eastAsia" w:cs="宋体"/>
          <w:highlight w:val="none"/>
          <w:u w:val="single"/>
          <w:lang w:val="en-US" w:eastAsia="zh-CN"/>
        </w:rPr>
        <w:t>16</w:t>
      </w:r>
      <w:r>
        <w:rPr>
          <w:rFonts w:hint="eastAsia" w:eastAsia="宋体" w:cs="宋体"/>
          <w:highlight w:val="none"/>
          <w:u w:val="single"/>
        </w:rPr>
        <w:t>日</w:t>
      </w:r>
      <w:r>
        <w:rPr>
          <w:rFonts w:hint="eastAsia" w:cs="宋体"/>
          <w:highlight w:val="none"/>
          <w:u w:val="single"/>
          <w:lang w:val="en-US" w:eastAsia="zh-CN"/>
        </w:rPr>
        <w:t>17</w:t>
      </w:r>
      <w:r>
        <w:rPr>
          <w:rFonts w:hint="eastAsia"/>
          <w:highlight w:val="none"/>
          <w:u w:val="single"/>
          <w:lang w:val="en-US" w:eastAsia="zh-CN"/>
        </w:rPr>
        <w:t>:00:00</w:t>
      </w:r>
      <w:r>
        <w:rPr>
          <w:rFonts w:hint="default" w:ascii="宋体" w:hAnsi="Courier New" w:eastAsia="宋体" w:cs="Times New Roman"/>
          <w:highlight w:val="none"/>
          <w:u w:val="single"/>
          <w:lang w:val="en-US" w:eastAsia="zh-CN"/>
        </w:rPr>
        <w:t>（北京时间）</w:t>
      </w:r>
      <w:r>
        <w:rPr>
          <w:rFonts w:hint="eastAsia" w:cs="Times New Roman"/>
          <w:highlight w:val="none"/>
          <w:u w:val="single"/>
          <w:lang w:val="en-US" w:eastAsia="zh-CN"/>
        </w:rPr>
        <w:t>；</w:t>
      </w:r>
    </w:p>
    <w:p w14:paraId="2E9312AD">
      <w:pPr>
        <w:pStyle w:val="76"/>
        <w:keepNext w:val="0"/>
        <w:keepLines w:val="0"/>
        <w:pageBreakBefore w:val="0"/>
        <w:widowControl w:val="0"/>
        <w:numPr>
          <w:ilvl w:val="1"/>
          <w:numId w:val="11"/>
        </w:numPr>
        <w:kinsoku/>
        <w:wordWrap/>
        <w:overflowPunct/>
        <w:topLinePunct w:val="0"/>
        <w:autoSpaceDE/>
        <w:autoSpaceDN/>
        <w:bidi w:val="0"/>
        <w:adjustRightInd/>
        <w:snapToGrid/>
        <w:spacing w:line="440" w:lineRule="exact"/>
        <w:ind w:left="0" w:leftChars="0" w:firstLine="420" w:firstLineChars="0"/>
        <w:textAlignment w:val="auto"/>
        <w:rPr>
          <w:rFonts w:hint="eastAsia" w:eastAsia="宋体" w:cs="宋体"/>
          <w:sz w:val="21"/>
          <w:szCs w:val="21"/>
          <w:highlight w:val="none"/>
          <w:lang w:val="en-US" w:eastAsia="zh-CN"/>
        </w:rPr>
      </w:pPr>
      <w:r>
        <w:rPr>
          <w:rFonts w:hint="eastAsia" w:cs="宋体"/>
          <w:sz w:val="21"/>
          <w:szCs w:val="21"/>
          <w:highlight w:val="none"/>
          <w:lang w:val="en-US" w:eastAsia="zh-CN"/>
        </w:rPr>
        <w:t>报名方式：</w:t>
      </w:r>
      <w:r>
        <w:rPr>
          <w:rFonts w:hint="eastAsia" w:eastAsia="宋体" w:cs="宋体"/>
          <w:sz w:val="21"/>
          <w:szCs w:val="21"/>
          <w:highlight w:val="none"/>
          <w:lang w:val="en-US" w:eastAsia="zh-CN"/>
        </w:rPr>
        <w:t>拟</w:t>
      </w:r>
      <w:r>
        <w:rPr>
          <w:rFonts w:hint="eastAsia" w:cs="Times New Roman"/>
          <w:highlight w:val="none"/>
          <w:lang w:val="en-US" w:eastAsia="zh-CN"/>
        </w:rPr>
        <w:t>投标</w:t>
      </w:r>
      <w:r>
        <w:rPr>
          <w:rFonts w:hint="eastAsia" w:eastAsia="宋体" w:cs="宋体"/>
          <w:sz w:val="21"/>
          <w:szCs w:val="21"/>
          <w:highlight w:val="none"/>
          <w:lang w:val="en-US" w:eastAsia="zh-CN"/>
        </w:rPr>
        <w:t>人根据招标人在中国重汽官网公开媒体上发布的招标信息，在</w:t>
      </w:r>
      <w:r>
        <w:rPr>
          <w:rFonts w:hint="eastAsia" w:eastAsia="宋体" w:cs="宋体"/>
          <w:b/>
          <w:bCs/>
          <w:sz w:val="21"/>
          <w:szCs w:val="21"/>
          <w:highlight w:val="none"/>
          <w:lang w:val="en-US" w:eastAsia="zh-CN"/>
        </w:rPr>
        <w:t>“中国重汽e采通”</w:t>
      </w:r>
      <w:r>
        <w:rPr>
          <w:rFonts w:hint="eastAsia" w:eastAsia="宋体" w:cs="宋体"/>
          <w:sz w:val="21"/>
          <w:szCs w:val="21"/>
          <w:highlight w:val="none"/>
          <w:lang w:val="en-US" w:eastAsia="zh-CN"/>
        </w:rPr>
        <w:t>平台报名。</w:t>
      </w:r>
    </w:p>
    <w:p w14:paraId="03925B72">
      <w:pPr>
        <w:pStyle w:val="76"/>
        <w:keepNext w:val="0"/>
        <w:keepLines w:val="0"/>
        <w:pageBreakBefore w:val="0"/>
        <w:widowControl w:val="0"/>
        <w:numPr>
          <w:ilvl w:val="1"/>
          <w:numId w:val="11"/>
        </w:numPr>
        <w:kinsoku/>
        <w:wordWrap/>
        <w:overflowPunct/>
        <w:topLinePunct w:val="0"/>
        <w:autoSpaceDE/>
        <w:autoSpaceDN/>
        <w:bidi w:val="0"/>
        <w:adjustRightInd/>
        <w:snapToGrid/>
        <w:spacing w:line="440" w:lineRule="exact"/>
        <w:ind w:left="0" w:leftChars="0" w:firstLine="420" w:firstLineChars="0"/>
        <w:textAlignment w:val="auto"/>
        <w:rPr>
          <w:rFonts w:hint="default" w:eastAsia="宋体" w:cs="宋体"/>
          <w:sz w:val="21"/>
          <w:szCs w:val="21"/>
          <w:highlight w:val="none"/>
          <w:lang w:val="en-US" w:eastAsia="zh-CN"/>
        </w:rPr>
      </w:pPr>
      <w:r>
        <w:rPr>
          <w:rFonts w:hint="default" w:eastAsia="宋体" w:cs="宋体"/>
          <w:sz w:val="21"/>
          <w:szCs w:val="21"/>
          <w:highlight w:val="none"/>
          <w:lang w:val="en-US" w:eastAsia="zh-CN"/>
        </w:rPr>
        <w:t>投标截止时间：</w:t>
      </w:r>
      <w:r>
        <w:rPr>
          <w:rFonts w:hint="eastAsia" w:eastAsia="宋体" w:cs="宋体"/>
          <w:highlight w:val="none"/>
          <w:u w:val="single"/>
        </w:rPr>
        <w:t>202</w:t>
      </w:r>
      <w:r>
        <w:rPr>
          <w:rFonts w:hint="eastAsia" w:cs="宋体"/>
          <w:highlight w:val="none"/>
          <w:u w:val="single"/>
          <w:lang w:val="en-US" w:eastAsia="zh-CN"/>
        </w:rPr>
        <w:t>6</w:t>
      </w:r>
      <w:r>
        <w:rPr>
          <w:rFonts w:hint="eastAsia" w:eastAsia="宋体" w:cs="宋体"/>
          <w:highlight w:val="none"/>
          <w:u w:val="single"/>
        </w:rPr>
        <w:t>年</w:t>
      </w:r>
      <w:r>
        <w:rPr>
          <w:rFonts w:hint="eastAsia" w:cs="宋体"/>
          <w:highlight w:val="none"/>
          <w:u w:val="single"/>
          <w:lang w:val="en-US" w:eastAsia="zh-CN"/>
        </w:rPr>
        <w:t>7</w:t>
      </w:r>
      <w:r>
        <w:rPr>
          <w:rFonts w:hint="eastAsia" w:eastAsia="宋体" w:cs="宋体"/>
          <w:highlight w:val="none"/>
          <w:u w:val="single"/>
        </w:rPr>
        <w:t>月</w:t>
      </w:r>
      <w:r>
        <w:rPr>
          <w:rFonts w:hint="eastAsia" w:cs="宋体"/>
          <w:highlight w:val="none"/>
          <w:u w:val="single"/>
          <w:lang w:val="en-US" w:eastAsia="zh-CN"/>
        </w:rPr>
        <w:t>22</w:t>
      </w:r>
      <w:r>
        <w:rPr>
          <w:rFonts w:hint="eastAsia" w:eastAsia="宋体" w:cs="宋体"/>
          <w:highlight w:val="none"/>
          <w:u w:val="single"/>
        </w:rPr>
        <w:t>日</w:t>
      </w:r>
      <w:r>
        <w:rPr>
          <w:rFonts w:hint="eastAsia" w:cs="宋体"/>
          <w:highlight w:val="none"/>
          <w:u w:val="single"/>
          <w:lang w:val="en-US" w:eastAsia="zh-CN"/>
        </w:rPr>
        <w:t>17</w:t>
      </w:r>
      <w:r>
        <w:rPr>
          <w:rFonts w:hint="eastAsia"/>
          <w:highlight w:val="none"/>
          <w:u w:val="single"/>
          <w:lang w:val="en-US" w:eastAsia="zh-CN"/>
        </w:rPr>
        <w:t>:00:00</w:t>
      </w:r>
      <w:r>
        <w:rPr>
          <w:rFonts w:hint="default" w:ascii="宋体" w:hAnsi="Courier New" w:eastAsia="宋体" w:cs="Times New Roman"/>
          <w:highlight w:val="none"/>
          <w:u w:val="single"/>
          <w:lang w:val="en-US" w:eastAsia="zh-CN"/>
        </w:rPr>
        <w:t>（北京时间）</w:t>
      </w:r>
      <w:r>
        <w:rPr>
          <w:rFonts w:hint="default" w:eastAsia="宋体" w:cs="宋体"/>
          <w:sz w:val="21"/>
          <w:szCs w:val="21"/>
          <w:highlight w:val="none"/>
          <w:lang w:val="en-US" w:eastAsia="zh-CN"/>
        </w:rPr>
        <w:t>。</w:t>
      </w:r>
    </w:p>
    <w:p w14:paraId="2DC106E1">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疑问提交</w:t>
      </w:r>
    </w:p>
    <w:p w14:paraId="6F38B2E2">
      <w:pPr>
        <w:pStyle w:val="76"/>
        <w:keepNext w:val="0"/>
        <w:keepLines w:val="0"/>
        <w:pageBreakBefore w:val="0"/>
        <w:widowControl w:val="0"/>
        <w:numPr>
          <w:ilvl w:val="1"/>
          <w:numId w:val="12"/>
        </w:numPr>
        <w:kinsoku/>
        <w:wordWrap/>
        <w:overflowPunct/>
        <w:topLinePunct w:val="0"/>
        <w:autoSpaceDE/>
        <w:autoSpaceDN/>
        <w:bidi w:val="0"/>
        <w:adjustRightInd/>
        <w:snapToGrid/>
        <w:spacing w:line="440" w:lineRule="exact"/>
        <w:ind w:left="0" w:leftChars="0" w:firstLine="420" w:firstLineChars="0"/>
        <w:textAlignment w:val="auto"/>
        <w:rPr>
          <w:rFonts w:hint="eastAsia" w:ascii="宋体" w:hAnsi="Courier New" w:eastAsia="宋体" w:cs="Times New Roman"/>
          <w:highlight w:val="none"/>
          <w:lang w:val="en-US" w:eastAsia="zh-CN"/>
        </w:rPr>
      </w:pPr>
      <w:r>
        <w:rPr>
          <w:rFonts w:hint="eastAsia" w:cs="Times New Roman"/>
          <w:highlight w:val="none"/>
          <w:lang w:val="en-US" w:eastAsia="zh-CN"/>
        </w:rPr>
        <w:t>提交截止</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none"/>
          <w:u w:val="single"/>
          <w:lang w:val="en-US" w:eastAsia="zh-CN"/>
        </w:rPr>
        <w:t>20</w:t>
      </w:r>
      <w:r>
        <w:rPr>
          <w:rFonts w:hint="eastAsia" w:cs="Times New Roman"/>
          <w:highlight w:val="none"/>
          <w:u w:val="single"/>
          <w:lang w:val="en-US" w:eastAsia="zh-CN"/>
        </w:rPr>
        <w:t>26</w:t>
      </w:r>
      <w:r>
        <w:rPr>
          <w:rFonts w:hint="eastAsia" w:ascii="宋体" w:hAnsi="Courier New" w:eastAsia="宋体" w:cs="Times New Roman"/>
          <w:highlight w:val="none"/>
          <w:u w:val="single"/>
          <w:lang w:val="en-US" w:eastAsia="zh-CN"/>
        </w:rPr>
        <w:t>年</w:t>
      </w:r>
      <w:r>
        <w:rPr>
          <w:rFonts w:hint="eastAsia" w:cs="Times New Roman"/>
          <w:highlight w:val="none"/>
          <w:u w:val="single"/>
          <w:lang w:val="en-US" w:eastAsia="zh-CN"/>
        </w:rPr>
        <w:t>7</w:t>
      </w:r>
      <w:r>
        <w:rPr>
          <w:rFonts w:hint="eastAsia" w:ascii="宋体" w:hAnsi="Courier New" w:eastAsia="宋体" w:cs="Times New Roman"/>
          <w:highlight w:val="none"/>
          <w:u w:val="single"/>
          <w:lang w:val="en-US" w:eastAsia="zh-CN"/>
        </w:rPr>
        <w:t>月</w:t>
      </w:r>
      <w:r>
        <w:rPr>
          <w:rFonts w:hint="eastAsia" w:cs="Times New Roman"/>
          <w:highlight w:val="none"/>
          <w:u w:val="single"/>
          <w:lang w:val="en-US" w:eastAsia="zh-CN"/>
        </w:rPr>
        <w:t>22</w:t>
      </w:r>
      <w:r>
        <w:rPr>
          <w:rFonts w:hint="eastAsia" w:ascii="宋体" w:hAnsi="Courier New" w:eastAsia="宋体" w:cs="Times New Roman"/>
          <w:highlight w:val="none"/>
          <w:u w:val="single"/>
          <w:lang w:val="en-US" w:eastAsia="zh-CN"/>
        </w:rPr>
        <w:t>日</w:t>
      </w:r>
      <w:r>
        <w:rPr>
          <w:rFonts w:hint="default" w:ascii="宋体" w:hAnsi="Courier New" w:eastAsia="宋体" w:cs="Times New Roman"/>
          <w:highlight w:val="none"/>
          <w:u w:val="single"/>
          <w:lang w:val="en-US" w:eastAsia="zh-CN"/>
        </w:rPr>
        <w:t>12:00</w:t>
      </w:r>
      <w:r>
        <w:rPr>
          <w:rFonts w:hint="eastAsia"/>
          <w:highlight w:val="none"/>
          <w:u w:val="single"/>
          <w:lang w:val="en-US" w:eastAsia="zh-CN"/>
        </w:rPr>
        <w:t>:00</w:t>
      </w:r>
      <w:r>
        <w:rPr>
          <w:rFonts w:hint="default" w:ascii="宋体" w:hAnsi="Courier New" w:eastAsia="宋体" w:cs="Times New Roman"/>
          <w:highlight w:val="none"/>
          <w:u w:val="single"/>
          <w:lang w:val="en-US" w:eastAsia="zh-CN"/>
        </w:rPr>
        <w:t>（北京时间）</w:t>
      </w:r>
      <w:r>
        <w:rPr>
          <w:rFonts w:hint="eastAsia" w:cs="Times New Roman"/>
          <w:highlight w:val="none"/>
          <w:u w:val="single"/>
          <w:lang w:val="en-US" w:eastAsia="zh-CN"/>
        </w:rPr>
        <w:t>；</w:t>
      </w:r>
    </w:p>
    <w:p w14:paraId="7860A805">
      <w:pPr>
        <w:pStyle w:val="76"/>
        <w:keepNext w:val="0"/>
        <w:keepLines w:val="0"/>
        <w:pageBreakBefore w:val="0"/>
        <w:widowControl w:val="0"/>
        <w:numPr>
          <w:ilvl w:val="1"/>
          <w:numId w:val="12"/>
        </w:numPr>
        <w:kinsoku/>
        <w:wordWrap/>
        <w:overflowPunct/>
        <w:topLinePunct w:val="0"/>
        <w:autoSpaceDE/>
        <w:autoSpaceDN/>
        <w:bidi w:val="0"/>
        <w:adjustRightInd/>
        <w:snapToGrid/>
        <w:spacing w:line="440" w:lineRule="exact"/>
        <w:ind w:left="0" w:leftChars="0" w:firstLine="420" w:firstLineChars="0"/>
        <w:textAlignment w:val="auto"/>
        <w:rPr>
          <w:rFonts w:hint="eastAsia" w:cs="Times New Roman"/>
          <w:highlight w:val="none"/>
          <w:lang w:val="en-US" w:eastAsia="zh-CN"/>
        </w:rPr>
      </w:pPr>
      <w:r>
        <w:rPr>
          <w:rFonts w:hint="eastAsia" w:cs="Times New Roman"/>
          <w:highlight w:val="none"/>
          <w:lang w:val="en-US" w:eastAsia="zh-CN"/>
        </w:rPr>
        <w:t>提交</w:t>
      </w:r>
      <w:r>
        <w:rPr>
          <w:rFonts w:hint="eastAsia" w:ascii="宋体" w:hAnsi="Courier New" w:eastAsia="宋体" w:cs="Times New Roman"/>
          <w:highlight w:val="none"/>
          <w:lang w:val="en-US" w:eastAsia="zh-CN"/>
        </w:rPr>
        <w:t>方式</w:t>
      </w:r>
      <w:r>
        <w:rPr>
          <w:rFonts w:hint="eastAsia" w:cs="Times New Roman"/>
          <w:highlight w:val="none"/>
          <w:lang w:val="en-US" w:eastAsia="zh-CN"/>
        </w:rPr>
        <w:t>：将答疑问题以word文件格式发送至技术联系人邮件内，并电话联系工作人员查收，</w:t>
      </w:r>
      <w:r>
        <w:rPr>
          <w:rFonts w:hint="eastAsia" w:cs="Times New Roman"/>
          <w:b/>
          <w:bCs/>
          <w:highlight w:val="none"/>
          <w:lang w:val="en-US" w:eastAsia="zh-CN"/>
        </w:rPr>
        <w:t>邮件名格式为：XXX公司（五个字以内公司简称）XX项目答疑文件。同时必须在邮件中以文字方式提供投标人全称、投标授权人姓名、联系方式（固定电话、手机、电子邮箱），并提供附件1法定代表人授权委托书。</w:t>
      </w:r>
    </w:p>
    <w:p w14:paraId="698AA9EF">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答疑、澄清和修改文件</w:t>
      </w:r>
      <w:r>
        <w:rPr>
          <w:rFonts w:hint="eastAsia" w:cs="Times New Roman"/>
          <w:highlight w:val="none"/>
          <w:lang w:val="en-US" w:eastAsia="zh-CN"/>
        </w:rPr>
        <w:t>的获取</w:t>
      </w:r>
    </w:p>
    <w:p w14:paraId="3B474890">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none"/>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none"/>
          <w:u w:val="single"/>
          <w:lang w:val="en-US" w:eastAsia="zh-CN"/>
        </w:rPr>
        <w:t>20</w:t>
      </w:r>
      <w:r>
        <w:rPr>
          <w:rFonts w:hint="eastAsia" w:cs="Times New Roman"/>
          <w:highlight w:val="none"/>
          <w:u w:val="single"/>
          <w:lang w:val="en-US" w:eastAsia="zh-CN"/>
        </w:rPr>
        <w:t>26</w:t>
      </w:r>
      <w:r>
        <w:rPr>
          <w:rFonts w:hint="eastAsia" w:ascii="宋体" w:hAnsi="Courier New" w:eastAsia="宋体" w:cs="Times New Roman"/>
          <w:highlight w:val="none"/>
          <w:u w:val="single"/>
          <w:lang w:val="en-US" w:eastAsia="zh-CN"/>
        </w:rPr>
        <w:t>年</w:t>
      </w:r>
      <w:r>
        <w:rPr>
          <w:rFonts w:hint="eastAsia" w:cs="Times New Roman"/>
          <w:highlight w:val="none"/>
          <w:u w:val="single"/>
          <w:lang w:val="en-US" w:eastAsia="zh-CN"/>
        </w:rPr>
        <w:t>7</w:t>
      </w:r>
      <w:r>
        <w:rPr>
          <w:rFonts w:hint="eastAsia" w:ascii="宋体" w:hAnsi="Courier New" w:eastAsia="宋体" w:cs="Times New Roman"/>
          <w:highlight w:val="none"/>
          <w:u w:val="single"/>
          <w:lang w:val="en-US" w:eastAsia="zh-CN"/>
        </w:rPr>
        <w:t>月</w:t>
      </w:r>
      <w:r>
        <w:rPr>
          <w:rFonts w:hint="eastAsia" w:cs="Times New Roman"/>
          <w:highlight w:val="none"/>
          <w:u w:val="single"/>
          <w:lang w:val="en-US" w:eastAsia="zh-CN"/>
        </w:rPr>
        <w:t>22</w:t>
      </w:r>
      <w:r>
        <w:rPr>
          <w:rFonts w:hint="eastAsia" w:ascii="宋体" w:hAnsi="Courier New" w:eastAsia="宋体" w:cs="Times New Roman"/>
          <w:highlight w:val="none"/>
          <w:u w:val="single"/>
          <w:lang w:val="en-US" w:eastAsia="zh-CN"/>
        </w:rPr>
        <w:t>日</w:t>
      </w:r>
      <w:r>
        <w:rPr>
          <w:rFonts w:hint="default" w:ascii="宋体" w:hAnsi="Courier New" w:eastAsia="宋体" w:cs="Times New Roman"/>
          <w:highlight w:val="none"/>
          <w:u w:val="single"/>
          <w:lang w:val="en-US" w:eastAsia="zh-CN"/>
        </w:rPr>
        <w:t>17:00</w:t>
      </w:r>
      <w:r>
        <w:rPr>
          <w:rFonts w:hint="eastAsia" w:ascii="宋体" w:hAnsi="Courier New" w:eastAsia="宋体" w:cs="Times New Roman"/>
          <w:highlight w:val="none"/>
          <w:u w:val="single"/>
          <w:lang w:val="en-US" w:eastAsia="zh-CN"/>
        </w:rPr>
        <w:t>前</w:t>
      </w:r>
      <w:r>
        <w:rPr>
          <w:rFonts w:hint="eastAsia" w:cs="Times New Roman"/>
          <w:highlight w:val="none"/>
          <w:u w:val="single"/>
          <w:lang w:val="en-US" w:eastAsia="zh-CN"/>
        </w:rPr>
        <w:t>；</w:t>
      </w:r>
    </w:p>
    <w:p w14:paraId="474343AB">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none"/>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方式：招标人将以电子邮件的方式将招标文件的答疑澄清文件发送至答疑文件提交时登记的电子邮箱。</w:t>
      </w:r>
    </w:p>
    <w:p w14:paraId="0C785EC5">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59493963">
      <w:pPr>
        <w:pStyle w:val="72"/>
        <w:keepNext w:val="0"/>
        <w:keepLines w:val="0"/>
        <w:pageBreakBefore w:val="0"/>
        <w:widowControl w:val="0"/>
        <w:numPr>
          <w:ilvl w:val="0"/>
          <w:numId w:val="1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highlight w:val="none"/>
          <w:lang w:val="en-US" w:eastAsia="zh-CN"/>
        </w:rPr>
      </w:pPr>
      <w:r>
        <w:rPr>
          <w:rFonts w:hint="eastAsia" w:ascii="黑体" w:hAnsi="黑体" w:eastAsia="黑体" w:cs="黑体"/>
          <w:b w:val="0"/>
          <w:sz w:val="24"/>
          <w:szCs w:val="24"/>
          <w:highlight w:val="none"/>
          <w:lang w:val="en-US" w:eastAsia="zh-CN"/>
        </w:rPr>
        <w:t>投标文件的组成</w:t>
      </w:r>
    </w:p>
    <w:p w14:paraId="7B9BA34E">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cs="Times New Roman"/>
          <w:highlight w:val="none"/>
          <w:lang w:val="en-US" w:eastAsia="zh-CN"/>
        </w:rPr>
      </w:pPr>
      <w:r>
        <w:rPr>
          <w:rFonts w:hint="default" w:cs="Times New Roman"/>
          <w:highlight w:val="none"/>
          <w:lang w:val="en-US" w:eastAsia="zh-CN"/>
        </w:rPr>
        <w:t>本项目投标文件分为纸质版投标文件</w:t>
      </w:r>
      <w:r>
        <w:rPr>
          <w:rFonts w:hint="eastAsia" w:cs="Times New Roman"/>
          <w:highlight w:val="none"/>
          <w:lang w:val="en-US" w:eastAsia="zh-CN"/>
        </w:rPr>
        <w:t>（</w:t>
      </w:r>
      <w:r>
        <w:rPr>
          <w:rFonts w:hint="default" w:cs="Times New Roman"/>
          <w:highlight w:val="none"/>
          <w:lang w:val="en-US" w:eastAsia="zh-CN"/>
        </w:rPr>
        <w:t>均需逐页加盖公章</w:t>
      </w:r>
      <w:r>
        <w:rPr>
          <w:rFonts w:hint="eastAsia" w:cs="Times New Roman"/>
          <w:highlight w:val="none"/>
          <w:lang w:val="en-US" w:eastAsia="zh-CN"/>
        </w:rPr>
        <w:t>）</w:t>
      </w:r>
      <w:r>
        <w:rPr>
          <w:rFonts w:hint="default" w:cs="Times New Roman"/>
          <w:highlight w:val="none"/>
          <w:lang w:val="en-US" w:eastAsia="zh-CN"/>
        </w:rPr>
        <w:t>和</w:t>
      </w:r>
      <w:r>
        <w:rPr>
          <w:rFonts w:hint="eastAsia" w:cs="Times New Roman"/>
          <w:highlight w:val="none"/>
          <w:lang w:val="en-US" w:eastAsia="zh-CN"/>
        </w:rPr>
        <w:t>盖章</w:t>
      </w:r>
      <w:r>
        <w:rPr>
          <w:rFonts w:hint="eastAsia" w:ascii="Times New Roman" w:hAnsi="Times New Roman" w:cs="Times New Roman"/>
          <w:color w:val="auto"/>
          <w:highlight w:val="none"/>
          <w:lang w:val="en-US" w:eastAsia="zh-CN"/>
        </w:rPr>
        <w:t>扫描</w:t>
      </w:r>
      <w:r>
        <w:rPr>
          <w:rFonts w:hint="eastAsia" w:cs="Times New Roman"/>
          <w:highlight w:val="none"/>
          <w:lang w:val="en-US" w:eastAsia="zh-CN"/>
        </w:rPr>
        <w:t>电子版投标文件</w:t>
      </w:r>
      <w:r>
        <w:rPr>
          <w:rFonts w:hint="default" w:cs="Times New Roman"/>
          <w:highlight w:val="none"/>
          <w:lang w:val="en-US" w:eastAsia="zh-CN"/>
        </w:rPr>
        <w:t>，均由《投标文件（资质标）》、《投标文件（技术标）》、《投标文件（商务标）》（开标一览表）文件组成。</w:t>
      </w:r>
    </w:p>
    <w:p w14:paraId="5D4F8B0C">
      <w:pPr>
        <w:pStyle w:val="76"/>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Times New Roman" w:hAnsi="Times New Roman" w:cs="Times New Roman"/>
          <w:color w:val="auto"/>
          <w:highlight w:val="none"/>
        </w:rPr>
      </w:pPr>
      <w:r>
        <w:rPr>
          <w:rFonts w:hint="eastAsia" w:ascii="黑体" w:hAnsi="黑体" w:eastAsia="黑体" w:cs="黑体"/>
          <w:b w:val="0"/>
          <w:bCs/>
          <w:sz w:val="21"/>
          <w:szCs w:val="21"/>
          <w:highlight w:val="none"/>
        </w:rPr>
        <w:t>资质文件</w:t>
      </w:r>
      <w:r>
        <w:rPr>
          <w:rFonts w:hint="eastAsia" w:ascii="黑体" w:hAnsi="黑体" w:eastAsia="黑体" w:cs="黑体"/>
          <w:b w:val="0"/>
          <w:bCs/>
          <w:sz w:val="21"/>
          <w:szCs w:val="21"/>
          <w:highlight w:val="none"/>
          <w:lang w:val="en-US" w:eastAsia="zh-CN"/>
        </w:rPr>
        <w:t xml:space="preserve"> </w:t>
      </w:r>
    </w:p>
    <w:p w14:paraId="35EF7D00">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rPr>
      </w:pPr>
      <w:r>
        <w:rPr>
          <w:rFonts w:hint="eastAsia" w:ascii="Times New Roman" w:hAnsi="Times New Roman" w:cs="Times New Roman"/>
          <w:color w:val="auto"/>
          <w:highlight w:val="none"/>
        </w:rPr>
        <w:t>具有统一社会信用代码的新版营业执照副本原件</w:t>
      </w:r>
      <w:r>
        <w:rPr>
          <w:rFonts w:hint="eastAsia" w:ascii="Times New Roman" w:hAnsi="Times New Roman" w:cs="Times New Roman"/>
          <w:color w:val="auto"/>
          <w:highlight w:val="none"/>
          <w:lang w:val="en-US" w:eastAsia="zh-CN"/>
        </w:rPr>
        <w:t>或复印件</w:t>
      </w:r>
      <w:r>
        <w:rPr>
          <w:rFonts w:hint="eastAsia" w:ascii="Times New Roman" w:hAnsi="Times New Roman" w:cs="Times New Roman"/>
          <w:color w:val="auto"/>
          <w:highlight w:val="none"/>
        </w:rPr>
        <w:t>（加盖公章）；</w:t>
      </w:r>
    </w:p>
    <w:p w14:paraId="6D74587B">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rPr>
      </w:pPr>
      <w:r>
        <w:rPr>
          <w:rFonts w:hint="default" w:ascii="Times New Roman" w:hAnsi="Times New Roman" w:cs="Times New Roman"/>
          <w:color w:val="auto"/>
          <w:highlight w:val="none"/>
        </w:rPr>
        <w:t>法定代表人授权书（附件</w:t>
      </w:r>
      <w:r>
        <w:rPr>
          <w:rFonts w:hint="eastAsia" w:ascii="Times New Roman" w:hAnsi="Times New Roman" w:cs="Times New Roman"/>
          <w:color w:val="auto"/>
          <w:highlight w:val="none"/>
          <w:lang w:val="en-US" w:eastAsia="zh-CN"/>
        </w:rPr>
        <w:t>1</w:t>
      </w:r>
      <w:r>
        <w:rPr>
          <w:rFonts w:hint="default" w:ascii="Times New Roman" w:hAnsi="Times New Roman" w:cs="Times New Roman"/>
          <w:color w:val="auto"/>
          <w:highlight w:val="none"/>
        </w:rPr>
        <w:t>）；法定代表人参加投标的，提供法人身份证明</w:t>
      </w:r>
      <w:r>
        <w:rPr>
          <w:rFonts w:hint="eastAsia"/>
          <w:highlight w:val="none"/>
        </w:rPr>
        <w:t>复印件</w:t>
      </w:r>
      <w:r>
        <w:rPr>
          <w:rFonts w:hint="default" w:ascii="Times New Roman" w:hAnsi="Times New Roman" w:cs="Times New Roman"/>
          <w:color w:val="auto"/>
          <w:highlight w:val="none"/>
        </w:rPr>
        <w:t>；被授权人参加投标的，需提供法定代表人授权委托书（含法人身份证和被授权人身份证正反面复印件）</w:t>
      </w:r>
      <w:r>
        <w:rPr>
          <w:rFonts w:hint="default" w:ascii="Times New Roman" w:hAnsi="Times New Roman" w:cs="Times New Roman"/>
          <w:color w:val="auto"/>
          <w:highlight w:val="none"/>
          <w:lang w:val="en-US" w:eastAsia="zh-CN"/>
        </w:rPr>
        <w:t>和</w:t>
      </w:r>
      <w:r>
        <w:rPr>
          <w:rFonts w:hint="default" w:ascii="Times New Roman" w:hAnsi="Times New Roman" w:cs="Times New Roman"/>
          <w:color w:val="auto"/>
          <w:highlight w:val="none"/>
        </w:rPr>
        <w:t>被授权人近</w:t>
      </w:r>
      <w:r>
        <w:rPr>
          <w:rFonts w:hint="default" w:ascii="Times New Roman" w:hAnsi="Times New Roman" w:cs="Times New Roman"/>
          <w:color w:val="auto"/>
          <w:highlight w:val="none"/>
          <w:lang w:val="en-US" w:eastAsia="zh-CN"/>
        </w:rPr>
        <w:t>6</w:t>
      </w:r>
      <w:r>
        <w:rPr>
          <w:rFonts w:hint="default" w:ascii="Times New Roman" w:hAnsi="Times New Roman" w:cs="Times New Roman"/>
          <w:color w:val="auto"/>
          <w:highlight w:val="none"/>
        </w:rPr>
        <w:t>个月</w:t>
      </w:r>
      <w:r>
        <w:rPr>
          <w:rFonts w:hint="default" w:ascii="Times New Roman" w:hAnsi="Times New Roman" w:cs="Times New Roman"/>
          <w:color w:val="auto"/>
          <w:highlight w:val="none"/>
          <w:lang w:val="en-US" w:eastAsia="zh-CN"/>
        </w:rPr>
        <w:t>及以上在授权单位的社保</w:t>
      </w:r>
      <w:r>
        <w:rPr>
          <w:rFonts w:hint="default" w:ascii="Times New Roman" w:hAnsi="Times New Roman" w:cs="Times New Roman"/>
          <w:color w:val="auto"/>
          <w:highlight w:val="none"/>
        </w:rPr>
        <w:t>缴纳证明</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需加盖公章</w:t>
      </w:r>
      <w:r>
        <w:rPr>
          <w:rFonts w:hint="eastAsia" w:ascii="Times New Roman" w:hAnsi="Times New Roman" w:cs="Times New Roman"/>
          <w:color w:val="auto"/>
          <w:highlight w:val="none"/>
          <w:lang w:eastAsia="zh-CN"/>
        </w:rPr>
        <w:t>）；</w:t>
      </w:r>
    </w:p>
    <w:p w14:paraId="1CEFCCB6">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投标人提供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7C89376D">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投标人在国家企业信用信息公示系统中无与本项目有关的行政处罚、经营异常和失信信息的声明（附投标当日系统内相关截图）</w:t>
      </w:r>
      <w:r>
        <w:rPr>
          <w:rFonts w:hint="eastAsia" w:ascii="Times New Roman" w:hAnsi="Times New Roman" w:cs="Times New Roman"/>
          <w:color w:val="auto"/>
          <w:highlight w:val="none"/>
          <w:lang w:val="en-US" w:eastAsia="zh-CN"/>
        </w:rPr>
        <w:t>；</w:t>
      </w:r>
    </w:p>
    <w:p w14:paraId="1E42F048">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保密承诺函（附件</w:t>
      </w:r>
      <w:r>
        <w:rPr>
          <w:rFonts w:hint="eastAsia" w:ascii="Times New Roman" w:hAnsi="Times New Roman" w:cs="Times New Roman"/>
          <w:color w:val="auto"/>
          <w:highlight w:val="none"/>
          <w:lang w:val="en-US" w:eastAsia="zh-CN"/>
        </w:rPr>
        <w:t>2</w:t>
      </w:r>
      <w:r>
        <w:rPr>
          <w:rFonts w:hint="default" w:ascii="Times New Roman" w:hAnsi="Times New Roman" w:cs="Times New Roman"/>
          <w:color w:val="auto"/>
          <w:highlight w:val="none"/>
          <w:lang w:val="en-US" w:eastAsia="zh-CN"/>
        </w:rPr>
        <w:t>，需盖章）</w:t>
      </w:r>
      <w:r>
        <w:rPr>
          <w:rFonts w:hint="eastAsia" w:ascii="Times New Roman" w:hAnsi="Times New Roman" w:cs="Times New Roman"/>
          <w:color w:val="auto"/>
          <w:highlight w:val="none"/>
          <w:lang w:val="en-US" w:eastAsia="zh-CN"/>
        </w:rPr>
        <w:t>；</w:t>
      </w:r>
    </w:p>
    <w:p w14:paraId="3D766582">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ascii="Arial" w:hAnsi="Arial" w:cs="Arial"/>
          <w:color w:val="333333"/>
          <w:szCs w:val="21"/>
          <w:highlight w:val="none"/>
          <w:shd w:val="clear" w:color="auto" w:fill="FFFFFF"/>
        </w:rPr>
        <w:t>类似业绩</w:t>
      </w:r>
      <w:r>
        <w:rPr>
          <w:rFonts w:hint="default" w:ascii="宋体" w:hAnsi="宋体" w:eastAsia="宋体" w:cs="Times New Roman"/>
          <w:b w:val="0"/>
          <w:bCs/>
          <w:highlight w:val="none"/>
          <w:lang w:val="en-US" w:eastAsia="zh-CN"/>
        </w:rPr>
        <w:t>证明，须提供用户清单、采购合同复印件</w:t>
      </w:r>
      <w:r>
        <w:rPr>
          <w:rFonts w:hint="eastAsia" w:cs="Times New Roman"/>
          <w:highlight w:val="none"/>
        </w:rPr>
        <w:t>；</w:t>
      </w:r>
    </w:p>
    <w:p w14:paraId="08F8AAFD">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投标保证金缴纳凭证，同时正文描述付款账号、户名、开户行名称、开户行行号、保证金金额。</w:t>
      </w:r>
    </w:p>
    <w:p w14:paraId="70F701E1">
      <w:pPr>
        <w:pStyle w:val="76"/>
        <w:keepNext w:val="0"/>
        <w:keepLines w:val="0"/>
        <w:pageBreakBefore w:val="0"/>
        <w:widowControl w:val="0"/>
        <w:numPr>
          <w:ilvl w:val="0"/>
          <w:numId w:val="16"/>
        </w:numPr>
        <w:kinsoku/>
        <w:wordWrap/>
        <w:overflowPunct/>
        <w:topLinePunct w:val="0"/>
        <w:autoSpaceDE/>
        <w:autoSpaceDN/>
        <w:bidi w:val="0"/>
        <w:adjustRightInd/>
        <w:snapToGrid/>
        <w:spacing w:line="440" w:lineRule="exact"/>
        <w:ind w:left="0" w:leftChars="0" w:firstLine="422" w:firstLineChars="200"/>
        <w:textAlignment w:val="auto"/>
        <w:rPr>
          <w:b/>
          <w:bCs/>
          <w:color w:val="auto"/>
          <w:highlight w:val="none"/>
        </w:rPr>
      </w:pPr>
      <w:r>
        <w:rPr>
          <w:rFonts w:hint="eastAsia"/>
          <w:b/>
          <w:bCs/>
          <w:color w:val="auto"/>
          <w:highlight w:val="none"/>
        </w:rPr>
        <w:t>对于投标人资质审核不通过的，招标人有权拒绝其投标。</w:t>
      </w:r>
    </w:p>
    <w:p w14:paraId="1F689E4F">
      <w:pPr>
        <w:pStyle w:val="76"/>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rPr>
      </w:pPr>
      <w:r>
        <w:rPr>
          <w:rFonts w:hint="eastAsia" w:ascii="黑体" w:hAnsi="黑体" w:eastAsia="黑体" w:cs="黑体"/>
          <w:b w:val="0"/>
          <w:bCs/>
          <w:sz w:val="21"/>
          <w:szCs w:val="21"/>
          <w:highlight w:val="none"/>
          <w:lang w:val="en-US" w:eastAsia="zh-CN"/>
        </w:rPr>
        <w:t>技术标</w:t>
      </w:r>
    </w:p>
    <w:p w14:paraId="7CB8DE54">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空调维保服务技术方案对比表。</w:t>
      </w:r>
    </w:p>
    <w:p w14:paraId="3D6F729D">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投标维保服务配置明细表，列明服务分项、服务内容、服务标准、服务配件规格型号、品牌等信息（要求与分项报价表完全对应），但注意：此表在技术标书中，禁止出现任何分项价格及项目总价；</w:t>
      </w:r>
    </w:p>
    <w:p w14:paraId="69AE970B">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服务技术规格偏离表（附件3）；</w:t>
      </w:r>
    </w:p>
    <w:p w14:paraId="5D2BBFAC">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空调维保服务技术性能、服务参数、维保标准的描述； </w:t>
      </w:r>
    </w:p>
    <w:p w14:paraId="1760B338">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备件工具材料明细表；</w:t>
      </w:r>
    </w:p>
    <w:p w14:paraId="50140ACD">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类似业绩（签订日期为2021年1月1日至今）；</w:t>
      </w:r>
    </w:p>
    <w:p w14:paraId="6E70AD99">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评分标准或“第二部分 技术要求”要求的其他内容。 </w:t>
      </w:r>
    </w:p>
    <w:p w14:paraId="1B6DBABE">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商务标</w:t>
      </w:r>
    </w:p>
    <w:p w14:paraId="36BEA27F">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开标一览表（附件4）</w:t>
      </w:r>
      <w:r>
        <w:rPr>
          <w:rFonts w:hint="eastAsia" w:cs="Times New Roman"/>
          <w:highlight w:val="none"/>
        </w:rPr>
        <w:t>；</w:t>
      </w:r>
    </w:p>
    <w:p w14:paraId="0167F81C">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投标函（附件</w:t>
      </w:r>
      <w:r>
        <w:rPr>
          <w:rFonts w:hint="eastAsia" w:cs="Times New Roman"/>
          <w:highlight w:val="none"/>
          <w:lang w:val="en-US" w:eastAsia="zh-CN"/>
        </w:rPr>
        <w:t>5</w:t>
      </w:r>
      <w:r>
        <w:rPr>
          <w:rFonts w:hint="eastAsia" w:cs="Times New Roman"/>
          <w:highlight w:val="none"/>
        </w:rPr>
        <w:t>）；</w:t>
      </w:r>
    </w:p>
    <w:p w14:paraId="36670522">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服务承诺函（附件6）</w:t>
      </w:r>
      <w:r>
        <w:rPr>
          <w:rFonts w:hint="eastAsia"/>
          <w:highlight w:val="none"/>
        </w:rPr>
        <w:t>投标人须负责提供合理的便于运输的包装物，并承担相关费用；投标人须认可招标人的工作指令，包括节、假日能正常开展工作的要求；</w:t>
      </w:r>
    </w:p>
    <w:p w14:paraId="290ED0C2">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商务条款偏离表（附件</w:t>
      </w:r>
      <w:r>
        <w:rPr>
          <w:rFonts w:hint="eastAsia" w:cs="Times New Roman"/>
          <w:highlight w:val="none"/>
          <w:lang w:val="en-US" w:eastAsia="zh-CN"/>
        </w:rPr>
        <w:t>7</w:t>
      </w:r>
      <w:r>
        <w:rPr>
          <w:rFonts w:hint="eastAsia" w:cs="Times New Roman"/>
          <w:highlight w:val="none"/>
        </w:rPr>
        <w:t>）；</w:t>
      </w:r>
    </w:p>
    <w:p w14:paraId="51A1A787">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none"/>
          <w:lang w:val="en-US" w:eastAsia="zh-CN"/>
        </w:rPr>
      </w:pPr>
      <w:r>
        <w:rPr>
          <w:rFonts w:hint="eastAsia" w:cs="Times New Roman"/>
          <w:highlight w:val="none"/>
        </w:rPr>
        <w:t>分项报价表（附件</w:t>
      </w:r>
      <w:r>
        <w:rPr>
          <w:rFonts w:hint="eastAsia" w:cs="Times New Roman"/>
          <w:highlight w:val="none"/>
          <w:lang w:val="en-US" w:eastAsia="zh-CN"/>
        </w:rPr>
        <w:t>8</w:t>
      </w:r>
      <w:r>
        <w:rPr>
          <w:rFonts w:hint="eastAsia" w:cs="Times New Roman"/>
          <w:highlight w:val="none"/>
        </w:rPr>
        <w:t>）；</w:t>
      </w:r>
    </w:p>
    <w:p w14:paraId="0C476EA3">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none"/>
          <w:lang w:val="en-US" w:eastAsia="zh-CN"/>
        </w:rPr>
      </w:pPr>
      <w:r>
        <w:rPr>
          <w:rFonts w:hint="eastAsia" w:cs="Times New Roman"/>
          <w:highlight w:val="none"/>
        </w:rPr>
        <w:t>备配件目录价格及折扣报价表</w:t>
      </w:r>
      <w:r>
        <w:rPr>
          <w:rFonts w:hint="eastAsia" w:cs="Times New Roman"/>
          <w:highlight w:val="none"/>
          <w:lang w:eastAsia="zh-CN"/>
        </w:rPr>
        <w:t>；</w:t>
      </w:r>
    </w:p>
    <w:p w14:paraId="53DECED4">
      <w:pPr>
        <w:pStyle w:val="76"/>
        <w:keepNext w:val="0"/>
        <w:keepLines w:val="0"/>
        <w:pageBreakBefore w:val="0"/>
        <w:widowControl w:val="0"/>
        <w:numPr>
          <w:ilvl w:val="0"/>
          <w:numId w:val="16"/>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b w:val="0"/>
          <w:bCs w:val="0"/>
          <w:highlight w:val="none"/>
          <w:lang w:val="en-US" w:eastAsia="zh-CN"/>
        </w:rPr>
      </w:pPr>
      <w:r>
        <w:rPr>
          <w:rFonts w:hint="eastAsia" w:cs="Times New Roman"/>
          <w:b w:val="0"/>
          <w:bCs w:val="0"/>
          <w:highlight w:val="none"/>
          <w:lang w:val="en-US" w:eastAsia="zh-CN"/>
        </w:rPr>
        <w:t>商务报价注意内容：</w:t>
      </w:r>
      <w:r>
        <w:rPr>
          <w:rFonts w:hint="eastAsia" w:cs="Times New Roman"/>
          <w:b w:val="0"/>
          <w:bCs w:val="0"/>
          <w:highlight w:val="none"/>
        </w:rPr>
        <w:t>最高投标限价（招标控制价）：人民币</w:t>
      </w:r>
      <w:r>
        <w:rPr>
          <w:rFonts w:hint="eastAsia" w:cs="Times New Roman"/>
          <w:b w:val="0"/>
          <w:bCs w:val="0"/>
          <w:highlight w:val="none"/>
          <w:lang w:val="en-US" w:eastAsia="zh-CN"/>
        </w:rPr>
        <w:t>3</w:t>
      </w:r>
      <w:r>
        <w:rPr>
          <w:rFonts w:hint="eastAsia" w:cs="Times New Roman"/>
          <w:b w:val="0"/>
          <w:bCs w:val="0"/>
          <w:highlight w:val="none"/>
        </w:rPr>
        <w:t>万元（含税），超过投标限价无法投标。</w:t>
      </w:r>
    </w:p>
    <w:p w14:paraId="39410B54">
      <w:pPr>
        <w:pStyle w:val="72"/>
        <w:keepNext w:val="0"/>
        <w:keepLines w:val="0"/>
        <w:pageBreakBefore w:val="0"/>
        <w:widowControl w:val="0"/>
        <w:numPr>
          <w:ilvl w:val="0"/>
          <w:numId w:val="1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sz w:val="21"/>
          <w:szCs w:val="21"/>
          <w:highlight w:val="none"/>
          <w:lang w:val="en-US" w:eastAsia="zh-CN"/>
        </w:rPr>
      </w:pPr>
      <w:r>
        <w:rPr>
          <w:rFonts w:hint="eastAsia" w:ascii="黑体" w:hAnsi="黑体" w:eastAsia="黑体" w:cs="黑体"/>
          <w:b w:val="0"/>
          <w:sz w:val="24"/>
          <w:szCs w:val="24"/>
          <w:highlight w:val="none"/>
          <w:lang w:val="en-US" w:eastAsia="zh-CN"/>
        </w:rPr>
        <w:t>投标文件的</w:t>
      </w:r>
      <w:r>
        <w:rPr>
          <w:rFonts w:hint="eastAsia" w:hAnsi="黑体" w:cs="黑体"/>
          <w:b w:val="0"/>
          <w:sz w:val="24"/>
          <w:szCs w:val="24"/>
          <w:highlight w:val="none"/>
          <w:lang w:val="en-US" w:eastAsia="zh-CN"/>
        </w:rPr>
        <w:t>装订</w:t>
      </w:r>
      <w:r>
        <w:rPr>
          <w:rFonts w:hint="eastAsia" w:ascii="黑体" w:hAnsi="黑体" w:eastAsia="黑体" w:cs="黑体"/>
          <w:b w:val="0"/>
          <w:sz w:val="24"/>
          <w:szCs w:val="24"/>
          <w:highlight w:val="none"/>
          <w:lang w:val="en-US" w:eastAsia="zh-CN"/>
        </w:rPr>
        <w:t>、密封</w:t>
      </w:r>
    </w:p>
    <w:p w14:paraId="1F4A5238">
      <w:pPr>
        <w:pStyle w:val="72"/>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装订要求</w:t>
      </w:r>
    </w:p>
    <w:p w14:paraId="1EC468AF">
      <w:pPr>
        <w:pStyle w:val="76"/>
        <w:keepNext w:val="0"/>
        <w:keepLines w:val="0"/>
        <w:pageBreakBefore w:val="0"/>
        <w:widowControl w:val="0"/>
        <w:numPr>
          <w:ilvl w:val="0"/>
          <w:numId w:val="0"/>
        </w:numPr>
        <w:kinsoku/>
        <w:wordWrap/>
        <w:overflowPunct/>
        <w:topLinePunct w:val="0"/>
        <w:autoSpaceDE/>
        <w:autoSpaceDN/>
        <w:bidi w:val="0"/>
        <w:adjustRightInd/>
        <w:snapToGrid/>
        <w:spacing w:afterAutospacing="0" w:line="440" w:lineRule="exact"/>
        <w:ind w:leftChars="0" w:firstLine="420" w:firstLineChars="200"/>
        <w:textAlignment w:val="auto"/>
        <w:outlineLvl w:val="9"/>
        <w:rPr>
          <w:rFonts w:hint="eastAsia" w:ascii="宋体" w:hAnsi="宋体" w:eastAsia="宋体" w:cs="宋体"/>
          <w:i w:val="0"/>
          <w:iCs w:val="0"/>
          <w:caps w:val="0"/>
          <w:color w:val="0F1115"/>
          <w:spacing w:val="0"/>
          <w:sz w:val="21"/>
          <w:szCs w:val="21"/>
          <w:highlight w:val="none"/>
          <w:shd w:val="clear" w:fill="FFFFFF"/>
          <w:lang w:val="en-US" w:eastAsia="zh-CN"/>
        </w:rPr>
      </w:pPr>
      <w:r>
        <w:rPr>
          <w:rFonts w:hint="eastAsia" w:ascii="宋体" w:hAnsi="宋体" w:eastAsia="宋体" w:cs="宋体"/>
          <w:i w:val="0"/>
          <w:iCs w:val="0"/>
          <w:caps w:val="0"/>
          <w:color w:val="0F1115"/>
          <w:spacing w:val="0"/>
          <w:sz w:val="21"/>
          <w:szCs w:val="21"/>
          <w:highlight w:val="none"/>
          <w:shd w:val="clear" w:fill="FFFFFF"/>
        </w:rPr>
        <w:t>投标文件须按招标文件规定的组成顺序装订成册，资格证明文件、技术标文件、商务标文件</w:t>
      </w:r>
      <w:r>
        <w:rPr>
          <w:rFonts w:hint="default" w:ascii="宋体" w:hAnsi="宋体" w:eastAsia="宋体" w:cs="宋体"/>
          <w:i w:val="0"/>
          <w:iCs w:val="0"/>
          <w:caps w:val="0"/>
          <w:color w:val="0F1115"/>
          <w:spacing w:val="0"/>
          <w:sz w:val="21"/>
          <w:szCs w:val="21"/>
          <w:highlight w:val="none"/>
          <w:shd w:val="clear" w:fill="FFFFFF"/>
        </w:rPr>
        <w:t>各自独立成册。每类文件的总册数不得超过两册。所有文件册须分别进行胶装，不得采用活页、散页形式。</w:t>
      </w:r>
    </w:p>
    <w:p w14:paraId="4B19509B">
      <w:pPr>
        <w:pStyle w:val="72"/>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纸质文件要求</w:t>
      </w:r>
    </w:p>
    <w:p w14:paraId="3E2551EC">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投标文件正面封皮应标明投标人单位名称、地址，并在单位名称处加盖公章，详见附件10。</w:t>
      </w:r>
    </w:p>
    <w:p w14:paraId="5B6A554F">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资质标书、技术标书、商务标书：均须提供</w:t>
      </w:r>
      <w:r>
        <w:rPr>
          <w:rFonts w:hint="default" w:ascii="宋体" w:hAnsi="宋体" w:eastAsia="宋体" w:cs="宋体"/>
          <w:b w:val="0"/>
          <w:bCs w:val="0"/>
          <w:color w:val="auto"/>
          <w:sz w:val="21"/>
          <w:szCs w:val="21"/>
          <w:highlight w:val="none"/>
          <w:lang w:val="en-US" w:eastAsia="zh-CN"/>
        </w:rPr>
        <w:t> </w:t>
      </w:r>
      <w:r>
        <w:rPr>
          <w:rFonts w:hint="eastAsia" w:ascii="宋体" w:hAnsi="宋体" w:eastAsia="宋体" w:cs="宋体"/>
          <w:b w:val="0"/>
          <w:bCs w:val="0"/>
          <w:color w:val="auto"/>
          <w:sz w:val="21"/>
          <w:szCs w:val="21"/>
          <w:highlight w:val="none"/>
          <w:lang w:val="en-US" w:eastAsia="zh-CN"/>
        </w:rPr>
        <w:t>一式5份，包括正本1份、副本4份，正、副本均须在封面显著位置明确标注“正本”或“副本”字样。保证正本与副本的内容一致。若正本与副本内容不一致，以正本为准。</w:t>
      </w:r>
    </w:p>
    <w:p w14:paraId="10C24388">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开标一览表，另外单独提供1份。</w:t>
      </w:r>
    </w:p>
    <w:p w14:paraId="350D4DF5">
      <w:pPr>
        <w:pStyle w:val="72"/>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电子文件要求</w:t>
      </w:r>
    </w:p>
    <w:p w14:paraId="061DB7A7">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U盘存储版：包含资格标文件、技术标文件、商务标文件的加盖公章的完整电子版文件1份。</w:t>
      </w:r>
    </w:p>
    <w:p w14:paraId="27990573">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系统上传版：投标人须将加盖公章的完整电子标书（含资格、技术、商务标书）扫描件上传至“中国重汽e采通”平台。</w:t>
      </w:r>
      <w:r>
        <w:rPr>
          <w:rFonts w:hint="eastAsia" w:ascii="宋体" w:hAnsi="宋体" w:eastAsia="宋体" w:cs="宋体"/>
          <w:b w:val="0"/>
          <w:bCs w:val="0"/>
          <w:color w:val="auto"/>
          <w:sz w:val="21"/>
          <w:szCs w:val="21"/>
          <w:highlight w:val="none"/>
          <w:lang w:val="en-US" w:eastAsia="zh-CN"/>
        </w:rPr>
        <w:t>若</w:t>
      </w:r>
      <w:r>
        <w:rPr>
          <w:rFonts w:hint="eastAsia" w:ascii="宋体" w:hAnsi="宋体" w:eastAsia="宋体" w:cs="宋体"/>
          <w:b w:val="0"/>
          <w:bCs w:val="0"/>
          <w:i w:val="0"/>
          <w:iCs w:val="0"/>
          <w:caps w:val="0"/>
          <w:color w:val="0F1115"/>
          <w:spacing w:val="0"/>
          <w:sz w:val="21"/>
          <w:szCs w:val="21"/>
          <w:highlight w:val="none"/>
          <w:shd w:val="clear" w:fill="FFFFFF"/>
          <w:lang w:val="en-US" w:eastAsia="zh-CN"/>
        </w:rPr>
        <w:t>纸质版与电子版内容不一致，以系统上传的电子版为准。</w:t>
      </w:r>
    </w:p>
    <w:p w14:paraId="573237C1">
      <w:pPr>
        <w:pStyle w:val="72"/>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封装要求</w:t>
      </w:r>
    </w:p>
    <w:p w14:paraId="75F7DF38">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U盘须单独密封于一个袋内；</w:t>
      </w:r>
    </w:p>
    <w:p w14:paraId="1AD38BB2">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资质、技术与商务投标书应分别单独包封。即：所有资质投标书（正副本）封装为一包，所有技术投标书（正副本）封装为一包，所有商务投标书（正副本）封装为一包，共三个包封；</w:t>
      </w:r>
    </w:p>
    <w:p w14:paraId="1AB1FF59">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开标一览表须单独密封于一个袋内。</w:t>
      </w:r>
    </w:p>
    <w:p w14:paraId="5DF4D985">
      <w:pPr>
        <w:pStyle w:val="72"/>
        <w:keepNext w:val="0"/>
        <w:keepLines w:val="0"/>
        <w:pageBreakBefore w:val="0"/>
        <w:widowControl w:val="0"/>
        <w:numPr>
          <w:ilvl w:val="0"/>
          <w:numId w:val="1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highlight w:val="none"/>
          <w:lang w:val="en-US" w:eastAsia="zh-CN"/>
        </w:rPr>
      </w:pPr>
      <w:r>
        <w:rPr>
          <w:rFonts w:hint="eastAsia" w:ascii="黑体" w:hAnsi="黑体" w:eastAsia="黑体" w:cs="黑体"/>
          <w:b w:val="0"/>
          <w:sz w:val="24"/>
          <w:szCs w:val="24"/>
          <w:highlight w:val="none"/>
          <w:lang w:val="en-US" w:eastAsia="zh-CN"/>
        </w:rPr>
        <w:t>投标文件的投递</w:t>
      </w:r>
    </w:p>
    <w:p w14:paraId="384251F5">
      <w:pPr>
        <w:pStyle w:val="76"/>
        <w:keepNext w:val="0"/>
        <w:keepLines w:val="0"/>
        <w:pageBreakBefore w:val="0"/>
        <w:widowControl w:val="0"/>
        <w:numPr>
          <w:ilvl w:val="1"/>
          <w:numId w:val="14"/>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投标方式</w:t>
      </w:r>
    </w:p>
    <w:p w14:paraId="4A90B28C">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在中国重汽e采通平台应标成功后，进入“供应商投标”环节：</w:t>
      </w:r>
    </w:p>
    <w:p w14:paraId="6EF03012">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b/>
          <w:bCs/>
          <w:color w:val="auto"/>
          <w:highlight w:val="none"/>
          <w:lang w:val="en-US" w:eastAsia="zh-CN"/>
        </w:rPr>
      </w:pPr>
      <w:r>
        <w:rPr>
          <w:rFonts w:hint="eastAsia" w:ascii="Times New Roman" w:hAnsi="Times New Roman" w:cs="Times New Roman"/>
          <w:color w:val="auto"/>
          <w:highlight w:val="none"/>
          <w:lang w:val="en-US" w:eastAsia="zh-CN"/>
        </w:rPr>
        <w:t>投递盖章扫描版电子标书（包含资质标书、技术标书、商务标书）</w:t>
      </w:r>
      <w:r>
        <w:rPr>
          <w:rFonts w:hint="eastAsia" w:ascii="宋体" w:hAnsi="宋体" w:eastAsia="宋体" w:cs="宋体"/>
          <w:sz w:val="24"/>
          <w:szCs w:val="24"/>
          <w:highlight w:val="none"/>
        </w:rPr>
        <w:t>，</w:t>
      </w:r>
      <w:r>
        <w:rPr>
          <w:rFonts w:hint="eastAsia" w:ascii="Times New Roman" w:hAnsi="Times New Roman" w:cs="Times New Roman"/>
          <w:color w:val="auto"/>
          <w:highlight w:val="none"/>
          <w:lang w:val="en-US" w:eastAsia="zh-CN"/>
        </w:rPr>
        <w:t>用“公司名称+文件名称”命名。</w:t>
      </w:r>
      <w:r>
        <w:rPr>
          <w:rFonts w:hint="eastAsia" w:ascii="Times New Roman" w:hAnsi="Times New Roman" w:cs="Times New Roman"/>
          <w:b/>
          <w:bCs/>
          <w:color w:val="auto"/>
          <w:highlight w:val="none"/>
          <w:lang w:val="en-US" w:eastAsia="zh-CN"/>
        </w:rPr>
        <w:t>若逾期未在中国重汽e采通平台上传电子标书，即便递交了纸质版投标文件，一律视为无效投标。</w:t>
      </w:r>
    </w:p>
    <w:p w14:paraId="74363DBB">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2"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cs="Times New Roman"/>
          <w:b/>
          <w:bCs/>
          <w:color w:val="auto"/>
          <w:highlight w:val="none"/>
          <w:lang w:val="en-US" w:eastAsia="zh-CN"/>
        </w:rPr>
        <w:t>纸质版投标文件</w:t>
      </w:r>
      <w:r>
        <w:rPr>
          <w:rFonts w:hint="eastAsia" w:ascii="Times New Roman" w:hAnsi="Times New Roman" w:cs="Times New Roman"/>
          <w:b/>
          <w:bCs/>
          <w:color w:val="auto"/>
          <w:highlight w:val="none"/>
          <w:lang w:val="en-US" w:eastAsia="zh-CN"/>
        </w:rPr>
        <w:t>、U盘电子版由投标人在开标日前邮寄到</w:t>
      </w:r>
      <w:r>
        <w:rPr>
          <w:rFonts w:hint="default" w:ascii="Times New Roman" w:hAnsi="Times New Roman" w:cs="Times New Roman"/>
          <w:b/>
          <w:bCs/>
          <w:color w:val="auto"/>
          <w:highlight w:val="none"/>
          <w:lang w:val="en-US" w:eastAsia="zh-CN"/>
        </w:rPr>
        <w:t>指定地址</w:t>
      </w:r>
      <w:r>
        <w:rPr>
          <w:rFonts w:hint="eastAsia" w:ascii="Times New Roman" w:hAnsi="Times New Roman" w:cs="Times New Roman"/>
          <w:b/>
          <w:bCs/>
          <w:color w:val="auto"/>
          <w:highlight w:val="none"/>
          <w:lang w:val="en-US" w:eastAsia="zh-CN"/>
        </w:rPr>
        <w:t>；或由投标人自行带到开标现场，在开标时当场交予招标负责人。</w:t>
      </w:r>
    </w:p>
    <w:p w14:paraId="38B8DC03">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eastAsia" w:ascii="宋体" w:hAnsi="Courier New" w:eastAsia="宋体" w:cs="Times New Roman"/>
          <w:highlight w:val="none"/>
          <w:lang w:val="en-US" w:eastAsia="zh-CN"/>
        </w:rPr>
      </w:pPr>
      <w:r>
        <w:rPr>
          <w:rFonts w:hint="default" w:ascii="宋体" w:hAnsi="Courier New" w:eastAsia="宋体" w:cs="Times New Roman"/>
          <w:highlight w:val="none"/>
          <w:lang w:val="en-US" w:eastAsia="zh-CN"/>
        </w:rPr>
        <w:t>邮寄地址：济南市章丘区圣井街道潘王路西重汽工业园北三厂</w:t>
      </w:r>
      <w:r>
        <w:rPr>
          <w:rFonts w:hint="eastAsia" w:ascii="宋体" w:hAnsi="Courier New" w:eastAsia="宋体" w:cs="Times New Roman"/>
          <w:highlight w:val="none"/>
          <w:lang w:val="en-US" w:eastAsia="zh-CN"/>
        </w:rPr>
        <w:t>；</w:t>
      </w:r>
    </w:p>
    <w:p w14:paraId="5D3E8EA5">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eastAsia" w:ascii="宋体" w:hAnsi="Courier New" w:eastAsia="宋体" w:cs="Times New Roman"/>
          <w:highlight w:val="none"/>
          <w:lang w:val="en-US" w:eastAsia="zh-CN"/>
        </w:rPr>
      </w:pPr>
      <w:r>
        <w:rPr>
          <w:rFonts w:hint="default" w:ascii="宋体" w:hAnsi="Courier New" w:eastAsia="宋体" w:cs="Times New Roman"/>
          <w:highlight w:val="none"/>
          <w:lang w:val="en-US" w:eastAsia="zh-CN"/>
        </w:rPr>
        <w:t>联系人及联系方式：</w:t>
      </w:r>
      <w:r>
        <w:rPr>
          <w:rFonts w:hint="eastAsia" w:cs="Times New Roman"/>
          <w:highlight w:val="none"/>
          <w:lang w:val="en-US" w:eastAsia="zh-CN"/>
        </w:rPr>
        <w:t>郝龙磊</w:t>
      </w:r>
      <w:r>
        <w:rPr>
          <w:rFonts w:hint="eastAsia" w:ascii="宋体" w:hAnsi="Courier New" w:eastAsia="宋体" w:cs="Times New Roman"/>
          <w:highlight w:val="none"/>
          <w:lang w:val="en-US" w:eastAsia="zh-CN"/>
        </w:rPr>
        <w:t>13853169035</w:t>
      </w:r>
    </w:p>
    <w:p w14:paraId="4AAA3F9B">
      <w:pPr>
        <w:pStyle w:val="76"/>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highlight w:val="none"/>
          <w:lang w:val="en-US" w:eastAsia="zh-CN"/>
        </w:rPr>
      </w:pPr>
      <w:r>
        <w:rPr>
          <w:rFonts w:hint="eastAsia"/>
          <w:highlight w:val="none"/>
          <w:lang w:val="en-US" w:eastAsia="zh-CN"/>
        </w:rPr>
        <w:t>投标文件</w:t>
      </w:r>
      <w:r>
        <w:rPr>
          <w:rFonts w:hint="eastAsia" w:ascii="宋体" w:hAnsi="Courier New" w:eastAsia="宋体" w:cs="Times New Roman"/>
          <w:highlight w:val="none"/>
          <w:lang w:val="en-US" w:eastAsia="zh-CN"/>
        </w:rPr>
        <w:t>递交</w:t>
      </w:r>
      <w:r>
        <w:rPr>
          <w:rFonts w:hint="eastAsia"/>
          <w:highlight w:val="none"/>
          <w:lang w:val="en-US" w:eastAsia="zh-CN"/>
        </w:rPr>
        <w:t>截止时间：</w:t>
      </w:r>
      <w:r>
        <w:rPr>
          <w:rFonts w:hint="eastAsia"/>
          <w:highlight w:val="none"/>
          <w:u w:val="single"/>
          <w:lang w:val="en-US" w:eastAsia="zh-CN"/>
        </w:rPr>
        <w:t>2026年7月24日8:59:59</w:t>
      </w:r>
      <w:r>
        <w:rPr>
          <w:rFonts w:hint="default"/>
          <w:highlight w:val="none"/>
          <w:u w:val="single"/>
          <w:lang w:val="en-US" w:eastAsia="zh-CN"/>
        </w:rPr>
        <w:t>（</w:t>
      </w:r>
      <w:r>
        <w:rPr>
          <w:rFonts w:hint="default" w:ascii="宋体" w:hAnsi="Courier New" w:eastAsia="宋体" w:cs="Times New Roman"/>
          <w:highlight w:val="none"/>
          <w:u w:val="single"/>
          <w:lang w:val="en-US" w:eastAsia="zh-CN"/>
        </w:rPr>
        <w:t>北京时间）</w:t>
      </w:r>
    </w:p>
    <w:p w14:paraId="25974AAC">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bookmarkStart w:id="5"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071E67B8">
      <w:pPr>
        <w:pStyle w:val="72"/>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u w:val="single"/>
          <w:lang w:val="en-US" w:eastAsia="zh-CN"/>
        </w:rPr>
      </w:pPr>
      <w:r>
        <w:rPr>
          <w:rFonts w:hint="eastAsia" w:ascii="黑体" w:hAnsi="黑体" w:eastAsia="黑体" w:cs="黑体"/>
          <w:b w:val="0"/>
          <w:bCs w:val="0"/>
          <w:sz w:val="24"/>
          <w:szCs w:val="24"/>
          <w:highlight w:val="none"/>
        </w:rPr>
        <w:t>投标保证金的缴纳</w:t>
      </w:r>
    </w:p>
    <w:p w14:paraId="021ADBC0">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val="0"/>
          <w:bCs w:val="0"/>
          <w:sz w:val="21"/>
          <w:szCs w:val="21"/>
          <w:highlight w:val="none"/>
          <w:u w:val="single"/>
          <w:lang w:val="en-US" w:eastAsia="zh-CN"/>
        </w:rPr>
        <w:t>从银行基本账户转账</w:t>
      </w:r>
    </w:p>
    <w:p w14:paraId="25AC0430">
      <w:pPr>
        <w:pStyle w:val="76"/>
        <w:keepNext w:val="0"/>
        <w:keepLines w:val="0"/>
        <w:pageBreakBefore w:val="0"/>
        <w:widowControl w:val="0"/>
        <w:numPr>
          <w:ilvl w:val="0"/>
          <w:numId w:val="19"/>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r>
        <w:rPr>
          <w:rFonts w:hint="eastAsia" w:hAnsi="宋体" w:cs="宋体"/>
          <w:b w:val="0"/>
          <w:bCs w:val="0"/>
          <w:sz w:val="21"/>
          <w:szCs w:val="21"/>
          <w:highlight w:val="none"/>
          <w:lang w:eastAsia="zh-CN"/>
        </w:rPr>
        <w:t>。</w:t>
      </w:r>
    </w:p>
    <w:p w14:paraId="04CD311F">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highlight w:val="none"/>
          <w:lang w:val="en-US" w:eastAsia="zh-CN"/>
        </w:rPr>
      </w:pPr>
      <w:r>
        <w:rPr>
          <w:rFonts w:hint="eastAsia"/>
          <w:highlight w:val="none"/>
        </w:rPr>
        <w:t>投标保证金的金额：人民币</w:t>
      </w:r>
      <w:r>
        <w:rPr>
          <w:rFonts w:hint="eastAsia"/>
          <w:highlight w:val="none"/>
          <w:lang w:val="en-US" w:eastAsia="zh-CN"/>
        </w:rPr>
        <w:t>5000</w:t>
      </w:r>
      <w:r>
        <w:rPr>
          <w:rFonts w:hint="eastAsia"/>
          <w:highlight w:val="none"/>
        </w:rPr>
        <w:t>元</w:t>
      </w:r>
    </w:p>
    <w:p w14:paraId="45E56B3E">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lang w:val="en-US" w:eastAsia="zh-CN"/>
        </w:rPr>
      </w:pPr>
      <w:r>
        <w:rPr>
          <w:rFonts w:hint="eastAsia" w:cs="Times New Roman"/>
          <w:highlight w:val="none"/>
        </w:rPr>
        <w:t>单位名称：</w:t>
      </w:r>
      <w:r>
        <w:rPr>
          <w:rFonts w:hint="eastAsia" w:cs="Times New Roman"/>
          <w:highlight w:val="none"/>
          <w:lang w:eastAsia="zh-CN"/>
        </w:rPr>
        <w:t>中国重汽集团济南汽车部件有限公司</w:t>
      </w:r>
    </w:p>
    <w:p w14:paraId="4ED57A68">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rPr>
      </w:pPr>
      <w:r>
        <w:rPr>
          <w:rFonts w:hint="eastAsia" w:cs="Times New Roman"/>
          <w:highlight w:val="none"/>
        </w:rPr>
        <w:t>收款账号：</w:t>
      </w:r>
      <w:r>
        <w:rPr>
          <w:rFonts w:hint="default" w:cs="Times New Roman"/>
          <w:highlight w:val="none"/>
          <w:lang w:val="en-US" w:eastAsia="zh-CN"/>
        </w:rPr>
        <w:t>20000042845000032899980</w:t>
      </w:r>
    </w:p>
    <w:p w14:paraId="3B3FF89A">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rPr>
      </w:pPr>
      <w:r>
        <w:rPr>
          <w:rFonts w:hint="eastAsia" w:cs="Times New Roman"/>
          <w:highlight w:val="none"/>
        </w:rPr>
        <w:t>开户行名称：</w:t>
      </w:r>
      <w:r>
        <w:rPr>
          <w:rFonts w:hint="default" w:cs="Times New Roman"/>
          <w:highlight w:val="none"/>
          <w:lang w:val="en-US" w:eastAsia="zh-CN"/>
        </w:rPr>
        <w:t>北京银行股份有限公司济南分行营业部</w:t>
      </w:r>
    </w:p>
    <w:p w14:paraId="1591D62C">
      <w:pPr>
        <w:pStyle w:val="76"/>
        <w:keepNext w:val="0"/>
        <w:keepLines w:val="0"/>
        <w:pageBreakBefore w:val="0"/>
        <w:widowControl w:val="0"/>
        <w:numPr>
          <w:ilvl w:val="0"/>
          <w:numId w:val="19"/>
        </w:numPr>
        <w:kinsoku/>
        <w:wordWrap/>
        <w:overflowPunct/>
        <w:topLinePunct w:val="0"/>
        <w:autoSpaceDE/>
        <w:autoSpaceDN/>
        <w:bidi w:val="0"/>
        <w:adjustRightInd/>
        <w:snapToGrid/>
        <w:spacing w:line="440" w:lineRule="exact"/>
        <w:ind w:left="0" w:leftChars="0" w:firstLine="422" w:firstLineChars="200"/>
        <w:textAlignment w:val="auto"/>
        <w:rPr>
          <w:rFonts w:hint="eastAsia"/>
          <w:b/>
          <w:bCs/>
          <w:highlight w:val="none"/>
          <w:lang w:val="en-US" w:eastAsia="zh-CN"/>
        </w:rPr>
      </w:pPr>
      <w:r>
        <w:rPr>
          <w:rFonts w:hint="eastAsia"/>
          <w:b/>
          <w:bCs/>
          <w:highlight w:val="none"/>
          <w:lang w:val="en-US" w:eastAsia="zh-CN"/>
        </w:rPr>
        <w:t>转账附言：公司名称+项目名称+投标保证金。</w:t>
      </w:r>
    </w:p>
    <w:p w14:paraId="5568414C">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保证金缴纳</w:t>
      </w:r>
      <w:r>
        <w:rPr>
          <w:rFonts w:hint="eastAsia" w:cs="Times New Roman"/>
          <w:highlight w:val="none"/>
        </w:rPr>
        <w:t>截止</w:t>
      </w:r>
      <w:r>
        <w:rPr>
          <w:rFonts w:hint="eastAsia" w:ascii="宋体" w:hAnsi="宋体" w:eastAsia="宋体" w:cs="宋体"/>
          <w:b w:val="0"/>
          <w:bCs w:val="0"/>
          <w:sz w:val="21"/>
          <w:szCs w:val="21"/>
          <w:highlight w:val="none"/>
        </w:rPr>
        <w:t>时间：202</w:t>
      </w:r>
      <w:r>
        <w:rPr>
          <w:rFonts w:hint="eastAsia" w:hAnsi="宋体" w:cs="宋体"/>
          <w:b w:val="0"/>
          <w:bCs w:val="0"/>
          <w:sz w:val="21"/>
          <w:szCs w:val="21"/>
          <w:highlight w:val="none"/>
          <w:lang w:val="en-US" w:eastAsia="zh-CN"/>
        </w:rPr>
        <w:t>6</w:t>
      </w:r>
      <w:r>
        <w:rPr>
          <w:rFonts w:hint="eastAsia" w:ascii="宋体" w:hAnsi="宋体" w:eastAsia="宋体" w:cs="宋体"/>
          <w:b w:val="0"/>
          <w:bCs w:val="0"/>
          <w:sz w:val="21"/>
          <w:szCs w:val="21"/>
          <w:highlight w:val="none"/>
        </w:rPr>
        <w:t>年</w:t>
      </w:r>
      <w:r>
        <w:rPr>
          <w:rFonts w:hint="eastAsia" w:hAnsi="宋体" w:cs="宋体"/>
          <w:b w:val="0"/>
          <w:bCs w:val="0"/>
          <w:sz w:val="21"/>
          <w:szCs w:val="21"/>
          <w:highlight w:val="none"/>
          <w:lang w:val="en-US" w:eastAsia="zh-CN"/>
        </w:rPr>
        <w:t>7</w:t>
      </w:r>
      <w:r>
        <w:rPr>
          <w:rFonts w:hint="eastAsia" w:ascii="宋体" w:hAnsi="宋体" w:eastAsia="宋体" w:cs="宋体"/>
          <w:b w:val="0"/>
          <w:bCs w:val="0"/>
          <w:sz w:val="21"/>
          <w:szCs w:val="21"/>
          <w:highlight w:val="none"/>
        </w:rPr>
        <w:t>月</w:t>
      </w:r>
      <w:r>
        <w:rPr>
          <w:rFonts w:hint="eastAsia" w:hAnsi="宋体" w:cs="宋体"/>
          <w:b w:val="0"/>
          <w:bCs w:val="0"/>
          <w:sz w:val="21"/>
          <w:szCs w:val="21"/>
          <w:highlight w:val="none"/>
          <w:lang w:val="en-US" w:eastAsia="zh-CN"/>
        </w:rPr>
        <w:t>21</w:t>
      </w:r>
      <w:r>
        <w:rPr>
          <w:rFonts w:hint="eastAsia" w:ascii="宋体" w:hAnsi="宋体" w:eastAsia="宋体" w:cs="宋体"/>
          <w:b w:val="0"/>
          <w:bCs w:val="0"/>
          <w:sz w:val="21"/>
          <w:szCs w:val="21"/>
          <w:highlight w:val="none"/>
        </w:rPr>
        <w:t>日</w:t>
      </w:r>
      <w:r>
        <w:rPr>
          <w:rFonts w:hint="eastAsia" w:hAnsi="宋体" w:cs="宋体"/>
          <w:b w:val="0"/>
          <w:bCs w:val="0"/>
          <w:sz w:val="21"/>
          <w:szCs w:val="21"/>
          <w:highlight w:val="none"/>
          <w:lang w:val="en-US" w:eastAsia="zh-CN"/>
        </w:rPr>
        <w:t>17</w:t>
      </w:r>
      <w:r>
        <w:rPr>
          <w:rFonts w:hint="eastAsia"/>
          <w:highlight w:val="none"/>
          <w:u w:val="none"/>
          <w:lang w:val="en-US" w:eastAsia="zh-CN"/>
        </w:rPr>
        <w:t>:00:00</w:t>
      </w:r>
      <w:r>
        <w:rPr>
          <w:rFonts w:hint="default" w:ascii="宋体" w:hAnsi="Courier New" w:eastAsia="宋体" w:cs="Times New Roman"/>
          <w:highlight w:val="none"/>
          <w:u w:val="none"/>
          <w:lang w:val="en-US" w:eastAsia="zh-CN"/>
        </w:rPr>
        <w:t>（北京时间）</w:t>
      </w:r>
    </w:p>
    <w:p w14:paraId="5306DE77">
      <w:pPr>
        <w:pStyle w:val="72"/>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对于没有中标的</w:t>
      </w:r>
      <w:r>
        <w:rPr>
          <w:rFonts w:hint="eastAsia" w:ascii="黑体" w:hAnsi="黑体" w:eastAsia="黑体" w:cs="黑体"/>
          <w:b w:val="0"/>
          <w:bCs w:val="0"/>
          <w:sz w:val="24"/>
          <w:szCs w:val="24"/>
          <w:highlight w:val="none"/>
          <w:lang w:eastAsia="zh-CN"/>
        </w:rPr>
        <w:t>投标人</w:t>
      </w:r>
      <w:r>
        <w:rPr>
          <w:rFonts w:hint="eastAsia" w:ascii="黑体" w:hAnsi="黑体" w:eastAsia="黑体" w:cs="黑体"/>
          <w:b w:val="0"/>
          <w:bCs w:val="0"/>
          <w:sz w:val="24"/>
          <w:szCs w:val="24"/>
          <w:highlight w:val="none"/>
        </w:rPr>
        <w:t>，投标保证金将于招标人内部完成中标人评审并确认最终中标人后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予以原路返还（无息）；对于中标方，投标保证金将在签订合同后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原路返还（无息）。</w:t>
      </w:r>
    </w:p>
    <w:p w14:paraId="02113B20">
      <w:pPr>
        <w:pStyle w:val="72"/>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发生</w:t>
      </w:r>
      <w:r>
        <w:rPr>
          <w:rFonts w:hint="eastAsia" w:ascii="黑体" w:hAnsi="黑体" w:eastAsia="黑体" w:cs="黑体"/>
          <w:b w:val="0"/>
          <w:bCs w:val="0"/>
          <w:sz w:val="24"/>
          <w:szCs w:val="24"/>
          <w:highlight w:val="none"/>
          <w:lang w:val="en-US" w:eastAsia="zh-CN"/>
        </w:rPr>
        <w:t>以下</w:t>
      </w:r>
      <w:r>
        <w:rPr>
          <w:rFonts w:hint="eastAsia" w:ascii="黑体" w:hAnsi="黑体" w:eastAsia="黑体" w:cs="黑体"/>
          <w:b w:val="0"/>
          <w:bCs w:val="0"/>
          <w:sz w:val="24"/>
          <w:szCs w:val="24"/>
          <w:highlight w:val="none"/>
        </w:rPr>
        <w:t>情况时，有权没收保证金：</w:t>
      </w:r>
    </w:p>
    <w:p w14:paraId="69D68B6B">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ascii="宋体" w:hAnsi="宋体" w:eastAsia="宋体" w:cs="宋体"/>
          <w:b w:val="0"/>
          <w:bCs w:val="0"/>
          <w:szCs w:val="21"/>
          <w:highlight w:val="none"/>
        </w:rPr>
        <w:t>供</w:t>
      </w:r>
      <w:r>
        <w:rPr>
          <w:rFonts w:hint="eastAsia"/>
          <w:highlight w:val="none"/>
        </w:rPr>
        <w:t>应商在提交响应文件截止时间后撤回响应文件的；</w:t>
      </w:r>
    </w:p>
    <w:p w14:paraId="56CEC558">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供应商在响应文件中提供虚假材料的；</w:t>
      </w:r>
    </w:p>
    <w:p w14:paraId="14DF0C78">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除因不可抗力或谈判文件、询价通知书认可的情形以外，成交供应商不与采购人签订合同的；</w:t>
      </w:r>
    </w:p>
    <w:p w14:paraId="1D9AD298">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供应商与采购人、其他供应商或者采购代理机构恶意串通、围标、陪标的；</w:t>
      </w:r>
    </w:p>
    <w:p w14:paraId="1211AC71">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供应商有违约违规行为或被投诉、举报的，在调查处理期间，保证金暂不退还，待调查处理结束后按有关规定处理。</w:t>
      </w:r>
    </w:p>
    <w:p w14:paraId="1C7FF7D7">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截至开标前3天，投标人无正当理由、未以书面形式向招标人递交说明而在投标截止日不来投标的。</w:t>
      </w:r>
    </w:p>
    <w:p w14:paraId="7A3035DA">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自中标通知书发出之日起30日内，中标人无正当理由投标人无正当签订合同的；</w:t>
      </w:r>
    </w:p>
    <w:p w14:paraId="271EC8CF">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仿宋_GB2312" w:cs="宋体"/>
          <w:b w:val="0"/>
          <w:bCs w:val="0"/>
          <w:szCs w:val="24"/>
          <w:highlight w:val="none"/>
          <w:lang w:val="en-US" w:eastAsia="zh-CN"/>
        </w:rPr>
      </w:pPr>
      <w:r>
        <w:rPr>
          <w:rFonts w:hint="eastAsia"/>
          <w:highlight w:val="none"/>
        </w:rPr>
        <w:t>采购文件规定</w:t>
      </w:r>
      <w:r>
        <w:rPr>
          <w:rFonts w:hint="eastAsia" w:ascii="宋体" w:hAnsi="宋体" w:eastAsia="宋体" w:cs="宋体"/>
          <w:b w:val="0"/>
          <w:bCs w:val="0"/>
          <w:szCs w:val="21"/>
          <w:highlight w:val="none"/>
        </w:rPr>
        <w:t>的其他情形</w:t>
      </w:r>
      <w:r>
        <w:rPr>
          <w:rFonts w:hint="eastAsia" w:ascii="宋体" w:hAnsi="宋体" w:eastAsia="宋体" w:cs="宋体"/>
          <w:b w:val="0"/>
          <w:bCs w:val="0"/>
          <w:szCs w:val="21"/>
          <w:highlight w:val="none"/>
          <w:lang w:eastAsia="zh-CN"/>
        </w:rPr>
        <w:t>。</w:t>
      </w:r>
    </w:p>
    <w:bookmarkEnd w:id="5"/>
    <w:p w14:paraId="368B699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highlight w:val="none"/>
          <w:lang w:val="en-US" w:eastAsia="zh-CN"/>
        </w:rPr>
        <w:t>开评标</w:t>
      </w:r>
    </w:p>
    <w:p w14:paraId="6D5294CB">
      <w:pPr>
        <w:pStyle w:val="72"/>
        <w:keepNext w:val="0"/>
        <w:keepLines w:val="0"/>
        <w:pageBreakBefore w:val="0"/>
        <w:widowControl w:val="0"/>
        <w:numPr>
          <w:ilvl w:val="0"/>
          <w:numId w:val="20"/>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开标时间和地点</w:t>
      </w:r>
    </w:p>
    <w:p w14:paraId="587160D4">
      <w:pPr>
        <w:pStyle w:val="76"/>
        <w:keepNext w:val="0"/>
        <w:keepLines w:val="0"/>
        <w:pageBreakBefore w:val="0"/>
        <w:widowControl w:val="0"/>
        <w:numPr>
          <w:ilvl w:val="1"/>
          <w:numId w:val="21"/>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hAnsi="宋体" w:cs="宋体"/>
          <w:b w:val="0"/>
          <w:bCs w:val="0"/>
          <w:sz w:val="21"/>
          <w:szCs w:val="21"/>
          <w:highlight w:val="none"/>
          <w:lang w:val="en-US" w:eastAsia="zh-CN"/>
        </w:rPr>
        <w:t>2026年7</w:t>
      </w:r>
      <w:r>
        <w:rPr>
          <w:rFonts w:hint="eastAsia" w:ascii="宋体" w:hAnsi="宋体" w:eastAsia="宋体" w:cs="宋体"/>
          <w:b w:val="0"/>
          <w:bCs w:val="0"/>
          <w:sz w:val="21"/>
          <w:szCs w:val="21"/>
          <w:highlight w:val="none"/>
          <w:lang w:val="en-US" w:eastAsia="zh-CN"/>
        </w:rPr>
        <w:t>月</w:t>
      </w:r>
      <w:r>
        <w:rPr>
          <w:rFonts w:hint="eastAsia" w:hAnsi="宋体" w:cs="宋体"/>
          <w:b w:val="0"/>
          <w:bCs w:val="0"/>
          <w:sz w:val="21"/>
          <w:szCs w:val="21"/>
          <w:highlight w:val="none"/>
          <w:lang w:val="en-US" w:eastAsia="zh-CN"/>
        </w:rPr>
        <w:t>24</w:t>
      </w:r>
      <w:r>
        <w:rPr>
          <w:rFonts w:hint="eastAsia" w:ascii="宋体" w:hAnsi="宋体" w:eastAsia="宋体" w:cs="宋体"/>
          <w:b w:val="0"/>
          <w:bCs w:val="0"/>
          <w:sz w:val="21"/>
          <w:szCs w:val="21"/>
          <w:highlight w:val="none"/>
          <w:lang w:val="en-US" w:eastAsia="zh-CN"/>
        </w:rPr>
        <w:t>日</w:t>
      </w:r>
      <w:r>
        <w:rPr>
          <w:rFonts w:hint="eastAsia" w:hAnsi="宋体" w:cs="宋体"/>
          <w:b w:val="0"/>
          <w:bCs w:val="0"/>
          <w:sz w:val="21"/>
          <w:szCs w:val="21"/>
          <w:highlight w:val="none"/>
          <w:lang w:val="en-US" w:eastAsia="zh-CN"/>
        </w:rPr>
        <w:t>9</w:t>
      </w:r>
      <w:r>
        <w:rPr>
          <w:rFonts w:hint="default" w:ascii="宋体" w:hAnsi="宋体" w:eastAsia="宋体" w:cs="宋体"/>
          <w:b w:val="0"/>
          <w:bCs w:val="0"/>
          <w:sz w:val="21"/>
          <w:szCs w:val="21"/>
          <w:highlight w:val="none"/>
          <w:lang w:val="en-US" w:eastAsia="zh-CN"/>
        </w:rPr>
        <w:t>:00:00（北京时间）</w:t>
      </w:r>
    </w:p>
    <w:p w14:paraId="72FF61DD">
      <w:pPr>
        <w:pStyle w:val="76"/>
        <w:keepNext w:val="0"/>
        <w:keepLines w:val="0"/>
        <w:pageBreakBefore w:val="0"/>
        <w:widowControl w:val="0"/>
        <w:numPr>
          <w:ilvl w:val="1"/>
          <w:numId w:val="21"/>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开标地点：</w:t>
      </w:r>
      <w:r>
        <w:rPr>
          <w:rFonts w:hint="default" w:ascii="宋体" w:hAnsi="Courier New" w:eastAsia="宋体" w:cs="Times New Roman"/>
          <w:highlight w:val="none"/>
          <w:lang w:val="en-US" w:eastAsia="zh-CN"/>
        </w:rPr>
        <w:t>济南市章丘区圣井街道潘王路西重汽工业园北三厂</w:t>
      </w:r>
      <w:r>
        <w:rPr>
          <w:rFonts w:hint="eastAsia" w:cs="Times New Roman"/>
          <w:highlight w:val="none"/>
          <w:lang w:val="en-US" w:eastAsia="zh-CN"/>
        </w:rPr>
        <w:t>传动轴厂房213会议室</w:t>
      </w:r>
      <w:r>
        <w:rPr>
          <w:rFonts w:hint="eastAsia" w:ascii="宋体" w:hAnsi="宋体" w:eastAsia="宋体" w:cs="宋体"/>
          <w:b w:val="0"/>
          <w:bCs w:val="0"/>
          <w:sz w:val="21"/>
          <w:szCs w:val="21"/>
          <w:highlight w:val="none"/>
          <w:lang w:val="en-US" w:eastAsia="zh-CN"/>
        </w:rPr>
        <w:t xml:space="preserve"> </w:t>
      </w:r>
    </w:p>
    <w:p w14:paraId="5FB91DBE">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2" w:firstLineChars="200"/>
        <w:textAlignment w:val="auto"/>
        <w:rPr>
          <w:rFonts w:hint="default" w:ascii="宋体" w:hAnsi="宋体" w:eastAsia="仿宋" w:cs="宋体"/>
          <w:b/>
          <w:bCs/>
          <w:sz w:val="21"/>
          <w:szCs w:val="21"/>
          <w:highlight w:val="none"/>
          <w:lang w:val="en-US" w:eastAsia="zh-CN"/>
        </w:rPr>
      </w:pPr>
      <w:r>
        <w:rPr>
          <w:rFonts w:hint="eastAsia" w:hAnsi="宋体" w:cs="宋体"/>
          <w:b/>
          <w:bCs/>
          <w:sz w:val="21"/>
          <w:szCs w:val="21"/>
          <w:highlight w:val="none"/>
          <w:lang w:val="en-US" w:eastAsia="zh-CN"/>
        </w:rPr>
        <w:t>注：开标需携带新版营业执照副本原件、近三年的财务审计报告原件、法人授权委托书原件、法定代表人或授权代表的身份证原件业绩合同原件</w:t>
      </w:r>
      <w:r>
        <w:rPr>
          <w:rFonts w:hint="eastAsia" w:hAnsi="宋体" w:cs="宋体"/>
          <w:b w:val="0"/>
          <w:bCs w:val="0"/>
          <w:sz w:val="21"/>
          <w:szCs w:val="21"/>
          <w:highlight w:val="none"/>
          <w:lang w:val="en-US" w:eastAsia="zh-CN"/>
        </w:rPr>
        <w:t>等其他招标文件要求的材料。</w:t>
      </w:r>
    </w:p>
    <w:p w14:paraId="4DCBC48A">
      <w:pPr>
        <w:pStyle w:val="76"/>
        <w:keepNext w:val="0"/>
        <w:keepLines w:val="0"/>
        <w:pageBreakBefore w:val="0"/>
        <w:widowControl w:val="0"/>
        <w:numPr>
          <w:ilvl w:val="1"/>
          <w:numId w:val="21"/>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color w:val="000000"/>
          <w:sz w:val="21"/>
          <w:szCs w:val="21"/>
          <w:highlight w:val="none"/>
          <w:u w:val="single"/>
        </w:rPr>
      </w:pPr>
      <w:r>
        <w:rPr>
          <w:rFonts w:hint="eastAsia" w:ascii="宋体" w:hAnsi="宋体" w:eastAsia="宋体" w:cs="宋体"/>
          <w:b w:val="0"/>
          <w:bCs w:val="0"/>
          <w:sz w:val="21"/>
          <w:szCs w:val="21"/>
          <w:highlight w:val="none"/>
          <w:lang w:val="en-US" w:eastAsia="zh-CN"/>
        </w:rPr>
        <w:t>开标方式：</w:t>
      </w:r>
      <w:r>
        <w:rPr>
          <w:rFonts w:hint="eastAsia" w:cs="Times New Roman"/>
          <w:b/>
          <w:bCs w:val="0"/>
          <w:color w:val="auto"/>
          <w:highlight w:val="none"/>
          <w:u w:val="none"/>
          <w:lang w:val="en-US" w:eastAsia="zh-CN"/>
        </w:rPr>
        <w:t>线下</w:t>
      </w:r>
      <w:r>
        <w:rPr>
          <w:rFonts w:hint="eastAsia" w:ascii="宋体" w:hAnsi="Courier New" w:eastAsia="宋体" w:cs="Times New Roman"/>
          <w:b/>
          <w:bCs w:val="0"/>
          <w:color w:val="auto"/>
          <w:kern w:val="2"/>
          <w:sz w:val="21"/>
          <w:highlight w:val="none"/>
          <w:u w:val="none"/>
          <w:lang w:val="en-US" w:eastAsia="zh-CN" w:bidi="ar-SA"/>
        </w:rPr>
        <w:t>招标</w:t>
      </w:r>
    </w:p>
    <w:p w14:paraId="59F17765">
      <w:pPr>
        <w:pStyle w:val="72"/>
        <w:keepNext w:val="0"/>
        <w:keepLines w:val="0"/>
        <w:pageBreakBefore w:val="0"/>
        <w:widowControl w:val="0"/>
        <w:numPr>
          <w:ilvl w:val="0"/>
          <w:numId w:val="20"/>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评标</w:t>
      </w:r>
    </w:p>
    <w:p w14:paraId="649C28C4">
      <w:pPr>
        <w:pStyle w:val="72"/>
        <w:keepNext w:val="0"/>
        <w:keepLines w:val="0"/>
        <w:pageBreakBefore w:val="0"/>
        <w:widowControl w:val="0"/>
        <w:numPr>
          <w:ilvl w:val="1"/>
          <w:numId w:val="20"/>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评标方法</w:t>
      </w:r>
    </w:p>
    <w:p w14:paraId="2CCC458A">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本次招标采用综合最低价评标，即在最大限度地满足招标文件实质性要求的前提下，按照评分标准中规定的评分因素和评分细则进行综合评价、评分。</w:t>
      </w:r>
    </w:p>
    <w:p w14:paraId="0A3A33A9">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评标委员会各成员独立对每一份有效投标文件进行评价并对除报价以外的评分项目进行评分，报价得分由工作人员通过计算得出。</w:t>
      </w:r>
    </w:p>
    <w:p w14:paraId="69021D98">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eastAsia="宋体" w:cs="宋体"/>
          <w:b w:val="0"/>
          <w:bCs w:val="0"/>
          <w:sz w:val="21"/>
          <w:szCs w:val="21"/>
          <w:highlight w:val="none"/>
          <w:u w:val="none"/>
          <w:lang w:val="en-US" w:eastAsia="zh-CN"/>
        </w:rPr>
      </w:pPr>
      <w:r>
        <w:rPr>
          <w:rFonts w:hint="default" w:ascii="宋体" w:hAnsi="宋体" w:eastAsia="宋体" w:cs="宋体"/>
          <w:b w:val="0"/>
          <w:bCs w:val="0"/>
          <w:sz w:val="21"/>
          <w:szCs w:val="21"/>
          <w:highlight w:val="none"/>
          <w:u w:val="none"/>
          <w:lang w:val="en-US" w:eastAsia="zh-CN"/>
        </w:rPr>
        <w:t>采用技术入围后，商务实行低价中标</w:t>
      </w:r>
      <w:r>
        <w:rPr>
          <w:rFonts w:hint="eastAsia" w:ascii="宋体" w:hAnsi="宋体" w:eastAsia="宋体" w:cs="宋体"/>
          <w:b w:val="0"/>
          <w:bCs w:val="0"/>
          <w:sz w:val="21"/>
          <w:szCs w:val="21"/>
          <w:highlight w:val="none"/>
          <w:u w:val="none"/>
          <w:lang w:val="en-US" w:eastAsia="zh-CN"/>
        </w:rPr>
        <w:t>。</w:t>
      </w:r>
    </w:p>
    <w:p w14:paraId="0B2A8F6D">
      <w:pPr>
        <w:pStyle w:val="72"/>
        <w:keepNext w:val="0"/>
        <w:keepLines w:val="0"/>
        <w:pageBreakBefore w:val="0"/>
        <w:widowControl w:val="0"/>
        <w:numPr>
          <w:ilvl w:val="1"/>
          <w:numId w:val="20"/>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评标流程</w:t>
      </w:r>
    </w:p>
    <w:p w14:paraId="08C47440">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应标资格审查：在“中国重汽e采通”应标报名时，按照</w:t>
      </w:r>
      <w:r>
        <w:rPr>
          <w:rFonts w:hint="eastAsia" w:ascii="宋体" w:hAnsi="宋体" w:cs="宋体"/>
          <w:b w:val="0"/>
          <w:bCs/>
          <w:color w:val="000000"/>
          <w:sz w:val="21"/>
          <w:szCs w:val="21"/>
          <w:highlight w:val="none"/>
          <w:lang w:val="en-US" w:eastAsia="zh-CN"/>
        </w:rPr>
        <w:t>招标公告</w:t>
      </w:r>
      <w:r>
        <w:rPr>
          <w:rFonts w:hint="eastAsia" w:ascii="宋体" w:hAnsi="宋体" w:eastAsia="宋体" w:cs="宋体"/>
          <w:b w:val="0"/>
          <w:bCs/>
          <w:color w:val="000000"/>
          <w:sz w:val="21"/>
          <w:szCs w:val="21"/>
          <w:highlight w:val="none"/>
          <w:lang w:val="en-US" w:eastAsia="zh-CN"/>
        </w:rPr>
        <w:t>编制</w:t>
      </w:r>
      <w:r>
        <w:rPr>
          <w:rFonts w:hint="eastAsia" w:ascii="宋体" w:hAnsi="宋体" w:eastAsia="宋体" w:cs="宋体"/>
          <w:b w:val="0"/>
          <w:bCs/>
          <w:color w:val="000000"/>
          <w:sz w:val="21"/>
          <w:szCs w:val="21"/>
          <w:highlight w:val="none"/>
        </w:rPr>
        <w:t>资料，上传完毕后，等待审核；</w:t>
      </w:r>
    </w:p>
    <w:p w14:paraId="3925B8AD">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通过应标资格审查的单位进入投标环节，按照“SRM系统供应商用户手册</w:t>
      </w:r>
      <w:r>
        <w:rPr>
          <w:rFonts w:hint="eastAsia" w:ascii="宋体" w:hAnsi="宋体" w:cs="宋体"/>
          <w:b w:val="0"/>
          <w:bCs/>
          <w:color w:val="000000"/>
          <w:sz w:val="21"/>
          <w:szCs w:val="21"/>
          <w:highlight w:val="none"/>
          <w:lang w:eastAsia="zh-CN"/>
        </w:rPr>
        <w:t>（</w:t>
      </w:r>
      <w:r>
        <w:rPr>
          <w:rFonts w:hint="eastAsia" w:ascii="宋体" w:hAnsi="宋体" w:cs="宋体"/>
          <w:b w:val="0"/>
          <w:bCs/>
          <w:color w:val="000000"/>
          <w:sz w:val="21"/>
          <w:szCs w:val="21"/>
          <w:highlight w:val="none"/>
          <w:lang w:val="en-US" w:eastAsia="zh-CN"/>
        </w:rPr>
        <w:t>附件9</w:t>
      </w:r>
      <w:r>
        <w:rPr>
          <w:rFonts w:hint="eastAsia" w:ascii="宋体" w:hAnsi="宋体" w:cs="宋体"/>
          <w:b w:val="0"/>
          <w:bCs/>
          <w:color w:val="000000"/>
          <w:sz w:val="21"/>
          <w:szCs w:val="21"/>
          <w:highlight w:val="none"/>
          <w:lang w:eastAsia="zh-CN"/>
        </w:rPr>
        <w:t>）</w:t>
      </w:r>
      <w:r>
        <w:rPr>
          <w:rFonts w:hint="eastAsia" w:ascii="宋体" w:hAnsi="宋体" w:eastAsia="宋体" w:cs="宋体"/>
          <w:b w:val="0"/>
          <w:bCs/>
          <w:color w:val="000000"/>
          <w:sz w:val="21"/>
          <w:szCs w:val="21"/>
          <w:highlight w:val="none"/>
        </w:rPr>
        <w:t>”，在重汽e采通平台投递电子标书（包含资质标、技术标、商务标）；没有通过应标资质审查的单位不能进入投标环节；</w:t>
      </w:r>
    </w:p>
    <w:p w14:paraId="3B34C86F">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资质标评审：资质标审核通过的单位，可以进入公开唱标环节；</w:t>
      </w:r>
    </w:p>
    <w:p w14:paraId="7E63C2E8">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公开唱标：公示资质标入围单位的开标价格及商务条款响应情况；</w:t>
      </w:r>
    </w:p>
    <w:p w14:paraId="67CC9B84">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ascii="宋体" w:hAnsi="宋体" w:eastAsia="宋体" w:cs="宋体"/>
          <w:b w:val="0"/>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val="0"/>
          <w:bCs/>
          <w:color w:val="000000"/>
          <w:sz w:val="21"/>
          <w:szCs w:val="21"/>
          <w:highlight w:val="none"/>
          <w:lang w:val="en-US" w:eastAsia="zh-CN"/>
        </w:rPr>
        <w:t>评分详见</w:t>
      </w:r>
      <w:r>
        <w:rPr>
          <w:rFonts w:hint="eastAsia" w:ascii="宋体" w:hAnsi="宋体" w:eastAsia="宋体" w:cs="宋体"/>
          <w:b w:val="0"/>
          <w:bCs/>
          <w:color w:val="000000"/>
          <w:sz w:val="21"/>
          <w:szCs w:val="21"/>
          <w:highlight w:val="none"/>
        </w:rPr>
        <w:t>评分标准；</w:t>
      </w:r>
    </w:p>
    <w:p w14:paraId="17C23BBD">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商务标评审：商务条款</w:t>
      </w:r>
      <w:r>
        <w:rPr>
          <w:rFonts w:hint="eastAsia" w:ascii="宋体" w:hAnsi="宋体" w:cs="宋体"/>
          <w:b w:val="0"/>
          <w:bCs/>
          <w:color w:val="000000"/>
          <w:sz w:val="21"/>
          <w:szCs w:val="21"/>
          <w:highlight w:val="none"/>
          <w:lang w:val="en-US" w:eastAsia="zh-CN"/>
        </w:rPr>
        <w:t>相</w:t>
      </w:r>
      <w:r>
        <w:rPr>
          <w:rFonts w:hint="eastAsia" w:ascii="宋体" w:hAnsi="宋体" w:eastAsia="宋体" w:cs="宋体"/>
          <w:b w:val="0"/>
          <w:bCs/>
          <w:color w:val="000000"/>
          <w:sz w:val="21"/>
          <w:szCs w:val="21"/>
          <w:highlight w:val="none"/>
        </w:rPr>
        <w:t>应确认→价格澄清→商务标评审</w:t>
      </w:r>
      <w:r>
        <w:rPr>
          <w:rFonts w:hint="eastAsia" w:ascii="宋体" w:hAnsi="宋体" w:eastAsia="宋体" w:cs="宋体"/>
          <w:b w:val="0"/>
          <w:bCs/>
          <w:color w:val="000000"/>
          <w:sz w:val="21"/>
          <w:szCs w:val="21"/>
          <w:highlight w:val="none"/>
          <w:lang w:val="en-US" w:eastAsia="zh-CN"/>
        </w:rPr>
        <w:t>；采用多轮商务谈判评审，</w:t>
      </w:r>
      <w:r>
        <w:rPr>
          <w:rFonts w:hint="eastAsia" w:ascii="宋体" w:hAnsi="宋体" w:eastAsia="宋体" w:cs="宋体"/>
          <w:b w:val="0"/>
          <w:bCs/>
          <w:color w:val="000000"/>
          <w:sz w:val="21"/>
          <w:szCs w:val="21"/>
          <w:highlight w:val="none"/>
        </w:rPr>
        <w:t>期间产生的商务价格澄清均由投标人在重汽e采通平台限时内完成提交；</w:t>
      </w:r>
    </w:p>
    <w:p w14:paraId="148C0E04">
      <w:pPr>
        <w:pStyle w:val="76"/>
        <w:keepNext w:val="0"/>
        <w:keepLines w:val="0"/>
        <w:pageBreakBefore w:val="0"/>
        <w:widowControl w:val="0"/>
        <w:numPr>
          <w:ilvl w:val="0"/>
          <w:numId w:val="19"/>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注意：所有参与现场投标的投标人，需要自带笔记本电脑在</w:t>
      </w:r>
      <w:r>
        <w:rPr>
          <w:rFonts w:hint="eastAsia"/>
          <w:highlight w:val="none"/>
          <w:lang w:eastAsia="zh-CN"/>
        </w:rPr>
        <w:t>“</w:t>
      </w:r>
      <w:r>
        <w:rPr>
          <w:rFonts w:hint="eastAsia"/>
          <w:highlight w:val="none"/>
        </w:rPr>
        <w:t>重汽e采通</w:t>
      </w:r>
      <w:r>
        <w:rPr>
          <w:rFonts w:hint="eastAsia"/>
          <w:highlight w:val="none"/>
          <w:lang w:eastAsia="zh-CN"/>
        </w:rPr>
        <w:t>”</w:t>
      </w:r>
      <w:r>
        <w:rPr>
          <w:rFonts w:hint="eastAsia"/>
          <w:highlight w:val="none"/>
        </w:rPr>
        <w:t>进行自主投标和提交澄清函；投标和提交澄清函均有时间限制，超时未提交的按无效处理。</w:t>
      </w:r>
    </w:p>
    <w:p w14:paraId="20BA3AE6">
      <w:pPr>
        <w:pStyle w:val="72"/>
        <w:keepNext w:val="0"/>
        <w:keepLines w:val="0"/>
        <w:pageBreakBefore w:val="0"/>
        <w:widowControl w:val="0"/>
        <w:numPr>
          <w:ilvl w:val="1"/>
          <w:numId w:val="20"/>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评分标准</w:t>
      </w:r>
      <w:r>
        <w:rPr>
          <w:rFonts w:hint="eastAsia" w:hAnsi="黑体" w:cs="黑体"/>
          <w:b w:val="0"/>
          <w:bCs w:val="0"/>
          <w:sz w:val="21"/>
          <w:szCs w:val="21"/>
          <w:highlight w:val="none"/>
          <w:lang w:val="en-US" w:eastAsia="zh-CN"/>
        </w:rPr>
        <w:t xml:space="preserve"> </w:t>
      </w:r>
    </w:p>
    <w:tbl>
      <w:tblPr>
        <w:tblStyle w:val="30"/>
        <w:tblW w:w="91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845"/>
        <w:gridCol w:w="520"/>
        <w:gridCol w:w="970"/>
        <w:gridCol w:w="650"/>
        <w:gridCol w:w="6153"/>
      </w:tblGrid>
      <w:tr w14:paraId="7851E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6EDD4FD9">
            <w:pPr>
              <w:spacing w:line="320" w:lineRule="exact"/>
              <w:ind w:right="34" w:rightChars="16"/>
              <w:jc w:val="center"/>
              <w:rPr>
                <w:b/>
                <w:szCs w:val="21"/>
                <w:highlight w:val="none"/>
              </w:rPr>
            </w:pPr>
            <w:r>
              <w:rPr>
                <w:rFonts w:hint="eastAsia"/>
                <w:b/>
                <w:highlight w:val="none"/>
              </w:rPr>
              <w:t>评标因素</w:t>
            </w:r>
          </w:p>
        </w:tc>
        <w:tc>
          <w:tcPr>
            <w:tcW w:w="520" w:type="dxa"/>
            <w:tcBorders>
              <w:top w:val="single" w:color="auto" w:sz="4" w:space="0"/>
              <w:left w:val="single" w:color="auto" w:sz="4" w:space="0"/>
              <w:bottom w:val="single" w:color="auto" w:sz="4" w:space="0"/>
              <w:right w:val="single" w:color="auto" w:sz="4" w:space="0"/>
            </w:tcBorders>
            <w:vAlign w:val="center"/>
          </w:tcPr>
          <w:p w14:paraId="3B4D3CD5">
            <w:pPr>
              <w:spacing w:line="320" w:lineRule="exact"/>
              <w:ind w:right="34" w:rightChars="16"/>
              <w:jc w:val="center"/>
              <w:rPr>
                <w:b/>
                <w:szCs w:val="21"/>
                <w:highlight w:val="none"/>
              </w:rPr>
            </w:pPr>
            <w:r>
              <w:rPr>
                <w:rFonts w:hint="eastAsia"/>
                <w:b/>
                <w:highlight w:val="none"/>
              </w:rPr>
              <w:t>总分</w:t>
            </w:r>
          </w:p>
        </w:tc>
        <w:tc>
          <w:tcPr>
            <w:tcW w:w="970" w:type="dxa"/>
            <w:tcBorders>
              <w:top w:val="single" w:color="auto" w:sz="4" w:space="0"/>
              <w:left w:val="single" w:color="auto" w:sz="4" w:space="0"/>
              <w:bottom w:val="single" w:color="auto" w:sz="4" w:space="0"/>
              <w:right w:val="single" w:color="auto" w:sz="4" w:space="0"/>
            </w:tcBorders>
            <w:vAlign w:val="center"/>
          </w:tcPr>
          <w:p w14:paraId="1D237ABE">
            <w:pPr>
              <w:spacing w:line="320" w:lineRule="exact"/>
              <w:ind w:right="34" w:rightChars="16"/>
              <w:jc w:val="center"/>
              <w:rPr>
                <w:rFonts w:hint="eastAsia" w:eastAsia="宋体"/>
                <w:b/>
                <w:szCs w:val="21"/>
                <w:highlight w:val="none"/>
                <w:lang w:eastAsia="zh-CN"/>
              </w:rPr>
            </w:pPr>
            <w:r>
              <w:rPr>
                <w:rFonts w:hint="eastAsia"/>
                <w:b/>
                <w:highlight w:val="none"/>
              </w:rPr>
              <w:t>评审内容</w:t>
            </w:r>
          </w:p>
        </w:tc>
        <w:tc>
          <w:tcPr>
            <w:tcW w:w="650" w:type="dxa"/>
            <w:tcBorders>
              <w:top w:val="single" w:color="auto" w:sz="4" w:space="0"/>
              <w:left w:val="single" w:color="auto" w:sz="4" w:space="0"/>
              <w:bottom w:val="single" w:color="auto" w:sz="4" w:space="0"/>
              <w:right w:val="single" w:color="auto" w:sz="4" w:space="0"/>
            </w:tcBorders>
            <w:vAlign w:val="center"/>
          </w:tcPr>
          <w:p w14:paraId="752889CF">
            <w:pPr>
              <w:spacing w:line="320" w:lineRule="exact"/>
              <w:ind w:right="34" w:rightChars="16"/>
              <w:jc w:val="center"/>
              <w:rPr>
                <w:b/>
                <w:szCs w:val="21"/>
                <w:highlight w:val="none"/>
              </w:rPr>
            </w:pPr>
            <w:r>
              <w:rPr>
                <w:rFonts w:hint="eastAsia"/>
                <w:b/>
                <w:highlight w:val="none"/>
              </w:rPr>
              <w:t>最高</w:t>
            </w:r>
          </w:p>
          <w:p w14:paraId="2F3BD2A5">
            <w:pPr>
              <w:spacing w:line="320" w:lineRule="exact"/>
              <w:ind w:right="34" w:rightChars="16"/>
              <w:jc w:val="center"/>
              <w:rPr>
                <w:b/>
                <w:szCs w:val="21"/>
                <w:highlight w:val="none"/>
              </w:rPr>
            </w:pPr>
            <w:r>
              <w:rPr>
                <w:rFonts w:hint="eastAsia"/>
                <w:b/>
                <w:highlight w:val="none"/>
              </w:rPr>
              <w:t>得分</w:t>
            </w:r>
          </w:p>
        </w:tc>
        <w:tc>
          <w:tcPr>
            <w:tcW w:w="6153" w:type="dxa"/>
            <w:tcBorders>
              <w:top w:val="single" w:color="auto" w:sz="4" w:space="0"/>
              <w:left w:val="single" w:color="auto" w:sz="4" w:space="0"/>
              <w:bottom w:val="single" w:color="auto" w:sz="4" w:space="0"/>
              <w:right w:val="single" w:color="auto" w:sz="4" w:space="0"/>
            </w:tcBorders>
            <w:vAlign w:val="center"/>
          </w:tcPr>
          <w:p w14:paraId="250CD4F1">
            <w:pPr>
              <w:spacing w:line="320" w:lineRule="exact"/>
              <w:ind w:right="34" w:rightChars="16"/>
              <w:jc w:val="center"/>
              <w:rPr>
                <w:b/>
                <w:szCs w:val="21"/>
                <w:highlight w:val="none"/>
              </w:rPr>
            </w:pPr>
            <w:r>
              <w:rPr>
                <w:rFonts w:hint="eastAsia"/>
                <w:b/>
                <w:highlight w:val="none"/>
              </w:rPr>
              <w:t>评分标准</w:t>
            </w:r>
          </w:p>
        </w:tc>
      </w:tr>
      <w:tr w14:paraId="392289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78" w:hRule="atLeast"/>
          <w:jc w:val="center"/>
        </w:trPr>
        <w:tc>
          <w:tcPr>
            <w:tcW w:w="845" w:type="dxa"/>
            <w:vMerge w:val="restart"/>
            <w:tcBorders>
              <w:top w:val="single" w:color="auto" w:sz="4" w:space="0"/>
              <w:left w:val="single" w:color="auto" w:sz="4" w:space="0"/>
              <w:right w:val="single" w:color="auto" w:sz="4" w:space="0"/>
            </w:tcBorders>
            <w:vAlign w:val="center"/>
          </w:tcPr>
          <w:p w14:paraId="786E87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highlight w:val="none"/>
                <w:lang w:eastAsia="zh-CN"/>
              </w:rPr>
            </w:pPr>
            <w:r>
              <w:rPr>
                <w:rFonts w:hint="eastAsia" w:ascii="宋体"/>
                <w:highlight w:val="none"/>
              </w:rPr>
              <w:t>技术标</w:t>
            </w:r>
          </w:p>
        </w:tc>
        <w:tc>
          <w:tcPr>
            <w:tcW w:w="520" w:type="dxa"/>
            <w:vMerge w:val="restart"/>
            <w:tcBorders>
              <w:top w:val="single" w:color="auto" w:sz="4" w:space="0"/>
              <w:left w:val="single" w:color="auto" w:sz="4" w:space="0"/>
              <w:right w:val="single" w:color="auto" w:sz="4" w:space="0"/>
            </w:tcBorders>
            <w:vAlign w:val="center"/>
          </w:tcPr>
          <w:p w14:paraId="435CD8A8">
            <w:pPr>
              <w:spacing w:line="440" w:lineRule="exact"/>
              <w:jc w:val="center"/>
              <w:rPr>
                <w:rFonts w:hint="default" w:ascii="宋体" w:eastAsia="宋体"/>
                <w:highlight w:val="none"/>
                <w:lang w:val="en-US" w:eastAsia="zh-CN"/>
              </w:rPr>
            </w:pPr>
            <w:r>
              <w:rPr>
                <w:rFonts w:hint="eastAsia" w:ascii="宋体"/>
                <w:highlight w:val="none"/>
                <w:lang w:val="en-US" w:eastAsia="zh-CN"/>
              </w:rPr>
              <w:t>100</w:t>
            </w:r>
          </w:p>
        </w:tc>
        <w:tc>
          <w:tcPr>
            <w:tcW w:w="970" w:type="dxa"/>
            <w:tcBorders>
              <w:top w:val="single" w:color="auto" w:sz="4" w:space="0"/>
              <w:left w:val="single" w:color="auto" w:sz="4" w:space="0"/>
              <w:right w:val="single" w:color="auto" w:sz="4" w:space="0"/>
            </w:tcBorders>
            <w:vAlign w:val="center"/>
          </w:tcPr>
          <w:p w14:paraId="3698427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维保服务核心技术方案</w:t>
            </w:r>
          </w:p>
        </w:tc>
        <w:tc>
          <w:tcPr>
            <w:tcW w:w="650" w:type="dxa"/>
            <w:tcBorders>
              <w:top w:val="single" w:color="auto" w:sz="4" w:space="0"/>
              <w:left w:val="single" w:color="auto" w:sz="4" w:space="0"/>
              <w:bottom w:val="single" w:color="auto" w:sz="4" w:space="0"/>
              <w:right w:val="single" w:color="auto" w:sz="4" w:space="0"/>
            </w:tcBorders>
            <w:vAlign w:val="center"/>
          </w:tcPr>
          <w:p w14:paraId="323A99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ighlight w:val="none"/>
                <w:lang w:val="en-US" w:eastAsia="zh-CN"/>
              </w:rPr>
            </w:pPr>
            <w:r>
              <w:rPr>
                <w:rFonts w:hint="eastAsia" w:ascii="宋体"/>
                <w:highlight w:val="none"/>
                <w:lang w:val="en-US" w:eastAsia="zh-CN"/>
              </w:rPr>
              <w:t>50</w:t>
            </w:r>
            <w:r>
              <w:rPr>
                <w:rFonts w:hint="eastAsia" w:ascii="宋体"/>
                <w:highlight w:val="none"/>
              </w:rPr>
              <w:t>分</w:t>
            </w:r>
          </w:p>
        </w:tc>
        <w:tc>
          <w:tcPr>
            <w:tcW w:w="6153" w:type="dxa"/>
            <w:tcBorders>
              <w:top w:val="single" w:color="auto" w:sz="4" w:space="0"/>
              <w:left w:val="single" w:color="auto" w:sz="4" w:space="0"/>
              <w:bottom w:val="single" w:color="auto" w:sz="4" w:space="0"/>
              <w:right w:val="single" w:color="auto" w:sz="4" w:space="0"/>
            </w:tcBorders>
            <w:vAlign w:val="center"/>
          </w:tcPr>
          <w:p w14:paraId="5AB3696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所投空调维保服务方案、技术流程满足招标文件要求得 40 分；每一项维保技术标准、服务流程优于招标文件的加 1 分，最高加 10 分；每一项维保技术标准、服务流程低于招标文件的减 1 分，减完为止。</w:t>
            </w:r>
          </w:p>
        </w:tc>
      </w:tr>
      <w:tr w14:paraId="355F53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845" w:type="dxa"/>
            <w:vMerge w:val="continue"/>
            <w:tcBorders>
              <w:left w:val="single" w:color="auto" w:sz="4" w:space="0"/>
              <w:right w:val="single" w:color="auto" w:sz="4" w:space="0"/>
            </w:tcBorders>
            <w:vAlign w:val="center"/>
          </w:tcPr>
          <w:p w14:paraId="420C60BA">
            <w:pPr>
              <w:widowControl/>
              <w:jc w:val="center"/>
              <w:rPr>
                <w:rFonts w:ascii="宋体"/>
                <w:highlight w:val="none"/>
              </w:rPr>
            </w:pPr>
          </w:p>
        </w:tc>
        <w:tc>
          <w:tcPr>
            <w:tcW w:w="520" w:type="dxa"/>
            <w:vMerge w:val="continue"/>
            <w:tcBorders>
              <w:left w:val="single" w:color="auto" w:sz="4" w:space="0"/>
              <w:right w:val="single" w:color="auto" w:sz="4" w:space="0"/>
            </w:tcBorders>
            <w:vAlign w:val="center"/>
          </w:tcPr>
          <w:p w14:paraId="6FE7A64B">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4BD98F2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lang w:val="en-US" w:eastAsia="zh-CN"/>
              </w:rPr>
              <w:t>通用技术要求</w:t>
            </w:r>
          </w:p>
        </w:tc>
        <w:tc>
          <w:tcPr>
            <w:tcW w:w="650" w:type="dxa"/>
            <w:tcBorders>
              <w:top w:val="single" w:color="auto" w:sz="4" w:space="0"/>
              <w:left w:val="single" w:color="auto" w:sz="4" w:space="0"/>
              <w:bottom w:val="nil"/>
              <w:right w:val="single" w:color="auto" w:sz="4" w:space="0"/>
            </w:tcBorders>
            <w:vAlign w:val="center"/>
          </w:tcPr>
          <w:p w14:paraId="4894AA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rPr>
            </w:pPr>
            <w:r>
              <w:rPr>
                <w:rFonts w:hint="eastAsia" w:ascii="宋体"/>
                <w:highlight w:val="none"/>
                <w:lang w:val="en-US" w:eastAsia="zh-CN"/>
              </w:rPr>
              <w:t>1</w:t>
            </w:r>
            <w:r>
              <w:rPr>
                <w:rFonts w:hint="eastAsia" w:ascii="宋体"/>
                <w:highlight w:val="none"/>
              </w:rPr>
              <w:t>4分</w:t>
            </w:r>
          </w:p>
        </w:tc>
        <w:tc>
          <w:tcPr>
            <w:tcW w:w="6153" w:type="dxa"/>
            <w:tcBorders>
              <w:top w:val="single" w:color="auto" w:sz="4" w:space="0"/>
              <w:left w:val="single" w:color="auto" w:sz="4" w:space="0"/>
              <w:bottom w:val="nil"/>
              <w:right w:val="single" w:color="auto" w:sz="4" w:space="0"/>
            </w:tcBorders>
            <w:vAlign w:val="center"/>
          </w:tcPr>
          <w:p w14:paraId="0A63E54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投标文件中提供完整的空调维保作业指导书、服务参数对照表、从业人员资质证书、设备检测校验报告等资料得 8 分，缺一项关键资料减 2 分，减完为止。维保工具、检测设备具备国家 / 行业检测认证，提供有效认证证书，每项认证得 1 分，最多得 4 分。维保作业符合国家节能、安全规范标准，提供相关证明材料得 2 分，无证明材料不得分。</w:t>
            </w:r>
          </w:p>
        </w:tc>
      </w:tr>
      <w:tr w14:paraId="45D17A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845" w:type="dxa"/>
            <w:vMerge w:val="continue"/>
            <w:tcBorders>
              <w:left w:val="single" w:color="auto" w:sz="4" w:space="0"/>
              <w:right w:val="single" w:color="auto" w:sz="4" w:space="0"/>
            </w:tcBorders>
            <w:vAlign w:val="center"/>
          </w:tcPr>
          <w:p w14:paraId="2519AB87">
            <w:pPr>
              <w:widowControl/>
              <w:jc w:val="center"/>
              <w:rPr>
                <w:rFonts w:ascii="宋体"/>
                <w:highlight w:val="none"/>
              </w:rPr>
            </w:pPr>
          </w:p>
        </w:tc>
        <w:tc>
          <w:tcPr>
            <w:tcW w:w="520" w:type="dxa"/>
            <w:vMerge w:val="continue"/>
            <w:tcBorders>
              <w:left w:val="single" w:color="auto" w:sz="4" w:space="0"/>
              <w:right w:val="single" w:color="auto" w:sz="4" w:space="0"/>
            </w:tcBorders>
            <w:vAlign w:val="center"/>
          </w:tcPr>
          <w:p w14:paraId="64D61CCD">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40390B3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ascii="宋体" w:hAnsi="宋体" w:eastAsia="宋体" w:cs="宋体"/>
                <w:sz w:val="24"/>
                <w:szCs w:val="24"/>
                <w:highlight w:val="none"/>
              </w:rPr>
              <w:t>维保质量及保障措施</w:t>
            </w:r>
          </w:p>
        </w:tc>
        <w:tc>
          <w:tcPr>
            <w:tcW w:w="650" w:type="dxa"/>
            <w:tcBorders>
              <w:top w:val="single" w:color="auto" w:sz="4" w:space="0"/>
              <w:left w:val="single" w:color="auto" w:sz="4" w:space="0"/>
              <w:bottom w:val="nil"/>
              <w:right w:val="single" w:color="auto" w:sz="4" w:space="0"/>
            </w:tcBorders>
            <w:vAlign w:val="center"/>
          </w:tcPr>
          <w:p w14:paraId="1937BC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rPr>
            </w:pPr>
            <w:r>
              <w:rPr>
                <w:rFonts w:hint="eastAsia" w:ascii="宋体"/>
                <w:highlight w:val="none"/>
              </w:rPr>
              <w:t>6分</w:t>
            </w:r>
          </w:p>
        </w:tc>
        <w:tc>
          <w:tcPr>
            <w:tcW w:w="6153" w:type="dxa"/>
            <w:tcBorders>
              <w:top w:val="single" w:color="auto" w:sz="4" w:space="0"/>
              <w:left w:val="single" w:color="auto" w:sz="4" w:space="0"/>
              <w:bottom w:val="nil"/>
              <w:right w:val="single" w:color="auto" w:sz="4" w:space="0"/>
            </w:tcBorders>
            <w:vAlign w:val="center"/>
          </w:tcPr>
          <w:p w14:paraId="0A5A509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空调维保质量管控体系完善、故障排查修复能力强，服务口碑稳定，具备标准化维保质控流程、全流程质量追溯保障措施的酌情得 1-6 分。</w:t>
            </w:r>
          </w:p>
        </w:tc>
      </w:tr>
      <w:tr w14:paraId="3E2702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295" w:hRule="atLeast"/>
          <w:jc w:val="center"/>
        </w:trPr>
        <w:tc>
          <w:tcPr>
            <w:tcW w:w="845" w:type="dxa"/>
            <w:vMerge w:val="continue"/>
            <w:tcBorders>
              <w:left w:val="single" w:color="auto" w:sz="4" w:space="0"/>
              <w:right w:val="single" w:color="auto" w:sz="4" w:space="0"/>
            </w:tcBorders>
            <w:vAlign w:val="center"/>
          </w:tcPr>
          <w:p w14:paraId="1057760D">
            <w:pPr>
              <w:widowControl/>
              <w:jc w:val="center"/>
              <w:rPr>
                <w:rFonts w:ascii="宋体"/>
                <w:highlight w:val="none"/>
              </w:rPr>
            </w:pPr>
          </w:p>
        </w:tc>
        <w:tc>
          <w:tcPr>
            <w:tcW w:w="520" w:type="dxa"/>
            <w:vMerge w:val="continue"/>
            <w:tcBorders>
              <w:left w:val="single" w:color="auto" w:sz="4" w:space="0"/>
              <w:right w:val="single" w:color="auto" w:sz="4" w:space="0"/>
            </w:tcBorders>
            <w:vAlign w:val="center"/>
          </w:tcPr>
          <w:p w14:paraId="065889BF">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701584C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ascii="宋体" w:hAnsi="宋体" w:eastAsia="宋体" w:cs="宋体"/>
                <w:sz w:val="24"/>
                <w:szCs w:val="24"/>
                <w:highlight w:val="none"/>
              </w:rPr>
              <w:t>维保服务周期响应时效</w:t>
            </w:r>
          </w:p>
        </w:tc>
        <w:tc>
          <w:tcPr>
            <w:tcW w:w="650" w:type="dxa"/>
            <w:tcBorders>
              <w:top w:val="single" w:color="auto" w:sz="4" w:space="0"/>
              <w:left w:val="single" w:color="auto" w:sz="4" w:space="0"/>
              <w:bottom w:val="nil"/>
              <w:right w:val="single" w:color="auto" w:sz="4" w:space="0"/>
            </w:tcBorders>
            <w:vAlign w:val="center"/>
          </w:tcPr>
          <w:p w14:paraId="2C559B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rPr>
            </w:pPr>
            <w:r>
              <w:rPr>
                <w:rFonts w:hint="eastAsia" w:ascii="宋体"/>
                <w:highlight w:val="none"/>
              </w:rPr>
              <w:t>6分</w:t>
            </w:r>
          </w:p>
        </w:tc>
        <w:tc>
          <w:tcPr>
            <w:tcW w:w="6153" w:type="dxa"/>
            <w:tcBorders>
              <w:top w:val="single" w:color="auto" w:sz="4" w:space="0"/>
              <w:left w:val="single" w:color="auto" w:sz="4" w:space="0"/>
              <w:bottom w:val="nil"/>
              <w:right w:val="single" w:color="auto" w:sz="4" w:space="0"/>
            </w:tcBorders>
            <w:vAlign w:val="center"/>
          </w:tcPr>
          <w:p w14:paraId="147F130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响应维保周期基本要求得基本分 2 分；能提供详细的年度维保排期计划、24 小时应急抢修保障方案，有详细缩短故障处置时长、保障设备稳定运行的专项措施及佐证材料，根据实际情况酌情得 1-4 分。</w:t>
            </w:r>
          </w:p>
        </w:tc>
      </w:tr>
      <w:tr w14:paraId="082C71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B0C62D6">
            <w:pPr>
              <w:widowControl/>
              <w:jc w:val="center"/>
              <w:rPr>
                <w:rFonts w:ascii="宋体"/>
                <w:highlight w:val="none"/>
              </w:rPr>
            </w:pPr>
          </w:p>
        </w:tc>
        <w:tc>
          <w:tcPr>
            <w:tcW w:w="520" w:type="dxa"/>
            <w:vMerge w:val="continue"/>
            <w:tcBorders>
              <w:left w:val="single" w:color="auto" w:sz="4" w:space="0"/>
              <w:bottom w:val="single" w:color="auto" w:sz="4" w:space="0"/>
              <w:right w:val="single" w:color="auto" w:sz="4" w:space="0"/>
            </w:tcBorders>
            <w:vAlign w:val="center"/>
          </w:tcPr>
          <w:p w14:paraId="77855678">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6037C5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lang w:val="en-US" w:eastAsia="zh-CN"/>
              </w:rPr>
            </w:pPr>
            <w:r>
              <w:rPr>
                <w:rFonts w:ascii="宋体" w:hAnsi="宋体" w:eastAsia="宋体" w:cs="宋体"/>
                <w:sz w:val="24"/>
                <w:szCs w:val="24"/>
                <w:highlight w:val="none"/>
              </w:rPr>
              <w:t>类似维保业绩</w:t>
            </w:r>
          </w:p>
        </w:tc>
        <w:tc>
          <w:tcPr>
            <w:tcW w:w="650" w:type="dxa"/>
            <w:tcBorders>
              <w:top w:val="single" w:color="auto" w:sz="4" w:space="0"/>
              <w:left w:val="single" w:color="auto" w:sz="4" w:space="0"/>
              <w:bottom w:val="nil"/>
              <w:right w:val="single" w:color="auto" w:sz="4" w:space="0"/>
            </w:tcBorders>
            <w:vAlign w:val="center"/>
          </w:tcPr>
          <w:p w14:paraId="0D951F0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lang w:val="en-US" w:eastAsia="zh-CN"/>
              </w:rPr>
            </w:pPr>
            <w:r>
              <w:rPr>
                <w:rFonts w:hint="eastAsia" w:ascii="宋体"/>
                <w:highlight w:val="none"/>
              </w:rPr>
              <w:t>6分</w:t>
            </w:r>
          </w:p>
        </w:tc>
        <w:tc>
          <w:tcPr>
            <w:tcW w:w="6153" w:type="dxa"/>
            <w:tcBorders>
              <w:top w:val="single" w:color="auto" w:sz="4" w:space="0"/>
              <w:left w:val="single" w:color="auto" w:sz="4" w:space="0"/>
              <w:bottom w:val="nil"/>
              <w:right w:val="single" w:color="auto" w:sz="4" w:space="0"/>
            </w:tcBorders>
            <w:vAlign w:val="center"/>
          </w:tcPr>
          <w:p w14:paraId="67780B3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投标人每有一项空调维保类似业绩（签订日期为 2020 年 1 月 1 日至今），根据业绩规模、服务年限酌情得 1-6 分（必须提供合同原件，否则不得分）。</w:t>
            </w:r>
          </w:p>
        </w:tc>
      </w:tr>
      <w:tr w14:paraId="0A07A9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DE242AF">
            <w:pPr>
              <w:widowControl/>
              <w:jc w:val="center"/>
              <w:rPr>
                <w:rFonts w:ascii="宋体"/>
                <w:highlight w:val="none"/>
              </w:rPr>
            </w:pPr>
          </w:p>
        </w:tc>
        <w:tc>
          <w:tcPr>
            <w:tcW w:w="520" w:type="dxa"/>
            <w:vMerge w:val="continue"/>
            <w:tcBorders>
              <w:left w:val="single" w:color="auto" w:sz="4" w:space="0"/>
              <w:bottom w:val="single" w:color="auto" w:sz="4" w:space="0"/>
              <w:right w:val="single" w:color="auto" w:sz="4" w:space="0"/>
            </w:tcBorders>
            <w:vAlign w:val="center"/>
          </w:tcPr>
          <w:p w14:paraId="33269B14">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2E31BC4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lang w:val="en-US" w:eastAsia="zh-CN"/>
              </w:rPr>
            </w:pPr>
            <w:r>
              <w:rPr>
                <w:rFonts w:ascii="宋体" w:hAnsi="宋体" w:eastAsia="宋体" w:cs="宋体"/>
                <w:sz w:val="24"/>
                <w:szCs w:val="24"/>
                <w:highlight w:val="none"/>
              </w:rPr>
              <w:t>注册资本金及近三年营收情况等</w:t>
            </w:r>
          </w:p>
        </w:tc>
        <w:tc>
          <w:tcPr>
            <w:tcW w:w="650" w:type="dxa"/>
            <w:tcBorders>
              <w:top w:val="single" w:color="auto" w:sz="4" w:space="0"/>
              <w:left w:val="single" w:color="auto" w:sz="4" w:space="0"/>
              <w:bottom w:val="nil"/>
              <w:right w:val="single" w:color="auto" w:sz="4" w:space="0"/>
            </w:tcBorders>
            <w:vAlign w:val="center"/>
          </w:tcPr>
          <w:p w14:paraId="2FED8E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lang w:val="en-US" w:eastAsia="zh-CN"/>
              </w:rPr>
            </w:pPr>
            <w:r>
              <w:rPr>
                <w:rFonts w:hint="eastAsia" w:ascii="宋体"/>
                <w:highlight w:val="none"/>
              </w:rPr>
              <w:t>6分</w:t>
            </w:r>
          </w:p>
        </w:tc>
        <w:tc>
          <w:tcPr>
            <w:tcW w:w="6153" w:type="dxa"/>
            <w:tcBorders>
              <w:top w:val="single" w:color="auto" w:sz="4" w:space="0"/>
              <w:left w:val="single" w:color="auto" w:sz="4" w:space="0"/>
              <w:bottom w:val="nil"/>
              <w:right w:val="single" w:color="auto" w:sz="4" w:space="0"/>
            </w:tcBorders>
            <w:vAlign w:val="center"/>
          </w:tcPr>
          <w:p w14:paraId="052B5E7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1.企业注册资本金达到</w:t>
            </w:r>
            <w:r>
              <w:rPr>
                <w:rFonts w:hint="eastAsia" w:ascii="宋体"/>
                <w:highlight w:val="none"/>
                <w:lang w:val="en-US" w:eastAsia="zh-CN"/>
              </w:rPr>
              <w:t>1</w:t>
            </w:r>
            <w:r>
              <w:rPr>
                <w:rFonts w:hint="eastAsia" w:ascii="宋体"/>
                <w:highlight w:val="none"/>
              </w:rPr>
              <w:t>00万元得1分，每增加</w:t>
            </w:r>
            <w:r>
              <w:rPr>
                <w:rFonts w:hint="eastAsia" w:ascii="宋体"/>
                <w:highlight w:val="none"/>
                <w:lang w:val="en-US" w:eastAsia="zh-CN"/>
              </w:rPr>
              <w:t>2</w:t>
            </w:r>
            <w:r>
              <w:rPr>
                <w:rFonts w:hint="eastAsia" w:ascii="宋体"/>
                <w:highlight w:val="none"/>
              </w:rPr>
              <w:t>00万加0.5分，最多加3分；</w:t>
            </w:r>
          </w:p>
          <w:p w14:paraId="66A7F05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lang w:val="en-US" w:eastAsia="zh-CN"/>
              </w:rPr>
              <w:t>2.</w:t>
            </w:r>
            <w:r>
              <w:rPr>
                <w:rFonts w:hint="eastAsia" w:ascii="宋体"/>
                <w:highlight w:val="none"/>
              </w:rPr>
              <w:t>近三年营收情况等内容，根据财务报表情况，酌情得分，最多得2分。</w:t>
            </w:r>
          </w:p>
        </w:tc>
      </w:tr>
      <w:tr w14:paraId="199741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1176C2ED">
            <w:pPr>
              <w:widowControl/>
              <w:jc w:val="center"/>
              <w:rPr>
                <w:rFonts w:ascii="宋体"/>
                <w:highlight w:val="none"/>
              </w:rPr>
            </w:pPr>
          </w:p>
        </w:tc>
        <w:tc>
          <w:tcPr>
            <w:tcW w:w="520" w:type="dxa"/>
            <w:vMerge w:val="continue"/>
            <w:tcBorders>
              <w:left w:val="single" w:color="auto" w:sz="4" w:space="0"/>
              <w:bottom w:val="single" w:color="auto" w:sz="4" w:space="0"/>
              <w:right w:val="single" w:color="auto" w:sz="4" w:space="0"/>
            </w:tcBorders>
            <w:vAlign w:val="center"/>
          </w:tcPr>
          <w:p w14:paraId="373C622E">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51F8B2F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lang w:val="en-US" w:eastAsia="zh-CN"/>
              </w:rPr>
            </w:pPr>
            <w:r>
              <w:rPr>
                <w:rFonts w:hint="eastAsia" w:ascii="宋体"/>
                <w:highlight w:val="none"/>
              </w:rPr>
              <w:t>履约能力</w:t>
            </w:r>
          </w:p>
        </w:tc>
        <w:tc>
          <w:tcPr>
            <w:tcW w:w="650" w:type="dxa"/>
            <w:tcBorders>
              <w:top w:val="single" w:color="auto" w:sz="4" w:space="0"/>
              <w:left w:val="single" w:color="auto" w:sz="4" w:space="0"/>
              <w:bottom w:val="nil"/>
              <w:right w:val="single" w:color="auto" w:sz="4" w:space="0"/>
            </w:tcBorders>
            <w:vAlign w:val="center"/>
          </w:tcPr>
          <w:p w14:paraId="09D131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lang w:val="en-US" w:eastAsia="zh-CN"/>
              </w:rPr>
            </w:pPr>
            <w:r>
              <w:rPr>
                <w:rFonts w:hint="eastAsia" w:ascii="宋体"/>
                <w:highlight w:val="none"/>
                <w:lang w:val="en-US" w:eastAsia="zh-CN"/>
              </w:rPr>
              <w:t>6</w:t>
            </w:r>
            <w:r>
              <w:rPr>
                <w:rFonts w:hint="eastAsia" w:ascii="宋体"/>
                <w:highlight w:val="none"/>
              </w:rPr>
              <w:t>分</w:t>
            </w:r>
          </w:p>
        </w:tc>
        <w:tc>
          <w:tcPr>
            <w:tcW w:w="6153" w:type="dxa"/>
            <w:tcBorders>
              <w:top w:val="single" w:color="auto" w:sz="4" w:space="0"/>
              <w:left w:val="single" w:color="auto" w:sz="4" w:space="0"/>
              <w:bottom w:val="nil"/>
              <w:right w:val="single" w:color="auto" w:sz="4" w:space="0"/>
            </w:tcBorders>
            <w:vAlign w:val="center"/>
          </w:tcPr>
          <w:p w14:paraId="438DE35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视投标人综合服务实力、行业品牌影响力、本地服务网点覆盖、财务状况、维保人员配置、安全文明作业、节能环保运维方案等综合情况酌情得 1-6 分。</w:t>
            </w:r>
          </w:p>
        </w:tc>
      </w:tr>
      <w:tr w14:paraId="526F8D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6E26B301">
            <w:pPr>
              <w:widowControl/>
              <w:jc w:val="center"/>
              <w:rPr>
                <w:rFonts w:ascii="宋体"/>
                <w:highlight w:val="none"/>
              </w:rPr>
            </w:pPr>
          </w:p>
        </w:tc>
        <w:tc>
          <w:tcPr>
            <w:tcW w:w="520" w:type="dxa"/>
            <w:vMerge w:val="continue"/>
            <w:tcBorders>
              <w:left w:val="single" w:color="auto" w:sz="4" w:space="0"/>
              <w:bottom w:val="single" w:color="auto" w:sz="4" w:space="0"/>
              <w:right w:val="single" w:color="auto" w:sz="4" w:space="0"/>
            </w:tcBorders>
            <w:vAlign w:val="center"/>
          </w:tcPr>
          <w:p w14:paraId="5B9484CC">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698EA2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lang w:val="en-US" w:eastAsia="zh-CN"/>
              </w:rPr>
            </w:pPr>
            <w:r>
              <w:rPr>
                <w:rFonts w:hint="eastAsia" w:ascii="宋体"/>
                <w:highlight w:val="none"/>
              </w:rPr>
              <w:t>质保期及售后服务</w:t>
            </w:r>
          </w:p>
        </w:tc>
        <w:tc>
          <w:tcPr>
            <w:tcW w:w="650" w:type="dxa"/>
            <w:tcBorders>
              <w:top w:val="single" w:color="auto" w:sz="4" w:space="0"/>
              <w:left w:val="single" w:color="auto" w:sz="4" w:space="0"/>
              <w:bottom w:val="single" w:color="auto" w:sz="4" w:space="0"/>
              <w:right w:val="single" w:color="auto" w:sz="4" w:space="0"/>
            </w:tcBorders>
            <w:vAlign w:val="center"/>
          </w:tcPr>
          <w:p w14:paraId="097279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lang w:val="en-US" w:eastAsia="zh-CN"/>
              </w:rPr>
            </w:pPr>
            <w:r>
              <w:rPr>
                <w:rFonts w:hint="eastAsia" w:ascii="宋体"/>
                <w:highlight w:val="none"/>
                <w:lang w:val="en-US" w:eastAsia="zh-CN"/>
              </w:rPr>
              <w:t>6</w:t>
            </w:r>
            <w:r>
              <w:rPr>
                <w:rFonts w:hint="eastAsia" w:ascii="宋体"/>
                <w:highlight w:val="none"/>
              </w:rPr>
              <w:t>分</w:t>
            </w:r>
          </w:p>
        </w:tc>
        <w:tc>
          <w:tcPr>
            <w:tcW w:w="6153" w:type="dxa"/>
            <w:tcBorders>
              <w:top w:val="single" w:color="auto" w:sz="4" w:space="0"/>
              <w:left w:val="single" w:color="auto" w:sz="4" w:space="0"/>
              <w:bottom w:val="single" w:color="auto" w:sz="4" w:space="0"/>
              <w:right w:val="single" w:color="auto" w:sz="4" w:space="0"/>
            </w:tcBorders>
            <w:vAlign w:val="center"/>
          </w:tcPr>
          <w:p w14:paraId="79577B6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维保质保期满足或优于招标文件要求，售后服务措施得当，体系完整，项目所在地有相应的的售后服务能力酌情得1-</w:t>
            </w:r>
            <w:r>
              <w:rPr>
                <w:rFonts w:hint="eastAsia" w:ascii="宋体"/>
                <w:highlight w:val="none"/>
                <w:lang w:val="en-US" w:eastAsia="zh-CN"/>
              </w:rPr>
              <w:t>6</w:t>
            </w:r>
            <w:r>
              <w:rPr>
                <w:rFonts w:hint="eastAsia" w:ascii="宋体"/>
                <w:highlight w:val="none"/>
              </w:rPr>
              <w:t>分。</w:t>
            </w:r>
          </w:p>
        </w:tc>
      </w:tr>
      <w:tr w14:paraId="21AA4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799D23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szCs w:val="21"/>
                <w:highlight w:val="none"/>
                <w:lang w:eastAsia="zh-CN"/>
              </w:rPr>
            </w:pPr>
            <w:r>
              <w:rPr>
                <w:rFonts w:hint="eastAsia" w:ascii="宋体"/>
                <w:szCs w:val="21"/>
                <w:highlight w:val="none"/>
              </w:rPr>
              <w:t>商务标</w:t>
            </w:r>
          </w:p>
        </w:tc>
        <w:tc>
          <w:tcPr>
            <w:tcW w:w="520" w:type="dxa"/>
            <w:tcBorders>
              <w:top w:val="single" w:color="auto" w:sz="4" w:space="0"/>
              <w:left w:val="single" w:color="auto" w:sz="4" w:space="0"/>
              <w:bottom w:val="single" w:color="auto" w:sz="4" w:space="0"/>
              <w:right w:val="single" w:color="auto" w:sz="4" w:space="0"/>
            </w:tcBorders>
            <w:vAlign w:val="center"/>
          </w:tcPr>
          <w:p w14:paraId="1C62CC87">
            <w:pPr>
              <w:jc w:val="center"/>
              <w:rPr>
                <w:rFonts w:ascii="宋体"/>
                <w:b/>
                <w:szCs w:val="21"/>
                <w:highlight w:val="none"/>
              </w:rPr>
            </w:pPr>
            <w:r>
              <w:rPr>
                <w:rFonts w:hint="eastAsia" w:ascii="宋体"/>
                <w:highlight w:val="none"/>
                <w:lang w:val="en-US" w:eastAsia="zh-CN"/>
              </w:rPr>
              <w:t>100</w:t>
            </w:r>
          </w:p>
        </w:tc>
        <w:tc>
          <w:tcPr>
            <w:tcW w:w="970" w:type="dxa"/>
            <w:tcBorders>
              <w:top w:val="single" w:color="auto" w:sz="4" w:space="0"/>
              <w:left w:val="single" w:color="auto" w:sz="4" w:space="0"/>
              <w:bottom w:val="single" w:color="auto" w:sz="4" w:space="0"/>
              <w:right w:val="single" w:color="auto" w:sz="4" w:space="0"/>
            </w:tcBorders>
            <w:vAlign w:val="center"/>
          </w:tcPr>
          <w:p w14:paraId="154D28CB">
            <w:pPr>
              <w:jc w:val="center"/>
              <w:rPr>
                <w:rFonts w:ascii="宋体"/>
                <w:b/>
                <w:szCs w:val="21"/>
                <w:highlight w:val="none"/>
              </w:rPr>
            </w:pPr>
            <w:r>
              <w:rPr>
                <w:rFonts w:hint="eastAsia" w:ascii="宋体" w:hAnsi="宋体"/>
                <w:highlight w:val="none"/>
              </w:rPr>
              <w:t>投标报价</w:t>
            </w:r>
          </w:p>
        </w:tc>
        <w:tc>
          <w:tcPr>
            <w:tcW w:w="650" w:type="dxa"/>
            <w:tcBorders>
              <w:top w:val="single" w:color="auto" w:sz="4" w:space="0"/>
              <w:left w:val="single" w:color="auto" w:sz="4" w:space="0"/>
              <w:bottom w:val="single" w:color="auto" w:sz="4" w:space="0"/>
              <w:right w:val="single" w:color="auto" w:sz="4" w:space="0"/>
            </w:tcBorders>
            <w:vAlign w:val="center"/>
          </w:tcPr>
          <w:p w14:paraId="4C22ADBD">
            <w:pPr>
              <w:spacing w:line="440" w:lineRule="exact"/>
              <w:jc w:val="center"/>
              <w:rPr>
                <w:rFonts w:hint="default" w:ascii="宋体" w:hAnsi="宋体" w:eastAsia="宋体"/>
                <w:highlight w:val="none"/>
                <w:lang w:val="en-US" w:eastAsia="zh-CN"/>
              </w:rPr>
            </w:pPr>
            <w:r>
              <w:rPr>
                <w:rFonts w:hint="eastAsia" w:ascii="宋体"/>
                <w:highlight w:val="none"/>
                <w:lang w:val="en-US" w:eastAsia="zh-CN"/>
              </w:rPr>
              <w:t>100</w:t>
            </w:r>
          </w:p>
        </w:tc>
        <w:tc>
          <w:tcPr>
            <w:tcW w:w="6153" w:type="dxa"/>
            <w:tcBorders>
              <w:top w:val="single" w:color="auto" w:sz="4" w:space="0"/>
              <w:left w:val="single" w:color="auto" w:sz="4" w:space="0"/>
              <w:bottom w:val="single" w:color="auto" w:sz="4" w:space="0"/>
              <w:right w:val="single" w:color="auto" w:sz="4" w:space="0"/>
            </w:tcBorders>
            <w:vAlign w:val="center"/>
          </w:tcPr>
          <w:p w14:paraId="6D1D8CA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lang w:val="en-US" w:eastAsia="zh-CN"/>
              </w:rPr>
              <w:t>技术标入围后，商务标实行低价中标</w:t>
            </w:r>
            <w:r>
              <w:rPr>
                <w:rFonts w:hint="eastAsia" w:ascii="宋体"/>
                <w:highlight w:val="none"/>
              </w:rPr>
              <w:t>。</w:t>
            </w:r>
          </w:p>
        </w:tc>
      </w:tr>
      <w:tr w14:paraId="70D663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138" w:type="dxa"/>
            <w:gridSpan w:val="5"/>
            <w:tcBorders>
              <w:top w:val="single" w:color="auto" w:sz="4" w:space="0"/>
              <w:left w:val="single" w:color="auto" w:sz="4" w:space="0"/>
              <w:bottom w:val="single" w:color="auto" w:sz="4" w:space="0"/>
              <w:right w:val="single" w:color="auto" w:sz="4" w:space="0"/>
            </w:tcBorders>
            <w:vAlign w:val="center"/>
          </w:tcPr>
          <w:p w14:paraId="24B209D3">
            <w:pPr>
              <w:rPr>
                <w:rFonts w:ascii="宋体"/>
                <w:szCs w:val="21"/>
                <w:highlight w:val="none"/>
              </w:rPr>
            </w:pPr>
            <w:r>
              <w:rPr>
                <w:rFonts w:hint="eastAsia" w:ascii="宋体" w:hAnsi="宋体"/>
                <w:highlight w:val="none"/>
              </w:rPr>
              <w:t>备注：</w:t>
            </w:r>
          </w:p>
          <w:p w14:paraId="6DF29DAE">
            <w:pPr>
              <w:rPr>
                <w:rFonts w:ascii="宋体"/>
                <w:highlight w:val="none"/>
              </w:rPr>
            </w:pPr>
            <w:r>
              <w:rPr>
                <w:rFonts w:hint="eastAsia" w:ascii="宋体" w:hAnsi="宋体"/>
                <w:highlight w:val="none"/>
              </w:rPr>
              <w:t>1、通过初审者为有效投标。</w:t>
            </w:r>
          </w:p>
          <w:p w14:paraId="39519FD1">
            <w:pPr>
              <w:rPr>
                <w:rFonts w:hint="eastAsia" w:ascii="宋体" w:eastAsia="宋体"/>
                <w:b/>
                <w:bCs/>
                <w:color w:val="FF0000"/>
                <w:sz w:val="18"/>
                <w:szCs w:val="18"/>
                <w:highlight w:val="none"/>
                <w:lang w:eastAsia="zh-CN"/>
              </w:rPr>
            </w:pPr>
            <w:r>
              <w:rPr>
                <w:rFonts w:hint="eastAsia" w:ascii="宋体" w:hAnsi="宋体"/>
                <w:highlight w:val="none"/>
              </w:rPr>
              <w:t>2、</w:t>
            </w:r>
            <w:r>
              <w:rPr>
                <w:rFonts w:hint="eastAsia" w:ascii="??" w:hAnsi="??"/>
                <w:highlight w:val="none"/>
              </w:rPr>
              <w:t>综合评价值相同的，依照价格、技术、商务、服务及其他评价内容的优先次序，根据分项评价值进行排名。</w:t>
            </w:r>
            <w:r>
              <w:rPr>
                <w:rFonts w:hint="eastAsia" w:ascii="宋体" w:hAnsi="宋体"/>
                <w:highlight w:val="none"/>
              </w:rPr>
              <w:t>若上述排名皆相同的，则由全体评委成员无记名投票，得票高者排序在前。</w:t>
            </w:r>
          </w:p>
          <w:p w14:paraId="7D34192B">
            <w:pPr>
              <w:rPr>
                <w:rFonts w:hint="eastAsia" w:ascii="宋体" w:hAnsi="宋体"/>
                <w:highlight w:val="none"/>
              </w:rPr>
            </w:pPr>
            <w:r>
              <w:rPr>
                <w:rFonts w:hint="eastAsia" w:ascii="宋体" w:hAnsi="宋体"/>
                <w:highlight w:val="none"/>
              </w:rPr>
              <w:t>3、评委打分超过得分界限或未按本方法赋分时，该评委的打分按废票处理。</w:t>
            </w:r>
          </w:p>
          <w:p w14:paraId="5B5A2EB5">
            <w:pPr>
              <w:rPr>
                <w:rFonts w:hint="eastAsia" w:ascii="宋体" w:hAnsi="宋体"/>
                <w:highlight w:val="none"/>
              </w:rPr>
            </w:pPr>
            <w:r>
              <w:rPr>
                <w:rFonts w:hint="eastAsia" w:ascii="宋体" w:hAnsi="宋体"/>
                <w:highlight w:val="none"/>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p w14:paraId="0F48381D">
            <w:pPr>
              <w:rPr>
                <w:rFonts w:hint="eastAsia" w:ascii="宋体" w:hAnsi="宋体"/>
                <w:highlight w:val="none"/>
              </w:rPr>
            </w:pPr>
            <w:r>
              <w:rPr>
                <w:rFonts w:hint="eastAsia" w:ascii="仿宋_GB2312" w:hAnsi="仿宋_GB2312" w:cs="仿宋_GB2312"/>
                <w:bCs/>
                <w:highlight w:val="none"/>
                <w:lang w:val="en-US" w:eastAsia="zh-CN"/>
              </w:rPr>
              <w:t>5、</w:t>
            </w:r>
            <w:r>
              <w:rPr>
                <w:rFonts w:hint="eastAsia" w:ascii="仿宋_GB2312" w:hAnsi="仿宋_GB2312" w:cs="仿宋_GB2312"/>
                <w:b/>
                <w:bCs w:val="0"/>
                <w:sz w:val="22"/>
                <w:szCs w:val="21"/>
                <w:highlight w:val="none"/>
                <w:lang w:val="en-US" w:eastAsia="zh-CN"/>
              </w:rPr>
              <w:t>综合最低价</w:t>
            </w:r>
            <w:r>
              <w:rPr>
                <w:rFonts w:hint="eastAsia" w:ascii="仿宋_GB2312" w:hAnsi="仿宋_GB2312" w:cs="仿宋_GB2312"/>
                <w:bCs/>
                <w:highlight w:val="none"/>
              </w:rPr>
              <w:t>；</w:t>
            </w:r>
            <w:r>
              <w:rPr>
                <w:rFonts w:hint="eastAsia" w:ascii="仿宋_GB2312" w:hAnsi="仿宋_GB2312" w:cs="仿宋_GB2312"/>
                <w:color w:val="000000"/>
                <w:szCs w:val="28"/>
                <w:highlight w:val="none"/>
                <w:lang w:val="en-US" w:eastAsia="zh-CN"/>
              </w:rPr>
              <w:t>技术标入围后，商务标实行低价中标</w:t>
            </w:r>
            <w:r>
              <w:rPr>
                <w:rFonts w:hint="eastAsia" w:ascii="仿宋_GB2312" w:hAnsi="仿宋_GB2312" w:cs="仿宋_GB2312"/>
                <w:bCs/>
                <w:highlight w:val="none"/>
              </w:rPr>
              <w:t>。</w:t>
            </w:r>
          </w:p>
        </w:tc>
      </w:tr>
    </w:tbl>
    <w:p w14:paraId="7C0A112D">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cs="Times New Roman"/>
          <w:highlight w:val="none"/>
          <w:lang w:val="en-US" w:eastAsia="zh-CN"/>
        </w:rPr>
        <w:t>定标</w:t>
      </w:r>
    </w:p>
    <w:p w14:paraId="6B705137">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highlight w:val="none"/>
          <w:lang w:eastAsia="zh-CN"/>
        </w:rPr>
      </w:pPr>
      <w:r>
        <w:rPr>
          <w:rFonts w:hint="eastAsia"/>
          <w:highlight w:val="none"/>
        </w:rPr>
        <w:t>本项目只产生</w:t>
      </w:r>
      <w:r>
        <w:rPr>
          <w:rFonts w:hint="eastAsia"/>
          <w:highlight w:val="none"/>
          <w:lang w:val="en-US" w:eastAsia="zh-CN"/>
        </w:rPr>
        <w:t>1</w:t>
      </w:r>
      <w:r>
        <w:rPr>
          <w:rFonts w:hint="eastAsia"/>
          <w:highlight w:val="none"/>
        </w:rPr>
        <w:t>个中标人。中标人签订合同前须进行最终审查。最终审查的对象</w:t>
      </w:r>
      <w:r>
        <w:rPr>
          <w:rFonts w:hint="eastAsia"/>
          <w:highlight w:val="none"/>
          <w:lang w:val="en-US" w:eastAsia="zh-CN"/>
        </w:rPr>
        <w:t>是</w:t>
      </w:r>
      <w:r>
        <w:rPr>
          <w:rFonts w:hint="eastAsia"/>
          <w:highlight w:val="none"/>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highlight w:val="none"/>
          <w:lang w:val="en-US" w:eastAsia="zh-CN"/>
        </w:rPr>
        <w:t>的</w:t>
      </w:r>
      <w:r>
        <w:rPr>
          <w:rFonts w:hint="eastAsia"/>
          <w:highlight w:val="none"/>
        </w:rPr>
        <w:t>，则本次评标作废</w:t>
      </w:r>
      <w:r>
        <w:rPr>
          <w:rFonts w:hint="eastAsia"/>
          <w:highlight w:val="none"/>
          <w:lang w:val="en-US" w:eastAsia="zh-CN"/>
        </w:rPr>
        <w:t>或变更意向中标人</w:t>
      </w:r>
      <w:r>
        <w:rPr>
          <w:rFonts w:hint="eastAsia"/>
          <w:highlight w:val="none"/>
          <w:lang w:eastAsia="zh-CN"/>
        </w:rPr>
        <w:t>。</w:t>
      </w:r>
    </w:p>
    <w:p w14:paraId="434A226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highlight w:val="none"/>
          <w:lang w:val="en-US" w:eastAsia="zh-CN"/>
        </w:rPr>
        <w:t>废标及终止招标</w:t>
      </w:r>
    </w:p>
    <w:p w14:paraId="0C3179D2">
      <w:pPr>
        <w:pStyle w:val="72"/>
        <w:keepNext w:val="0"/>
        <w:keepLines w:val="0"/>
        <w:pageBreakBefore w:val="0"/>
        <w:widowControl w:val="0"/>
        <w:numPr>
          <w:ilvl w:val="0"/>
          <w:numId w:val="23"/>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7F5A6C57">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投标人提供的有关资格、资质证明文件不合格、不真实或提供虚假投标材料；</w:t>
      </w:r>
    </w:p>
    <w:p w14:paraId="6FDED8FB">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投标人在报价有效期内撤回投标；</w:t>
      </w:r>
    </w:p>
    <w:p w14:paraId="3376C2B4">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eastAsia="zh-CN"/>
        </w:rPr>
      </w:pPr>
      <w:r>
        <w:rPr>
          <w:rFonts w:hint="eastAsia"/>
          <w:highlight w:val="none"/>
        </w:rPr>
        <w:t>在整个评标过程中，投标人有企图影响评标结果公正性的任何活动；</w:t>
      </w:r>
    </w:p>
    <w:p w14:paraId="1FD16286">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投标人以任何方式诋毁其他投标人；</w:t>
      </w:r>
    </w:p>
    <w:p w14:paraId="5179F72E">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投标人串通投标；</w:t>
      </w:r>
    </w:p>
    <w:p w14:paraId="4AFE6A78">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投标人被举报、检举，并经招标人查实无误的；</w:t>
      </w:r>
    </w:p>
    <w:p w14:paraId="34970088">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以他人名义投标或者以其他方式弄虚作假，骗取中标的；</w:t>
      </w:r>
    </w:p>
    <w:p w14:paraId="5A79DF27">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投标人负责人为同一人或者存在控股、管理关系的不同单位；</w:t>
      </w:r>
    </w:p>
    <w:p w14:paraId="3CA95BAC">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有效投标不足三家；</w:t>
      </w:r>
    </w:p>
    <w:p w14:paraId="1D2B4C1A">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不同投标人的投标文件异常一致或者投标报价呈规律性差异的；</w:t>
      </w:r>
    </w:p>
    <w:p w14:paraId="6C84FB5F">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投标人报价均超过</w:t>
      </w:r>
      <w:r>
        <w:rPr>
          <w:rFonts w:hint="eastAsia"/>
          <w:highlight w:val="none"/>
          <w:lang w:val="en-US" w:eastAsia="zh-CN"/>
        </w:rPr>
        <w:t>最高限价</w:t>
      </w:r>
      <w:r>
        <w:rPr>
          <w:rFonts w:hint="eastAsia"/>
          <w:highlight w:val="none"/>
        </w:rPr>
        <w:t>的；</w:t>
      </w:r>
    </w:p>
    <w:p w14:paraId="627A4FDE">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未按要求填报商务报价资料，对招标开展造成较大影响；</w:t>
      </w:r>
    </w:p>
    <w:p w14:paraId="720979DB">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lang w:val="en-US" w:eastAsia="zh-CN"/>
        </w:rPr>
        <w:t>未按照招标人规定的时间内在中国重汽e采通完成投标的；</w:t>
      </w:r>
    </w:p>
    <w:p w14:paraId="2A852CD1">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法律、法规规定的其他情况。</w:t>
      </w:r>
    </w:p>
    <w:p w14:paraId="215E3D0C">
      <w:pPr>
        <w:pStyle w:val="72"/>
        <w:keepNext w:val="0"/>
        <w:keepLines w:val="0"/>
        <w:pageBreakBefore w:val="0"/>
        <w:widowControl w:val="0"/>
        <w:numPr>
          <w:ilvl w:val="0"/>
          <w:numId w:val="23"/>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出现下列情形之一，招标人有权否决所有投标人的投标，并终止招标。</w:t>
      </w:r>
    </w:p>
    <w:p w14:paraId="6BC017B6">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符合条件的投标人或者对招标文件做实质响应的投标人不足三家的；</w:t>
      </w:r>
    </w:p>
    <w:p w14:paraId="4633ED60">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出现影响采购公正的违法、违规行为的；</w:t>
      </w:r>
    </w:p>
    <w:p w14:paraId="3D9449A9">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评标委员会经评审，认为所有投标都不符合招标文件要求的；</w:t>
      </w:r>
    </w:p>
    <w:p w14:paraId="1872B765">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因重大变故，采购任务取消的</w:t>
      </w:r>
      <w:bookmarkStart w:id="6" w:name="OLE_LINK25"/>
      <w:bookmarkStart w:id="7" w:name="OLE_LINK29"/>
      <w:bookmarkStart w:id="8" w:name="OLE_LINK27"/>
      <w:bookmarkStart w:id="9" w:name="OLE_LINK26"/>
      <w:bookmarkStart w:id="10" w:name="OLE_LINK28"/>
      <w:r>
        <w:rPr>
          <w:rFonts w:hint="eastAsia" w:ascii="宋体" w:hAnsi="宋体" w:eastAsia="宋体" w:cs="宋体"/>
          <w:sz w:val="21"/>
          <w:szCs w:val="21"/>
          <w:highlight w:val="none"/>
        </w:rPr>
        <w:t>；</w:t>
      </w:r>
      <w:bookmarkEnd w:id="6"/>
      <w:bookmarkEnd w:id="7"/>
      <w:bookmarkEnd w:id="8"/>
      <w:bookmarkEnd w:id="9"/>
      <w:bookmarkEnd w:id="10"/>
    </w:p>
    <w:p w14:paraId="5CD1D199">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招标人认为其他应终止招标的情形。</w:t>
      </w:r>
    </w:p>
    <w:p w14:paraId="24E6827E">
      <w:pPr>
        <w:pStyle w:val="72"/>
        <w:keepNext w:val="0"/>
        <w:keepLines w:val="0"/>
        <w:pageBreakBefore w:val="0"/>
        <w:widowControl w:val="0"/>
        <w:numPr>
          <w:ilvl w:val="0"/>
          <w:numId w:val="23"/>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3E00D4EE">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hAnsi="Courier New" w:cs="Times New Roman"/>
          <w:highlight w:val="none"/>
          <w:lang w:val="en-US" w:eastAsia="zh-CN"/>
        </w:rPr>
        <w:t>合同</w:t>
      </w:r>
      <w:r>
        <w:rPr>
          <w:rFonts w:hint="eastAsia"/>
          <w:highlight w:val="none"/>
          <w:lang w:val="en-US" w:eastAsia="zh-CN"/>
        </w:rPr>
        <w:t>签订</w:t>
      </w:r>
    </w:p>
    <w:p w14:paraId="38A4E3E0">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招标人根据评标工作小组的评标结果确定中标人，在重汽e采通平台公布中标结果，并发送中标通知。</w:t>
      </w:r>
    </w:p>
    <w:p w14:paraId="01A8757D">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中标人应该在中标通知书规定的时间、地点与招标人签订采购合同，否则按照开标后撤回投标处理。</w:t>
      </w:r>
    </w:p>
    <w:p w14:paraId="05680D5A">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b w:val="0"/>
          <w:bCs w:val="0"/>
          <w:sz w:val="21"/>
          <w:szCs w:val="21"/>
          <w:highlight w:val="none"/>
        </w:rPr>
      </w:pPr>
      <w:r>
        <w:rPr>
          <w:rFonts w:hint="eastAsia" w:ascii="宋体" w:hAnsi="宋体" w:cs="宋体"/>
          <w:b w:val="0"/>
          <w:bCs w:val="0"/>
          <w:color w:val="000000"/>
          <w:sz w:val="21"/>
          <w:szCs w:val="21"/>
          <w:highlight w:val="none"/>
        </w:rPr>
        <w:t>中标人应当按照合同约定的履约责任，在保证质量的前提下完成中标项目，不得将中标项目转包或分包给他人，否则视为违约，招标人有权解除合同。</w:t>
      </w:r>
    </w:p>
    <w:p w14:paraId="096ACE9E">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highlight w:val="none"/>
        </w:rPr>
      </w:pPr>
      <w:r>
        <w:rPr>
          <w:rFonts w:hint="eastAsia" w:ascii="宋体" w:hAnsi="宋体" w:cs="宋体"/>
          <w:b w:val="0"/>
          <w:bCs w:val="0"/>
          <w:color w:val="000000"/>
          <w:sz w:val="21"/>
          <w:szCs w:val="21"/>
          <w:highlight w:val="none"/>
        </w:rPr>
        <w:t>招标人有权指定招标人的关联单位作为合同签订人，与中标人签署相关合同，且具体权利义务以中标人与招标人的关联公司最终签署的合同为准</w:t>
      </w:r>
      <w:r>
        <w:rPr>
          <w:rFonts w:hint="eastAsia" w:ascii="宋体" w:hAnsi="宋体" w:cs="宋体"/>
          <w:b w:val="0"/>
          <w:bCs w:val="0"/>
          <w:color w:val="000000"/>
          <w:sz w:val="21"/>
          <w:szCs w:val="21"/>
          <w:highlight w:val="none"/>
          <w:lang w:eastAsia="zh-CN"/>
        </w:rPr>
        <w:t>。</w:t>
      </w:r>
    </w:p>
    <w:p w14:paraId="5591E191">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highlight w:val="none"/>
        </w:rPr>
        <w:t>中标人由于履行义务的能力或信用有严重缺陷，招标人有权取消其中标资格，招标人将从中标候选单位中依序重新确定中标人，或重新组织招标；</w:t>
      </w:r>
    </w:p>
    <w:p w14:paraId="4B1A7D9C">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highlight w:val="none"/>
        </w:rPr>
        <w:t>合同以双方最终签署的版本为准。</w:t>
      </w:r>
    </w:p>
    <w:p w14:paraId="610E8BB3">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highlight w:val="none"/>
          <w:lang w:val="en-US" w:eastAsia="zh-CN"/>
        </w:rPr>
        <w:t>交货及付款</w:t>
      </w:r>
    </w:p>
    <w:p w14:paraId="6AAC4A46">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交货地点：详见技术要求。</w:t>
      </w:r>
    </w:p>
    <w:p w14:paraId="6C8560A2">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交货方式：详见技术要求。</w:t>
      </w:r>
    </w:p>
    <w:p w14:paraId="3089FF21">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质保期：以最终签署的协议（或合同）约定为准。</w:t>
      </w:r>
    </w:p>
    <w:p w14:paraId="0CA26A1A">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default" w:ascii="仿宋_GB2312" w:hAnsi="仿宋_GB2312" w:cs="仿宋_GB2312"/>
          <w:bCs/>
          <w:highlight w:val="none"/>
          <w:lang w:val="en-US" w:eastAsia="zh-CN"/>
        </w:rPr>
      </w:pPr>
      <w:r>
        <w:rPr>
          <w:rFonts w:hint="eastAsia" w:cs="Times New Roman"/>
          <w:highlight w:val="none"/>
          <w:lang w:val="en-US" w:eastAsia="zh-CN"/>
        </w:rPr>
        <w:t>付款方式：银行转账。</w:t>
      </w:r>
    </w:p>
    <w:p w14:paraId="6043C049">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default" w:ascii="仿宋_GB2312" w:hAnsi="仿宋_GB2312" w:cs="仿宋_GB2312"/>
          <w:bCs/>
          <w:highlight w:val="none"/>
          <w:lang w:val="en-US" w:eastAsia="zh-CN"/>
        </w:rPr>
      </w:pPr>
      <w:r>
        <w:rPr>
          <w:rFonts w:hint="eastAsia" w:cs="Times New Roman"/>
          <w:highlight w:val="none"/>
          <w:lang w:val="en-US" w:eastAsia="zh-CN"/>
        </w:rPr>
        <w:t>付款节点：</w:t>
      </w:r>
    </w:p>
    <w:p w14:paraId="10BD62EF">
      <w:pPr>
        <w:keepNext w:val="0"/>
        <w:keepLines w:val="0"/>
        <w:pageBreakBefore w:val="0"/>
        <w:widowControl/>
        <w:numPr>
          <w:ilvl w:val="0"/>
          <w:numId w:val="0"/>
        </w:numPr>
        <w:suppressLineNumbers w:val="0"/>
        <w:kinsoku/>
        <w:wordWrap/>
        <w:overflowPunct/>
        <w:topLinePunct w:val="0"/>
        <w:autoSpaceDE/>
        <w:autoSpaceDN/>
        <w:bidi w:val="0"/>
        <w:spacing w:line="360" w:lineRule="auto"/>
        <w:ind w:firstLine="420" w:firstLineChars="200"/>
        <w:jc w:val="left"/>
        <w:textAlignment w:val="auto"/>
        <w:rPr>
          <w:rFonts w:hint="eastAsia" w:ascii="仿宋_GB2312" w:hAnsi="仿宋_GB2312" w:eastAsia="宋体" w:cs="仿宋_GB2312"/>
          <w:bCs/>
          <w:kern w:val="2"/>
          <w:sz w:val="21"/>
          <w:highlight w:val="none"/>
          <w:lang w:val="en-US" w:eastAsia="zh-CN" w:bidi="ar-SA"/>
        </w:rPr>
      </w:pPr>
      <w:r>
        <w:rPr>
          <w:rFonts w:hint="eastAsia" w:ascii="仿宋_GB2312" w:hAnsi="仿宋_GB2312" w:eastAsia="宋体" w:cs="仿宋_GB2312"/>
          <w:bCs/>
          <w:kern w:val="2"/>
          <w:sz w:val="21"/>
          <w:highlight w:val="none"/>
          <w:lang w:val="en-US" w:eastAsia="zh-CN" w:bidi="ar-SA"/>
        </w:rPr>
        <w:t>每次服务竣工验收合格后，双方对实际的工作量和工作内容进行签字确认后付款至服务费的90%，服务费的10%作为质保金，质保期内（1年）无质量问题后支付。工程款发票要求为增值税专用发票。因发票违规给付款方造成的增值税、所得税等损失，由开票方承担相关责任，包括但不限于税款、滞纳金、罚款及其它相关损失。</w:t>
      </w:r>
    </w:p>
    <w:p w14:paraId="6E0D7439">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ighlight w:val="none"/>
          <w:lang w:val="en-US" w:eastAsia="zh-CN"/>
        </w:rPr>
      </w:pPr>
      <w:r>
        <w:rPr>
          <w:rFonts w:hint="eastAsia"/>
          <w:highlight w:val="none"/>
          <w:lang w:val="en-US" w:eastAsia="zh-CN"/>
        </w:rPr>
        <w:t>本次招标最终解释权归中国重汽集团济南汽车部件有限公司。</w:t>
      </w:r>
    </w:p>
    <w:p w14:paraId="66BCACD8">
      <w:pPr>
        <w:pStyle w:val="76"/>
        <w:bidi w:val="0"/>
        <w:rPr>
          <w:highlight w:val="none"/>
        </w:rPr>
      </w:pPr>
    </w:p>
    <w:p w14:paraId="243FF35F">
      <w:pPr>
        <w:pStyle w:val="76"/>
        <w:bidi w:val="0"/>
        <w:rPr>
          <w:rFonts w:hint="eastAsia"/>
          <w:highlight w:val="none"/>
        </w:rPr>
      </w:pPr>
      <w:bookmarkStart w:id="11" w:name="_Toc47976607"/>
    </w:p>
    <w:p w14:paraId="362F0A00">
      <w:pPr>
        <w:pStyle w:val="76"/>
        <w:bidi w:val="0"/>
        <w:rPr>
          <w:rFonts w:hint="eastAsia"/>
          <w:highlight w:val="none"/>
        </w:rPr>
      </w:pPr>
    </w:p>
    <w:p w14:paraId="10AEFF69">
      <w:pPr>
        <w:pStyle w:val="76"/>
        <w:bidi w:val="0"/>
        <w:rPr>
          <w:rFonts w:hint="eastAsia"/>
          <w:highlight w:val="none"/>
        </w:rPr>
      </w:pPr>
    </w:p>
    <w:p w14:paraId="16F7CE97">
      <w:pPr>
        <w:pStyle w:val="76"/>
        <w:bidi w:val="0"/>
        <w:rPr>
          <w:rFonts w:hint="eastAsia"/>
          <w:highlight w:val="none"/>
        </w:rPr>
      </w:pPr>
    </w:p>
    <w:p w14:paraId="23D42FBD">
      <w:pPr>
        <w:pStyle w:val="76"/>
        <w:bidi w:val="0"/>
        <w:rPr>
          <w:rFonts w:hint="eastAsia"/>
          <w:highlight w:val="none"/>
        </w:rPr>
      </w:pPr>
    </w:p>
    <w:p w14:paraId="7307E11A">
      <w:pPr>
        <w:pStyle w:val="76"/>
        <w:bidi w:val="0"/>
        <w:rPr>
          <w:rFonts w:hint="eastAsia"/>
          <w:highlight w:val="none"/>
        </w:rPr>
      </w:pPr>
    </w:p>
    <w:p w14:paraId="3A64B4FF">
      <w:pPr>
        <w:pStyle w:val="76"/>
        <w:bidi w:val="0"/>
        <w:rPr>
          <w:rFonts w:hint="eastAsia"/>
          <w:highlight w:val="none"/>
        </w:rPr>
      </w:pPr>
    </w:p>
    <w:p w14:paraId="3F9FB118">
      <w:pPr>
        <w:pStyle w:val="76"/>
        <w:bidi w:val="0"/>
        <w:rPr>
          <w:rFonts w:hint="eastAsia"/>
          <w:highlight w:val="none"/>
        </w:rPr>
      </w:pPr>
    </w:p>
    <w:p w14:paraId="319C0962">
      <w:pPr>
        <w:pStyle w:val="76"/>
        <w:bidi w:val="0"/>
        <w:rPr>
          <w:rFonts w:hint="eastAsia"/>
          <w:highlight w:val="none"/>
        </w:rPr>
      </w:pPr>
    </w:p>
    <w:p w14:paraId="26981F33">
      <w:pPr>
        <w:rPr>
          <w:rFonts w:hint="eastAsia"/>
          <w:highlight w:val="none"/>
        </w:rPr>
      </w:pPr>
    </w:p>
    <w:p w14:paraId="1D3BF604">
      <w:pPr>
        <w:rPr>
          <w:rFonts w:hint="eastAsia"/>
          <w:highlight w:val="none"/>
        </w:rPr>
      </w:pPr>
      <w:r>
        <w:rPr>
          <w:rFonts w:hint="eastAsia"/>
          <w:highlight w:val="none"/>
        </w:rPr>
        <w:br w:type="page"/>
      </w:r>
    </w:p>
    <w:p w14:paraId="66D8E76B">
      <w:pPr>
        <w:pStyle w:val="71"/>
        <w:rPr>
          <w:rFonts w:hint="eastAsia" w:cs="Times New Roman"/>
          <w:highlight w:val="none"/>
        </w:rPr>
      </w:pPr>
      <w:bookmarkStart w:id="12" w:name="_Toc16839"/>
      <w:r>
        <w:rPr>
          <w:rFonts w:hint="eastAsia" w:cs="Times New Roman"/>
          <w:highlight w:val="none"/>
        </w:rPr>
        <w:t>第二部分　</w:t>
      </w:r>
      <w:bookmarkEnd w:id="11"/>
      <w:bookmarkEnd w:id="12"/>
      <w:r>
        <w:rPr>
          <w:rFonts w:hint="eastAsia" w:cs="Times New Roman"/>
          <w:highlight w:val="none"/>
        </w:rPr>
        <w:t>技术要求</w:t>
      </w:r>
    </w:p>
    <w:p w14:paraId="3D669F3D">
      <w:pPr>
        <w:keepNext/>
        <w:keepLines/>
        <w:spacing w:before="120" w:after="120" w:line="440" w:lineRule="exact"/>
        <w:jc w:val="center"/>
        <w:outlineLvl w:val="1"/>
        <w:rPr>
          <w:rFonts w:ascii="宋体" w:hAnsi="宋体"/>
          <w:b/>
          <w:bCs/>
          <w:sz w:val="24"/>
          <w:szCs w:val="24"/>
          <w:highlight w:val="none"/>
        </w:rPr>
      </w:pPr>
      <w:bookmarkStart w:id="13" w:name="_Toc169605878"/>
      <w:r>
        <w:rPr>
          <w:rFonts w:hint="eastAsia" w:ascii="宋体" w:hAnsi="宋体"/>
          <w:b/>
          <w:bCs/>
          <w:sz w:val="24"/>
          <w:szCs w:val="24"/>
          <w:highlight w:val="none"/>
        </w:rPr>
        <w:t>第一节  采购货物使用环境</w:t>
      </w:r>
      <w:bookmarkEnd w:id="13"/>
    </w:p>
    <w:p w14:paraId="73DEEE75">
      <w:pPr>
        <w:spacing w:line="440" w:lineRule="exact"/>
        <w:ind w:firstLine="480" w:firstLineChars="200"/>
        <w:rPr>
          <w:rFonts w:hint="eastAsia" w:ascii="宋体" w:hAnsi="宋体"/>
          <w:sz w:val="24"/>
          <w:szCs w:val="24"/>
          <w:highlight w:val="none"/>
          <w:u w:val="single"/>
        </w:rPr>
      </w:pPr>
      <w:r>
        <w:rPr>
          <w:rFonts w:hint="eastAsia" w:ascii="宋体" w:hAnsi="宋体" w:cs="宋体"/>
          <w:sz w:val="24"/>
          <w:szCs w:val="24"/>
          <w:highlight w:val="none"/>
        </w:rPr>
        <w:t>一、项目名称：</w:t>
      </w:r>
      <w:r>
        <w:rPr>
          <w:rFonts w:hint="eastAsia" w:ascii="宋体" w:hAnsi="宋体" w:cs="宋体"/>
          <w:sz w:val="24"/>
          <w:szCs w:val="24"/>
          <w:highlight w:val="none"/>
          <w:u w:val="single"/>
          <w:lang w:val="en-US" w:eastAsia="zh-CN"/>
        </w:rPr>
        <w:t>多联机空调维保项目</w:t>
      </w:r>
    </w:p>
    <w:p w14:paraId="6972C929">
      <w:pPr>
        <w:spacing w:line="44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二、建设地点：</w:t>
      </w:r>
      <w:r>
        <w:rPr>
          <w:rFonts w:hint="eastAsia" w:ascii="宋体" w:hAnsi="宋体" w:cs="宋体"/>
          <w:sz w:val="24"/>
          <w:szCs w:val="24"/>
          <w:highlight w:val="none"/>
          <w:u w:val="single"/>
        </w:rPr>
        <w:t xml:space="preserve">中国重汽集团济南汽车部件有限公司 </w:t>
      </w:r>
    </w:p>
    <w:p w14:paraId="36F105B0">
      <w:pPr>
        <w:spacing w:line="440" w:lineRule="exact"/>
        <w:ind w:firstLine="480" w:firstLineChars="200"/>
        <w:rPr>
          <w:rFonts w:hint="eastAsia" w:ascii="宋体" w:hAnsi="宋体" w:cs="宋体"/>
          <w:sz w:val="24"/>
          <w:szCs w:val="24"/>
          <w:highlight w:val="none"/>
          <w:u w:val="single"/>
          <w:lang w:val="en-US" w:eastAsia="zh-CN"/>
        </w:rPr>
      </w:pPr>
      <w:r>
        <w:rPr>
          <w:rFonts w:hint="eastAsia" w:ascii="宋体" w:hAnsi="宋体" w:cs="宋体"/>
          <w:sz w:val="24"/>
          <w:szCs w:val="24"/>
          <w:highlight w:val="none"/>
        </w:rPr>
        <w:t>三、使用地点：</w:t>
      </w:r>
      <w:r>
        <w:rPr>
          <w:rFonts w:hint="eastAsia" w:ascii="宋体" w:hAnsi="宋体" w:cs="宋体"/>
          <w:sz w:val="24"/>
          <w:szCs w:val="24"/>
          <w:highlight w:val="none"/>
          <w:u w:val="single"/>
          <w:lang w:val="en-US" w:eastAsia="zh-CN"/>
        </w:rPr>
        <w:t>餐厅</w:t>
      </w:r>
    </w:p>
    <w:p w14:paraId="3DA517D9">
      <w:pPr>
        <w:adjustRightInd w:val="0"/>
        <w:snapToGrid w:val="0"/>
        <w:spacing w:line="440" w:lineRule="exact"/>
        <w:ind w:firstLine="480" w:firstLineChars="200"/>
        <w:rPr>
          <w:rFonts w:ascii="宋体" w:hAnsi="宋体" w:cs="宋体"/>
          <w:sz w:val="24"/>
          <w:szCs w:val="24"/>
          <w:highlight w:val="none"/>
        </w:rPr>
      </w:pPr>
      <w:r>
        <w:rPr>
          <w:rFonts w:hint="eastAsia" w:ascii="宋体" w:hAnsi="宋体" w:cs="宋体"/>
          <w:sz w:val="24"/>
          <w:szCs w:val="24"/>
          <w:highlight w:val="none"/>
        </w:rPr>
        <w:t>四、工作制度：</w:t>
      </w:r>
      <w:r>
        <w:rPr>
          <w:rFonts w:hint="eastAsia" w:ascii="宋体" w:hAnsi="宋体" w:cs="宋体"/>
          <w:sz w:val="24"/>
          <w:szCs w:val="24"/>
          <w:highlight w:val="none"/>
          <w:lang w:val="en-US" w:eastAsia="zh-CN"/>
        </w:rPr>
        <w:t>多联机空调在冬季、夏季开放</w:t>
      </w:r>
      <w:r>
        <w:rPr>
          <w:rFonts w:hint="eastAsia" w:ascii="宋体" w:hAnsi="宋体" w:cs="宋体"/>
          <w:sz w:val="24"/>
          <w:szCs w:val="24"/>
          <w:highlight w:val="none"/>
        </w:rPr>
        <w:t>。</w:t>
      </w:r>
    </w:p>
    <w:p w14:paraId="2A3EE7B8">
      <w:pPr>
        <w:spacing w:line="440" w:lineRule="exact"/>
        <w:ind w:firstLine="480" w:firstLineChars="200"/>
        <w:rPr>
          <w:rFonts w:ascii="宋体" w:hAnsi="宋体" w:cs="宋体"/>
          <w:sz w:val="24"/>
          <w:szCs w:val="24"/>
          <w:highlight w:val="none"/>
        </w:rPr>
      </w:pPr>
      <w:r>
        <w:rPr>
          <w:rFonts w:hint="eastAsia" w:ascii="宋体" w:hAnsi="宋体" w:cs="宋体"/>
          <w:sz w:val="24"/>
          <w:szCs w:val="24"/>
          <w:highlight w:val="none"/>
        </w:rPr>
        <w:t>五、使用地点区域自然环境：</w:t>
      </w:r>
    </w:p>
    <w:p w14:paraId="5B318AE6">
      <w:pPr>
        <w:spacing w:line="440" w:lineRule="exact"/>
        <w:ind w:firstLine="720" w:firstLineChars="300"/>
        <w:rPr>
          <w:rFonts w:ascii="宋体" w:hAnsi="宋体" w:cs="宋体"/>
          <w:sz w:val="24"/>
          <w:szCs w:val="24"/>
          <w:highlight w:val="none"/>
        </w:rPr>
      </w:pPr>
      <w:r>
        <w:rPr>
          <w:rFonts w:hint="eastAsia" w:ascii="宋体" w:hAnsi="宋体" w:cs="宋体"/>
          <w:sz w:val="24"/>
          <w:szCs w:val="24"/>
          <w:highlight w:val="none"/>
        </w:rPr>
        <w:t>1、海拨高度：1000m及以下。</w:t>
      </w:r>
    </w:p>
    <w:p w14:paraId="5FC9AA8F">
      <w:pPr>
        <w:adjustRightInd w:val="0"/>
        <w:snapToGrid w:val="0"/>
        <w:spacing w:line="440" w:lineRule="exact"/>
        <w:ind w:firstLine="720" w:firstLineChars="300"/>
        <w:rPr>
          <w:rFonts w:ascii="宋体" w:hAnsi="宋体" w:cs="宋体"/>
          <w:bCs/>
          <w:sz w:val="24"/>
          <w:szCs w:val="24"/>
          <w:highlight w:val="none"/>
        </w:rPr>
      </w:pPr>
      <w:r>
        <w:rPr>
          <w:rFonts w:hint="eastAsia" w:ascii="宋体" w:hAnsi="宋体" w:cs="宋体"/>
          <w:sz w:val="24"/>
          <w:szCs w:val="24"/>
          <w:highlight w:val="none"/>
        </w:rPr>
        <w:t>2、环境温度：-10℃～+45℃</w:t>
      </w:r>
      <w:r>
        <w:rPr>
          <w:rFonts w:hint="eastAsia" w:ascii="宋体" w:hAnsi="宋体" w:cs="宋体"/>
          <w:bCs/>
          <w:sz w:val="24"/>
          <w:szCs w:val="24"/>
          <w:highlight w:val="none"/>
        </w:rPr>
        <w:t>。</w:t>
      </w:r>
    </w:p>
    <w:p w14:paraId="284837BB">
      <w:pPr>
        <w:adjustRightInd w:val="0"/>
        <w:snapToGrid w:val="0"/>
        <w:spacing w:line="440" w:lineRule="exact"/>
        <w:ind w:firstLine="720" w:firstLineChars="300"/>
        <w:rPr>
          <w:rFonts w:ascii="宋体" w:hAnsi="宋体" w:cs="宋体"/>
          <w:sz w:val="24"/>
          <w:szCs w:val="24"/>
          <w:highlight w:val="none"/>
        </w:rPr>
      </w:pPr>
      <w:r>
        <w:rPr>
          <w:rFonts w:hint="eastAsia" w:ascii="宋体" w:hAnsi="宋体" w:cs="宋体"/>
          <w:sz w:val="24"/>
          <w:szCs w:val="24"/>
          <w:highlight w:val="none"/>
        </w:rPr>
        <w:t>3、相对湿度：年平均59%，</w:t>
      </w:r>
      <w:r>
        <w:rPr>
          <w:rFonts w:hint="eastAsia" w:ascii="宋体" w:hAnsi="宋体" w:cs="宋体"/>
          <w:bCs/>
          <w:sz w:val="24"/>
          <w:szCs w:val="24"/>
          <w:highlight w:val="none"/>
        </w:rPr>
        <w:t>最大95%、最小15%。</w:t>
      </w:r>
    </w:p>
    <w:p w14:paraId="0AEA4D8F">
      <w:pPr>
        <w:spacing w:line="440" w:lineRule="exact"/>
        <w:ind w:firstLine="480"/>
        <w:rPr>
          <w:rFonts w:ascii="宋体" w:hAnsi="宋体" w:cs="宋体"/>
          <w:sz w:val="24"/>
          <w:szCs w:val="24"/>
          <w:highlight w:val="none"/>
        </w:rPr>
      </w:pPr>
      <w:r>
        <w:rPr>
          <w:rFonts w:hint="eastAsia" w:ascii="宋体" w:hAnsi="宋体" w:cs="宋体"/>
          <w:sz w:val="24"/>
          <w:szCs w:val="24"/>
          <w:highlight w:val="none"/>
        </w:rPr>
        <w:t xml:space="preserve">六、能源环境： </w:t>
      </w:r>
    </w:p>
    <w:p w14:paraId="6F50DECC">
      <w:pPr>
        <w:spacing w:line="440" w:lineRule="exact"/>
        <w:ind w:firstLine="720" w:firstLineChars="300"/>
        <w:rPr>
          <w:rFonts w:ascii="宋体" w:hAnsi="宋体"/>
          <w:sz w:val="24"/>
          <w:szCs w:val="24"/>
          <w:highlight w:val="none"/>
        </w:rPr>
      </w:pPr>
      <w:r>
        <w:rPr>
          <w:rFonts w:hint="eastAsia" w:ascii="宋体" w:hAnsi="宋体"/>
          <w:sz w:val="24"/>
          <w:szCs w:val="24"/>
          <w:highlight w:val="none"/>
        </w:rPr>
        <w:t>1、电力：中国制式，供电电压</w:t>
      </w:r>
      <w:r>
        <w:rPr>
          <w:rFonts w:ascii="宋体" w:hAnsi="宋体"/>
          <w:sz w:val="24"/>
          <w:szCs w:val="24"/>
          <w:highlight w:val="none"/>
        </w:rPr>
        <w:t>380V</w:t>
      </w:r>
      <w:r>
        <w:rPr>
          <w:rFonts w:hint="eastAsia" w:ascii="宋体" w:hAnsi="宋体"/>
          <w:sz w:val="24"/>
          <w:szCs w:val="24"/>
          <w:highlight w:val="none"/>
        </w:rPr>
        <w:t>±</w:t>
      </w: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/220V±</w:t>
      </w: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，供电频率</w:t>
      </w:r>
      <w:r>
        <w:rPr>
          <w:rFonts w:ascii="宋体" w:hAnsi="宋体"/>
          <w:sz w:val="24"/>
          <w:szCs w:val="24"/>
          <w:highlight w:val="none"/>
        </w:rPr>
        <w:t>50Hz</w:t>
      </w:r>
      <w:r>
        <w:rPr>
          <w:rFonts w:hint="eastAsia" w:ascii="宋体" w:hAnsi="宋体"/>
          <w:sz w:val="24"/>
          <w:szCs w:val="24"/>
          <w:highlight w:val="none"/>
        </w:rPr>
        <w:t>±</w:t>
      </w:r>
      <w:r>
        <w:rPr>
          <w:rFonts w:ascii="宋体" w:hAnsi="宋体"/>
          <w:sz w:val="24"/>
          <w:szCs w:val="24"/>
          <w:highlight w:val="none"/>
        </w:rPr>
        <w:t>2%</w:t>
      </w:r>
      <w:r>
        <w:rPr>
          <w:rFonts w:hint="eastAsia" w:ascii="宋体" w:hAnsi="宋体"/>
          <w:sz w:val="24"/>
          <w:szCs w:val="24"/>
          <w:highlight w:val="none"/>
        </w:rPr>
        <w:t>。</w:t>
      </w:r>
    </w:p>
    <w:p w14:paraId="1EEA8057">
      <w:pPr>
        <w:keepNext/>
        <w:keepLines/>
        <w:spacing w:before="120" w:after="120" w:line="440" w:lineRule="exact"/>
        <w:jc w:val="center"/>
        <w:outlineLvl w:val="1"/>
        <w:rPr>
          <w:rFonts w:ascii="宋体" w:hAnsi="宋体"/>
          <w:b/>
          <w:bCs/>
          <w:sz w:val="24"/>
          <w:szCs w:val="24"/>
          <w:highlight w:val="none"/>
        </w:rPr>
      </w:pPr>
      <w:bookmarkStart w:id="14" w:name="_Toc169605879"/>
      <w:r>
        <w:rPr>
          <w:rFonts w:hint="eastAsia" w:ascii="宋体" w:hAnsi="宋体"/>
          <w:b/>
          <w:bCs/>
          <w:sz w:val="24"/>
          <w:szCs w:val="24"/>
          <w:highlight w:val="none"/>
        </w:rPr>
        <w:t>第二节  采购</w:t>
      </w:r>
      <w:r>
        <w:rPr>
          <w:rFonts w:hint="eastAsia" w:ascii="宋体" w:hAnsi="宋体"/>
          <w:b/>
          <w:bCs/>
          <w:sz w:val="24"/>
          <w:szCs w:val="24"/>
          <w:highlight w:val="none"/>
          <w:lang w:val="en-US" w:eastAsia="zh-CN"/>
        </w:rPr>
        <w:t>服务</w:t>
      </w:r>
      <w:r>
        <w:rPr>
          <w:rFonts w:hint="eastAsia" w:ascii="宋体" w:hAnsi="宋体"/>
          <w:b/>
          <w:bCs/>
          <w:sz w:val="24"/>
          <w:szCs w:val="24"/>
          <w:highlight w:val="none"/>
        </w:rPr>
        <w:t>概况</w:t>
      </w:r>
      <w:bookmarkEnd w:id="14"/>
    </w:p>
    <w:p w14:paraId="179CA9A3">
      <w:pPr>
        <w:spacing w:line="440" w:lineRule="exact"/>
        <w:ind w:firstLine="482" w:firstLineChars="200"/>
        <w:rPr>
          <w:rFonts w:hint="eastAsia" w:ascii="宋体" w:hAnsi="宋体" w:cs="宋体"/>
          <w:sz w:val="24"/>
          <w:szCs w:val="24"/>
          <w:highlight w:val="none"/>
          <w:u w:val="single"/>
          <w:lang w:val="en-US" w:eastAsia="zh-CN"/>
        </w:rPr>
      </w:pPr>
      <w:r>
        <w:rPr>
          <w:rFonts w:hint="eastAsia" w:ascii="宋体" w:hAnsi="宋体"/>
          <w:b/>
          <w:sz w:val="24"/>
          <w:szCs w:val="24"/>
          <w:highlight w:val="none"/>
        </w:rPr>
        <w:t>一、</w:t>
      </w:r>
      <w:r>
        <w:rPr>
          <w:rFonts w:hint="eastAsia" w:ascii="宋体" w:hAnsi="宋体"/>
          <w:b/>
          <w:sz w:val="24"/>
          <w:szCs w:val="24"/>
          <w:highlight w:val="none"/>
          <w:lang w:val="en-US" w:eastAsia="zh-CN"/>
        </w:rPr>
        <w:t>服务</w:t>
      </w:r>
      <w:r>
        <w:rPr>
          <w:rFonts w:hint="eastAsia" w:ascii="宋体" w:hAnsi="宋体"/>
          <w:b/>
          <w:sz w:val="24"/>
          <w:szCs w:val="24"/>
          <w:highlight w:val="none"/>
        </w:rPr>
        <w:t>名称：</w:t>
      </w:r>
      <w:r>
        <w:rPr>
          <w:rFonts w:hint="eastAsia" w:ascii="宋体" w:hAnsi="宋体" w:cs="宋体"/>
          <w:sz w:val="24"/>
          <w:szCs w:val="24"/>
          <w:highlight w:val="none"/>
          <w:u w:val="single"/>
          <w:lang w:val="en-US" w:eastAsia="zh-CN"/>
        </w:rPr>
        <w:t>多联机空调维保</w:t>
      </w:r>
    </w:p>
    <w:p w14:paraId="0CFFC824">
      <w:pPr>
        <w:spacing w:line="440" w:lineRule="exact"/>
        <w:ind w:firstLine="482" w:firstLineChars="200"/>
        <w:rPr>
          <w:rFonts w:ascii="宋体" w:hAnsi="宋体"/>
          <w:sz w:val="24"/>
          <w:szCs w:val="24"/>
          <w:highlight w:val="none"/>
        </w:rPr>
      </w:pPr>
      <w:r>
        <w:rPr>
          <w:rFonts w:hint="eastAsia" w:ascii="宋体" w:hAnsi="宋体"/>
          <w:b/>
          <w:sz w:val="24"/>
          <w:szCs w:val="24"/>
          <w:highlight w:val="none"/>
        </w:rPr>
        <w:t>二、</w:t>
      </w:r>
      <w:r>
        <w:rPr>
          <w:rFonts w:hint="eastAsia" w:ascii="宋体" w:hAnsi="宋体"/>
          <w:b/>
          <w:sz w:val="24"/>
          <w:szCs w:val="24"/>
          <w:highlight w:val="none"/>
          <w:lang w:val="en-US" w:eastAsia="zh-CN"/>
        </w:rPr>
        <w:t>服务</w:t>
      </w:r>
      <w:r>
        <w:rPr>
          <w:rFonts w:hint="eastAsia" w:ascii="宋体" w:hAnsi="宋体"/>
          <w:b/>
          <w:sz w:val="24"/>
          <w:szCs w:val="24"/>
          <w:highlight w:val="none"/>
        </w:rPr>
        <w:t>数量：</w:t>
      </w:r>
    </w:p>
    <w:p w14:paraId="41520F9E">
      <w:pPr>
        <w:spacing w:line="440" w:lineRule="exact"/>
        <w:ind w:firstLine="480" w:firstLineChars="200"/>
        <w:jc w:val="center"/>
        <w:rPr>
          <w:rFonts w:hint="eastAsia" w:ascii="宋体" w:hAnsi="宋体"/>
          <w:sz w:val="24"/>
          <w:szCs w:val="24"/>
          <w:highlight w:val="none"/>
        </w:rPr>
      </w:pPr>
      <w:r>
        <w:rPr>
          <w:rFonts w:hint="eastAsia" w:ascii="宋体" w:hAnsi="宋体"/>
          <w:sz w:val="24"/>
          <w:szCs w:val="24"/>
          <w:highlight w:val="none"/>
        </w:rPr>
        <w:t>采购</w:t>
      </w:r>
      <w:r>
        <w:rPr>
          <w:rFonts w:hint="eastAsia" w:ascii="宋体" w:hAnsi="宋体"/>
          <w:sz w:val="24"/>
          <w:szCs w:val="24"/>
          <w:highlight w:val="none"/>
          <w:lang w:val="en-US" w:eastAsia="zh-CN"/>
        </w:rPr>
        <w:t>服务</w:t>
      </w:r>
      <w:r>
        <w:rPr>
          <w:rFonts w:hint="eastAsia" w:ascii="宋体" w:hAnsi="宋体"/>
          <w:sz w:val="24"/>
          <w:szCs w:val="24"/>
          <w:highlight w:val="none"/>
        </w:rPr>
        <w:t>主要构成一览表</w:t>
      </w:r>
    </w:p>
    <w:p w14:paraId="1A97B646">
      <w:pPr>
        <w:spacing w:line="440" w:lineRule="exact"/>
        <w:ind w:firstLine="480" w:firstLineChars="200"/>
        <w:jc w:val="center"/>
        <w:rPr>
          <w:rFonts w:hint="eastAsia" w:ascii="宋体" w:hAnsi="宋体"/>
          <w:sz w:val="24"/>
          <w:szCs w:val="24"/>
          <w:highlight w:val="none"/>
        </w:rPr>
      </w:pPr>
    </w:p>
    <w:tbl>
      <w:tblPr>
        <w:tblStyle w:val="30"/>
        <w:tblW w:w="10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2171"/>
        <w:gridCol w:w="2502"/>
        <w:gridCol w:w="786"/>
        <w:gridCol w:w="686"/>
        <w:gridCol w:w="3867"/>
      </w:tblGrid>
      <w:tr w14:paraId="4D501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53" w:type="dxa"/>
            <w:noWrap w:val="0"/>
            <w:vAlign w:val="center"/>
          </w:tcPr>
          <w:p w14:paraId="099130CE">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序号</w:t>
            </w:r>
          </w:p>
        </w:tc>
        <w:tc>
          <w:tcPr>
            <w:tcW w:w="2171" w:type="dxa"/>
            <w:noWrap w:val="0"/>
            <w:vAlign w:val="center"/>
          </w:tcPr>
          <w:p w14:paraId="48F38328">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物料</w:t>
            </w:r>
          </w:p>
        </w:tc>
        <w:tc>
          <w:tcPr>
            <w:tcW w:w="2502" w:type="dxa"/>
            <w:noWrap w:val="0"/>
            <w:vAlign w:val="center"/>
          </w:tcPr>
          <w:p w14:paraId="40E43317">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型号规格</w:t>
            </w:r>
          </w:p>
        </w:tc>
        <w:tc>
          <w:tcPr>
            <w:tcW w:w="786" w:type="dxa"/>
            <w:noWrap w:val="0"/>
            <w:vAlign w:val="center"/>
          </w:tcPr>
          <w:p w14:paraId="634B35F0">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单位</w:t>
            </w:r>
          </w:p>
        </w:tc>
        <w:tc>
          <w:tcPr>
            <w:tcW w:w="686" w:type="dxa"/>
            <w:noWrap w:val="0"/>
            <w:vAlign w:val="center"/>
          </w:tcPr>
          <w:p w14:paraId="712D1557">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数量</w:t>
            </w:r>
          </w:p>
        </w:tc>
        <w:tc>
          <w:tcPr>
            <w:tcW w:w="3867" w:type="dxa"/>
            <w:noWrap w:val="0"/>
            <w:vAlign w:val="center"/>
          </w:tcPr>
          <w:p w14:paraId="029E095D">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备注</w:t>
            </w:r>
          </w:p>
        </w:tc>
      </w:tr>
      <w:tr w14:paraId="50FD7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3" w:type="dxa"/>
            <w:noWrap w:val="0"/>
            <w:vAlign w:val="center"/>
          </w:tcPr>
          <w:p w14:paraId="3EE8025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2171" w:type="dxa"/>
            <w:noWrap w:val="0"/>
            <w:vAlign w:val="center"/>
          </w:tcPr>
          <w:p w14:paraId="0E1B2F3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室内机清洗及检修1</w:t>
            </w:r>
          </w:p>
        </w:tc>
        <w:tc>
          <w:tcPr>
            <w:tcW w:w="2502" w:type="dxa"/>
            <w:noWrap w:val="0"/>
            <w:vAlign w:val="top"/>
          </w:tcPr>
          <w:p w14:paraId="3B851EB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MCC暗藏吊顶室内机</w:t>
            </w:r>
          </w:p>
        </w:tc>
        <w:tc>
          <w:tcPr>
            <w:tcW w:w="786" w:type="dxa"/>
            <w:noWrap w:val="0"/>
            <w:vAlign w:val="top"/>
          </w:tcPr>
          <w:p w14:paraId="70CD431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1BFCA45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6D6660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2EEB3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3" w:type="dxa"/>
            <w:noWrap w:val="0"/>
            <w:vAlign w:val="center"/>
          </w:tcPr>
          <w:p w14:paraId="0158FE0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2171" w:type="dxa"/>
            <w:noWrap w:val="0"/>
            <w:vAlign w:val="center"/>
          </w:tcPr>
          <w:p w14:paraId="255B818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室内机清洗及检修2</w:t>
            </w:r>
          </w:p>
        </w:tc>
        <w:tc>
          <w:tcPr>
            <w:tcW w:w="2502" w:type="dxa"/>
            <w:noWrap w:val="0"/>
            <w:vAlign w:val="top"/>
          </w:tcPr>
          <w:p w14:paraId="77BFD30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MDB暗藏吊顶式新风机</w:t>
            </w:r>
          </w:p>
        </w:tc>
        <w:tc>
          <w:tcPr>
            <w:tcW w:w="786" w:type="dxa"/>
            <w:noWrap w:val="0"/>
            <w:vAlign w:val="top"/>
          </w:tcPr>
          <w:p w14:paraId="4D247E4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48402C1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702468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58368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653" w:type="dxa"/>
            <w:noWrap w:val="0"/>
            <w:vAlign w:val="center"/>
          </w:tcPr>
          <w:p w14:paraId="69B1592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2171" w:type="dxa"/>
            <w:noWrap w:val="0"/>
            <w:vAlign w:val="center"/>
          </w:tcPr>
          <w:p w14:paraId="52C3E23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室外机清洗及检修</w:t>
            </w:r>
          </w:p>
        </w:tc>
        <w:tc>
          <w:tcPr>
            <w:tcW w:w="2502" w:type="dxa"/>
            <w:noWrap w:val="0"/>
            <w:vAlign w:val="center"/>
          </w:tcPr>
          <w:p w14:paraId="40CE9F1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MDS顶出风室外机</w:t>
            </w:r>
          </w:p>
        </w:tc>
        <w:tc>
          <w:tcPr>
            <w:tcW w:w="786" w:type="dxa"/>
            <w:noWrap w:val="0"/>
            <w:vAlign w:val="top"/>
          </w:tcPr>
          <w:p w14:paraId="7FF41BB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0352025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A4FBBE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1.电脑检测机组各项运行参数并校正高、低压传感器、温度传感器等部件；</w:t>
            </w:r>
          </w:p>
          <w:p w14:paraId="361325A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2.检查冷媒系统是否有泄露；</w:t>
            </w:r>
          </w:p>
          <w:p w14:paraId="59E995F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3.机组供电电源、压缩机、风机等动力部件运转电流等常规电气检查保养；</w:t>
            </w:r>
          </w:p>
          <w:p w14:paraId="6269880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4.电控系统的除尘吹扫及清理;</w:t>
            </w:r>
          </w:p>
          <w:p w14:paraId="0518014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5.室外主机冷凝器翅片清洗。</w:t>
            </w:r>
          </w:p>
        </w:tc>
      </w:tr>
      <w:tr w14:paraId="5D275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53" w:type="dxa"/>
            <w:noWrap w:val="0"/>
            <w:vAlign w:val="center"/>
          </w:tcPr>
          <w:p w14:paraId="364961E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2171" w:type="dxa"/>
            <w:noWrap w:val="0"/>
            <w:vAlign w:val="bottom"/>
          </w:tcPr>
          <w:p w14:paraId="4BDFB93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线控器</w:t>
            </w:r>
          </w:p>
        </w:tc>
        <w:tc>
          <w:tcPr>
            <w:tcW w:w="2502" w:type="dxa"/>
            <w:noWrap w:val="0"/>
            <w:vAlign w:val="bottom"/>
          </w:tcPr>
          <w:p w14:paraId="222AE1F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型号MC322</w:t>
            </w:r>
          </w:p>
        </w:tc>
        <w:tc>
          <w:tcPr>
            <w:tcW w:w="786" w:type="dxa"/>
            <w:noWrap w:val="0"/>
            <w:vAlign w:val="bottom"/>
          </w:tcPr>
          <w:p w14:paraId="50C9769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8283A8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bottom"/>
          </w:tcPr>
          <w:p w14:paraId="2B004E8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4C37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53" w:type="dxa"/>
            <w:noWrap w:val="0"/>
            <w:vAlign w:val="center"/>
          </w:tcPr>
          <w:p w14:paraId="34D23AB8">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5</w:t>
            </w:r>
          </w:p>
        </w:tc>
        <w:tc>
          <w:tcPr>
            <w:tcW w:w="2171" w:type="dxa"/>
            <w:noWrap w:val="0"/>
            <w:vAlign w:val="center"/>
          </w:tcPr>
          <w:p w14:paraId="32A728E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内机主板</w:t>
            </w:r>
          </w:p>
        </w:tc>
        <w:tc>
          <w:tcPr>
            <w:tcW w:w="2502" w:type="dxa"/>
            <w:noWrap w:val="0"/>
            <w:vAlign w:val="center"/>
          </w:tcPr>
          <w:p w14:paraId="2F8318B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型号MC204</w:t>
            </w:r>
          </w:p>
        </w:tc>
        <w:tc>
          <w:tcPr>
            <w:tcW w:w="786" w:type="dxa"/>
            <w:noWrap w:val="0"/>
            <w:vAlign w:val="center"/>
          </w:tcPr>
          <w:p w14:paraId="46B0C6B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2F05B68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626EF7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2A08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53" w:type="dxa"/>
            <w:noWrap w:val="0"/>
            <w:vAlign w:val="center"/>
          </w:tcPr>
          <w:p w14:paraId="44C0B5F8">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6</w:t>
            </w:r>
          </w:p>
        </w:tc>
        <w:tc>
          <w:tcPr>
            <w:tcW w:w="2171" w:type="dxa"/>
            <w:noWrap w:val="0"/>
            <w:vAlign w:val="center"/>
          </w:tcPr>
          <w:p w14:paraId="6837A51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外机主板</w:t>
            </w:r>
          </w:p>
        </w:tc>
        <w:tc>
          <w:tcPr>
            <w:tcW w:w="2502" w:type="dxa"/>
            <w:noWrap w:val="0"/>
            <w:vAlign w:val="center"/>
          </w:tcPr>
          <w:p w14:paraId="5EC6B5C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型号MC250</w:t>
            </w:r>
          </w:p>
        </w:tc>
        <w:tc>
          <w:tcPr>
            <w:tcW w:w="786" w:type="dxa"/>
            <w:noWrap w:val="0"/>
            <w:vAlign w:val="center"/>
          </w:tcPr>
          <w:p w14:paraId="1B097DC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657365E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18975C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7453C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653" w:type="dxa"/>
            <w:noWrap w:val="0"/>
            <w:vAlign w:val="center"/>
          </w:tcPr>
          <w:p w14:paraId="60A3CF9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w:t>
            </w:r>
          </w:p>
        </w:tc>
        <w:tc>
          <w:tcPr>
            <w:tcW w:w="2171" w:type="dxa"/>
            <w:noWrap w:val="0"/>
            <w:vAlign w:val="center"/>
          </w:tcPr>
          <w:p w14:paraId="4FD341B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压缩机变频驱动板</w:t>
            </w:r>
          </w:p>
        </w:tc>
        <w:tc>
          <w:tcPr>
            <w:tcW w:w="2502" w:type="dxa"/>
            <w:noWrap w:val="0"/>
            <w:vAlign w:val="center"/>
          </w:tcPr>
          <w:p w14:paraId="19FD7FB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型号MC729</w:t>
            </w:r>
          </w:p>
        </w:tc>
        <w:tc>
          <w:tcPr>
            <w:tcW w:w="786" w:type="dxa"/>
            <w:noWrap w:val="0"/>
            <w:vAlign w:val="center"/>
          </w:tcPr>
          <w:p w14:paraId="33839CB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03E6626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B63B24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332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653" w:type="dxa"/>
            <w:noWrap w:val="0"/>
            <w:vAlign w:val="center"/>
          </w:tcPr>
          <w:p w14:paraId="102B7EB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w:t>
            </w:r>
          </w:p>
        </w:tc>
        <w:tc>
          <w:tcPr>
            <w:tcW w:w="2171" w:type="dxa"/>
            <w:noWrap w:val="0"/>
            <w:vAlign w:val="center"/>
          </w:tcPr>
          <w:p w14:paraId="5FBD000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风机驱动板</w:t>
            </w:r>
          </w:p>
        </w:tc>
        <w:tc>
          <w:tcPr>
            <w:tcW w:w="2502" w:type="dxa"/>
            <w:noWrap w:val="0"/>
            <w:vAlign w:val="center"/>
          </w:tcPr>
          <w:p w14:paraId="077791E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型号MC701</w:t>
            </w:r>
          </w:p>
        </w:tc>
        <w:tc>
          <w:tcPr>
            <w:tcW w:w="786" w:type="dxa"/>
            <w:noWrap w:val="0"/>
            <w:vAlign w:val="center"/>
          </w:tcPr>
          <w:p w14:paraId="728BF36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648E6DA9">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41F6191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424BA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653" w:type="dxa"/>
            <w:noWrap w:val="0"/>
            <w:vAlign w:val="center"/>
          </w:tcPr>
          <w:p w14:paraId="0C6411C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w:t>
            </w:r>
          </w:p>
        </w:tc>
        <w:tc>
          <w:tcPr>
            <w:tcW w:w="2171" w:type="dxa"/>
            <w:noWrap w:val="0"/>
            <w:vAlign w:val="center"/>
          </w:tcPr>
          <w:p w14:paraId="1B8B4C0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滤波板</w:t>
            </w:r>
          </w:p>
        </w:tc>
        <w:tc>
          <w:tcPr>
            <w:tcW w:w="2502" w:type="dxa"/>
            <w:noWrap w:val="0"/>
            <w:vAlign w:val="center"/>
          </w:tcPr>
          <w:p w14:paraId="0541D69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型号MC717</w:t>
            </w:r>
          </w:p>
        </w:tc>
        <w:tc>
          <w:tcPr>
            <w:tcW w:w="786" w:type="dxa"/>
            <w:noWrap w:val="0"/>
            <w:vAlign w:val="center"/>
          </w:tcPr>
          <w:p w14:paraId="0724980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5DF2535A">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17D1684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43FC6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653" w:type="dxa"/>
            <w:noWrap w:val="0"/>
            <w:vAlign w:val="center"/>
          </w:tcPr>
          <w:p w14:paraId="259FC0E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2171" w:type="dxa"/>
            <w:noWrap w:val="0"/>
            <w:vAlign w:val="center"/>
          </w:tcPr>
          <w:p w14:paraId="0F3902B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048AC7E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w:t>
            </w:r>
          </w:p>
          <w:p w14:paraId="17A492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DC80PHDG-D1Y2</w:t>
            </w:r>
          </w:p>
        </w:tc>
        <w:tc>
          <w:tcPr>
            <w:tcW w:w="786" w:type="dxa"/>
            <w:noWrap w:val="0"/>
            <w:vAlign w:val="center"/>
          </w:tcPr>
          <w:p w14:paraId="7DB6DCD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69330613">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017B79F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8CA6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653" w:type="dxa"/>
            <w:noWrap w:val="0"/>
            <w:vAlign w:val="center"/>
          </w:tcPr>
          <w:p w14:paraId="5067597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w:t>
            </w:r>
          </w:p>
        </w:tc>
        <w:tc>
          <w:tcPr>
            <w:tcW w:w="2171" w:type="dxa"/>
            <w:noWrap w:val="0"/>
            <w:vAlign w:val="center"/>
          </w:tcPr>
          <w:p w14:paraId="2A4ABF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四通阀</w:t>
            </w:r>
          </w:p>
        </w:tc>
        <w:tc>
          <w:tcPr>
            <w:tcW w:w="2502" w:type="dxa"/>
            <w:noWrap w:val="0"/>
            <w:vAlign w:val="center"/>
          </w:tcPr>
          <w:p w14:paraId="7DC8C08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型号DSF-50-R410A</w:t>
            </w:r>
          </w:p>
        </w:tc>
        <w:tc>
          <w:tcPr>
            <w:tcW w:w="786" w:type="dxa"/>
            <w:noWrap w:val="0"/>
            <w:vAlign w:val="center"/>
          </w:tcPr>
          <w:p w14:paraId="04DE107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45297DB4">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00D8DB8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4A3C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53" w:type="dxa"/>
            <w:noWrap w:val="0"/>
            <w:vAlign w:val="center"/>
          </w:tcPr>
          <w:p w14:paraId="4E32E3F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c>
          <w:tcPr>
            <w:tcW w:w="2171" w:type="dxa"/>
            <w:noWrap w:val="0"/>
            <w:vAlign w:val="center"/>
          </w:tcPr>
          <w:p w14:paraId="774C657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电子膨胀阀</w:t>
            </w:r>
          </w:p>
        </w:tc>
        <w:tc>
          <w:tcPr>
            <w:tcW w:w="2502" w:type="dxa"/>
            <w:noWrap w:val="0"/>
            <w:vAlign w:val="center"/>
          </w:tcPr>
          <w:p w14:paraId="122AFC8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UKV-25D57</w:t>
            </w:r>
          </w:p>
        </w:tc>
        <w:tc>
          <w:tcPr>
            <w:tcW w:w="786" w:type="dxa"/>
            <w:noWrap w:val="0"/>
            <w:vAlign w:val="center"/>
          </w:tcPr>
          <w:p w14:paraId="739BA73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72F2194">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614735C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F8C6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653" w:type="dxa"/>
            <w:noWrap w:val="0"/>
            <w:vAlign w:val="center"/>
          </w:tcPr>
          <w:p w14:paraId="06C41D5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w:t>
            </w:r>
          </w:p>
        </w:tc>
        <w:tc>
          <w:tcPr>
            <w:tcW w:w="2171" w:type="dxa"/>
            <w:noWrap w:val="0"/>
            <w:vAlign w:val="center"/>
          </w:tcPr>
          <w:p w14:paraId="1AAD17B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温度传感器</w:t>
            </w:r>
          </w:p>
        </w:tc>
        <w:tc>
          <w:tcPr>
            <w:tcW w:w="2502" w:type="dxa"/>
            <w:noWrap w:val="0"/>
            <w:vAlign w:val="center"/>
          </w:tcPr>
          <w:p w14:paraId="1C845A5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PT2M-51F</w:t>
            </w:r>
          </w:p>
        </w:tc>
        <w:tc>
          <w:tcPr>
            <w:tcW w:w="786" w:type="dxa"/>
            <w:noWrap w:val="0"/>
            <w:vAlign w:val="top"/>
          </w:tcPr>
          <w:p w14:paraId="7C7B7F6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5A6DD95">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792A8B2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3A70D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53" w:type="dxa"/>
            <w:noWrap w:val="0"/>
            <w:vAlign w:val="center"/>
          </w:tcPr>
          <w:p w14:paraId="52449F8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w:t>
            </w:r>
          </w:p>
        </w:tc>
        <w:tc>
          <w:tcPr>
            <w:tcW w:w="2171" w:type="dxa"/>
            <w:noWrap w:val="0"/>
            <w:vAlign w:val="center"/>
          </w:tcPr>
          <w:p w14:paraId="522A75D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制冷剂</w:t>
            </w:r>
          </w:p>
        </w:tc>
        <w:tc>
          <w:tcPr>
            <w:tcW w:w="2502" w:type="dxa"/>
            <w:noWrap w:val="0"/>
            <w:vAlign w:val="center"/>
          </w:tcPr>
          <w:p w14:paraId="73056BB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R410A冷媒</w:t>
            </w:r>
          </w:p>
        </w:tc>
        <w:tc>
          <w:tcPr>
            <w:tcW w:w="786" w:type="dxa"/>
            <w:noWrap w:val="0"/>
            <w:vAlign w:val="center"/>
          </w:tcPr>
          <w:p w14:paraId="5F5BD06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kg</w:t>
            </w:r>
          </w:p>
        </w:tc>
        <w:tc>
          <w:tcPr>
            <w:tcW w:w="686" w:type="dxa"/>
            <w:noWrap w:val="0"/>
            <w:vAlign w:val="center"/>
          </w:tcPr>
          <w:p w14:paraId="41F71034">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2DB3925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BAE6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653" w:type="dxa"/>
            <w:noWrap w:val="0"/>
            <w:vAlign w:val="center"/>
          </w:tcPr>
          <w:p w14:paraId="3B2995A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w:t>
            </w:r>
          </w:p>
        </w:tc>
        <w:tc>
          <w:tcPr>
            <w:tcW w:w="2171" w:type="dxa"/>
            <w:noWrap w:val="0"/>
            <w:vAlign w:val="center"/>
          </w:tcPr>
          <w:p w14:paraId="5DD662C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打压查漏</w:t>
            </w:r>
          </w:p>
        </w:tc>
        <w:tc>
          <w:tcPr>
            <w:tcW w:w="2502" w:type="dxa"/>
            <w:noWrap w:val="0"/>
            <w:vAlign w:val="top"/>
          </w:tcPr>
          <w:p w14:paraId="3FB3C35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w:t>
            </w:r>
          </w:p>
        </w:tc>
        <w:tc>
          <w:tcPr>
            <w:tcW w:w="786" w:type="dxa"/>
            <w:noWrap w:val="0"/>
            <w:vAlign w:val="top"/>
          </w:tcPr>
          <w:p w14:paraId="3F7723D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次</w:t>
            </w:r>
          </w:p>
        </w:tc>
        <w:tc>
          <w:tcPr>
            <w:tcW w:w="686" w:type="dxa"/>
            <w:noWrap w:val="0"/>
            <w:vAlign w:val="center"/>
          </w:tcPr>
          <w:p w14:paraId="33ADB52B">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6656E477">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p>
        </w:tc>
      </w:tr>
      <w:tr w14:paraId="26DB5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653" w:type="dxa"/>
            <w:noWrap w:val="0"/>
            <w:vAlign w:val="center"/>
          </w:tcPr>
          <w:p w14:paraId="0061831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16</w:t>
            </w:r>
          </w:p>
        </w:tc>
        <w:tc>
          <w:tcPr>
            <w:tcW w:w="2171" w:type="dxa"/>
            <w:noWrap w:val="0"/>
            <w:vAlign w:val="center"/>
          </w:tcPr>
          <w:p w14:paraId="6902AB2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焊接</w:t>
            </w:r>
          </w:p>
        </w:tc>
        <w:tc>
          <w:tcPr>
            <w:tcW w:w="2502" w:type="dxa"/>
            <w:noWrap w:val="0"/>
            <w:vAlign w:val="top"/>
          </w:tcPr>
          <w:p w14:paraId="61CBDA1F">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w:t>
            </w:r>
          </w:p>
        </w:tc>
        <w:tc>
          <w:tcPr>
            <w:tcW w:w="786" w:type="dxa"/>
            <w:noWrap w:val="0"/>
            <w:vAlign w:val="top"/>
          </w:tcPr>
          <w:p w14:paraId="230A9B1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处</w:t>
            </w:r>
          </w:p>
        </w:tc>
        <w:tc>
          <w:tcPr>
            <w:tcW w:w="686" w:type="dxa"/>
            <w:noWrap w:val="0"/>
            <w:vAlign w:val="center"/>
          </w:tcPr>
          <w:p w14:paraId="3B60B93E">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2D0EBC52">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p>
        </w:tc>
      </w:tr>
      <w:tr w14:paraId="5A58A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53" w:type="dxa"/>
            <w:noWrap w:val="0"/>
            <w:vAlign w:val="center"/>
          </w:tcPr>
          <w:p w14:paraId="24F14FE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17</w:t>
            </w:r>
          </w:p>
        </w:tc>
        <w:tc>
          <w:tcPr>
            <w:tcW w:w="2171" w:type="dxa"/>
            <w:noWrap w:val="0"/>
            <w:vAlign w:val="center"/>
          </w:tcPr>
          <w:p w14:paraId="097F21E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抽真空</w:t>
            </w:r>
          </w:p>
        </w:tc>
        <w:tc>
          <w:tcPr>
            <w:tcW w:w="2502" w:type="dxa"/>
            <w:noWrap w:val="0"/>
            <w:vAlign w:val="top"/>
          </w:tcPr>
          <w:p w14:paraId="2B2375D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w:t>
            </w:r>
          </w:p>
        </w:tc>
        <w:tc>
          <w:tcPr>
            <w:tcW w:w="786" w:type="dxa"/>
            <w:noWrap w:val="0"/>
            <w:vAlign w:val="top"/>
          </w:tcPr>
          <w:p w14:paraId="79E89A9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次</w:t>
            </w:r>
          </w:p>
        </w:tc>
        <w:tc>
          <w:tcPr>
            <w:tcW w:w="686" w:type="dxa"/>
            <w:noWrap w:val="0"/>
            <w:vAlign w:val="center"/>
          </w:tcPr>
          <w:p w14:paraId="161F5CEC">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32FE9EEF">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p>
        </w:tc>
      </w:tr>
      <w:tr w14:paraId="2015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F3B89B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w:t>
            </w:r>
          </w:p>
        </w:tc>
        <w:tc>
          <w:tcPr>
            <w:tcW w:w="2171" w:type="dxa"/>
            <w:noWrap w:val="0"/>
            <w:vAlign w:val="top"/>
          </w:tcPr>
          <w:p w14:paraId="426F61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检修/调试人工费</w:t>
            </w:r>
          </w:p>
        </w:tc>
        <w:tc>
          <w:tcPr>
            <w:tcW w:w="2502" w:type="dxa"/>
            <w:noWrap w:val="0"/>
            <w:vAlign w:val="top"/>
          </w:tcPr>
          <w:p w14:paraId="1914B73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w:t>
            </w:r>
          </w:p>
        </w:tc>
        <w:tc>
          <w:tcPr>
            <w:tcW w:w="786" w:type="dxa"/>
            <w:noWrap w:val="0"/>
            <w:vAlign w:val="top"/>
          </w:tcPr>
          <w:p w14:paraId="0F91AF8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次</w:t>
            </w:r>
          </w:p>
        </w:tc>
        <w:tc>
          <w:tcPr>
            <w:tcW w:w="686" w:type="dxa"/>
            <w:noWrap w:val="0"/>
            <w:vAlign w:val="center"/>
          </w:tcPr>
          <w:p w14:paraId="0335B335">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45D90890">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p>
        </w:tc>
      </w:tr>
      <w:tr w14:paraId="27355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B5FD1E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19</w:t>
            </w:r>
          </w:p>
        </w:tc>
        <w:tc>
          <w:tcPr>
            <w:tcW w:w="2171" w:type="dxa"/>
            <w:noWrap w:val="0"/>
            <w:vAlign w:val="center"/>
          </w:tcPr>
          <w:p w14:paraId="475CC55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普通清洗保养室内机</w:t>
            </w:r>
          </w:p>
        </w:tc>
        <w:tc>
          <w:tcPr>
            <w:tcW w:w="2502" w:type="dxa"/>
            <w:noWrap w:val="0"/>
            <w:vAlign w:val="center"/>
          </w:tcPr>
          <w:p w14:paraId="306159C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MCC140XP</w:t>
            </w:r>
          </w:p>
        </w:tc>
        <w:tc>
          <w:tcPr>
            <w:tcW w:w="786" w:type="dxa"/>
            <w:noWrap w:val="0"/>
            <w:vAlign w:val="top"/>
          </w:tcPr>
          <w:p w14:paraId="79D825F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0A9911F6">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785FE0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4883F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8F1798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w:t>
            </w:r>
          </w:p>
        </w:tc>
        <w:tc>
          <w:tcPr>
            <w:tcW w:w="2171" w:type="dxa"/>
            <w:noWrap w:val="0"/>
            <w:vAlign w:val="center"/>
          </w:tcPr>
          <w:p w14:paraId="103C2EA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深度清洗保养室外机</w:t>
            </w:r>
          </w:p>
        </w:tc>
        <w:tc>
          <w:tcPr>
            <w:tcW w:w="2502" w:type="dxa"/>
            <w:noWrap w:val="0"/>
            <w:vAlign w:val="center"/>
          </w:tcPr>
          <w:p w14:paraId="48C6774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MDS180ER5-FV</w:t>
            </w:r>
          </w:p>
        </w:tc>
        <w:tc>
          <w:tcPr>
            <w:tcW w:w="786" w:type="dxa"/>
            <w:noWrap w:val="0"/>
            <w:vAlign w:val="top"/>
          </w:tcPr>
          <w:p w14:paraId="4FB5A84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050E114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736ECA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3298C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5821AA3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21</w:t>
            </w:r>
          </w:p>
        </w:tc>
        <w:tc>
          <w:tcPr>
            <w:tcW w:w="2171" w:type="dxa"/>
            <w:noWrap w:val="0"/>
            <w:vAlign w:val="center"/>
          </w:tcPr>
          <w:p w14:paraId="28734FA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深度清洗保养室内机</w:t>
            </w:r>
          </w:p>
        </w:tc>
        <w:tc>
          <w:tcPr>
            <w:tcW w:w="2502" w:type="dxa"/>
            <w:noWrap w:val="0"/>
            <w:vAlign w:val="center"/>
          </w:tcPr>
          <w:p w14:paraId="150FD73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MCC140XP</w:t>
            </w:r>
          </w:p>
        </w:tc>
        <w:tc>
          <w:tcPr>
            <w:tcW w:w="786" w:type="dxa"/>
            <w:noWrap w:val="0"/>
            <w:vAlign w:val="top"/>
          </w:tcPr>
          <w:p w14:paraId="475EE74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3DB317D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FAB3F2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33B24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7F6E21F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22</w:t>
            </w:r>
          </w:p>
        </w:tc>
        <w:tc>
          <w:tcPr>
            <w:tcW w:w="2171" w:type="dxa"/>
            <w:noWrap w:val="0"/>
            <w:vAlign w:val="center"/>
          </w:tcPr>
          <w:p w14:paraId="1F2D96D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65A4C98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E705DHD-72D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2YG</w:t>
            </w:r>
          </w:p>
        </w:tc>
        <w:tc>
          <w:tcPr>
            <w:tcW w:w="786" w:type="dxa"/>
            <w:noWrap w:val="0"/>
            <w:vAlign w:val="top"/>
          </w:tcPr>
          <w:p w14:paraId="61976BF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B92496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D9BA6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71BB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5BDCC5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23</w:t>
            </w:r>
          </w:p>
        </w:tc>
        <w:tc>
          <w:tcPr>
            <w:tcW w:w="2171" w:type="dxa"/>
            <w:noWrap w:val="0"/>
            <w:vAlign w:val="center"/>
          </w:tcPr>
          <w:p w14:paraId="06C730F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top"/>
          </w:tcPr>
          <w:p w14:paraId="466B5EB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SAVC070D22U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LKA</w:t>
            </w:r>
          </w:p>
        </w:tc>
        <w:tc>
          <w:tcPr>
            <w:tcW w:w="786" w:type="dxa"/>
            <w:noWrap w:val="0"/>
            <w:vAlign w:val="top"/>
          </w:tcPr>
          <w:p w14:paraId="5D48EEB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50CF16E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308DB55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C06B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913612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w:t>
            </w:r>
          </w:p>
        </w:tc>
        <w:tc>
          <w:tcPr>
            <w:tcW w:w="2171" w:type="dxa"/>
            <w:noWrap w:val="0"/>
            <w:vAlign w:val="center"/>
          </w:tcPr>
          <w:p w14:paraId="6AF0D6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7D71A3A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E655DHD-65D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2YG</w:t>
            </w:r>
          </w:p>
        </w:tc>
        <w:tc>
          <w:tcPr>
            <w:tcW w:w="786" w:type="dxa"/>
            <w:noWrap w:val="0"/>
            <w:vAlign w:val="top"/>
          </w:tcPr>
          <w:p w14:paraId="6349CCF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5CB0D6D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ACAC06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4DB7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AE2B14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25</w:t>
            </w:r>
          </w:p>
        </w:tc>
        <w:tc>
          <w:tcPr>
            <w:tcW w:w="2171" w:type="dxa"/>
            <w:noWrap w:val="0"/>
            <w:vAlign w:val="center"/>
          </w:tcPr>
          <w:p w14:paraId="3B7C61C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3C001E4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E405DHD-36D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2YG</w:t>
            </w:r>
          </w:p>
        </w:tc>
        <w:tc>
          <w:tcPr>
            <w:tcW w:w="786" w:type="dxa"/>
            <w:noWrap w:val="0"/>
            <w:vAlign w:val="top"/>
          </w:tcPr>
          <w:p w14:paraId="2CA4185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358B597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87B7D4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C1AF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292863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26</w:t>
            </w:r>
          </w:p>
        </w:tc>
        <w:tc>
          <w:tcPr>
            <w:tcW w:w="2171" w:type="dxa"/>
            <w:noWrap w:val="0"/>
            <w:vAlign w:val="center"/>
          </w:tcPr>
          <w:p w14:paraId="41F8B7E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19DA12E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E655DH-65D2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YG</w:t>
            </w:r>
          </w:p>
        </w:tc>
        <w:tc>
          <w:tcPr>
            <w:tcW w:w="786" w:type="dxa"/>
            <w:noWrap w:val="0"/>
            <w:vAlign w:val="top"/>
          </w:tcPr>
          <w:p w14:paraId="799120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5374DA2A">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E828DB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161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994FA8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27</w:t>
            </w:r>
          </w:p>
        </w:tc>
        <w:tc>
          <w:tcPr>
            <w:tcW w:w="2171" w:type="dxa"/>
            <w:noWrap w:val="0"/>
            <w:vAlign w:val="center"/>
          </w:tcPr>
          <w:p w14:paraId="753C496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室外主控板</w:t>
            </w:r>
          </w:p>
        </w:tc>
        <w:tc>
          <w:tcPr>
            <w:tcW w:w="2502" w:type="dxa"/>
            <w:noWrap w:val="0"/>
            <w:vAlign w:val="center"/>
          </w:tcPr>
          <w:p w14:paraId="4A7CDEB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1≤匹≤16</w:t>
            </w:r>
          </w:p>
        </w:tc>
        <w:tc>
          <w:tcPr>
            <w:tcW w:w="786" w:type="dxa"/>
            <w:noWrap w:val="0"/>
            <w:vAlign w:val="top"/>
          </w:tcPr>
          <w:p w14:paraId="0C42CF2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3EB45FB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A8B90D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2BCE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34CCED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28</w:t>
            </w:r>
          </w:p>
        </w:tc>
        <w:tc>
          <w:tcPr>
            <w:tcW w:w="2171" w:type="dxa"/>
            <w:noWrap w:val="0"/>
            <w:vAlign w:val="center"/>
          </w:tcPr>
          <w:p w14:paraId="3D0E875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室外主控板</w:t>
            </w:r>
          </w:p>
        </w:tc>
        <w:tc>
          <w:tcPr>
            <w:tcW w:w="2502" w:type="dxa"/>
            <w:noWrap w:val="0"/>
            <w:vAlign w:val="center"/>
          </w:tcPr>
          <w:p w14:paraId="4C5AF0B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匹≥18</w:t>
            </w:r>
          </w:p>
        </w:tc>
        <w:tc>
          <w:tcPr>
            <w:tcW w:w="786" w:type="dxa"/>
            <w:noWrap w:val="0"/>
            <w:vAlign w:val="top"/>
          </w:tcPr>
          <w:p w14:paraId="435C734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BF842A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FC1E07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3D5C6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707F16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29</w:t>
            </w:r>
          </w:p>
        </w:tc>
        <w:tc>
          <w:tcPr>
            <w:tcW w:w="2171" w:type="dxa"/>
            <w:noWrap w:val="0"/>
            <w:vAlign w:val="center"/>
          </w:tcPr>
          <w:p w14:paraId="3AC4859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变频模块</w:t>
            </w:r>
          </w:p>
        </w:tc>
        <w:tc>
          <w:tcPr>
            <w:tcW w:w="2502" w:type="dxa"/>
            <w:noWrap w:val="0"/>
            <w:vAlign w:val="top"/>
          </w:tcPr>
          <w:p w14:paraId="42D48BC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35A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（PS22A78）</w:t>
            </w:r>
          </w:p>
        </w:tc>
        <w:tc>
          <w:tcPr>
            <w:tcW w:w="786" w:type="dxa"/>
            <w:noWrap w:val="0"/>
            <w:vAlign w:val="top"/>
          </w:tcPr>
          <w:p w14:paraId="6DF29D4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7476158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4E28844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B5FE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5ADBB4D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30</w:t>
            </w:r>
          </w:p>
        </w:tc>
        <w:tc>
          <w:tcPr>
            <w:tcW w:w="2171" w:type="dxa"/>
            <w:noWrap w:val="0"/>
            <w:vAlign w:val="center"/>
          </w:tcPr>
          <w:p w14:paraId="584953B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变频模块</w:t>
            </w:r>
          </w:p>
        </w:tc>
        <w:tc>
          <w:tcPr>
            <w:tcW w:w="2502" w:type="dxa"/>
            <w:noWrap w:val="0"/>
            <w:vAlign w:val="top"/>
          </w:tcPr>
          <w:p w14:paraId="502E4CD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50A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（PS22A79）</w:t>
            </w:r>
          </w:p>
        </w:tc>
        <w:tc>
          <w:tcPr>
            <w:tcW w:w="786" w:type="dxa"/>
            <w:noWrap w:val="0"/>
            <w:vAlign w:val="top"/>
          </w:tcPr>
          <w:p w14:paraId="5A810B4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7FAED00">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E640AB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9C5F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FFFEE38">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31</w:t>
            </w:r>
          </w:p>
        </w:tc>
        <w:tc>
          <w:tcPr>
            <w:tcW w:w="2171" w:type="dxa"/>
            <w:noWrap w:val="0"/>
            <w:vAlign w:val="center"/>
          </w:tcPr>
          <w:p w14:paraId="77B2988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四通阀</w:t>
            </w:r>
          </w:p>
        </w:tc>
        <w:tc>
          <w:tcPr>
            <w:tcW w:w="2502" w:type="dxa"/>
            <w:noWrap w:val="0"/>
            <w:vAlign w:val="center"/>
          </w:tcPr>
          <w:p w14:paraId="002C4E1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匹≤16</w:t>
            </w:r>
          </w:p>
        </w:tc>
        <w:tc>
          <w:tcPr>
            <w:tcW w:w="786" w:type="dxa"/>
            <w:noWrap w:val="0"/>
            <w:vAlign w:val="top"/>
          </w:tcPr>
          <w:p w14:paraId="59CFDFA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44ED73D9">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52A3F76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D05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0B8785F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32</w:t>
            </w:r>
          </w:p>
        </w:tc>
        <w:tc>
          <w:tcPr>
            <w:tcW w:w="2171" w:type="dxa"/>
            <w:noWrap w:val="0"/>
            <w:vAlign w:val="center"/>
          </w:tcPr>
          <w:p w14:paraId="617E801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四通阀</w:t>
            </w:r>
          </w:p>
        </w:tc>
        <w:tc>
          <w:tcPr>
            <w:tcW w:w="2502" w:type="dxa"/>
            <w:noWrap w:val="0"/>
            <w:vAlign w:val="center"/>
          </w:tcPr>
          <w:p w14:paraId="688E907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匹≥20</w:t>
            </w:r>
          </w:p>
        </w:tc>
        <w:tc>
          <w:tcPr>
            <w:tcW w:w="786" w:type="dxa"/>
            <w:noWrap w:val="0"/>
            <w:vAlign w:val="top"/>
          </w:tcPr>
          <w:p w14:paraId="3C3605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5571077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44480CE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265E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733F41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33</w:t>
            </w:r>
          </w:p>
        </w:tc>
        <w:tc>
          <w:tcPr>
            <w:tcW w:w="2171" w:type="dxa"/>
            <w:noWrap w:val="0"/>
            <w:vAlign w:val="center"/>
          </w:tcPr>
          <w:p w14:paraId="47D1695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室外风叶</w:t>
            </w:r>
          </w:p>
        </w:tc>
        <w:tc>
          <w:tcPr>
            <w:tcW w:w="2502" w:type="dxa"/>
            <w:noWrap w:val="0"/>
            <w:vAlign w:val="center"/>
          </w:tcPr>
          <w:p w14:paraId="2219215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ZL-700*202*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20-3N</w:t>
            </w:r>
          </w:p>
        </w:tc>
        <w:tc>
          <w:tcPr>
            <w:tcW w:w="786" w:type="dxa"/>
            <w:noWrap w:val="0"/>
            <w:vAlign w:val="top"/>
          </w:tcPr>
          <w:p w14:paraId="669723C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6D12B7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14BE52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44B2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6F5A3B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34</w:t>
            </w:r>
          </w:p>
        </w:tc>
        <w:tc>
          <w:tcPr>
            <w:tcW w:w="2171" w:type="dxa"/>
            <w:noWrap w:val="0"/>
            <w:vAlign w:val="center"/>
          </w:tcPr>
          <w:p w14:paraId="0914F5E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室外风叶</w:t>
            </w:r>
          </w:p>
        </w:tc>
        <w:tc>
          <w:tcPr>
            <w:tcW w:w="2502" w:type="dxa"/>
            <w:noWrap w:val="0"/>
            <w:vAlign w:val="center"/>
          </w:tcPr>
          <w:p w14:paraId="42C7EDE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ZL-560*162*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20-4N</w:t>
            </w:r>
          </w:p>
        </w:tc>
        <w:tc>
          <w:tcPr>
            <w:tcW w:w="786" w:type="dxa"/>
            <w:noWrap w:val="0"/>
            <w:vAlign w:val="top"/>
          </w:tcPr>
          <w:p w14:paraId="3054DE7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EEE47B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9885DB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8E76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0EBF47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35</w:t>
            </w:r>
          </w:p>
        </w:tc>
        <w:tc>
          <w:tcPr>
            <w:tcW w:w="2171" w:type="dxa"/>
            <w:noWrap w:val="0"/>
            <w:vAlign w:val="center"/>
          </w:tcPr>
          <w:p w14:paraId="62C7726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室外交流电机</w:t>
            </w:r>
          </w:p>
        </w:tc>
        <w:tc>
          <w:tcPr>
            <w:tcW w:w="2502" w:type="dxa"/>
            <w:noWrap w:val="0"/>
            <w:vAlign w:val="center"/>
          </w:tcPr>
          <w:p w14:paraId="5445B60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匹≤16</w:t>
            </w:r>
          </w:p>
        </w:tc>
        <w:tc>
          <w:tcPr>
            <w:tcW w:w="786" w:type="dxa"/>
            <w:noWrap w:val="0"/>
            <w:vAlign w:val="top"/>
          </w:tcPr>
          <w:p w14:paraId="7BF641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1E9F334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6B30D7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4A786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1AE9836">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36</w:t>
            </w:r>
          </w:p>
        </w:tc>
        <w:tc>
          <w:tcPr>
            <w:tcW w:w="2171" w:type="dxa"/>
            <w:noWrap w:val="0"/>
            <w:vAlign w:val="center"/>
          </w:tcPr>
          <w:p w14:paraId="62EB334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室外交流电机</w:t>
            </w:r>
          </w:p>
        </w:tc>
        <w:tc>
          <w:tcPr>
            <w:tcW w:w="2502" w:type="dxa"/>
            <w:noWrap w:val="0"/>
            <w:vAlign w:val="center"/>
          </w:tcPr>
          <w:p w14:paraId="7CF605D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匹≥20</w:t>
            </w:r>
          </w:p>
        </w:tc>
        <w:tc>
          <w:tcPr>
            <w:tcW w:w="786" w:type="dxa"/>
            <w:noWrap w:val="0"/>
            <w:vAlign w:val="top"/>
          </w:tcPr>
          <w:p w14:paraId="3A31D69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9340EF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11EE45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7A325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75BD7A7A">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37</w:t>
            </w:r>
          </w:p>
        </w:tc>
        <w:tc>
          <w:tcPr>
            <w:tcW w:w="2171" w:type="dxa"/>
            <w:noWrap w:val="0"/>
            <w:vAlign w:val="center"/>
          </w:tcPr>
          <w:p w14:paraId="446FBA3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室内电机</w:t>
            </w:r>
          </w:p>
        </w:tc>
        <w:tc>
          <w:tcPr>
            <w:tcW w:w="2502" w:type="dxa"/>
            <w:noWrap w:val="0"/>
            <w:vAlign w:val="center"/>
          </w:tcPr>
          <w:p w14:paraId="07EF8BE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匹≤2</w:t>
            </w:r>
          </w:p>
        </w:tc>
        <w:tc>
          <w:tcPr>
            <w:tcW w:w="786" w:type="dxa"/>
            <w:noWrap w:val="0"/>
            <w:vAlign w:val="top"/>
          </w:tcPr>
          <w:p w14:paraId="45EAA93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77C0293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B6815D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3E48A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5AFF87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38</w:t>
            </w:r>
          </w:p>
        </w:tc>
        <w:tc>
          <w:tcPr>
            <w:tcW w:w="2171" w:type="dxa"/>
            <w:noWrap w:val="0"/>
            <w:vAlign w:val="center"/>
          </w:tcPr>
          <w:p w14:paraId="77D760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室内电机</w:t>
            </w:r>
          </w:p>
        </w:tc>
        <w:tc>
          <w:tcPr>
            <w:tcW w:w="2502" w:type="dxa"/>
            <w:noWrap w:val="0"/>
            <w:vAlign w:val="center"/>
          </w:tcPr>
          <w:p w14:paraId="5BE6315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3≤匹≤5</w:t>
            </w:r>
          </w:p>
        </w:tc>
        <w:tc>
          <w:tcPr>
            <w:tcW w:w="786" w:type="dxa"/>
            <w:noWrap w:val="0"/>
            <w:vAlign w:val="top"/>
          </w:tcPr>
          <w:p w14:paraId="56202F5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6F30BFA">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4F9419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E588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476B7F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39</w:t>
            </w:r>
          </w:p>
        </w:tc>
        <w:tc>
          <w:tcPr>
            <w:tcW w:w="2171" w:type="dxa"/>
            <w:noWrap w:val="0"/>
            <w:vAlign w:val="center"/>
          </w:tcPr>
          <w:p w14:paraId="4DD1EFC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室内电机</w:t>
            </w:r>
          </w:p>
        </w:tc>
        <w:tc>
          <w:tcPr>
            <w:tcW w:w="2502" w:type="dxa"/>
            <w:noWrap w:val="0"/>
            <w:vAlign w:val="center"/>
          </w:tcPr>
          <w:p w14:paraId="7B57BED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 匹风管</w:t>
            </w:r>
          </w:p>
        </w:tc>
        <w:tc>
          <w:tcPr>
            <w:tcW w:w="786" w:type="dxa"/>
            <w:noWrap w:val="0"/>
            <w:vAlign w:val="top"/>
          </w:tcPr>
          <w:p w14:paraId="3DD2C77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7CF9ED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682D2A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77904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86A67A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40</w:t>
            </w:r>
          </w:p>
        </w:tc>
        <w:tc>
          <w:tcPr>
            <w:tcW w:w="2171" w:type="dxa"/>
            <w:noWrap w:val="0"/>
            <w:vAlign w:val="center"/>
          </w:tcPr>
          <w:p w14:paraId="211798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室内电机</w:t>
            </w:r>
          </w:p>
        </w:tc>
        <w:tc>
          <w:tcPr>
            <w:tcW w:w="2502" w:type="dxa"/>
            <w:noWrap w:val="0"/>
            <w:vAlign w:val="center"/>
          </w:tcPr>
          <w:p w14:paraId="566082A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 匹风管</w:t>
            </w:r>
          </w:p>
        </w:tc>
        <w:tc>
          <w:tcPr>
            <w:tcW w:w="786" w:type="dxa"/>
            <w:noWrap w:val="0"/>
            <w:vAlign w:val="top"/>
          </w:tcPr>
          <w:p w14:paraId="49EF5EA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40460EF8">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96A8CD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037B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C65B87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41</w:t>
            </w:r>
          </w:p>
        </w:tc>
        <w:tc>
          <w:tcPr>
            <w:tcW w:w="2171" w:type="dxa"/>
            <w:noWrap w:val="0"/>
            <w:vAlign w:val="center"/>
          </w:tcPr>
          <w:p w14:paraId="4FC719B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内机节流部件</w:t>
            </w:r>
          </w:p>
        </w:tc>
        <w:tc>
          <w:tcPr>
            <w:tcW w:w="2502" w:type="dxa"/>
            <w:noWrap w:val="0"/>
            <w:vAlign w:val="center"/>
          </w:tcPr>
          <w:p w14:paraId="7C6B2FE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内置全系列</w:t>
            </w:r>
          </w:p>
        </w:tc>
        <w:tc>
          <w:tcPr>
            <w:tcW w:w="786" w:type="dxa"/>
            <w:noWrap w:val="0"/>
            <w:vAlign w:val="top"/>
          </w:tcPr>
          <w:p w14:paraId="314CDBB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5BF27E1">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CC2240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72BC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4B4EBF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42</w:t>
            </w:r>
          </w:p>
        </w:tc>
        <w:tc>
          <w:tcPr>
            <w:tcW w:w="2171" w:type="dxa"/>
            <w:noWrap w:val="0"/>
            <w:vAlign w:val="center"/>
          </w:tcPr>
          <w:p w14:paraId="5CC7809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内机节流部件</w:t>
            </w:r>
          </w:p>
        </w:tc>
        <w:tc>
          <w:tcPr>
            <w:tcW w:w="2502" w:type="dxa"/>
            <w:noWrap w:val="0"/>
            <w:vAlign w:val="center"/>
          </w:tcPr>
          <w:p w14:paraId="589ED5C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外置全系列</w:t>
            </w:r>
          </w:p>
        </w:tc>
        <w:tc>
          <w:tcPr>
            <w:tcW w:w="786" w:type="dxa"/>
            <w:noWrap w:val="0"/>
            <w:vAlign w:val="top"/>
          </w:tcPr>
          <w:p w14:paraId="53BED68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1F21F9E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5242E76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33E14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5FF4D990">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43</w:t>
            </w:r>
          </w:p>
        </w:tc>
        <w:tc>
          <w:tcPr>
            <w:tcW w:w="2171" w:type="dxa"/>
            <w:noWrap w:val="0"/>
            <w:vAlign w:val="center"/>
          </w:tcPr>
          <w:p w14:paraId="350303D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室内主控板</w:t>
            </w:r>
          </w:p>
        </w:tc>
        <w:tc>
          <w:tcPr>
            <w:tcW w:w="2502" w:type="dxa"/>
            <w:noWrap w:val="0"/>
            <w:vAlign w:val="center"/>
          </w:tcPr>
          <w:p w14:paraId="4C078B0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匹≤3</w:t>
            </w:r>
          </w:p>
        </w:tc>
        <w:tc>
          <w:tcPr>
            <w:tcW w:w="786" w:type="dxa"/>
            <w:noWrap w:val="0"/>
            <w:vAlign w:val="top"/>
          </w:tcPr>
          <w:p w14:paraId="40CBE00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6B8B1B1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DF0E7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B133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CC85E2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44</w:t>
            </w:r>
          </w:p>
        </w:tc>
        <w:tc>
          <w:tcPr>
            <w:tcW w:w="2171" w:type="dxa"/>
            <w:noWrap w:val="0"/>
            <w:vAlign w:val="center"/>
          </w:tcPr>
          <w:p w14:paraId="5375F5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室内主控板</w:t>
            </w:r>
          </w:p>
        </w:tc>
        <w:tc>
          <w:tcPr>
            <w:tcW w:w="2502" w:type="dxa"/>
            <w:noWrap w:val="0"/>
            <w:vAlign w:val="center"/>
          </w:tcPr>
          <w:p w14:paraId="6CD1AC9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匹≥5</w:t>
            </w:r>
          </w:p>
        </w:tc>
        <w:tc>
          <w:tcPr>
            <w:tcW w:w="786" w:type="dxa"/>
            <w:noWrap w:val="0"/>
            <w:vAlign w:val="top"/>
          </w:tcPr>
          <w:p w14:paraId="44A6EE9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79D456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54DE1E1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ACC1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04AC871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45</w:t>
            </w:r>
          </w:p>
        </w:tc>
        <w:tc>
          <w:tcPr>
            <w:tcW w:w="2171" w:type="dxa"/>
            <w:noWrap w:val="0"/>
            <w:vAlign w:val="center"/>
          </w:tcPr>
          <w:p w14:paraId="633EDD6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风机电源</w:t>
            </w:r>
          </w:p>
        </w:tc>
        <w:tc>
          <w:tcPr>
            <w:tcW w:w="2502" w:type="dxa"/>
            <w:noWrap w:val="0"/>
            <w:vAlign w:val="center"/>
          </w:tcPr>
          <w:p w14:paraId="7CD0EAA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03660EA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0F5F251">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3FE3DC4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3B82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1A0E89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46</w:t>
            </w:r>
          </w:p>
        </w:tc>
        <w:tc>
          <w:tcPr>
            <w:tcW w:w="2171" w:type="dxa"/>
            <w:noWrap w:val="0"/>
            <w:vAlign w:val="center"/>
          </w:tcPr>
          <w:p w14:paraId="2859A40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风机模块</w:t>
            </w:r>
          </w:p>
        </w:tc>
        <w:tc>
          <w:tcPr>
            <w:tcW w:w="2502" w:type="dxa"/>
            <w:noWrap w:val="0"/>
            <w:vAlign w:val="center"/>
          </w:tcPr>
          <w:p w14:paraId="280C96D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15A</w:t>
            </w:r>
          </w:p>
        </w:tc>
        <w:tc>
          <w:tcPr>
            <w:tcW w:w="786" w:type="dxa"/>
            <w:noWrap w:val="0"/>
            <w:vAlign w:val="top"/>
          </w:tcPr>
          <w:p w14:paraId="5FA4804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79E1A248">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9DC77A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770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7AB4918">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47</w:t>
            </w:r>
          </w:p>
        </w:tc>
        <w:tc>
          <w:tcPr>
            <w:tcW w:w="2171" w:type="dxa"/>
            <w:noWrap w:val="0"/>
            <w:vAlign w:val="center"/>
          </w:tcPr>
          <w:p w14:paraId="75A2809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室外机滤波板</w:t>
            </w:r>
          </w:p>
        </w:tc>
        <w:tc>
          <w:tcPr>
            <w:tcW w:w="2502" w:type="dxa"/>
            <w:noWrap w:val="0"/>
            <w:vAlign w:val="center"/>
          </w:tcPr>
          <w:p w14:paraId="3886BA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7BE1705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DC2F686">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C3C452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8F40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E8CEBD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48</w:t>
            </w:r>
          </w:p>
        </w:tc>
        <w:tc>
          <w:tcPr>
            <w:tcW w:w="2171" w:type="dxa"/>
            <w:noWrap w:val="0"/>
            <w:vAlign w:val="center"/>
          </w:tcPr>
          <w:p w14:paraId="1B62F6A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外置排水泵</w:t>
            </w:r>
          </w:p>
        </w:tc>
        <w:tc>
          <w:tcPr>
            <w:tcW w:w="2502" w:type="dxa"/>
            <w:noWrap w:val="0"/>
            <w:vAlign w:val="center"/>
          </w:tcPr>
          <w:p w14:paraId="261B4F9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042F08F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E4DCC7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A6036B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C29D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7CB0DA9A">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49</w:t>
            </w:r>
          </w:p>
        </w:tc>
        <w:tc>
          <w:tcPr>
            <w:tcW w:w="2171" w:type="dxa"/>
            <w:noWrap w:val="0"/>
            <w:vAlign w:val="center"/>
          </w:tcPr>
          <w:p w14:paraId="7D352BB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线控器</w:t>
            </w:r>
          </w:p>
        </w:tc>
        <w:tc>
          <w:tcPr>
            <w:tcW w:w="2502" w:type="dxa"/>
            <w:noWrap w:val="0"/>
            <w:vAlign w:val="center"/>
          </w:tcPr>
          <w:p w14:paraId="5E1B38B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1699C4F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7DB3280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DC16BA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3735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44ED471">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50</w:t>
            </w:r>
          </w:p>
        </w:tc>
        <w:tc>
          <w:tcPr>
            <w:tcW w:w="2171" w:type="dxa"/>
            <w:noWrap w:val="0"/>
            <w:vAlign w:val="center"/>
          </w:tcPr>
          <w:p w14:paraId="63D9A58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内机回风口加装回风帆布改造</w:t>
            </w:r>
          </w:p>
        </w:tc>
        <w:tc>
          <w:tcPr>
            <w:tcW w:w="2502" w:type="dxa"/>
            <w:noWrap w:val="0"/>
            <w:vAlign w:val="center"/>
          </w:tcPr>
          <w:p w14:paraId="72AB4BC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3F28A65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301F625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F2F24F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B3F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639377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51</w:t>
            </w:r>
          </w:p>
        </w:tc>
        <w:tc>
          <w:tcPr>
            <w:tcW w:w="2171" w:type="dxa"/>
            <w:noWrap w:val="0"/>
            <w:vAlign w:val="center"/>
          </w:tcPr>
          <w:p w14:paraId="27CD23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内机冷凝水管路保温</w:t>
            </w:r>
          </w:p>
        </w:tc>
        <w:tc>
          <w:tcPr>
            <w:tcW w:w="2502" w:type="dxa"/>
            <w:noWrap w:val="0"/>
            <w:vAlign w:val="center"/>
          </w:tcPr>
          <w:p w14:paraId="793EC3F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411F5B6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393C8B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5E4614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3AEF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DAD05C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52</w:t>
            </w:r>
          </w:p>
        </w:tc>
        <w:tc>
          <w:tcPr>
            <w:tcW w:w="2171" w:type="dxa"/>
            <w:noWrap w:val="0"/>
            <w:vAlign w:val="center"/>
          </w:tcPr>
          <w:p w14:paraId="720699C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内机管路保温</w:t>
            </w:r>
          </w:p>
        </w:tc>
        <w:tc>
          <w:tcPr>
            <w:tcW w:w="2502" w:type="dxa"/>
            <w:noWrap w:val="0"/>
            <w:vAlign w:val="center"/>
          </w:tcPr>
          <w:p w14:paraId="213AB8B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0A72C19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6BA4612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9A9E0F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F444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5342149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53</w:t>
            </w:r>
          </w:p>
        </w:tc>
        <w:tc>
          <w:tcPr>
            <w:tcW w:w="2171" w:type="dxa"/>
            <w:noWrap w:val="0"/>
            <w:vAlign w:val="center"/>
          </w:tcPr>
          <w:p w14:paraId="6C66EA7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ABS 出风口</w:t>
            </w:r>
          </w:p>
        </w:tc>
        <w:tc>
          <w:tcPr>
            <w:tcW w:w="2502" w:type="dxa"/>
            <w:noWrap w:val="0"/>
            <w:vAlign w:val="center"/>
          </w:tcPr>
          <w:p w14:paraId="2AF96B1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600*600</w:t>
            </w:r>
          </w:p>
        </w:tc>
        <w:tc>
          <w:tcPr>
            <w:tcW w:w="786" w:type="dxa"/>
            <w:noWrap w:val="0"/>
            <w:vAlign w:val="top"/>
          </w:tcPr>
          <w:p w14:paraId="23D01F1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6814274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754219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A2DD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545D29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54</w:t>
            </w:r>
          </w:p>
        </w:tc>
        <w:tc>
          <w:tcPr>
            <w:tcW w:w="2171" w:type="dxa"/>
            <w:noWrap w:val="0"/>
            <w:vAlign w:val="center"/>
          </w:tcPr>
          <w:p w14:paraId="2E231A0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保温风道天圆地方</w:t>
            </w:r>
          </w:p>
        </w:tc>
        <w:tc>
          <w:tcPr>
            <w:tcW w:w="2502" w:type="dxa"/>
            <w:noWrap w:val="0"/>
            <w:vAlign w:val="center"/>
          </w:tcPr>
          <w:p w14:paraId="31C5CBE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485*300</w:t>
            </w:r>
          </w:p>
        </w:tc>
        <w:tc>
          <w:tcPr>
            <w:tcW w:w="786" w:type="dxa"/>
            <w:noWrap w:val="0"/>
            <w:vAlign w:val="top"/>
          </w:tcPr>
          <w:p w14:paraId="1B58865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611FFB8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0FADE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20FE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71AA7D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55</w:t>
            </w:r>
          </w:p>
        </w:tc>
        <w:tc>
          <w:tcPr>
            <w:tcW w:w="2171" w:type="dxa"/>
            <w:noWrap w:val="0"/>
            <w:vAlign w:val="center"/>
          </w:tcPr>
          <w:p w14:paraId="4EB630C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登高车</w:t>
            </w:r>
          </w:p>
        </w:tc>
        <w:tc>
          <w:tcPr>
            <w:tcW w:w="2502" w:type="dxa"/>
            <w:noWrap w:val="0"/>
            <w:vAlign w:val="center"/>
          </w:tcPr>
          <w:p w14:paraId="74221F8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8-10 米/时</w:t>
            </w:r>
          </w:p>
        </w:tc>
        <w:tc>
          <w:tcPr>
            <w:tcW w:w="786" w:type="dxa"/>
            <w:noWrap w:val="0"/>
            <w:vAlign w:val="top"/>
          </w:tcPr>
          <w:p w14:paraId="26EDCBB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5E58449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AD43E8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37E0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6FD229F">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56</w:t>
            </w:r>
          </w:p>
        </w:tc>
        <w:tc>
          <w:tcPr>
            <w:tcW w:w="2171" w:type="dxa"/>
            <w:noWrap w:val="0"/>
            <w:vAlign w:val="center"/>
          </w:tcPr>
          <w:p w14:paraId="6919858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深度清洗新风机组</w:t>
            </w:r>
          </w:p>
        </w:tc>
        <w:tc>
          <w:tcPr>
            <w:tcW w:w="2502" w:type="dxa"/>
            <w:noWrap w:val="0"/>
            <w:vAlign w:val="bottom"/>
          </w:tcPr>
          <w:p w14:paraId="7E1E35C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MDBX580VP</w:t>
            </w:r>
          </w:p>
        </w:tc>
        <w:tc>
          <w:tcPr>
            <w:tcW w:w="786" w:type="dxa"/>
            <w:noWrap w:val="0"/>
            <w:vAlign w:val="top"/>
          </w:tcPr>
          <w:p w14:paraId="7633B75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BB8619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A61C1E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061F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8BA47A0">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57</w:t>
            </w:r>
          </w:p>
        </w:tc>
        <w:tc>
          <w:tcPr>
            <w:tcW w:w="2171" w:type="dxa"/>
            <w:noWrap w:val="0"/>
            <w:vAlign w:val="center"/>
          </w:tcPr>
          <w:p w14:paraId="39CE77E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操作间主机深度清洗</w:t>
            </w:r>
          </w:p>
        </w:tc>
        <w:tc>
          <w:tcPr>
            <w:tcW w:w="2502" w:type="dxa"/>
            <w:noWrap w:val="0"/>
            <w:vAlign w:val="bottom"/>
          </w:tcPr>
          <w:p w14:paraId="6344D09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MDBX580VP</w:t>
            </w:r>
          </w:p>
        </w:tc>
        <w:tc>
          <w:tcPr>
            <w:tcW w:w="786" w:type="dxa"/>
            <w:noWrap w:val="0"/>
            <w:vAlign w:val="top"/>
          </w:tcPr>
          <w:p w14:paraId="0B74F9F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7DE6023F">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5F14686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D978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F5E326F">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58</w:t>
            </w:r>
          </w:p>
        </w:tc>
        <w:tc>
          <w:tcPr>
            <w:tcW w:w="2171" w:type="dxa"/>
            <w:noWrap w:val="0"/>
            <w:vAlign w:val="center"/>
          </w:tcPr>
          <w:p w14:paraId="5EB4C37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深度清洗新风出风口</w:t>
            </w:r>
          </w:p>
        </w:tc>
        <w:tc>
          <w:tcPr>
            <w:tcW w:w="2502" w:type="dxa"/>
            <w:noWrap w:val="0"/>
            <w:vAlign w:val="bottom"/>
          </w:tcPr>
          <w:p w14:paraId="2025949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MDBX580VP</w:t>
            </w:r>
          </w:p>
        </w:tc>
        <w:tc>
          <w:tcPr>
            <w:tcW w:w="786" w:type="dxa"/>
            <w:noWrap w:val="0"/>
            <w:vAlign w:val="top"/>
          </w:tcPr>
          <w:p w14:paraId="25CDD75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408BC86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5FFC49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bl>
    <w:p w14:paraId="77B853EE">
      <w:pPr>
        <w:pStyle w:val="20"/>
        <w:tabs>
          <w:tab w:val="right" w:leader="dot" w:pos="9629"/>
          <w:tab w:val="clear" w:pos="8729"/>
        </w:tabs>
        <w:rPr>
          <w:highlight w:val="none"/>
        </w:rPr>
      </w:pPr>
    </w:p>
    <w:p w14:paraId="41793E21">
      <w:pPr>
        <w:spacing w:line="440" w:lineRule="exact"/>
        <w:ind w:firstLine="480" w:firstLineChars="200"/>
        <w:jc w:val="center"/>
        <w:rPr>
          <w:rFonts w:hint="eastAsia" w:ascii="宋体" w:hAnsi="宋体"/>
          <w:sz w:val="24"/>
          <w:szCs w:val="24"/>
          <w:highlight w:val="none"/>
        </w:rPr>
      </w:pPr>
    </w:p>
    <w:p w14:paraId="1D23B47B">
      <w:pPr>
        <w:spacing w:line="440" w:lineRule="exact"/>
        <w:ind w:firstLine="480" w:firstLineChars="200"/>
        <w:rPr>
          <w:rFonts w:ascii="宋体" w:hAnsi="宋体" w:eastAsia="宋体" w:cs="宋体"/>
          <w:sz w:val="24"/>
          <w:szCs w:val="24"/>
          <w:highlight w:val="none"/>
        </w:rPr>
      </w:pPr>
      <w:r>
        <w:rPr>
          <w:rFonts w:hint="eastAsia" w:ascii="宋体" w:hAnsi="宋体"/>
          <w:color w:val="000000"/>
          <w:sz w:val="24"/>
          <w:szCs w:val="24"/>
          <w:highlight w:val="none"/>
        </w:rPr>
        <w:t>备注：</w:t>
      </w:r>
      <w:r>
        <w:rPr>
          <w:rFonts w:ascii="宋体" w:hAnsi="宋体"/>
          <w:color w:val="000000"/>
          <w:sz w:val="24"/>
          <w:szCs w:val="24"/>
          <w:highlight w:val="none"/>
        </w:rPr>
        <w:t>①</w:t>
      </w:r>
      <w:r>
        <w:rPr>
          <w:rFonts w:ascii="宋体" w:hAnsi="宋体" w:eastAsia="宋体" w:cs="宋体"/>
          <w:sz w:val="24"/>
          <w:szCs w:val="24"/>
          <w:highlight w:val="none"/>
        </w:rPr>
        <w:t>本表所列内容为本项目维保服务核心工作及配套备品备件清单，投标人需完整提供本表全部维保作业、备用配件，同时覆盖招标文件约定全部维保配套服务，请投标人完整研读本项目服务范围章节。投标人若对清单、服务范围存在任何异议，无论差异大小，均须在投标文件</w:t>
      </w:r>
      <w:r>
        <w:rPr>
          <w:rFonts w:hint="eastAsia"/>
          <w:sz w:val="24"/>
          <w:szCs w:val="24"/>
          <w:highlight w:val="none"/>
        </w:rPr>
        <w:t>“商务偏离”</w:t>
      </w:r>
      <w:r>
        <w:rPr>
          <w:rFonts w:ascii="宋体" w:hAnsi="宋体" w:eastAsia="宋体" w:cs="宋体"/>
          <w:sz w:val="24"/>
          <w:szCs w:val="24"/>
          <w:highlight w:val="none"/>
        </w:rPr>
        <w:t>表中逐条详细列明说明。</w:t>
      </w:r>
    </w:p>
    <w:p w14:paraId="509A699A">
      <w:pPr>
        <w:spacing w:line="440" w:lineRule="exact"/>
        <w:ind w:firstLine="480" w:firstLineChars="200"/>
        <w:rPr>
          <w:rFonts w:hint="eastAsia" w:ascii="宋体" w:hAnsi="宋体"/>
          <w:sz w:val="24"/>
          <w:szCs w:val="24"/>
          <w:highlight w:val="none"/>
        </w:rPr>
      </w:pPr>
      <w:r>
        <w:rPr>
          <w:rFonts w:ascii="宋体" w:hAnsi="宋体"/>
          <w:sz w:val="24"/>
          <w:szCs w:val="24"/>
          <w:highlight w:val="none"/>
        </w:rPr>
        <w:t>②</w:t>
      </w:r>
      <w:r>
        <w:rPr>
          <w:rFonts w:hint="eastAsia" w:ascii="宋体" w:hAnsi="宋体"/>
          <w:sz w:val="24"/>
          <w:szCs w:val="24"/>
          <w:highlight w:val="none"/>
        </w:rPr>
        <w:t xml:space="preserve"> 本表“</w:t>
      </w:r>
      <w:r>
        <w:rPr>
          <w:rFonts w:ascii="宋体" w:hAnsi="宋体" w:eastAsia="宋体" w:cs="宋体"/>
          <w:sz w:val="24"/>
          <w:szCs w:val="24"/>
          <w:highlight w:val="none"/>
        </w:rPr>
        <w:t>服务交付模式</w:t>
      </w:r>
      <w:r>
        <w:rPr>
          <w:rFonts w:hint="eastAsia" w:ascii="宋体" w:hAnsi="宋体"/>
          <w:sz w:val="24"/>
          <w:szCs w:val="24"/>
          <w:highlight w:val="none"/>
        </w:rPr>
        <w:t>”指：</w:t>
      </w:r>
      <w:r>
        <w:rPr>
          <w:rFonts w:ascii="宋体" w:hAnsi="宋体" w:eastAsia="宋体" w:cs="宋体"/>
          <w:sz w:val="24"/>
          <w:szCs w:val="24"/>
          <w:highlight w:val="none"/>
        </w:rPr>
        <w:t>包含现场上门、工具耗材运输、现场拆装检修、配件更换、系统调试、竣工验收、甲方操作人员技术培训、售后质保等全部相关工作</w:t>
      </w:r>
      <w:r>
        <w:rPr>
          <w:rFonts w:hint="eastAsia" w:ascii="宋体" w:hAnsi="宋体"/>
          <w:sz w:val="24"/>
          <w:szCs w:val="24"/>
          <w:highlight w:val="none"/>
        </w:rPr>
        <w:t xml:space="preserve">。 </w:t>
      </w:r>
    </w:p>
    <w:p w14:paraId="1AE629CF">
      <w:pPr>
        <w:spacing w:line="440" w:lineRule="exact"/>
        <w:ind w:firstLine="482" w:firstLineChars="200"/>
        <w:rPr>
          <w:rFonts w:ascii="宋体" w:hAnsi="宋体"/>
          <w:b/>
          <w:sz w:val="24"/>
          <w:szCs w:val="24"/>
          <w:highlight w:val="none"/>
        </w:rPr>
      </w:pPr>
      <w:r>
        <w:rPr>
          <w:rFonts w:hint="eastAsia" w:ascii="宋体" w:hAnsi="宋体"/>
          <w:b/>
          <w:sz w:val="24"/>
          <w:szCs w:val="24"/>
          <w:highlight w:val="none"/>
        </w:rPr>
        <w:t>三、</w:t>
      </w:r>
      <w:r>
        <w:rPr>
          <w:rFonts w:ascii="宋体" w:hAnsi="宋体" w:eastAsia="宋体" w:cs="宋体"/>
          <w:sz w:val="24"/>
          <w:szCs w:val="24"/>
          <w:highlight w:val="none"/>
        </w:rPr>
        <w:t>采购服务特别说明</w:t>
      </w:r>
    </w:p>
    <w:p w14:paraId="43C4E1CA">
      <w:pPr>
        <w:pStyle w:val="12"/>
        <w:spacing w:line="360" w:lineRule="auto"/>
        <w:ind w:firstLine="480" w:firstLineChars="200"/>
        <w:rPr>
          <w:rFonts w:ascii="宋体" w:hAnsi="宋体" w:eastAsia="宋体" w:cs="宋体"/>
          <w:kern w:val="2"/>
          <w:sz w:val="24"/>
          <w:szCs w:val="24"/>
          <w:highlight w:val="none"/>
          <w:lang w:val="en-US" w:eastAsia="zh-CN" w:bidi="ar-SA"/>
        </w:rPr>
      </w:pPr>
      <w:r>
        <w:rPr>
          <w:rFonts w:ascii="宋体" w:hAnsi="宋体" w:eastAsia="宋体" w:cs="宋体"/>
          <w:kern w:val="2"/>
          <w:sz w:val="24"/>
          <w:szCs w:val="24"/>
          <w:highlight w:val="none"/>
          <w:lang w:val="en-US" w:eastAsia="zh-CN" w:bidi="ar-SA"/>
        </w:rPr>
        <w:t>招标方所列维保服务内容、设备型号、配件规格，如为某一品牌 / 设备原厂特有，则该名称、型号、规格仅作为参考；但要求投标方所提供的维保服务、更换配件、系统调试必须满足本技术标书实质性要求，确保空调机组正常、安全、稳定运行。</w:t>
      </w:r>
    </w:p>
    <w:p w14:paraId="2C9AEF81">
      <w:pPr>
        <w:spacing w:line="440" w:lineRule="exact"/>
        <w:ind w:firstLine="482" w:firstLineChars="200"/>
        <w:jc w:val="center"/>
        <w:rPr>
          <w:rFonts w:ascii="宋体" w:hAnsi="宋体"/>
          <w:b/>
          <w:bCs/>
          <w:sz w:val="24"/>
          <w:szCs w:val="24"/>
          <w:highlight w:val="none"/>
        </w:rPr>
      </w:pPr>
      <w:r>
        <w:rPr>
          <w:rFonts w:hint="eastAsia" w:ascii="宋体" w:hAnsi="宋体"/>
          <w:b/>
          <w:bCs/>
          <w:sz w:val="24"/>
          <w:szCs w:val="24"/>
          <w:highlight w:val="none"/>
        </w:rPr>
        <w:t>第三节  采购</w:t>
      </w:r>
      <w:r>
        <w:rPr>
          <w:rFonts w:hint="eastAsia" w:ascii="宋体" w:hAnsi="宋体"/>
          <w:b/>
          <w:bCs/>
          <w:sz w:val="24"/>
          <w:szCs w:val="24"/>
          <w:highlight w:val="none"/>
          <w:lang w:val="en-US" w:eastAsia="zh-CN"/>
        </w:rPr>
        <w:t>服务</w:t>
      </w:r>
      <w:r>
        <w:rPr>
          <w:rFonts w:hint="eastAsia" w:ascii="宋体" w:hAnsi="宋体"/>
          <w:b/>
          <w:bCs/>
          <w:sz w:val="24"/>
          <w:szCs w:val="24"/>
          <w:highlight w:val="none"/>
        </w:rPr>
        <w:t>技术要求</w:t>
      </w:r>
    </w:p>
    <w:p w14:paraId="67AD15EE">
      <w:pPr>
        <w:spacing w:line="440" w:lineRule="exact"/>
        <w:ind w:firstLine="482" w:firstLineChars="200"/>
        <w:rPr>
          <w:rFonts w:hint="eastAsia" w:ascii="黑体" w:hAnsi="宋体"/>
          <w:b/>
          <w:bCs/>
          <w:sz w:val="24"/>
          <w:szCs w:val="24"/>
          <w:highlight w:val="none"/>
        </w:rPr>
      </w:pPr>
      <w:r>
        <w:rPr>
          <w:rFonts w:ascii="黑体" w:hAnsi="宋体"/>
          <w:b/>
          <w:bCs/>
          <w:sz w:val="24"/>
          <w:szCs w:val="24"/>
          <w:highlight w:val="none"/>
        </w:rPr>
        <w:t>1</w:t>
      </w:r>
      <w:r>
        <w:rPr>
          <w:rFonts w:hint="eastAsia" w:ascii="黑体" w:hAnsi="宋体"/>
          <w:b/>
          <w:bCs/>
          <w:sz w:val="24"/>
          <w:szCs w:val="24"/>
          <w:highlight w:val="none"/>
        </w:rPr>
        <w:t>基本要求</w:t>
      </w:r>
    </w:p>
    <w:p w14:paraId="30AA5259">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 室内机清洗及检修：</w:t>
      </w:r>
    </w:p>
    <w:p w14:paraId="5D227430">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确保滤网无脏污、油污、灰尘附着，保持清洁状态。</w:t>
      </w:r>
    </w:p>
    <w:p w14:paraId="74D7F6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color w:val="000000"/>
          <w:sz w:val="24"/>
          <w:szCs w:val="24"/>
          <w:highlight w:val="none"/>
        </w:rPr>
        <w:t>回风滤网、蒸发器、接水盘、风道彻底清洁，无灰尘、油污、堵塞、异味；</w:t>
      </w:r>
    </w:p>
    <w:p w14:paraId="76549D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000000"/>
          <w:sz w:val="24"/>
          <w:szCs w:val="24"/>
          <w:highlight w:val="none"/>
        </w:rPr>
      </w:pPr>
      <w:r>
        <w:rPr>
          <w:color w:val="000000"/>
          <w:sz w:val="24"/>
          <w:szCs w:val="24"/>
          <w:highlight w:val="none"/>
        </w:rPr>
        <w:t>内机风机、电机、导风部件运转正常，无抖动、无异响；</w:t>
      </w:r>
    </w:p>
    <w:p w14:paraId="4B8244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000000"/>
          <w:sz w:val="24"/>
          <w:szCs w:val="24"/>
          <w:highlight w:val="none"/>
        </w:rPr>
      </w:pPr>
      <w:r>
        <w:rPr>
          <w:color w:val="000000"/>
          <w:sz w:val="24"/>
          <w:szCs w:val="24"/>
          <w:highlight w:val="none"/>
        </w:rPr>
        <w:t>电气接线紧固、绝缘良好，接水盘排水通畅无渗漏；</w:t>
      </w:r>
    </w:p>
    <w:p w14:paraId="574BB9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000000"/>
          <w:sz w:val="24"/>
          <w:szCs w:val="24"/>
          <w:highlight w:val="none"/>
        </w:rPr>
      </w:pPr>
      <w:r>
        <w:rPr>
          <w:color w:val="000000"/>
          <w:sz w:val="24"/>
          <w:szCs w:val="24"/>
          <w:highlight w:val="none"/>
        </w:rPr>
        <w:t>含吊顶拆装、恢复、清洁归位，完工后符合现场安全与美观要求。</w:t>
      </w:r>
    </w:p>
    <w:p w14:paraId="5BDD1C48">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 MDS室外机清洗及检修：</w:t>
      </w:r>
    </w:p>
    <w:p w14:paraId="35415EB6">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1.2.1 确保高、低压传感器显示值与实际值的偏差不超过50KPa。</w:t>
      </w:r>
    </w:p>
    <w:p w14:paraId="3EAE3668">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12.2 温度传感器阻值应在标准值范围内（环境温度25摄氏度时，阻值为10k）。</w:t>
      </w:r>
    </w:p>
    <w:p w14:paraId="6669FDC5">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1.2.3 冷媒系统压力值应在标准值范围内（平衡压力0.8Mpa-1.7Mpa）。</w:t>
      </w:r>
    </w:p>
    <w:p w14:paraId="49BB9F45">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1.2.4 机组供电电源电压应在标准值范围内（380V±10%）。</w:t>
      </w:r>
    </w:p>
    <w:p w14:paraId="452AA6E0">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1.2.5 压缩机工作电流和电压应在规定范围内，排气温度（70℃-105℃）、排气压力（2.4Mpa-3.2Mpa）应正常。</w:t>
      </w:r>
    </w:p>
    <w:p w14:paraId="1A305D97">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1.2.6 电源线应无破损，接线盒无进水，接线无松动。</w:t>
      </w:r>
    </w:p>
    <w:p w14:paraId="2D53D85B">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1.2.7 风机等动力部件运转电流应在标准范围内，风机电机应正常启停、无异响。</w:t>
      </w:r>
    </w:p>
    <w:p w14:paraId="14DCFE43">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1.2.8 冷凝器翅片应保持无脏污、油污、灰尘附着。</w:t>
      </w:r>
    </w:p>
    <w:p w14:paraId="1109AA5E">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 配件供应：</w:t>
      </w:r>
    </w:p>
    <w:p w14:paraId="0BD25FB1">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提供的所有配件应</w:t>
      </w:r>
      <w:r>
        <w:rPr>
          <w:rFonts w:hint="eastAsia" w:ascii="宋体" w:hAnsi="宋体" w:cs="宋体"/>
          <w:sz w:val="24"/>
          <w:szCs w:val="24"/>
          <w:highlight w:val="none"/>
          <w:lang w:val="en-US" w:eastAsia="zh-CN"/>
        </w:rPr>
        <w:t>高于</w:t>
      </w:r>
      <w:r>
        <w:rPr>
          <w:rFonts w:hint="eastAsia" w:ascii="宋体" w:hAnsi="宋体" w:eastAsia="宋体" w:cs="宋体"/>
          <w:sz w:val="24"/>
          <w:szCs w:val="24"/>
          <w:highlight w:val="none"/>
          <w:lang w:val="en-US" w:eastAsia="zh-CN"/>
        </w:rPr>
        <w:t>原品牌、型号，如需更换，品牌和型号满足设备需求，确保设备运行的稳定性和可靠性。</w:t>
      </w:r>
    </w:p>
    <w:p w14:paraId="6AB20B0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firstLine="480" w:firstLineChars="200"/>
        <w:jc w:val="left"/>
        <w:rPr>
          <w:color w:val="000000"/>
          <w:sz w:val="24"/>
          <w:szCs w:val="24"/>
          <w:highlight w:val="none"/>
        </w:rPr>
      </w:pPr>
      <w:r>
        <w:rPr>
          <w:color w:val="000000"/>
          <w:sz w:val="24"/>
          <w:szCs w:val="24"/>
          <w:highlight w:val="none"/>
        </w:rPr>
        <w:t>配件须全新正品，提供合格证明，严禁翻新件、拆机件、非标件。</w:t>
      </w:r>
    </w:p>
    <w:p w14:paraId="563F2EA9">
      <w:pPr>
        <w:spacing w:line="440" w:lineRule="exact"/>
        <w:ind w:firstLine="482" w:firstLineChars="200"/>
        <w:rPr>
          <w:rFonts w:hint="eastAsia" w:ascii="黑体" w:hAnsi="宋体"/>
          <w:b/>
          <w:bCs/>
          <w:sz w:val="24"/>
          <w:szCs w:val="24"/>
          <w:highlight w:val="none"/>
        </w:rPr>
      </w:pPr>
    </w:p>
    <w:p w14:paraId="05B1E1C0">
      <w:pPr>
        <w:spacing w:line="440" w:lineRule="exact"/>
        <w:ind w:firstLine="482" w:firstLineChars="200"/>
        <w:rPr>
          <w:rFonts w:hint="eastAsia" w:ascii="宋体" w:hAnsi="宋体" w:eastAsia="宋体" w:cs="宋体"/>
          <w:sz w:val="24"/>
          <w:szCs w:val="24"/>
          <w:highlight w:val="none"/>
        </w:rPr>
      </w:pPr>
      <w:r>
        <w:rPr>
          <w:rFonts w:hint="eastAsia" w:ascii="宋体" w:hAnsi="宋体" w:cs="宋体"/>
          <w:b/>
          <w:bCs/>
          <w:kern w:val="0"/>
          <w:sz w:val="24"/>
          <w:szCs w:val="24"/>
          <w:highlight w:val="none"/>
        </w:rPr>
        <w:t>2执行标准</w:t>
      </w:r>
      <w:r>
        <w:rPr>
          <w:rFonts w:hint="eastAsia" w:ascii="宋体" w:hAnsi="宋体" w:cs="宋体"/>
          <w:b/>
          <w:bCs/>
          <w:kern w:val="0"/>
          <w:sz w:val="24"/>
          <w:szCs w:val="24"/>
          <w:highlight w:val="none"/>
          <w:lang w:eastAsia="zh-CN"/>
        </w:rPr>
        <w:t>：</w:t>
      </w:r>
      <w:r>
        <w:rPr>
          <w:rFonts w:ascii="宋体" w:hAnsi="宋体" w:eastAsia="宋体" w:cs="宋体"/>
          <w:sz w:val="24"/>
          <w:szCs w:val="24"/>
          <w:highlight w:val="none"/>
        </w:rPr>
        <w:t>执行国家及行业最新标准，标准不一致时按最严格标准执行，环保、噪声、安全符合国家现行规范</w:t>
      </w:r>
      <w:r>
        <w:rPr>
          <w:rFonts w:hint="eastAsia" w:ascii="宋体" w:hAnsi="宋体" w:eastAsia="宋体" w:cs="宋体"/>
          <w:sz w:val="24"/>
          <w:szCs w:val="24"/>
          <w:highlight w:val="none"/>
        </w:rPr>
        <w:t>。</w:t>
      </w:r>
    </w:p>
    <w:p w14:paraId="62A09635">
      <w:pPr>
        <w:spacing w:line="440" w:lineRule="exact"/>
        <w:ind w:firstLine="482" w:firstLineChars="200"/>
        <w:rPr>
          <w:rFonts w:hint="eastAsia" w:ascii="宋体" w:hAnsi="宋体" w:eastAsia="宋体" w:cs="宋体"/>
          <w:b/>
          <w:bCs/>
          <w:kern w:val="0"/>
          <w:sz w:val="24"/>
          <w:szCs w:val="24"/>
          <w:highlight w:val="none"/>
          <w:lang w:eastAsia="zh-CN"/>
        </w:rPr>
      </w:pPr>
      <w:r>
        <w:rPr>
          <w:rFonts w:ascii="宋体" w:hAnsi="宋体" w:cs="宋体"/>
          <w:b/>
          <w:bCs/>
          <w:kern w:val="0"/>
          <w:sz w:val="24"/>
          <w:szCs w:val="24"/>
          <w:highlight w:val="none"/>
        </w:rPr>
        <w:t>3</w:t>
      </w:r>
      <w:r>
        <w:rPr>
          <w:rFonts w:hint="eastAsia" w:ascii="宋体" w:hAnsi="宋体" w:cs="宋体"/>
          <w:b/>
          <w:bCs/>
          <w:kern w:val="0"/>
          <w:sz w:val="24"/>
          <w:szCs w:val="24"/>
          <w:highlight w:val="none"/>
        </w:rPr>
        <w:t xml:space="preserve"> 技术要求及参数</w:t>
      </w:r>
      <w:r>
        <w:rPr>
          <w:rFonts w:hint="eastAsia" w:ascii="宋体" w:hAnsi="宋体" w:cs="宋体"/>
          <w:b/>
          <w:bCs/>
          <w:kern w:val="0"/>
          <w:sz w:val="24"/>
          <w:szCs w:val="24"/>
          <w:highlight w:val="none"/>
          <w:lang w:eastAsia="zh-CN"/>
        </w:rPr>
        <w:t>：</w:t>
      </w:r>
      <w:r>
        <w:rPr>
          <w:rFonts w:ascii="宋体" w:hAnsi="宋体" w:eastAsia="宋体" w:cs="宋体"/>
          <w:sz w:val="24"/>
          <w:szCs w:val="24"/>
          <w:highlight w:val="none"/>
        </w:rPr>
        <w:t>严格按照多联机空调维保规范及设备原厂标准执行。</w:t>
      </w:r>
    </w:p>
    <w:p w14:paraId="576F8411">
      <w:pPr>
        <w:ind w:firstLine="420" w:firstLineChars="200"/>
        <w:jc w:val="center"/>
        <w:rPr>
          <w:highlight w:val="none"/>
        </w:rPr>
      </w:pPr>
    </w:p>
    <w:p w14:paraId="43579802">
      <w:pPr>
        <w:ind w:firstLine="420" w:firstLineChars="200"/>
        <w:jc w:val="center"/>
        <w:rPr>
          <w:highlight w:val="none"/>
        </w:rPr>
      </w:pPr>
    </w:p>
    <w:p w14:paraId="025C6570">
      <w:pPr>
        <w:ind w:firstLine="420" w:firstLineChars="200"/>
        <w:jc w:val="center"/>
        <w:rPr>
          <w:highlight w:val="none"/>
        </w:rPr>
      </w:pPr>
    </w:p>
    <w:p w14:paraId="6DD35CC5">
      <w:pPr>
        <w:spacing w:line="440" w:lineRule="exact"/>
        <w:ind w:firstLine="482" w:firstLineChars="200"/>
        <w:rPr>
          <w:rFonts w:ascii="宋体" w:hAnsi="宋体" w:cs="宋体"/>
          <w:b/>
          <w:bCs/>
          <w:kern w:val="0"/>
          <w:sz w:val="24"/>
          <w:szCs w:val="24"/>
          <w:highlight w:val="none"/>
        </w:rPr>
      </w:pPr>
    </w:p>
    <w:p w14:paraId="1D468E45">
      <w:pPr>
        <w:spacing w:line="440" w:lineRule="exact"/>
        <w:ind w:firstLine="482" w:firstLineChars="200"/>
        <w:jc w:val="center"/>
        <w:rPr>
          <w:rFonts w:hint="eastAsia" w:ascii="宋体" w:hAnsi="宋体"/>
          <w:color w:val="000000"/>
          <w:sz w:val="24"/>
          <w:szCs w:val="24"/>
          <w:highlight w:val="none"/>
        </w:rPr>
      </w:pPr>
      <w:bookmarkStart w:id="15" w:name="_Toc133783971"/>
      <w:r>
        <w:rPr>
          <w:rFonts w:hint="eastAsia"/>
          <w:b/>
          <w:sz w:val="24"/>
          <w:szCs w:val="24"/>
          <w:highlight w:val="none"/>
        </w:rPr>
        <w:t xml:space="preserve">第四节  </w:t>
      </w:r>
      <w:r>
        <w:rPr>
          <w:rFonts w:hint="eastAsia"/>
          <w:b/>
          <w:sz w:val="24"/>
          <w:szCs w:val="24"/>
          <w:highlight w:val="none"/>
          <w:lang w:val="en-US" w:eastAsia="zh-CN"/>
        </w:rPr>
        <w:t>服务</w:t>
      </w:r>
      <w:r>
        <w:rPr>
          <w:rFonts w:hint="eastAsia"/>
          <w:b/>
          <w:sz w:val="24"/>
          <w:szCs w:val="24"/>
          <w:highlight w:val="none"/>
        </w:rPr>
        <w:t>范围</w:t>
      </w:r>
      <w:bookmarkEnd w:id="15"/>
    </w:p>
    <w:p w14:paraId="4C505B4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  主要</w:t>
      </w:r>
      <w:r>
        <w:rPr>
          <w:rFonts w:ascii="宋体" w:hAnsi="宋体" w:eastAsia="宋体" w:cs="宋体"/>
          <w:sz w:val="24"/>
          <w:szCs w:val="24"/>
          <w:highlight w:val="none"/>
        </w:rPr>
        <w:t>服务</w:t>
      </w:r>
      <w:r>
        <w:rPr>
          <w:rFonts w:hint="eastAsia" w:ascii="宋体" w:hAnsi="宋体"/>
          <w:sz w:val="24"/>
          <w:szCs w:val="24"/>
          <w:highlight w:val="none"/>
        </w:rPr>
        <w:t>范围</w:t>
      </w:r>
    </w:p>
    <w:p w14:paraId="6131E61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1.1  </w:t>
      </w:r>
      <w:r>
        <w:rPr>
          <w:rFonts w:ascii="宋体" w:hAnsi="宋体" w:eastAsia="宋体" w:cs="宋体"/>
          <w:sz w:val="24"/>
          <w:szCs w:val="24"/>
          <w:highlight w:val="none"/>
        </w:rPr>
        <w:t>招标方仅提供维保作业所需的现场作业场地</w:t>
      </w:r>
      <w:r>
        <w:rPr>
          <w:rFonts w:hint="eastAsia" w:ascii="宋体" w:hAnsi="宋体"/>
          <w:sz w:val="24"/>
          <w:szCs w:val="24"/>
          <w:highlight w:val="none"/>
        </w:rPr>
        <w:t>。</w:t>
      </w:r>
    </w:p>
    <w:p w14:paraId="4815C79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1.2  招标方只负责提供符合本技术标书中“采购</w:t>
      </w:r>
      <w:r>
        <w:rPr>
          <w:rFonts w:hint="eastAsia" w:ascii="宋体" w:hAnsi="宋体"/>
          <w:sz w:val="24"/>
          <w:szCs w:val="24"/>
          <w:highlight w:val="none"/>
          <w:lang w:val="en-US" w:eastAsia="zh-CN"/>
        </w:rPr>
        <w:t>服务</w:t>
      </w:r>
      <w:r>
        <w:rPr>
          <w:rFonts w:hint="eastAsia" w:ascii="宋体" w:hAnsi="宋体"/>
          <w:sz w:val="24"/>
          <w:szCs w:val="24"/>
          <w:highlight w:val="none"/>
        </w:rPr>
        <w:t>概况”和“使用环境”章节所列明品质的电力、自来水、压缩空气、蒸汽、天然气（或煤气）管线至系统接口。如，供电至系统电力接口的接线端，水、气、汽等供至系统联接法兰外端（不含联接所需螺栓等紧固件和其它必需配件）。</w:t>
      </w:r>
    </w:p>
    <w:p w14:paraId="6F76C2B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1.3  投标方应提供包括货物正常运行所必需的全套连线设备、材料等。</w:t>
      </w:r>
    </w:p>
    <w:p w14:paraId="4283675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4</w:t>
      </w:r>
      <w:r>
        <w:rPr>
          <w:rFonts w:hint="eastAsia" w:ascii="宋体" w:hAnsi="宋体"/>
          <w:sz w:val="24"/>
          <w:szCs w:val="24"/>
          <w:highlight w:val="none"/>
        </w:rPr>
        <w:t xml:space="preserve">  投标方应提供包括为保证</w:t>
      </w:r>
      <w:r>
        <w:rPr>
          <w:rFonts w:hint="eastAsia" w:ascii="宋体" w:hAnsi="宋体"/>
          <w:sz w:val="24"/>
          <w:szCs w:val="24"/>
          <w:highlight w:val="none"/>
          <w:lang w:val="en-US" w:eastAsia="zh-CN"/>
        </w:rPr>
        <w:t>配件</w:t>
      </w:r>
      <w:r>
        <w:rPr>
          <w:rFonts w:hint="eastAsia" w:ascii="宋体" w:hAnsi="宋体"/>
          <w:sz w:val="24"/>
          <w:szCs w:val="24"/>
          <w:highlight w:val="none"/>
        </w:rPr>
        <w:t>正常安装、调试和验收完成及以前所必需的整套配件、附件及材料等。如果终验收完成后，投标方有需要收回的配件、附件、材料等，应当在投标文件的技术偏离条款中，予以详细说明；否则视同包括在</w:t>
      </w:r>
      <w:r>
        <w:rPr>
          <w:rFonts w:hint="eastAsia" w:ascii="宋体" w:hAnsi="宋体"/>
          <w:sz w:val="24"/>
          <w:szCs w:val="24"/>
          <w:highlight w:val="none"/>
          <w:lang w:val="en-US" w:eastAsia="zh-CN"/>
        </w:rPr>
        <w:t>服务</w:t>
      </w:r>
      <w:r>
        <w:rPr>
          <w:rFonts w:hint="eastAsia" w:ascii="宋体" w:hAnsi="宋体"/>
          <w:sz w:val="24"/>
          <w:szCs w:val="24"/>
          <w:highlight w:val="none"/>
        </w:rPr>
        <w:t>范围之内。</w:t>
      </w:r>
    </w:p>
    <w:p w14:paraId="4CCC801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5</w:t>
      </w:r>
      <w:r>
        <w:rPr>
          <w:rFonts w:hint="eastAsia" w:ascii="宋体" w:hAnsi="宋体"/>
          <w:sz w:val="24"/>
          <w:szCs w:val="24"/>
          <w:highlight w:val="none"/>
        </w:rPr>
        <w:t xml:space="preserve">  投标方应提供</w:t>
      </w:r>
      <w:r>
        <w:rPr>
          <w:rFonts w:hint="eastAsia" w:ascii="宋体" w:hAnsi="宋体"/>
          <w:sz w:val="24"/>
          <w:szCs w:val="24"/>
          <w:highlight w:val="none"/>
          <w:lang w:val="en-US" w:eastAsia="zh-CN"/>
        </w:rPr>
        <w:t>设备</w:t>
      </w:r>
      <w:r>
        <w:rPr>
          <w:rFonts w:hint="eastAsia" w:ascii="宋体" w:hAnsi="宋体"/>
          <w:sz w:val="24"/>
          <w:szCs w:val="24"/>
          <w:highlight w:val="none"/>
        </w:rPr>
        <w:t>维修所必需的专用工具，并在投标报价部分说明数量。</w:t>
      </w:r>
    </w:p>
    <w:p w14:paraId="5D21D30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  备品备件、易损件和专用耗材供货范围</w:t>
      </w:r>
    </w:p>
    <w:p w14:paraId="456D749E">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2.1  招标方招标文件所指备品备件、易损件和专用耗材，是招标方为保证</w:t>
      </w:r>
      <w:r>
        <w:rPr>
          <w:rFonts w:hint="eastAsia" w:ascii="宋体" w:hAnsi="宋体"/>
          <w:sz w:val="24"/>
          <w:szCs w:val="24"/>
          <w:highlight w:val="none"/>
          <w:lang w:val="en-US" w:eastAsia="zh-CN"/>
        </w:rPr>
        <w:t>设备</w:t>
      </w:r>
      <w:r>
        <w:rPr>
          <w:rFonts w:hint="eastAsia" w:ascii="宋体" w:hAnsi="宋体"/>
          <w:sz w:val="24"/>
          <w:szCs w:val="24"/>
          <w:highlight w:val="none"/>
        </w:rPr>
        <w:t>质保期之后正常运行一年所自备自用的备品备件、易损件和专用耗材。</w:t>
      </w:r>
    </w:p>
    <w:p w14:paraId="6748AEC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2.2  投标方按照招标文件要求提供、或投标方认为招标方应当储备的备品备件、易损件和专用耗材，投标方应当在投标报价部分分别说明所列备品备件、易损件和专用耗材的使用时间。</w:t>
      </w:r>
    </w:p>
    <w:p w14:paraId="79590833">
      <w:pPr>
        <w:spacing w:line="440" w:lineRule="exact"/>
        <w:ind w:left="479" w:leftChars="228" w:firstLine="0" w:firstLineChars="0"/>
        <w:rPr>
          <w:rFonts w:hint="eastAsia" w:ascii="宋体" w:hAnsi="宋体"/>
          <w:sz w:val="24"/>
          <w:szCs w:val="24"/>
          <w:highlight w:val="none"/>
        </w:rPr>
      </w:pPr>
      <w:r>
        <w:rPr>
          <w:rFonts w:hint="eastAsia" w:ascii="宋体" w:hAnsi="宋体"/>
          <w:sz w:val="24"/>
          <w:szCs w:val="24"/>
          <w:highlight w:val="none"/>
        </w:rPr>
        <w:t>2.3  投标方须提供关键易损件、耗材的规格参数、技术要求、适配说明等资料。2.4  投标文件中，应当有备品备件、易损件和专用耗材的详细清单（内容包括名称、型号、规格、单位、数量、生产厂家、单价、总价等）。</w:t>
      </w:r>
    </w:p>
    <w:p w14:paraId="6FBE49F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2.5  备品备件、易损件和专用耗材的费用应分类单列，并计入投标总报价之内。</w:t>
      </w:r>
    </w:p>
    <w:p w14:paraId="426EF400">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  技术资料供货范围</w:t>
      </w:r>
    </w:p>
    <w:p w14:paraId="2047A33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3.1  投标方须负责在定标后</w:t>
      </w:r>
      <w:r>
        <w:rPr>
          <w:rFonts w:hint="eastAsia" w:ascii="宋体" w:hAnsi="宋体"/>
          <w:sz w:val="24"/>
          <w:szCs w:val="24"/>
          <w:highlight w:val="none"/>
          <w:lang w:val="en-US" w:eastAsia="zh-CN"/>
        </w:rPr>
        <w:t>15</w:t>
      </w:r>
      <w:r>
        <w:rPr>
          <w:rFonts w:hint="eastAsia" w:ascii="宋体" w:hAnsi="宋体"/>
          <w:sz w:val="24"/>
          <w:szCs w:val="24"/>
          <w:highlight w:val="none"/>
        </w:rPr>
        <w:t xml:space="preserve"> 日历日内，提供空调维保所需的全套纸质</w:t>
      </w:r>
      <w:r>
        <w:rPr>
          <w:rFonts w:hint="eastAsia" w:ascii="宋体" w:hAnsi="宋体"/>
          <w:sz w:val="24"/>
          <w:szCs w:val="24"/>
          <w:highlight w:val="none"/>
          <w:lang w:eastAsia="zh-CN"/>
        </w:rPr>
        <w:t>、</w:t>
      </w:r>
      <w:r>
        <w:rPr>
          <w:rFonts w:hint="eastAsia" w:ascii="宋体" w:hAnsi="宋体"/>
          <w:sz w:val="24"/>
          <w:szCs w:val="24"/>
          <w:highlight w:val="none"/>
        </w:rPr>
        <w:t xml:space="preserve"> 电子版资料；电子版为常用可读格式，原厂资料须提供中文说明或对照文本。</w:t>
      </w:r>
    </w:p>
    <w:p w14:paraId="396F2E1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3.2  投标方须对现场作业条件、用电安全、环保要求、高空作业、动火作业等提出明确安全要求与注意事项。</w:t>
      </w:r>
    </w:p>
    <w:p w14:paraId="208F0D7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3.3  投标方须在预验收前提供空调系统功能说明、检修流程、操作要点等资料。</w:t>
      </w:r>
    </w:p>
    <w:p w14:paraId="5BDF38E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3.4  投标方须在终验收前提供维保所需常用配件、耗材的品牌、型号、规格、供货渠道等信息。</w:t>
      </w:r>
    </w:p>
    <w:p w14:paraId="3A01A32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3.5 投标方须在终验收前提供操作使用手册、日常保养手册、安全操作规程、合格证、检测报告等全套资料。</w:t>
      </w:r>
    </w:p>
    <w:p w14:paraId="73403CC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w:t>
      </w:r>
      <w:r>
        <w:rPr>
          <w:rFonts w:hint="eastAsia" w:ascii="宋体" w:hAnsi="宋体"/>
          <w:sz w:val="24"/>
          <w:szCs w:val="24"/>
          <w:highlight w:val="none"/>
          <w:lang w:val="en-US" w:eastAsia="zh-CN"/>
        </w:rPr>
        <w:t>6</w:t>
      </w:r>
      <w:r>
        <w:rPr>
          <w:rFonts w:hint="eastAsia" w:ascii="宋体" w:hAnsi="宋体"/>
          <w:sz w:val="24"/>
          <w:szCs w:val="24"/>
          <w:highlight w:val="none"/>
        </w:rPr>
        <w:t xml:space="preserve"> 本条款所列要求，如招标方认为投标方提供的资料不能满足要求时，有权要求投标方免费补充或增加。</w:t>
      </w:r>
    </w:p>
    <w:p w14:paraId="15037064">
      <w:pPr>
        <w:spacing w:line="440" w:lineRule="exact"/>
        <w:ind w:firstLine="482" w:firstLineChars="200"/>
        <w:jc w:val="center"/>
        <w:rPr>
          <w:rFonts w:hint="eastAsia" w:ascii="宋体" w:hAnsi="宋体"/>
          <w:b/>
          <w:bCs/>
          <w:sz w:val="24"/>
          <w:szCs w:val="24"/>
          <w:highlight w:val="none"/>
        </w:rPr>
      </w:pPr>
      <w:bookmarkStart w:id="16" w:name="_Toc133783972"/>
    </w:p>
    <w:p w14:paraId="5A715524">
      <w:pPr>
        <w:spacing w:line="440" w:lineRule="exact"/>
        <w:ind w:firstLine="482" w:firstLineChars="200"/>
        <w:jc w:val="center"/>
        <w:rPr>
          <w:rFonts w:hint="eastAsia" w:ascii="宋体" w:hAnsi="宋体"/>
          <w:b/>
          <w:bCs/>
          <w:sz w:val="24"/>
          <w:szCs w:val="24"/>
          <w:highlight w:val="none"/>
        </w:rPr>
      </w:pPr>
      <w:r>
        <w:rPr>
          <w:rFonts w:hint="eastAsia" w:ascii="宋体" w:hAnsi="宋体"/>
          <w:b/>
          <w:bCs/>
          <w:sz w:val="24"/>
          <w:szCs w:val="24"/>
          <w:highlight w:val="none"/>
        </w:rPr>
        <w:t xml:space="preserve">第五节  </w:t>
      </w:r>
      <w:r>
        <w:rPr>
          <w:rFonts w:hint="eastAsia" w:ascii="宋体" w:hAnsi="宋体"/>
          <w:b/>
          <w:bCs/>
          <w:sz w:val="24"/>
          <w:szCs w:val="24"/>
          <w:highlight w:val="none"/>
          <w:lang w:val="en-US" w:eastAsia="zh-CN"/>
        </w:rPr>
        <w:t>服务</w:t>
      </w:r>
      <w:r>
        <w:rPr>
          <w:rFonts w:hint="eastAsia" w:ascii="宋体" w:hAnsi="宋体"/>
          <w:b/>
          <w:bCs/>
          <w:sz w:val="24"/>
          <w:szCs w:val="24"/>
          <w:highlight w:val="none"/>
        </w:rPr>
        <w:t>方式</w:t>
      </w:r>
      <w:bookmarkEnd w:id="16"/>
    </w:p>
    <w:p w14:paraId="4A38526C">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  </w:t>
      </w:r>
      <w:r>
        <w:rPr>
          <w:rFonts w:hint="eastAsia" w:ascii="宋体" w:hAnsi="宋体"/>
          <w:sz w:val="24"/>
          <w:szCs w:val="24"/>
          <w:highlight w:val="none"/>
          <w:lang w:val="en-US" w:eastAsia="zh-CN"/>
        </w:rPr>
        <w:t>服务</w:t>
      </w:r>
      <w:r>
        <w:rPr>
          <w:rFonts w:hint="eastAsia" w:ascii="宋体" w:hAnsi="宋体"/>
          <w:sz w:val="24"/>
          <w:szCs w:val="24"/>
          <w:highlight w:val="none"/>
        </w:rPr>
        <w:t>地点</w:t>
      </w:r>
    </w:p>
    <w:p w14:paraId="2DC5298C">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中国重汽集团济南汽车部件有限</w:t>
      </w:r>
      <w:r>
        <w:rPr>
          <w:rFonts w:hint="eastAsia" w:ascii="宋体" w:hAnsi="宋体"/>
          <w:sz w:val="24"/>
          <w:szCs w:val="24"/>
          <w:highlight w:val="none"/>
          <w:lang w:val="en-US" w:eastAsia="zh-CN"/>
        </w:rPr>
        <w:t>公司</w:t>
      </w:r>
      <w:r>
        <w:rPr>
          <w:rFonts w:hint="eastAsia" w:ascii="宋体" w:hAnsi="宋体"/>
          <w:sz w:val="24"/>
          <w:szCs w:val="24"/>
          <w:highlight w:val="none"/>
        </w:rPr>
        <w:t>。</w:t>
      </w:r>
    </w:p>
    <w:p w14:paraId="1910AC0A">
      <w:pPr>
        <w:spacing w:line="44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rPr>
        <w:t xml:space="preserve">2  </w:t>
      </w:r>
      <w:r>
        <w:rPr>
          <w:rFonts w:hint="eastAsia" w:ascii="宋体" w:hAnsi="宋体"/>
          <w:sz w:val="24"/>
          <w:szCs w:val="24"/>
          <w:highlight w:val="none"/>
          <w:lang w:val="en-US" w:eastAsia="zh-CN"/>
        </w:rPr>
        <w:t>服务周期</w:t>
      </w:r>
    </w:p>
    <w:p w14:paraId="1F14C8D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2.1 投标方在接到招标方维保通知后 24 小时内进场开展服务。</w:t>
      </w:r>
    </w:p>
    <w:p w14:paraId="2B165BF3">
      <w:pPr>
        <w:spacing w:line="440" w:lineRule="exact"/>
        <w:ind w:firstLine="480" w:firstLineChars="200"/>
        <w:rPr>
          <w:rFonts w:hint="eastAsia" w:ascii="宋体" w:hAnsi="宋体"/>
          <w:sz w:val="24"/>
          <w:szCs w:val="24"/>
          <w:highlight w:val="none"/>
          <w:lang w:eastAsia="zh-CN"/>
        </w:rPr>
      </w:pPr>
      <w:r>
        <w:rPr>
          <w:rFonts w:hint="eastAsia" w:ascii="宋体" w:hAnsi="宋体"/>
          <w:sz w:val="24"/>
          <w:szCs w:val="24"/>
          <w:highlight w:val="none"/>
        </w:rPr>
        <w:t>2.2  单次维保作业须在连续</w:t>
      </w:r>
      <w:r>
        <w:rPr>
          <w:rFonts w:hint="eastAsia" w:ascii="宋体" w:hAnsi="宋体"/>
          <w:sz w:val="24"/>
          <w:szCs w:val="24"/>
          <w:highlight w:val="none"/>
          <w:lang w:val="en-US" w:eastAsia="zh-CN"/>
        </w:rPr>
        <w:t>15</w:t>
      </w:r>
      <w:r>
        <w:rPr>
          <w:rFonts w:hint="eastAsia" w:ascii="宋体" w:hAnsi="宋体"/>
          <w:sz w:val="24"/>
          <w:szCs w:val="24"/>
          <w:highlight w:val="none"/>
        </w:rPr>
        <w:t>日历日内完成全部清洗、检修、调试工作。</w:t>
      </w:r>
    </w:p>
    <w:p w14:paraId="7B1957A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 xml:space="preserve">2.3  </w:t>
      </w:r>
      <w:r>
        <w:rPr>
          <w:rFonts w:hint="eastAsia" w:ascii="宋体" w:hAnsi="宋体"/>
          <w:sz w:val="24"/>
          <w:szCs w:val="24"/>
          <w:highlight w:val="none"/>
        </w:rPr>
        <w:t xml:space="preserve">维保完成后连续 </w:t>
      </w:r>
      <w:r>
        <w:rPr>
          <w:rFonts w:hint="eastAsia" w:ascii="宋体" w:hAnsi="宋体"/>
          <w:sz w:val="24"/>
          <w:szCs w:val="24"/>
          <w:highlight w:val="none"/>
          <w:lang w:val="en-US" w:eastAsia="zh-CN"/>
        </w:rPr>
        <w:t>5</w:t>
      </w:r>
      <w:r>
        <w:rPr>
          <w:rFonts w:hint="eastAsia" w:ascii="宋体" w:hAnsi="宋体"/>
          <w:sz w:val="24"/>
          <w:szCs w:val="24"/>
          <w:highlight w:val="none"/>
        </w:rPr>
        <w:t>日历日试运行检测合格。</w:t>
      </w:r>
    </w:p>
    <w:p w14:paraId="4E5CD4B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4</w:t>
      </w:r>
      <w:r>
        <w:rPr>
          <w:rFonts w:hint="eastAsia" w:ascii="宋体" w:hAnsi="宋体"/>
          <w:sz w:val="24"/>
          <w:szCs w:val="24"/>
          <w:highlight w:val="none"/>
        </w:rPr>
        <w:t xml:space="preserve">  连续 </w:t>
      </w:r>
      <w:r>
        <w:rPr>
          <w:rFonts w:hint="eastAsia" w:ascii="宋体" w:hAnsi="宋体"/>
          <w:sz w:val="24"/>
          <w:szCs w:val="24"/>
          <w:highlight w:val="none"/>
          <w:lang w:val="en-US" w:eastAsia="zh-CN"/>
        </w:rPr>
        <w:t>30</w:t>
      </w:r>
      <w:r>
        <w:rPr>
          <w:rFonts w:hint="eastAsia" w:ascii="宋体" w:hAnsi="宋体"/>
          <w:sz w:val="24"/>
          <w:szCs w:val="24"/>
          <w:highlight w:val="none"/>
        </w:rPr>
        <w:t xml:space="preserve"> 日历日之内完成（或协助完成）终验收。</w:t>
      </w:r>
    </w:p>
    <w:p w14:paraId="5224E6E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5</w:t>
      </w:r>
      <w:r>
        <w:rPr>
          <w:rFonts w:hint="eastAsia" w:ascii="宋体" w:hAnsi="宋体"/>
          <w:sz w:val="24"/>
          <w:szCs w:val="24"/>
          <w:highlight w:val="none"/>
        </w:rPr>
        <w:t xml:space="preserve">  投标方须提供详细服务工期计划、作业流程、安全方案。</w:t>
      </w:r>
    </w:p>
    <w:p w14:paraId="53CE34BC">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  质保期</w:t>
      </w:r>
    </w:p>
    <w:p w14:paraId="357C20ED">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3.1  本项目空调维保服务整体质保期为 12 个月，自竣工验收合格签字之日起计算。</w:t>
      </w:r>
    </w:p>
    <w:p w14:paraId="7B571F2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3.2 质保期内，凡因维保质量、配件质量、安装调试原因出现故障，投标方须免费维修、免费更换配件，相应更换 / 维修部分的质保期重新起算。</w:t>
      </w:r>
    </w:p>
    <w:p w14:paraId="46E7E2E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  包装</w:t>
      </w:r>
    </w:p>
    <w:p w14:paraId="1ACC834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4.1  投标方所提供货物的包装，应遵照国家标准和有关包装、包皮的技术条件，或按照最好的商业惯例进行包装。</w:t>
      </w:r>
    </w:p>
    <w:p w14:paraId="21A933C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4.2  包装应能满足所需要采取的运输方式（船运、汽运或铁路运输）、多次吊装卸装、卸货以及长期露天堆放要求，应能防止雨淋、受潮、生锈、腐蚀、受振、受磁以及机械和化学因素等引起的损坏。</w:t>
      </w:r>
    </w:p>
    <w:p w14:paraId="3EE5FCF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4.3  投标方所提供货物的包装，应能防止其一般性被窃或受外力破坏；一般不得采用有大缝隙的板条包装。</w:t>
      </w:r>
    </w:p>
    <w:p w14:paraId="5DE04C3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4.4  投标方应对包装件做必要的加固和固定，以防止运输可能造成的损坏。</w:t>
      </w:r>
    </w:p>
    <w:p w14:paraId="108065B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4.5  每个包装件应有装箱单，并至少标明名称、型号规格、数量、净重和毛重、投标方（或供货商）名称和制造日期等相关内容。</w:t>
      </w:r>
    </w:p>
    <w:p w14:paraId="42545FA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4.6  每个包装箱应有明显标志，并具有中文书写的合同号、装运标志、发货和到货地点名称、发货人和收货人名称、货物名称和项目号、箱号和外型尺寸等内容。</w:t>
      </w:r>
    </w:p>
    <w:p w14:paraId="59412EE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4.7  投标方还应按照不同的装运要求在包装箱上标明“小心轻放”、“箭头向上”、“防潮”、“防磁”、“不准平放”等标志，以及其它适用的国标通用标志。</w:t>
      </w:r>
    </w:p>
    <w:p w14:paraId="7155DC5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4.8  包装箱应连续编号，不应出现重复编号。</w:t>
      </w:r>
    </w:p>
    <w:p w14:paraId="0AAFA24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4.9  在不受到外界破坏情况下，包装应保证自交货日起一年内货物完好无损。</w:t>
      </w:r>
    </w:p>
    <w:p w14:paraId="7BA224F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  运输</w:t>
      </w:r>
    </w:p>
    <w:p w14:paraId="260FEE8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5.1  同批货物应统一包装、编号运输。</w:t>
      </w:r>
    </w:p>
    <w:p w14:paraId="3CF52A5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5.2  一般情况下，经由铁路、公路运输的包装件尺寸和重量不应超过国家所规定的尺寸限制。特殊情况应予以说明。</w:t>
      </w:r>
    </w:p>
    <w:p w14:paraId="34372BB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5.3  在每批货物发出后，投标方应立即通知招标方；通知中应指明：合同号、货运单号、件数、重量和货物发出日期等相关内容。</w:t>
      </w:r>
      <w:bookmarkStart w:id="17" w:name="_Toc133783973"/>
    </w:p>
    <w:p w14:paraId="2600C30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5.4  投标方应负责将货物运到目的地，承担国内运输直到在我工厂就位费用，并做到货物在任何运输过程中不受损坏和遗失。投标方应负责买方现场后的卸货、搬运、就位、安装及调试。</w:t>
      </w:r>
    </w:p>
    <w:p w14:paraId="65E5EC6C">
      <w:pPr>
        <w:spacing w:line="440" w:lineRule="exact"/>
        <w:ind w:firstLine="482" w:firstLineChars="200"/>
        <w:jc w:val="center"/>
        <w:rPr>
          <w:rFonts w:hint="eastAsia" w:ascii="宋体" w:hAnsi="宋体"/>
          <w:b/>
          <w:bCs/>
          <w:sz w:val="24"/>
          <w:szCs w:val="24"/>
          <w:highlight w:val="none"/>
        </w:rPr>
      </w:pPr>
      <w:r>
        <w:rPr>
          <w:rFonts w:hint="eastAsia" w:ascii="宋体" w:hAnsi="宋体"/>
          <w:b/>
          <w:bCs/>
          <w:sz w:val="24"/>
          <w:szCs w:val="24"/>
          <w:highlight w:val="none"/>
        </w:rPr>
        <w:t>第六节  售中售后服务</w:t>
      </w:r>
      <w:bookmarkEnd w:id="17"/>
    </w:p>
    <w:p w14:paraId="563CA36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  </w:t>
      </w:r>
      <w:r>
        <w:rPr>
          <w:rFonts w:ascii="宋体" w:hAnsi="宋体" w:eastAsia="宋体" w:cs="宋体"/>
          <w:sz w:val="24"/>
          <w:szCs w:val="24"/>
          <w:highlight w:val="none"/>
        </w:rPr>
        <w:t>培训服务</w:t>
      </w:r>
    </w:p>
    <w:p w14:paraId="5BE560D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1</w:t>
      </w:r>
      <w:r>
        <w:rPr>
          <w:rFonts w:hint="eastAsia" w:ascii="宋体" w:hAnsi="宋体"/>
          <w:sz w:val="24"/>
          <w:szCs w:val="24"/>
          <w:highlight w:val="none"/>
        </w:rPr>
        <w:t xml:space="preserve"> </w:t>
      </w:r>
      <w:r>
        <w:rPr>
          <w:rFonts w:ascii="宋体" w:hAnsi="宋体" w:eastAsia="宋体" w:cs="宋体"/>
          <w:sz w:val="24"/>
          <w:szCs w:val="24"/>
          <w:highlight w:val="none"/>
        </w:rPr>
        <w:t>投标方在现场提供不少于 1 次免费培训，内容包括：日常使用、简单自查、滤网清洗、故障判断、紧急停机、安全注意事项等。</w:t>
      </w:r>
    </w:p>
    <w:p w14:paraId="61FE088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2</w:t>
      </w:r>
      <w:r>
        <w:rPr>
          <w:rFonts w:hint="eastAsia" w:ascii="宋体" w:hAnsi="宋体"/>
          <w:sz w:val="24"/>
          <w:szCs w:val="24"/>
          <w:highlight w:val="none"/>
        </w:rPr>
        <w:t xml:space="preserve"> </w:t>
      </w:r>
      <w:r>
        <w:rPr>
          <w:rFonts w:ascii="宋体" w:hAnsi="宋体" w:eastAsia="宋体" w:cs="宋体"/>
          <w:sz w:val="24"/>
          <w:szCs w:val="24"/>
          <w:highlight w:val="none"/>
        </w:rPr>
        <w:t>免费提供培训资料与操作指引。</w:t>
      </w:r>
    </w:p>
    <w:p w14:paraId="4758100C">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3</w:t>
      </w:r>
      <w:r>
        <w:rPr>
          <w:rFonts w:hint="eastAsia" w:ascii="宋体" w:hAnsi="宋体"/>
          <w:sz w:val="24"/>
          <w:szCs w:val="24"/>
          <w:highlight w:val="none"/>
        </w:rPr>
        <w:t xml:space="preserve">  </w:t>
      </w:r>
      <w:r>
        <w:rPr>
          <w:rFonts w:ascii="宋体" w:hAnsi="宋体" w:eastAsia="宋体" w:cs="宋体"/>
          <w:sz w:val="24"/>
          <w:szCs w:val="24"/>
          <w:highlight w:val="none"/>
        </w:rPr>
        <w:t>免费提供技术咨询、系统对接、集中控制配合等支持。</w:t>
      </w:r>
    </w:p>
    <w:p w14:paraId="3E03EF3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  安装调试服务</w:t>
      </w:r>
    </w:p>
    <w:p w14:paraId="4708015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2.1  </w:t>
      </w:r>
      <w:r>
        <w:rPr>
          <w:rFonts w:ascii="宋体" w:hAnsi="宋体" w:eastAsia="宋体" w:cs="宋体"/>
          <w:sz w:val="24"/>
          <w:szCs w:val="24"/>
          <w:highlight w:val="none"/>
        </w:rPr>
        <w:t>招标方配合提供电源、现场条件，投标方全权负责维保质量与安全。</w:t>
      </w:r>
    </w:p>
    <w:p w14:paraId="60CF9CC9">
      <w:pPr>
        <w:spacing w:line="440" w:lineRule="exact"/>
        <w:ind w:firstLine="480" w:firstLineChars="200"/>
        <w:rPr>
          <w:rFonts w:hint="eastAsia" w:ascii="宋体" w:hAnsi="宋体" w:eastAsia="宋体" w:cs="宋体"/>
          <w:sz w:val="24"/>
          <w:szCs w:val="24"/>
          <w:highlight w:val="none"/>
        </w:rPr>
      </w:pPr>
      <w:r>
        <w:rPr>
          <w:rFonts w:hint="eastAsia" w:ascii="宋体" w:hAnsi="宋体"/>
          <w:sz w:val="24"/>
          <w:szCs w:val="24"/>
          <w:highlight w:val="none"/>
        </w:rPr>
        <w:t xml:space="preserve">2.2  </w:t>
      </w:r>
      <w:r>
        <w:rPr>
          <w:rFonts w:ascii="宋体" w:hAnsi="宋体" w:eastAsia="宋体" w:cs="宋体"/>
          <w:sz w:val="24"/>
          <w:szCs w:val="24"/>
          <w:highlight w:val="none"/>
        </w:rPr>
        <w:t>涉及原厂配件、核心部件技术支持的，投标方须协调厂家免费现场支持。</w:t>
      </w:r>
    </w:p>
    <w:p w14:paraId="3E60D37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  验收服务</w:t>
      </w:r>
    </w:p>
    <w:p w14:paraId="3457793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3.1  投标方在招标方现场进行的货物的预验收和终验收配合或指导，应当是免费的。</w:t>
      </w:r>
    </w:p>
    <w:p w14:paraId="19D78BA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3.2  货物验收时，若投标方提供的货物涉及到外购外协货物、而且该货物的技术质量等较为关键时，投标方应能得到配套厂家的技术支持，并免费为招标方提供使用现场验收的配合或指导。</w:t>
      </w:r>
    </w:p>
    <w:p w14:paraId="618867D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3.3  在投标方所提供货物需要得到招标方建设项目所在地政府或行业主管部门的查验、试验、验收时，投标方应当免费完成或协助招标方完成所需要的工作、材料和服务等。协助完成的，应当在投标文件报价内容中予以说明，否则视同免费。</w:t>
      </w:r>
    </w:p>
    <w:p w14:paraId="0977447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  售后服务</w:t>
      </w:r>
    </w:p>
    <w:p w14:paraId="69BFF24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4.1  所有的售后服务均由投标方受理。如果发生问题并且收到报告，投标方应当在2小时内予以答复。</w:t>
      </w:r>
    </w:p>
    <w:p w14:paraId="772550C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4.2  如发现所提供的</w:t>
      </w:r>
      <w:r>
        <w:rPr>
          <w:rFonts w:hint="eastAsia" w:ascii="宋体" w:hAnsi="宋体"/>
          <w:sz w:val="24"/>
          <w:szCs w:val="24"/>
          <w:highlight w:val="none"/>
          <w:lang w:val="en-US" w:eastAsia="zh-CN"/>
        </w:rPr>
        <w:t>服务</w:t>
      </w:r>
      <w:r>
        <w:rPr>
          <w:rFonts w:hint="eastAsia" w:ascii="宋体" w:hAnsi="宋体"/>
          <w:sz w:val="24"/>
          <w:szCs w:val="24"/>
          <w:highlight w:val="none"/>
        </w:rPr>
        <w:t xml:space="preserve">存在问题，需要投标方解决或配合解决时：在质保期之内，应在接到通知后 </w:t>
      </w:r>
      <w:r>
        <w:rPr>
          <w:rFonts w:hint="eastAsia" w:ascii="宋体" w:hAnsi="宋体"/>
          <w:sz w:val="24"/>
          <w:szCs w:val="24"/>
          <w:highlight w:val="none"/>
          <w:lang w:val="en-US" w:eastAsia="zh-CN"/>
        </w:rPr>
        <w:t>1</w:t>
      </w:r>
      <w:r>
        <w:rPr>
          <w:rFonts w:hint="eastAsia" w:ascii="宋体" w:hAnsi="宋体"/>
          <w:sz w:val="24"/>
          <w:szCs w:val="24"/>
          <w:highlight w:val="none"/>
        </w:rPr>
        <w:t xml:space="preserve"> </w:t>
      </w:r>
      <w:r>
        <w:rPr>
          <w:rFonts w:hint="eastAsia" w:ascii="宋体" w:hAnsi="宋体"/>
          <w:sz w:val="24"/>
          <w:szCs w:val="24"/>
          <w:highlight w:val="none"/>
          <w:lang w:val="en-US" w:eastAsia="zh-CN"/>
        </w:rPr>
        <w:t>个工作日</w:t>
      </w:r>
      <w:r>
        <w:rPr>
          <w:rFonts w:hint="eastAsia" w:ascii="宋体" w:hAnsi="宋体"/>
          <w:sz w:val="24"/>
          <w:szCs w:val="24"/>
          <w:highlight w:val="none"/>
        </w:rPr>
        <w:t xml:space="preserve">内派有关人员到达现场；在质保期之外，应在接到通知后 </w:t>
      </w:r>
      <w:r>
        <w:rPr>
          <w:rFonts w:hint="eastAsia" w:ascii="宋体" w:hAnsi="宋体"/>
          <w:sz w:val="24"/>
          <w:szCs w:val="24"/>
          <w:highlight w:val="none"/>
          <w:lang w:val="en-US" w:eastAsia="zh-CN"/>
        </w:rPr>
        <w:t>1个工作日</w:t>
      </w:r>
      <w:r>
        <w:rPr>
          <w:rFonts w:hint="eastAsia" w:ascii="宋体" w:hAnsi="宋体"/>
          <w:sz w:val="24"/>
          <w:szCs w:val="24"/>
          <w:highlight w:val="none"/>
        </w:rPr>
        <w:t>内派有关人员到达现场。</w:t>
      </w:r>
    </w:p>
    <w:p w14:paraId="1BB0B34D">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4.3  投标方派往招标方使用现场的人员，应具有较高的业务素质；现场解决问题时，不得无故拖延或推迟，应为招标方提供最佳的服务。</w:t>
      </w:r>
    </w:p>
    <w:p w14:paraId="285A805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  其它服务</w:t>
      </w:r>
    </w:p>
    <w:p w14:paraId="016332C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5.1  若投标方所提供货物有需要进口的，投标方一般应自行、自费办理；必要时，招标方和投标方共同办理。</w:t>
      </w:r>
    </w:p>
    <w:p w14:paraId="4C92382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5.2  除招标文件、投标文件、答疑文件、技术协议、合同等约定之外，投标方应免费负责必要的或强制性的货物的检验、试验、化验等直接费用。</w:t>
      </w:r>
    </w:p>
    <w:p w14:paraId="57137AC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5.3  本章节条款所列“免费”，并非指定不可收费，而是指招标文件、投标文件、答疑文件、技术交流文件、技术协议书和合同等范围之外，投标方不可另行收取的费用。</w:t>
      </w:r>
      <w:bookmarkStart w:id="18" w:name="_Toc133783974"/>
    </w:p>
    <w:p w14:paraId="63BA921B">
      <w:pPr>
        <w:spacing w:line="440" w:lineRule="exact"/>
        <w:ind w:firstLine="482" w:firstLineChars="200"/>
        <w:jc w:val="center"/>
        <w:rPr>
          <w:rFonts w:hint="eastAsia" w:ascii="宋体" w:hAnsi="宋体"/>
          <w:b/>
          <w:bCs/>
          <w:sz w:val="24"/>
          <w:szCs w:val="24"/>
          <w:highlight w:val="none"/>
        </w:rPr>
      </w:pPr>
      <w:r>
        <w:rPr>
          <w:rFonts w:hint="eastAsia" w:ascii="宋体" w:hAnsi="宋体"/>
          <w:b/>
          <w:bCs/>
          <w:sz w:val="24"/>
          <w:szCs w:val="24"/>
          <w:highlight w:val="none"/>
        </w:rPr>
        <w:t xml:space="preserve">第七节  </w:t>
      </w:r>
      <w:r>
        <w:rPr>
          <w:rFonts w:hint="eastAsia" w:ascii="宋体" w:hAnsi="宋体"/>
          <w:b/>
          <w:bCs/>
          <w:sz w:val="24"/>
          <w:szCs w:val="24"/>
          <w:highlight w:val="none"/>
          <w:lang w:val="en-US" w:eastAsia="zh-CN"/>
        </w:rPr>
        <w:t>设备</w:t>
      </w:r>
      <w:r>
        <w:rPr>
          <w:rFonts w:hint="eastAsia" w:ascii="宋体" w:hAnsi="宋体"/>
          <w:b/>
          <w:bCs/>
          <w:sz w:val="24"/>
          <w:szCs w:val="24"/>
          <w:highlight w:val="none"/>
        </w:rPr>
        <w:t>验收</w:t>
      </w:r>
      <w:bookmarkEnd w:id="18"/>
    </w:p>
    <w:p w14:paraId="747984D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  验收的一般约定</w:t>
      </w:r>
    </w:p>
    <w:p w14:paraId="3BAFA98A">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以招标文件、技术要求、合同、验收标准为依据；条款存在差异时，以对招标方最有利的条款执行</w:t>
      </w:r>
    </w:p>
    <w:p w14:paraId="66023F93">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  检验</w:t>
      </w:r>
    </w:p>
    <w:p w14:paraId="4F2C583C">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rPr>
        <w:t xml:space="preserve">2.1  </w:t>
      </w:r>
      <w:r>
        <w:rPr>
          <w:rFonts w:ascii="宋体" w:hAnsi="宋体" w:eastAsia="宋体" w:cs="宋体"/>
          <w:sz w:val="24"/>
          <w:szCs w:val="24"/>
          <w:highlight w:val="none"/>
        </w:rPr>
        <w:t>维保完工后，由买卖双方共同现场检验。</w:t>
      </w:r>
    </w:p>
    <w:p w14:paraId="2793EDA0">
      <w:pPr>
        <w:spacing w:line="440" w:lineRule="exact"/>
        <w:ind w:left="479" w:leftChars="228" w:firstLine="0"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 xml:space="preserve">2.2 </w:t>
      </w:r>
      <w:r>
        <w:rPr>
          <w:rFonts w:ascii="宋体" w:hAnsi="宋体" w:eastAsia="宋体" w:cs="宋体"/>
          <w:sz w:val="24"/>
          <w:szCs w:val="24"/>
          <w:highlight w:val="none"/>
        </w:rPr>
        <w:t>投标方须提供验收标准、检测数据、完工清单、配件更换记录作为验收依据。</w:t>
      </w:r>
      <w:r>
        <w:rPr>
          <w:rFonts w:hint="eastAsia" w:ascii="宋体" w:hAnsi="宋体" w:eastAsia="宋体" w:cs="宋体"/>
          <w:sz w:val="24"/>
          <w:szCs w:val="24"/>
          <w:highlight w:val="none"/>
        </w:rPr>
        <w:t>2.2.</w:t>
      </w:r>
      <w:r>
        <w:rPr>
          <w:rFonts w:hint="eastAsia" w:ascii="宋体" w:hAnsi="宋体" w:eastAsia="宋体" w:cs="宋体"/>
          <w:sz w:val="24"/>
          <w:szCs w:val="24"/>
          <w:highlight w:val="none"/>
          <w:lang w:val="en-US" w:eastAsia="zh-CN"/>
        </w:rPr>
        <w:t>3</w:t>
      </w:r>
      <w:r>
        <w:rPr>
          <w:rFonts w:ascii="宋体" w:hAnsi="宋体" w:eastAsia="宋体" w:cs="宋体"/>
          <w:sz w:val="24"/>
          <w:szCs w:val="24"/>
          <w:highlight w:val="none"/>
        </w:rPr>
        <w:t>如发现维保质量、配件规格、运行参数不满足要求，招标方有权要求返工、返修、更换，费用由投标方承担。</w:t>
      </w:r>
    </w:p>
    <w:p w14:paraId="5F6AD5E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 验收条件</w:t>
      </w:r>
    </w:p>
    <w:p w14:paraId="44D25D1B">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3.1 所有维保项目完成，资料齐全有效。 </w:t>
      </w:r>
    </w:p>
    <w:p w14:paraId="53FBE4CB">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3.2 室内机、室外机外观清洁，无损伤，接线牢固可靠。 </w:t>
      </w:r>
    </w:p>
    <w:p w14:paraId="5F27A4AC">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3.3 电气系统、冷媒系统、控制系统检测合格，运行参数达标。 </w:t>
      </w:r>
    </w:p>
    <w:p w14:paraId="14740418">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3.4 仪器仪表、传感器、控制部件校验合格，数据准确。 </w:t>
      </w:r>
    </w:p>
    <w:p w14:paraId="0ABD0064">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3.5 安全标识、操作说明完整清晰，符合国家规范。 </w:t>
      </w:r>
    </w:p>
    <w:p w14:paraId="2427278A">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3.6 系统试运行正常，噪声、能耗、制冷 / 制热效果满足使用要求。 </w:t>
      </w:r>
    </w:p>
    <w:p w14:paraId="2A823CB2">
      <w:pPr>
        <w:spacing w:line="440" w:lineRule="exact"/>
        <w:ind w:firstLine="480" w:firstLineChars="200"/>
        <w:rPr>
          <w:rFonts w:hint="eastAsia" w:ascii="宋体" w:hAnsi="宋体"/>
          <w:sz w:val="24"/>
          <w:szCs w:val="24"/>
          <w:highlight w:val="none"/>
        </w:rPr>
      </w:pPr>
      <w:r>
        <w:rPr>
          <w:rFonts w:ascii="宋体" w:hAnsi="宋体" w:eastAsia="宋体" w:cs="宋体"/>
          <w:sz w:val="24"/>
          <w:szCs w:val="24"/>
          <w:highlight w:val="none"/>
        </w:rPr>
        <w:t>3.7 现场清理完毕，无遗留工具、垃圾、耗材。</w:t>
      </w:r>
    </w:p>
    <w:p w14:paraId="4CFBDFB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 xml:space="preserve">  终验收基本要求</w:t>
      </w:r>
    </w:p>
    <w:p w14:paraId="55278556">
      <w:pPr>
        <w:spacing w:line="440" w:lineRule="exact"/>
        <w:ind w:firstLine="480" w:firstLineChars="200"/>
        <w:rPr>
          <w:rFonts w:hint="eastAsia" w:ascii="宋体" w:hAnsi="宋体" w:eastAsia="宋体" w:cs="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.1</w:t>
      </w:r>
      <w:r>
        <w:rPr>
          <w:rFonts w:ascii="宋体" w:hAnsi="宋体" w:eastAsia="宋体" w:cs="宋体"/>
          <w:sz w:val="24"/>
          <w:szCs w:val="24"/>
          <w:highlight w:val="none"/>
        </w:rPr>
        <w:t>维保完成后系统连续试运行不少于</w:t>
      </w:r>
      <w:r>
        <w:rPr>
          <w:rFonts w:hint="eastAsia" w:ascii="宋体" w:hAnsi="宋体" w:cs="宋体"/>
          <w:sz w:val="24"/>
          <w:szCs w:val="24"/>
          <w:highlight w:val="none"/>
          <w:lang w:val="en-US" w:eastAsia="zh-CN"/>
        </w:rPr>
        <w:t>30</w:t>
      </w:r>
      <w:r>
        <w:rPr>
          <w:rFonts w:ascii="宋体" w:hAnsi="宋体" w:eastAsia="宋体" w:cs="宋体"/>
          <w:sz w:val="24"/>
          <w:szCs w:val="24"/>
          <w:highlight w:val="none"/>
        </w:rPr>
        <w:t>个工作日，运行稳定、无故障、无异常异响、无泄漏，各项参数达标，方可终验收。</w:t>
      </w:r>
    </w:p>
    <w:p w14:paraId="7AFD4380">
      <w:pPr>
        <w:spacing w:line="44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w:t>
      </w:r>
      <w:r>
        <w:rPr>
          <w:rFonts w:ascii="宋体" w:hAnsi="宋体" w:eastAsia="宋体" w:cs="宋体"/>
          <w:sz w:val="24"/>
          <w:szCs w:val="24"/>
          <w:highlight w:val="none"/>
        </w:rPr>
        <w:t>2</w:t>
      </w:r>
      <w:r>
        <w:rPr>
          <w:rFonts w:hint="eastAsia" w:ascii="宋体" w:hAnsi="宋体" w:eastAsia="宋体" w:cs="宋体"/>
          <w:sz w:val="24"/>
          <w:szCs w:val="24"/>
          <w:highlight w:val="none"/>
        </w:rPr>
        <w:t xml:space="preserve"> 验收标准：</w:t>
      </w:r>
    </w:p>
    <w:p w14:paraId="15B0AA9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w:t>
      </w:r>
      <w:r>
        <w:rPr>
          <w:rFonts w:ascii="宋体" w:hAnsi="宋体"/>
          <w:sz w:val="24"/>
          <w:szCs w:val="24"/>
          <w:highlight w:val="none"/>
        </w:rPr>
        <w:t>2</w:t>
      </w:r>
      <w:r>
        <w:rPr>
          <w:rFonts w:hint="eastAsia" w:ascii="宋体" w:hAnsi="宋体"/>
          <w:sz w:val="24"/>
          <w:szCs w:val="24"/>
          <w:highlight w:val="none"/>
        </w:rPr>
        <w:t>.</w:t>
      </w:r>
      <w:r>
        <w:rPr>
          <w:rFonts w:ascii="宋体" w:hAnsi="宋体"/>
          <w:sz w:val="24"/>
          <w:szCs w:val="24"/>
          <w:highlight w:val="none"/>
        </w:rPr>
        <w:t>1</w:t>
      </w:r>
      <w:r>
        <w:rPr>
          <w:rFonts w:hint="eastAsia" w:ascii="宋体" w:hAnsi="宋体"/>
          <w:sz w:val="24"/>
          <w:szCs w:val="24"/>
          <w:highlight w:val="none"/>
        </w:rPr>
        <w:t xml:space="preserve"> </w:t>
      </w:r>
      <w:r>
        <w:rPr>
          <w:rFonts w:ascii="宋体" w:hAnsi="宋体" w:eastAsia="宋体" w:cs="宋体"/>
          <w:sz w:val="24"/>
          <w:szCs w:val="24"/>
          <w:highlight w:val="none"/>
        </w:rPr>
        <w:t>试运行期间无维修、无更换配件。</w:t>
      </w:r>
    </w:p>
    <w:p w14:paraId="13E1F74C">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w:t>
      </w:r>
      <w:r>
        <w:rPr>
          <w:rFonts w:ascii="宋体" w:hAnsi="宋体"/>
          <w:sz w:val="24"/>
          <w:szCs w:val="24"/>
          <w:highlight w:val="none"/>
        </w:rPr>
        <w:t>2.2</w:t>
      </w:r>
      <w:r>
        <w:rPr>
          <w:rFonts w:hint="eastAsia" w:ascii="宋体" w:hAnsi="宋体"/>
          <w:sz w:val="24"/>
          <w:szCs w:val="24"/>
          <w:highlight w:val="none"/>
        </w:rPr>
        <w:t xml:space="preserve"> </w:t>
      </w:r>
      <w:r>
        <w:rPr>
          <w:rFonts w:ascii="宋体" w:hAnsi="宋体" w:eastAsia="宋体" w:cs="宋体"/>
          <w:sz w:val="24"/>
          <w:szCs w:val="24"/>
          <w:highlight w:val="none"/>
        </w:rPr>
        <w:t>空调启停、控温、调速、模式切换正常准确。</w:t>
      </w:r>
    </w:p>
    <w:p w14:paraId="56FCA9F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 xml:space="preserve">.2.3 </w:t>
      </w:r>
      <w:r>
        <w:rPr>
          <w:rFonts w:ascii="宋体" w:hAnsi="宋体" w:eastAsia="宋体" w:cs="宋体"/>
          <w:sz w:val="24"/>
          <w:szCs w:val="24"/>
          <w:highlight w:val="none"/>
        </w:rPr>
        <w:t>电压、电流、压力、温度、传感器阻值全部达标。</w:t>
      </w:r>
    </w:p>
    <w:p w14:paraId="27221A6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 xml:space="preserve">.2.4 </w:t>
      </w:r>
      <w:r>
        <w:rPr>
          <w:rFonts w:ascii="宋体" w:hAnsi="宋体" w:eastAsia="宋体" w:cs="宋体"/>
          <w:sz w:val="24"/>
          <w:szCs w:val="24"/>
          <w:highlight w:val="none"/>
        </w:rPr>
        <w:t>系统无冷媒泄漏，无电气安全隐患。</w:t>
      </w:r>
    </w:p>
    <w:p w14:paraId="7268BF8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 xml:space="preserve">.2.5 </w:t>
      </w:r>
      <w:r>
        <w:rPr>
          <w:rFonts w:ascii="宋体" w:hAnsi="宋体" w:eastAsia="宋体" w:cs="宋体"/>
          <w:sz w:val="24"/>
          <w:szCs w:val="24"/>
          <w:highlight w:val="none"/>
        </w:rPr>
        <w:t>投标方提交完整验收资料、竣工报告、配件清单、质保承诺</w:t>
      </w:r>
      <w:r>
        <w:rPr>
          <w:rFonts w:hint="eastAsia" w:ascii="宋体" w:hAnsi="宋体" w:cs="宋体"/>
          <w:sz w:val="24"/>
          <w:szCs w:val="24"/>
          <w:highlight w:val="none"/>
          <w:lang w:val="en-US" w:eastAsia="zh-CN"/>
        </w:rPr>
        <w:t>等</w:t>
      </w:r>
      <w:r>
        <w:rPr>
          <w:rFonts w:ascii="宋体" w:hAnsi="宋体" w:eastAsia="宋体" w:cs="宋体"/>
          <w:sz w:val="24"/>
          <w:szCs w:val="24"/>
          <w:highlight w:val="none"/>
        </w:rPr>
        <w:t>。</w:t>
      </w:r>
    </w:p>
    <w:p w14:paraId="64A0E7E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.2.</w:t>
      </w:r>
      <w:r>
        <w:rPr>
          <w:rFonts w:hint="eastAsia" w:ascii="宋体" w:hAnsi="宋体"/>
          <w:sz w:val="24"/>
          <w:szCs w:val="24"/>
          <w:highlight w:val="none"/>
          <w:lang w:val="en-US" w:eastAsia="zh-CN"/>
        </w:rPr>
        <w:t>6</w:t>
      </w:r>
      <w:r>
        <w:rPr>
          <w:rFonts w:hint="eastAsia" w:ascii="宋体" w:hAnsi="宋体"/>
          <w:sz w:val="24"/>
          <w:szCs w:val="24"/>
          <w:highlight w:val="none"/>
        </w:rPr>
        <w:t xml:space="preserve"> </w:t>
      </w:r>
      <w:bookmarkStart w:id="19" w:name="_Toc133783975"/>
      <w:r>
        <w:rPr>
          <w:rFonts w:ascii="宋体" w:hAnsi="宋体" w:eastAsia="宋体" w:cs="宋体"/>
          <w:sz w:val="24"/>
          <w:szCs w:val="24"/>
          <w:highlight w:val="none"/>
        </w:rPr>
        <w:t>终验收以双方签字的《空调维保服务竣工验收单》为最终依据</w:t>
      </w:r>
      <w:r>
        <w:rPr>
          <w:rFonts w:hint="eastAsia" w:ascii="宋体" w:hAnsi="宋体"/>
          <w:sz w:val="24"/>
          <w:szCs w:val="24"/>
          <w:highlight w:val="none"/>
        </w:rPr>
        <w:t xml:space="preserve">。 </w:t>
      </w:r>
    </w:p>
    <w:p w14:paraId="06D5B0BF">
      <w:pPr>
        <w:spacing w:line="440" w:lineRule="exact"/>
        <w:ind w:firstLine="482" w:firstLineChars="200"/>
        <w:jc w:val="center"/>
        <w:rPr>
          <w:rFonts w:hint="eastAsia" w:ascii="宋体" w:hAnsi="宋体"/>
          <w:b/>
          <w:bCs/>
          <w:sz w:val="24"/>
          <w:szCs w:val="24"/>
          <w:highlight w:val="none"/>
        </w:rPr>
      </w:pPr>
      <w:r>
        <w:rPr>
          <w:rFonts w:hint="eastAsia" w:ascii="宋体" w:hAnsi="宋体"/>
          <w:b/>
          <w:bCs/>
          <w:sz w:val="24"/>
          <w:szCs w:val="24"/>
          <w:highlight w:val="none"/>
        </w:rPr>
        <w:t>第八节  投标技术文件一般要求</w:t>
      </w:r>
      <w:bookmarkEnd w:id="19"/>
    </w:p>
    <w:p w14:paraId="1998BA9E">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  投标方应认真阅读招标文件和本技术标书，并按要求编写投标技术文件。</w:t>
      </w:r>
    </w:p>
    <w:p w14:paraId="62F7DCC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  投标技术文件至少应对投标</w:t>
      </w:r>
      <w:r>
        <w:rPr>
          <w:rFonts w:ascii="宋体" w:hAnsi="宋体" w:eastAsia="宋体" w:cs="宋体"/>
          <w:sz w:val="24"/>
          <w:szCs w:val="24"/>
          <w:highlight w:val="none"/>
        </w:rPr>
        <w:t>维保服务</w:t>
      </w:r>
      <w:r>
        <w:rPr>
          <w:rFonts w:hint="eastAsia" w:ascii="宋体" w:hAnsi="宋体"/>
          <w:sz w:val="24"/>
          <w:szCs w:val="24"/>
          <w:highlight w:val="none"/>
        </w:rPr>
        <w:t>的“技术偏离”、“商务偏离”做出有无说明；若有，应予以详细填写和说明。</w:t>
      </w:r>
    </w:p>
    <w:p w14:paraId="186D9D28">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rPr>
        <w:t>3  投标技术文件至少应对投标</w:t>
      </w:r>
      <w:r>
        <w:rPr>
          <w:rFonts w:ascii="宋体" w:hAnsi="宋体" w:eastAsia="宋体" w:cs="宋体"/>
          <w:sz w:val="24"/>
          <w:szCs w:val="24"/>
          <w:highlight w:val="none"/>
        </w:rPr>
        <w:t>维保服务内容、服务标准、技术性能、质量要求、维保参数等做出详细说明。</w:t>
      </w:r>
    </w:p>
    <w:p w14:paraId="15AEC00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4  </w:t>
      </w:r>
      <w:r>
        <w:rPr>
          <w:rFonts w:ascii="宋体" w:hAnsi="宋体" w:eastAsia="宋体" w:cs="宋体"/>
          <w:sz w:val="24"/>
          <w:szCs w:val="24"/>
          <w:highlight w:val="none"/>
        </w:rPr>
        <w:t>投标技术文件至少应根据投</w:t>
      </w:r>
      <w:r>
        <w:rPr>
          <w:rFonts w:hint="eastAsia" w:ascii="宋体" w:hAnsi="宋体"/>
          <w:sz w:val="24"/>
          <w:szCs w:val="24"/>
          <w:highlight w:val="none"/>
        </w:rPr>
        <w:t>标维保方案、服务团队、工具设备、配件保障、应急响应等做出优越性说明。</w:t>
      </w:r>
    </w:p>
    <w:p w14:paraId="4799D9F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  投标技术文件至少应根据投标货物的配置，按照备品备件、易损件和专用耗材明细表要求以及投标</w:t>
      </w:r>
      <w:r>
        <w:rPr>
          <w:rFonts w:hint="eastAsia" w:ascii="宋体" w:hAnsi="宋体"/>
          <w:sz w:val="24"/>
          <w:szCs w:val="24"/>
          <w:highlight w:val="none"/>
          <w:lang w:val="en-US" w:eastAsia="zh-CN"/>
        </w:rPr>
        <w:t>服务</w:t>
      </w:r>
      <w:r>
        <w:rPr>
          <w:rFonts w:hint="eastAsia" w:ascii="宋体" w:hAnsi="宋体"/>
          <w:sz w:val="24"/>
          <w:szCs w:val="24"/>
          <w:highlight w:val="none"/>
        </w:rPr>
        <w:t>主要配置一览表要求（见下表），认真全面填写。</w:t>
      </w:r>
    </w:p>
    <w:p w14:paraId="0BFE290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                投标</w:t>
      </w:r>
      <w:r>
        <w:rPr>
          <w:rFonts w:hint="eastAsia" w:ascii="宋体" w:hAnsi="宋体"/>
          <w:sz w:val="24"/>
          <w:szCs w:val="24"/>
          <w:highlight w:val="none"/>
          <w:lang w:val="en-US" w:eastAsia="zh-CN"/>
        </w:rPr>
        <w:t>服务</w:t>
      </w:r>
      <w:r>
        <w:rPr>
          <w:rFonts w:hint="eastAsia" w:ascii="宋体" w:hAnsi="宋体"/>
          <w:sz w:val="24"/>
          <w:szCs w:val="24"/>
          <w:highlight w:val="none"/>
        </w:rPr>
        <w:t>主要配置一览表                单位：元</w:t>
      </w:r>
    </w:p>
    <w:tbl>
      <w:tblPr>
        <w:tblStyle w:val="30"/>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41"/>
        <w:gridCol w:w="1241"/>
        <w:gridCol w:w="852"/>
        <w:gridCol w:w="852"/>
        <w:gridCol w:w="796"/>
        <w:gridCol w:w="1018"/>
        <w:gridCol w:w="1315"/>
      </w:tblGrid>
      <w:tr w14:paraId="2C9EA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430E0050">
            <w:pPr>
              <w:spacing w:line="440" w:lineRule="exact"/>
              <w:rPr>
                <w:rFonts w:hint="eastAsia" w:ascii="宋体" w:hAnsi="宋体"/>
                <w:sz w:val="24"/>
                <w:szCs w:val="24"/>
                <w:highlight w:val="none"/>
              </w:rPr>
            </w:pPr>
            <w:r>
              <w:rPr>
                <w:rFonts w:hint="eastAsia" w:ascii="宋体" w:hAnsi="宋体"/>
                <w:sz w:val="24"/>
                <w:szCs w:val="24"/>
                <w:highlight w:val="none"/>
              </w:rPr>
              <w:t>名称</w:t>
            </w:r>
          </w:p>
        </w:tc>
        <w:tc>
          <w:tcPr>
            <w:tcW w:w="1241" w:type="dxa"/>
            <w:noWrap w:val="0"/>
            <w:vAlign w:val="top"/>
          </w:tcPr>
          <w:p w14:paraId="4FEAB15F">
            <w:pPr>
              <w:spacing w:line="440" w:lineRule="exact"/>
              <w:rPr>
                <w:rFonts w:hint="eastAsia" w:ascii="宋体" w:hAnsi="宋体"/>
                <w:sz w:val="24"/>
                <w:szCs w:val="24"/>
                <w:highlight w:val="none"/>
              </w:rPr>
            </w:pPr>
            <w:r>
              <w:rPr>
                <w:rFonts w:hint="eastAsia" w:ascii="宋体" w:hAnsi="宋体"/>
                <w:sz w:val="24"/>
                <w:szCs w:val="24"/>
                <w:highlight w:val="none"/>
              </w:rPr>
              <w:t>型号规格</w:t>
            </w:r>
          </w:p>
        </w:tc>
        <w:tc>
          <w:tcPr>
            <w:tcW w:w="1241" w:type="dxa"/>
            <w:noWrap w:val="0"/>
            <w:vAlign w:val="top"/>
          </w:tcPr>
          <w:p w14:paraId="0FC8B52B">
            <w:pPr>
              <w:spacing w:line="440" w:lineRule="exact"/>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具体参数</w:t>
            </w:r>
          </w:p>
        </w:tc>
        <w:tc>
          <w:tcPr>
            <w:tcW w:w="852" w:type="dxa"/>
            <w:shd w:val="clear" w:color="auto" w:fill="auto"/>
            <w:noWrap w:val="0"/>
            <w:vAlign w:val="top"/>
          </w:tcPr>
          <w:p w14:paraId="174C7667">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单位</w:t>
            </w:r>
          </w:p>
        </w:tc>
        <w:tc>
          <w:tcPr>
            <w:tcW w:w="852" w:type="dxa"/>
            <w:shd w:val="clear" w:color="auto" w:fill="auto"/>
            <w:noWrap w:val="0"/>
            <w:vAlign w:val="top"/>
          </w:tcPr>
          <w:p w14:paraId="31A145CA">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数量</w:t>
            </w:r>
          </w:p>
        </w:tc>
        <w:tc>
          <w:tcPr>
            <w:tcW w:w="796" w:type="dxa"/>
            <w:shd w:val="clear" w:color="auto" w:fill="auto"/>
            <w:noWrap w:val="0"/>
            <w:vAlign w:val="top"/>
          </w:tcPr>
          <w:p w14:paraId="64448E55">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单价</w:t>
            </w:r>
          </w:p>
        </w:tc>
        <w:tc>
          <w:tcPr>
            <w:tcW w:w="1018" w:type="dxa"/>
            <w:shd w:val="clear" w:color="auto" w:fill="auto"/>
            <w:noWrap w:val="0"/>
            <w:vAlign w:val="top"/>
          </w:tcPr>
          <w:p w14:paraId="0A7A1D4C">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总价</w:t>
            </w:r>
          </w:p>
        </w:tc>
        <w:tc>
          <w:tcPr>
            <w:tcW w:w="1315" w:type="dxa"/>
            <w:shd w:val="clear" w:color="auto" w:fill="auto"/>
            <w:noWrap w:val="0"/>
            <w:vAlign w:val="top"/>
          </w:tcPr>
          <w:p w14:paraId="302D01C3">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制造商</w:t>
            </w:r>
          </w:p>
        </w:tc>
      </w:tr>
      <w:tr w14:paraId="6992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140C60E3">
            <w:pPr>
              <w:spacing w:line="440" w:lineRule="exact"/>
              <w:jc w:val="center"/>
              <w:rPr>
                <w:rFonts w:hint="eastAsia" w:ascii="宋体" w:hAnsi="宋体" w:eastAsia="宋体"/>
                <w:sz w:val="24"/>
                <w:szCs w:val="24"/>
                <w:highlight w:val="none"/>
                <w:lang w:val="en-US" w:eastAsia="zh-CN"/>
              </w:rPr>
            </w:pPr>
            <w:r>
              <w:rPr>
                <w:rFonts w:hint="eastAsia" w:ascii="宋体" w:hAnsi="宋体"/>
                <w:sz w:val="24"/>
                <w:szCs w:val="24"/>
                <w:highlight w:val="none"/>
                <w:lang w:val="en-US" w:eastAsia="zh-CN"/>
              </w:rPr>
              <w:t>例如：压缩机</w:t>
            </w:r>
          </w:p>
        </w:tc>
        <w:tc>
          <w:tcPr>
            <w:tcW w:w="1241" w:type="dxa"/>
            <w:noWrap w:val="0"/>
            <w:vAlign w:val="top"/>
          </w:tcPr>
          <w:p w14:paraId="1320A2D6">
            <w:pPr>
              <w:spacing w:line="440" w:lineRule="exact"/>
              <w:jc w:val="center"/>
              <w:rPr>
                <w:rFonts w:hint="eastAsia" w:ascii="宋体" w:hAnsi="宋体"/>
                <w:sz w:val="24"/>
                <w:szCs w:val="24"/>
                <w:highlight w:val="none"/>
              </w:rPr>
            </w:pPr>
            <w:r>
              <w:rPr>
                <w:rFonts w:hint="eastAsia" w:ascii="宋体" w:hAnsi="宋体"/>
                <w:sz w:val="24"/>
                <w:szCs w:val="24"/>
                <w:highlight w:val="none"/>
              </w:rPr>
              <w:t>E705DHD-72D2YG</w:t>
            </w:r>
          </w:p>
        </w:tc>
        <w:tc>
          <w:tcPr>
            <w:tcW w:w="1241" w:type="dxa"/>
            <w:noWrap w:val="0"/>
            <w:vAlign w:val="top"/>
          </w:tcPr>
          <w:p w14:paraId="448A6EC5">
            <w:pPr>
              <w:spacing w:line="440" w:lineRule="exact"/>
              <w:jc w:val="center"/>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变频冷暖</w:t>
            </w:r>
          </w:p>
          <w:p w14:paraId="6D6A5587">
            <w:pPr>
              <w:spacing w:line="440" w:lineRule="exact"/>
              <w:jc w:val="center"/>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8 匹</w:t>
            </w:r>
          </w:p>
        </w:tc>
        <w:tc>
          <w:tcPr>
            <w:tcW w:w="852" w:type="dxa"/>
            <w:shd w:val="clear" w:color="auto" w:fill="auto"/>
            <w:noWrap w:val="0"/>
            <w:vAlign w:val="top"/>
          </w:tcPr>
          <w:p w14:paraId="0F13FEEB">
            <w:pPr>
              <w:spacing w:line="44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lang w:val="en-US" w:eastAsia="zh-CN"/>
              </w:rPr>
              <w:t>台</w:t>
            </w:r>
          </w:p>
        </w:tc>
        <w:tc>
          <w:tcPr>
            <w:tcW w:w="852" w:type="dxa"/>
            <w:shd w:val="clear" w:color="auto" w:fill="auto"/>
            <w:noWrap w:val="0"/>
            <w:vAlign w:val="top"/>
          </w:tcPr>
          <w:p w14:paraId="14F20D51">
            <w:pPr>
              <w:spacing w:line="440" w:lineRule="exact"/>
              <w:jc w:val="center"/>
              <w:rPr>
                <w:rFonts w:hint="default" w:ascii="宋体" w:hAnsi="宋体" w:eastAsia="宋体" w:cs="Times New Roman"/>
                <w:kern w:val="2"/>
                <w:sz w:val="24"/>
                <w:szCs w:val="24"/>
                <w:highlight w:val="none"/>
                <w:lang w:val="en-US" w:eastAsia="zh-CN" w:bidi="ar-SA"/>
              </w:rPr>
            </w:pPr>
            <w:r>
              <w:rPr>
                <w:rFonts w:hint="eastAsia" w:ascii="宋体" w:hAnsi="宋体"/>
                <w:sz w:val="24"/>
                <w:szCs w:val="24"/>
                <w:highlight w:val="none"/>
                <w:lang w:val="en-US" w:eastAsia="zh-CN"/>
              </w:rPr>
              <w:t>1</w:t>
            </w:r>
          </w:p>
        </w:tc>
        <w:tc>
          <w:tcPr>
            <w:tcW w:w="796" w:type="dxa"/>
            <w:shd w:val="clear" w:color="auto" w:fill="auto"/>
            <w:noWrap w:val="0"/>
            <w:vAlign w:val="top"/>
          </w:tcPr>
          <w:p w14:paraId="0E4A424E">
            <w:pPr>
              <w:spacing w:line="44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lang w:val="en-US" w:eastAsia="zh-CN"/>
              </w:rPr>
              <w:t>2400</w:t>
            </w:r>
          </w:p>
        </w:tc>
        <w:tc>
          <w:tcPr>
            <w:tcW w:w="1018" w:type="dxa"/>
            <w:noWrap w:val="0"/>
            <w:vAlign w:val="top"/>
          </w:tcPr>
          <w:p w14:paraId="4E340CB7">
            <w:pPr>
              <w:spacing w:line="440" w:lineRule="exact"/>
              <w:ind w:firstLine="480" w:firstLineChars="200"/>
              <w:jc w:val="center"/>
              <w:rPr>
                <w:rFonts w:hint="eastAsia" w:ascii="宋体" w:hAnsi="宋体"/>
                <w:sz w:val="24"/>
                <w:szCs w:val="24"/>
                <w:highlight w:val="none"/>
              </w:rPr>
            </w:pPr>
          </w:p>
        </w:tc>
        <w:tc>
          <w:tcPr>
            <w:tcW w:w="1315" w:type="dxa"/>
            <w:noWrap w:val="0"/>
            <w:vAlign w:val="top"/>
          </w:tcPr>
          <w:p w14:paraId="0A82C72D">
            <w:pPr>
              <w:spacing w:line="440" w:lineRule="exact"/>
              <w:ind w:firstLine="480" w:firstLineChars="200"/>
              <w:jc w:val="center"/>
              <w:rPr>
                <w:rFonts w:hint="eastAsia" w:ascii="宋体" w:hAnsi="宋体"/>
                <w:sz w:val="24"/>
                <w:szCs w:val="24"/>
                <w:highlight w:val="none"/>
              </w:rPr>
            </w:pPr>
          </w:p>
        </w:tc>
      </w:tr>
      <w:tr w14:paraId="4CB91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2F5D68A0">
            <w:pPr>
              <w:spacing w:line="440" w:lineRule="exact"/>
              <w:ind w:firstLine="480" w:firstLineChars="200"/>
              <w:rPr>
                <w:rFonts w:hint="eastAsia" w:ascii="宋体" w:hAnsi="宋体"/>
                <w:sz w:val="24"/>
                <w:szCs w:val="24"/>
                <w:highlight w:val="none"/>
              </w:rPr>
            </w:pPr>
          </w:p>
        </w:tc>
        <w:tc>
          <w:tcPr>
            <w:tcW w:w="1241" w:type="dxa"/>
            <w:noWrap w:val="0"/>
            <w:vAlign w:val="top"/>
          </w:tcPr>
          <w:p w14:paraId="2CF1DCD1">
            <w:pPr>
              <w:spacing w:line="440" w:lineRule="exact"/>
              <w:ind w:firstLine="480" w:firstLineChars="200"/>
              <w:rPr>
                <w:rFonts w:hint="eastAsia" w:ascii="宋体" w:hAnsi="宋体"/>
                <w:sz w:val="24"/>
                <w:szCs w:val="24"/>
                <w:highlight w:val="none"/>
              </w:rPr>
            </w:pPr>
          </w:p>
        </w:tc>
        <w:tc>
          <w:tcPr>
            <w:tcW w:w="1241" w:type="dxa"/>
            <w:noWrap w:val="0"/>
            <w:vAlign w:val="top"/>
          </w:tcPr>
          <w:p w14:paraId="703B3B85">
            <w:pPr>
              <w:spacing w:line="440" w:lineRule="exact"/>
              <w:ind w:firstLine="480" w:firstLineChars="200"/>
              <w:rPr>
                <w:rFonts w:hint="eastAsia" w:ascii="宋体" w:hAnsi="宋体"/>
                <w:sz w:val="24"/>
                <w:szCs w:val="24"/>
                <w:highlight w:val="none"/>
              </w:rPr>
            </w:pPr>
          </w:p>
        </w:tc>
        <w:tc>
          <w:tcPr>
            <w:tcW w:w="852" w:type="dxa"/>
            <w:noWrap w:val="0"/>
            <w:vAlign w:val="top"/>
          </w:tcPr>
          <w:p w14:paraId="74FB082E">
            <w:pPr>
              <w:spacing w:line="440" w:lineRule="exact"/>
              <w:ind w:firstLine="480" w:firstLineChars="200"/>
              <w:rPr>
                <w:rFonts w:hint="eastAsia" w:ascii="宋体" w:hAnsi="宋体"/>
                <w:sz w:val="24"/>
                <w:szCs w:val="24"/>
                <w:highlight w:val="none"/>
              </w:rPr>
            </w:pPr>
          </w:p>
        </w:tc>
        <w:tc>
          <w:tcPr>
            <w:tcW w:w="852" w:type="dxa"/>
            <w:noWrap w:val="0"/>
            <w:vAlign w:val="top"/>
          </w:tcPr>
          <w:p w14:paraId="0603CFE0">
            <w:pPr>
              <w:spacing w:line="440" w:lineRule="exact"/>
              <w:ind w:firstLine="480" w:firstLineChars="200"/>
              <w:rPr>
                <w:rFonts w:hint="eastAsia" w:ascii="宋体" w:hAnsi="宋体"/>
                <w:sz w:val="24"/>
                <w:szCs w:val="24"/>
                <w:highlight w:val="none"/>
              </w:rPr>
            </w:pPr>
          </w:p>
        </w:tc>
        <w:tc>
          <w:tcPr>
            <w:tcW w:w="796" w:type="dxa"/>
            <w:noWrap w:val="0"/>
            <w:vAlign w:val="top"/>
          </w:tcPr>
          <w:p w14:paraId="7FE45431">
            <w:pPr>
              <w:spacing w:line="440" w:lineRule="exact"/>
              <w:ind w:firstLine="480" w:firstLineChars="200"/>
              <w:rPr>
                <w:rFonts w:hint="eastAsia" w:ascii="宋体" w:hAnsi="宋体"/>
                <w:sz w:val="24"/>
                <w:szCs w:val="24"/>
                <w:highlight w:val="none"/>
              </w:rPr>
            </w:pPr>
          </w:p>
        </w:tc>
        <w:tc>
          <w:tcPr>
            <w:tcW w:w="1018" w:type="dxa"/>
            <w:noWrap w:val="0"/>
            <w:vAlign w:val="top"/>
          </w:tcPr>
          <w:p w14:paraId="72DE29CC">
            <w:pPr>
              <w:spacing w:line="440" w:lineRule="exact"/>
              <w:ind w:firstLine="480" w:firstLineChars="200"/>
              <w:rPr>
                <w:rFonts w:hint="eastAsia" w:ascii="宋体" w:hAnsi="宋体"/>
                <w:sz w:val="24"/>
                <w:szCs w:val="24"/>
                <w:highlight w:val="none"/>
              </w:rPr>
            </w:pPr>
          </w:p>
        </w:tc>
        <w:tc>
          <w:tcPr>
            <w:tcW w:w="1315" w:type="dxa"/>
            <w:noWrap w:val="0"/>
            <w:vAlign w:val="top"/>
          </w:tcPr>
          <w:p w14:paraId="66ADBE0C">
            <w:pPr>
              <w:spacing w:line="440" w:lineRule="exact"/>
              <w:ind w:firstLine="480" w:firstLineChars="200"/>
              <w:rPr>
                <w:rFonts w:hint="eastAsia" w:ascii="宋体" w:hAnsi="宋体"/>
                <w:sz w:val="24"/>
                <w:szCs w:val="24"/>
                <w:highlight w:val="none"/>
              </w:rPr>
            </w:pPr>
          </w:p>
        </w:tc>
      </w:tr>
      <w:tr w14:paraId="5E73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42A4DC1C">
            <w:pPr>
              <w:spacing w:line="440" w:lineRule="exact"/>
              <w:ind w:firstLine="480" w:firstLineChars="200"/>
              <w:rPr>
                <w:rFonts w:hint="eastAsia" w:ascii="宋体" w:hAnsi="宋体"/>
                <w:sz w:val="24"/>
                <w:szCs w:val="24"/>
                <w:highlight w:val="none"/>
              </w:rPr>
            </w:pPr>
          </w:p>
        </w:tc>
        <w:tc>
          <w:tcPr>
            <w:tcW w:w="1241" w:type="dxa"/>
            <w:noWrap w:val="0"/>
            <w:vAlign w:val="top"/>
          </w:tcPr>
          <w:p w14:paraId="3A77D766">
            <w:pPr>
              <w:spacing w:line="440" w:lineRule="exact"/>
              <w:ind w:firstLine="480" w:firstLineChars="200"/>
              <w:rPr>
                <w:rFonts w:hint="eastAsia" w:ascii="宋体" w:hAnsi="宋体"/>
                <w:sz w:val="24"/>
                <w:szCs w:val="24"/>
                <w:highlight w:val="none"/>
              </w:rPr>
            </w:pPr>
          </w:p>
        </w:tc>
        <w:tc>
          <w:tcPr>
            <w:tcW w:w="1241" w:type="dxa"/>
            <w:noWrap w:val="0"/>
            <w:vAlign w:val="top"/>
          </w:tcPr>
          <w:p w14:paraId="506CD32E">
            <w:pPr>
              <w:spacing w:line="440" w:lineRule="exact"/>
              <w:ind w:firstLine="480" w:firstLineChars="200"/>
              <w:rPr>
                <w:rFonts w:hint="eastAsia" w:ascii="宋体" w:hAnsi="宋体"/>
                <w:sz w:val="24"/>
                <w:szCs w:val="24"/>
                <w:highlight w:val="none"/>
              </w:rPr>
            </w:pPr>
          </w:p>
        </w:tc>
        <w:tc>
          <w:tcPr>
            <w:tcW w:w="852" w:type="dxa"/>
            <w:noWrap w:val="0"/>
            <w:vAlign w:val="top"/>
          </w:tcPr>
          <w:p w14:paraId="425F9FA7">
            <w:pPr>
              <w:spacing w:line="440" w:lineRule="exact"/>
              <w:ind w:firstLine="480" w:firstLineChars="200"/>
              <w:rPr>
                <w:rFonts w:hint="eastAsia" w:ascii="宋体" w:hAnsi="宋体"/>
                <w:sz w:val="24"/>
                <w:szCs w:val="24"/>
                <w:highlight w:val="none"/>
              </w:rPr>
            </w:pPr>
          </w:p>
        </w:tc>
        <w:tc>
          <w:tcPr>
            <w:tcW w:w="852" w:type="dxa"/>
            <w:noWrap w:val="0"/>
            <w:vAlign w:val="top"/>
          </w:tcPr>
          <w:p w14:paraId="7230B5F0">
            <w:pPr>
              <w:spacing w:line="440" w:lineRule="exact"/>
              <w:ind w:firstLine="480" w:firstLineChars="200"/>
              <w:rPr>
                <w:rFonts w:hint="eastAsia" w:ascii="宋体" w:hAnsi="宋体"/>
                <w:sz w:val="24"/>
                <w:szCs w:val="24"/>
                <w:highlight w:val="none"/>
              </w:rPr>
            </w:pPr>
          </w:p>
        </w:tc>
        <w:tc>
          <w:tcPr>
            <w:tcW w:w="796" w:type="dxa"/>
            <w:noWrap w:val="0"/>
            <w:vAlign w:val="top"/>
          </w:tcPr>
          <w:p w14:paraId="1CD2B76F">
            <w:pPr>
              <w:spacing w:line="440" w:lineRule="exact"/>
              <w:ind w:firstLine="480" w:firstLineChars="200"/>
              <w:rPr>
                <w:rFonts w:hint="eastAsia" w:ascii="宋体" w:hAnsi="宋体"/>
                <w:sz w:val="24"/>
                <w:szCs w:val="24"/>
                <w:highlight w:val="none"/>
              </w:rPr>
            </w:pPr>
          </w:p>
        </w:tc>
        <w:tc>
          <w:tcPr>
            <w:tcW w:w="1018" w:type="dxa"/>
            <w:noWrap w:val="0"/>
            <w:vAlign w:val="top"/>
          </w:tcPr>
          <w:p w14:paraId="334C3A87">
            <w:pPr>
              <w:spacing w:line="440" w:lineRule="exact"/>
              <w:ind w:firstLine="480" w:firstLineChars="200"/>
              <w:rPr>
                <w:rFonts w:hint="eastAsia" w:ascii="宋体" w:hAnsi="宋体"/>
                <w:sz w:val="24"/>
                <w:szCs w:val="24"/>
                <w:highlight w:val="none"/>
              </w:rPr>
            </w:pPr>
          </w:p>
        </w:tc>
        <w:tc>
          <w:tcPr>
            <w:tcW w:w="1315" w:type="dxa"/>
            <w:noWrap w:val="0"/>
            <w:vAlign w:val="top"/>
          </w:tcPr>
          <w:p w14:paraId="63D7FBFB">
            <w:pPr>
              <w:spacing w:line="440" w:lineRule="exact"/>
              <w:ind w:firstLine="480" w:firstLineChars="200"/>
              <w:rPr>
                <w:rFonts w:hint="eastAsia" w:ascii="宋体" w:hAnsi="宋体"/>
                <w:sz w:val="24"/>
                <w:szCs w:val="24"/>
                <w:highlight w:val="none"/>
              </w:rPr>
            </w:pPr>
          </w:p>
        </w:tc>
      </w:tr>
      <w:tr w14:paraId="65434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67B69161">
            <w:pPr>
              <w:spacing w:line="440" w:lineRule="exact"/>
              <w:ind w:firstLine="480" w:firstLineChars="200"/>
              <w:rPr>
                <w:rFonts w:hint="eastAsia" w:ascii="宋体" w:hAnsi="宋体"/>
                <w:sz w:val="24"/>
                <w:szCs w:val="24"/>
                <w:highlight w:val="none"/>
              </w:rPr>
            </w:pPr>
          </w:p>
        </w:tc>
        <w:tc>
          <w:tcPr>
            <w:tcW w:w="1241" w:type="dxa"/>
            <w:noWrap w:val="0"/>
            <w:vAlign w:val="top"/>
          </w:tcPr>
          <w:p w14:paraId="02FF7FB6">
            <w:pPr>
              <w:spacing w:line="440" w:lineRule="exact"/>
              <w:ind w:firstLine="480" w:firstLineChars="200"/>
              <w:rPr>
                <w:rFonts w:hint="eastAsia" w:ascii="宋体" w:hAnsi="宋体"/>
                <w:sz w:val="24"/>
                <w:szCs w:val="24"/>
                <w:highlight w:val="none"/>
              </w:rPr>
            </w:pPr>
          </w:p>
        </w:tc>
        <w:tc>
          <w:tcPr>
            <w:tcW w:w="1241" w:type="dxa"/>
            <w:noWrap w:val="0"/>
            <w:vAlign w:val="top"/>
          </w:tcPr>
          <w:p w14:paraId="0988E2E4">
            <w:pPr>
              <w:spacing w:line="440" w:lineRule="exact"/>
              <w:ind w:firstLine="480" w:firstLineChars="200"/>
              <w:rPr>
                <w:rFonts w:hint="eastAsia" w:ascii="宋体" w:hAnsi="宋体"/>
                <w:sz w:val="24"/>
                <w:szCs w:val="24"/>
                <w:highlight w:val="none"/>
              </w:rPr>
            </w:pPr>
          </w:p>
        </w:tc>
        <w:tc>
          <w:tcPr>
            <w:tcW w:w="852" w:type="dxa"/>
            <w:noWrap w:val="0"/>
            <w:vAlign w:val="top"/>
          </w:tcPr>
          <w:p w14:paraId="448FB72B">
            <w:pPr>
              <w:spacing w:line="440" w:lineRule="exact"/>
              <w:ind w:firstLine="480" w:firstLineChars="200"/>
              <w:rPr>
                <w:rFonts w:hint="eastAsia" w:ascii="宋体" w:hAnsi="宋体"/>
                <w:sz w:val="24"/>
                <w:szCs w:val="24"/>
                <w:highlight w:val="none"/>
              </w:rPr>
            </w:pPr>
          </w:p>
        </w:tc>
        <w:tc>
          <w:tcPr>
            <w:tcW w:w="852" w:type="dxa"/>
            <w:noWrap w:val="0"/>
            <w:vAlign w:val="top"/>
          </w:tcPr>
          <w:p w14:paraId="364035AF">
            <w:pPr>
              <w:spacing w:line="440" w:lineRule="exact"/>
              <w:ind w:firstLine="480" w:firstLineChars="200"/>
              <w:rPr>
                <w:rFonts w:hint="eastAsia" w:ascii="宋体" w:hAnsi="宋体"/>
                <w:sz w:val="24"/>
                <w:szCs w:val="24"/>
                <w:highlight w:val="none"/>
              </w:rPr>
            </w:pPr>
          </w:p>
        </w:tc>
        <w:tc>
          <w:tcPr>
            <w:tcW w:w="796" w:type="dxa"/>
            <w:noWrap w:val="0"/>
            <w:vAlign w:val="top"/>
          </w:tcPr>
          <w:p w14:paraId="1DD0265F">
            <w:pPr>
              <w:spacing w:line="440" w:lineRule="exact"/>
              <w:ind w:firstLine="480" w:firstLineChars="200"/>
              <w:rPr>
                <w:rFonts w:hint="eastAsia" w:ascii="宋体" w:hAnsi="宋体"/>
                <w:sz w:val="24"/>
                <w:szCs w:val="24"/>
                <w:highlight w:val="none"/>
              </w:rPr>
            </w:pPr>
          </w:p>
        </w:tc>
        <w:tc>
          <w:tcPr>
            <w:tcW w:w="1018" w:type="dxa"/>
            <w:noWrap w:val="0"/>
            <w:vAlign w:val="top"/>
          </w:tcPr>
          <w:p w14:paraId="2D1B6317">
            <w:pPr>
              <w:spacing w:line="440" w:lineRule="exact"/>
              <w:ind w:firstLine="480" w:firstLineChars="200"/>
              <w:rPr>
                <w:rFonts w:hint="eastAsia" w:ascii="宋体" w:hAnsi="宋体"/>
                <w:sz w:val="24"/>
                <w:szCs w:val="24"/>
                <w:highlight w:val="none"/>
              </w:rPr>
            </w:pPr>
          </w:p>
        </w:tc>
        <w:tc>
          <w:tcPr>
            <w:tcW w:w="1315" w:type="dxa"/>
            <w:noWrap w:val="0"/>
            <w:vAlign w:val="top"/>
          </w:tcPr>
          <w:p w14:paraId="1DA8518E">
            <w:pPr>
              <w:spacing w:line="440" w:lineRule="exact"/>
              <w:ind w:firstLine="480" w:firstLineChars="200"/>
              <w:rPr>
                <w:rFonts w:hint="eastAsia" w:ascii="宋体" w:hAnsi="宋体"/>
                <w:sz w:val="24"/>
                <w:szCs w:val="24"/>
                <w:highlight w:val="none"/>
              </w:rPr>
            </w:pPr>
          </w:p>
        </w:tc>
      </w:tr>
      <w:tr w14:paraId="3DE10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6C8184C4">
            <w:pPr>
              <w:spacing w:line="440" w:lineRule="exact"/>
              <w:ind w:firstLine="480" w:firstLineChars="200"/>
              <w:rPr>
                <w:rFonts w:hint="eastAsia" w:ascii="宋体" w:hAnsi="宋体"/>
                <w:sz w:val="24"/>
                <w:szCs w:val="24"/>
                <w:highlight w:val="none"/>
              </w:rPr>
            </w:pPr>
          </w:p>
        </w:tc>
        <w:tc>
          <w:tcPr>
            <w:tcW w:w="1241" w:type="dxa"/>
            <w:noWrap w:val="0"/>
            <w:vAlign w:val="top"/>
          </w:tcPr>
          <w:p w14:paraId="6DC52E6D">
            <w:pPr>
              <w:spacing w:line="440" w:lineRule="exact"/>
              <w:ind w:firstLine="480" w:firstLineChars="200"/>
              <w:rPr>
                <w:rFonts w:hint="eastAsia" w:ascii="宋体" w:hAnsi="宋体"/>
                <w:sz w:val="24"/>
                <w:szCs w:val="24"/>
                <w:highlight w:val="none"/>
              </w:rPr>
            </w:pPr>
          </w:p>
        </w:tc>
        <w:tc>
          <w:tcPr>
            <w:tcW w:w="1241" w:type="dxa"/>
            <w:noWrap w:val="0"/>
            <w:vAlign w:val="top"/>
          </w:tcPr>
          <w:p w14:paraId="2E690303">
            <w:pPr>
              <w:spacing w:line="440" w:lineRule="exact"/>
              <w:ind w:firstLine="480" w:firstLineChars="200"/>
              <w:rPr>
                <w:rFonts w:hint="eastAsia" w:ascii="宋体" w:hAnsi="宋体"/>
                <w:sz w:val="24"/>
                <w:szCs w:val="24"/>
                <w:highlight w:val="none"/>
              </w:rPr>
            </w:pPr>
          </w:p>
        </w:tc>
        <w:tc>
          <w:tcPr>
            <w:tcW w:w="852" w:type="dxa"/>
            <w:noWrap w:val="0"/>
            <w:vAlign w:val="top"/>
          </w:tcPr>
          <w:p w14:paraId="570E9103">
            <w:pPr>
              <w:spacing w:line="440" w:lineRule="exact"/>
              <w:ind w:firstLine="480" w:firstLineChars="200"/>
              <w:rPr>
                <w:rFonts w:hint="eastAsia" w:ascii="宋体" w:hAnsi="宋体"/>
                <w:sz w:val="24"/>
                <w:szCs w:val="24"/>
                <w:highlight w:val="none"/>
              </w:rPr>
            </w:pPr>
          </w:p>
        </w:tc>
        <w:tc>
          <w:tcPr>
            <w:tcW w:w="852" w:type="dxa"/>
            <w:noWrap w:val="0"/>
            <w:vAlign w:val="top"/>
          </w:tcPr>
          <w:p w14:paraId="1C118F0F">
            <w:pPr>
              <w:spacing w:line="440" w:lineRule="exact"/>
              <w:ind w:firstLine="480" w:firstLineChars="200"/>
              <w:rPr>
                <w:rFonts w:hint="eastAsia" w:ascii="宋体" w:hAnsi="宋体"/>
                <w:sz w:val="24"/>
                <w:szCs w:val="24"/>
                <w:highlight w:val="none"/>
              </w:rPr>
            </w:pPr>
          </w:p>
        </w:tc>
        <w:tc>
          <w:tcPr>
            <w:tcW w:w="796" w:type="dxa"/>
            <w:noWrap w:val="0"/>
            <w:vAlign w:val="top"/>
          </w:tcPr>
          <w:p w14:paraId="6DBCE4F8">
            <w:pPr>
              <w:spacing w:line="440" w:lineRule="exact"/>
              <w:ind w:firstLine="480" w:firstLineChars="200"/>
              <w:rPr>
                <w:rFonts w:hint="eastAsia" w:ascii="宋体" w:hAnsi="宋体"/>
                <w:sz w:val="24"/>
                <w:szCs w:val="24"/>
                <w:highlight w:val="none"/>
              </w:rPr>
            </w:pPr>
          </w:p>
        </w:tc>
        <w:tc>
          <w:tcPr>
            <w:tcW w:w="1018" w:type="dxa"/>
            <w:noWrap w:val="0"/>
            <w:vAlign w:val="top"/>
          </w:tcPr>
          <w:p w14:paraId="3CA41A26">
            <w:pPr>
              <w:spacing w:line="440" w:lineRule="exact"/>
              <w:ind w:firstLine="480" w:firstLineChars="200"/>
              <w:rPr>
                <w:rFonts w:hint="eastAsia" w:ascii="宋体" w:hAnsi="宋体"/>
                <w:sz w:val="24"/>
                <w:szCs w:val="24"/>
                <w:highlight w:val="none"/>
              </w:rPr>
            </w:pPr>
          </w:p>
        </w:tc>
        <w:tc>
          <w:tcPr>
            <w:tcW w:w="1315" w:type="dxa"/>
            <w:noWrap w:val="0"/>
            <w:vAlign w:val="top"/>
          </w:tcPr>
          <w:p w14:paraId="3757F7A6">
            <w:pPr>
              <w:spacing w:line="440" w:lineRule="exact"/>
              <w:ind w:firstLine="480" w:firstLineChars="200"/>
              <w:rPr>
                <w:rFonts w:hint="eastAsia" w:ascii="宋体" w:hAnsi="宋体"/>
                <w:sz w:val="24"/>
                <w:szCs w:val="24"/>
                <w:highlight w:val="none"/>
              </w:rPr>
            </w:pPr>
          </w:p>
        </w:tc>
      </w:tr>
      <w:tr w14:paraId="53FCC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7A60B0F2">
            <w:pPr>
              <w:spacing w:line="440" w:lineRule="exact"/>
              <w:ind w:firstLine="480" w:firstLineChars="200"/>
              <w:rPr>
                <w:rFonts w:hint="eastAsia" w:ascii="宋体" w:hAnsi="宋体"/>
                <w:sz w:val="24"/>
                <w:szCs w:val="24"/>
                <w:highlight w:val="none"/>
              </w:rPr>
            </w:pPr>
          </w:p>
        </w:tc>
        <w:tc>
          <w:tcPr>
            <w:tcW w:w="1241" w:type="dxa"/>
            <w:noWrap w:val="0"/>
            <w:vAlign w:val="top"/>
          </w:tcPr>
          <w:p w14:paraId="5687BCD8">
            <w:pPr>
              <w:spacing w:line="440" w:lineRule="exact"/>
              <w:ind w:firstLine="480" w:firstLineChars="200"/>
              <w:rPr>
                <w:rFonts w:hint="eastAsia" w:ascii="宋体" w:hAnsi="宋体"/>
                <w:sz w:val="24"/>
                <w:szCs w:val="24"/>
                <w:highlight w:val="none"/>
              </w:rPr>
            </w:pPr>
          </w:p>
        </w:tc>
        <w:tc>
          <w:tcPr>
            <w:tcW w:w="1241" w:type="dxa"/>
            <w:noWrap w:val="0"/>
            <w:vAlign w:val="top"/>
          </w:tcPr>
          <w:p w14:paraId="7DF04679">
            <w:pPr>
              <w:spacing w:line="440" w:lineRule="exact"/>
              <w:ind w:firstLine="480" w:firstLineChars="200"/>
              <w:rPr>
                <w:rFonts w:hint="eastAsia" w:ascii="宋体" w:hAnsi="宋体"/>
                <w:sz w:val="24"/>
                <w:szCs w:val="24"/>
                <w:highlight w:val="none"/>
              </w:rPr>
            </w:pPr>
          </w:p>
        </w:tc>
        <w:tc>
          <w:tcPr>
            <w:tcW w:w="852" w:type="dxa"/>
            <w:noWrap w:val="0"/>
            <w:vAlign w:val="top"/>
          </w:tcPr>
          <w:p w14:paraId="6DCF152B">
            <w:pPr>
              <w:spacing w:line="440" w:lineRule="exact"/>
              <w:ind w:firstLine="480" w:firstLineChars="200"/>
              <w:rPr>
                <w:rFonts w:hint="eastAsia" w:ascii="宋体" w:hAnsi="宋体"/>
                <w:sz w:val="24"/>
                <w:szCs w:val="24"/>
                <w:highlight w:val="none"/>
              </w:rPr>
            </w:pPr>
          </w:p>
        </w:tc>
        <w:tc>
          <w:tcPr>
            <w:tcW w:w="852" w:type="dxa"/>
            <w:noWrap w:val="0"/>
            <w:vAlign w:val="top"/>
          </w:tcPr>
          <w:p w14:paraId="799B10B3">
            <w:pPr>
              <w:spacing w:line="440" w:lineRule="exact"/>
              <w:ind w:firstLine="480" w:firstLineChars="200"/>
              <w:rPr>
                <w:rFonts w:hint="eastAsia" w:ascii="宋体" w:hAnsi="宋体"/>
                <w:sz w:val="24"/>
                <w:szCs w:val="24"/>
                <w:highlight w:val="none"/>
              </w:rPr>
            </w:pPr>
          </w:p>
        </w:tc>
        <w:tc>
          <w:tcPr>
            <w:tcW w:w="796" w:type="dxa"/>
            <w:noWrap w:val="0"/>
            <w:vAlign w:val="top"/>
          </w:tcPr>
          <w:p w14:paraId="2023A912">
            <w:pPr>
              <w:spacing w:line="440" w:lineRule="exact"/>
              <w:ind w:firstLine="480" w:firstLineChars="200"/>
              <w:rPr>
                <w:rFonts w:hint="eastAsia" w:ascii="宋体" w:hAnsi="宋体"/>
                <w:sz w:val="24"/>
                <w:szCs w:val="24"/>
                <w:highlight w:val="none"/>
              </w:rPr>
            </w:pPr>
          </w:p>
        </w:tc>
        <w:tc>
          <w:tcPr>
            <w:tcW w:w="1018" w:type="dxa"/>
            <w:noWrap w:val="0"/>
            <w:vAlign w:val="top"/>
          </w:tcPr>
          <w:p w14:paraId="7B069438">
            <w:pPr>
              <w:spacing w:line="440" w:lineRule="exact"/>
              <w:ind w:firstLine="480" w:firstLineChars="200"/>
              <w:rPr>
                <w:rFonts w:hint="eastAsia" w:ascii="宋体" w:hAnsi="宋体"/>
                <w:sz w:val="24"/>
                <w:szCs w:val="24"/>
                <w:highlight w:val="none"/>
              </w:rPr>
            </w:pPr>
          </w:p>
        </w:tc>
        <w:tc>
          <w:tcPr>
            <w:tcW w:w="1315" w:type="dxa"/>
            <w:noWrap w:val="0"/>
            <w:vAlign w:val="top"/>
          </w:tcPr>
          <w:p w14:paraId="0FE41D9D">
            <w:pPr>
              <w:spacing w:line="440" w:lineRule="exact"/>
              <w:ind w:firstLine="480" w:firstLineChars="200"/>
              <w:rPr>
                <w:rFonts w:hint="eastAsia" w:ascii="宋体" w:hAnsi="宋体"/>
                <w:sz w:val="24"/>
                <w:szCs w:val="24"/>
                <w:highlight w:val="none"/>
              </w:rPr>
            </w:pPr>
          </w:p>
        </w:tc>
      </w:tr>
    </w:tbl>
    <w:p w14:paraId="4BACD68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备注：本表作为投标方编制投标技术文件的一般格式。表中应当尽可能将配置列全、列细，这将有助于投标方胜出。</w:t>
      </w:r>
    </w:p>
    <w:p w14:paraId="230AACD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6  投标技术文件至少应对招标文件和本技术标书所提出的要求，将投标方认为难以满足的条款和要求，予以明确和详细的说明或澄清。</w:t>
      </w:r>
    </w:p>
    <w:p w14:paraId="1659AC2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7  投标技术文件中，如未按照要求编写而存在漏项或缺项，将有可能造成对投标方不必要的误解；必要时，漏项或缺项涉及的费用，将有可能以其它投标方中相同或相似项目的最高价，计入投标方的投标总报价之内，作为评标的依据之一。</w:t>
      </w:r>
    </w:p>
    <w:p w14:paraId="65BD326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8  服务范围内的维保项目、配件、耗材、工具、人工等，应当尽可能详细且分类填入配置表，其费用应当计入投标总报价之内。如果出现不</w:t>
      </w:r>
      <w:r>
        <w:rPr>
          <w:rFonts w:ascii="宋体" w:hAnsi="宋体" w:eastAsia="宋体" w:cs="宋体"/>
          <w:sz w:val="24"/>
          <w:szCs w:val="24"/>
          <w:highlight w:val="none"/>
        </w:rPr>
        <w:t>一致的报价，将有可能导致废标。</w:t>
      </w:r>
    </w:p>
    <w:p w14:paraId="479AD74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9  除招标文件明确的验收标准或内容之外，投标方应当在投标文件中提供终验收的标准以及规程，在合同签订之前，经投标方和招标方双方洽谈确认并签署，以作为验收标准执行。</w:t>
      </w:r>
    </w:p>
    <w:p w14:paraId="442F4F4D">
      <w:pPr>
        <w:spacing w:line="440" w:lineRule="exact"/>
        <w:ind w:firstLine="482" w:firstLineChars="200"/>
        <w:jc w:val="center"/>
        <w:rPr>
          <w:rFonts w:hint="eastAsia" w:ascii="宋体" w:hAnsi="宋体"/>
          <w:b/>
          <w:bCs/>
          <w:sz w:val="24"/>
          <w:szCs w:val="24"/>
          <w:highlight w:val="none"/>
        </w:rPr>
      </w:pPr>
      <w:bookmarkStart w:id="20" w:name="_Toc133783976"/>
      <w:r>
        <w:rPr>
          <w:rFonts w:hint="eastAsia" w:ascii="宋体" w:hAnsi="宋体"/>
          <w:b/>
          <w:bCs/>
          <w:sz w:val="24"/>
          <w:szCs w:val="24"/>
          <w:highlight w:val="none"/>
        </w:rPr>
        <w:t>第九节  其它要求</w:t>
      </w:r>
      <w:bookmarkEnd w:id="20"/>
    </w:p>
    <w:p w14:paraId="3C64418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  特殊要求</w:t>
      </w:r>
    </w:p>
    <w:p w14:paraId="57F6F25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为保证本技术标书所列空调维保服务的质量以及先进性、可靠性、经济性和实用性，要求投标方在投标文件中，至少应具备以下资格证明文件或资料：</w:t>
      </w:r>
    </w:p>
    <w:p w14:paraId="5D0FB67E">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1.1  投标方应是通过有关资格认证的单位，因此应附有有效期内的资格认证证书，如：</w:t>
      </w:r>
      <w:r>
        <w:rPr>
          <w:rFonts w:ascii="宋体" w:hAnsi="宋体" w:eastAsia="宋体" w:cs="宋体"/>
          <w:sz w:val="24"/>
          <w:szCs w:val="24"/>
          <w:highlight w:val="none"/>
        </w:rPr>
        <w:t>ISO9001、ISO14001、ISO45001 等。</w:t>
      </w:r>
    </w:p>
    <w:p w14:paraId="64C30E8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1.2  </w:t>
      </w:r>
      <w:r>
        <w:rPr>
          <w:rFonts w:ascii="宋体" w:hAnsi="宋体" w:eastAsia="宋体" w:cs="宋体"/>
          <w:sz w:val="24"/>
          <w:szCs w:val="24"/>
          <w:highlight w:val="none"/>
        </w:rPr>
        <w:t>应提</w:t>
      </w:r>
      <w:r>
        <w:rPr>
          <w:rFonts w:hint="eastAsia" w:ascii="宋体" w:hAnsi="宋体"/>
          <w:sz w:val="24"/>
          <w:szCs w:val="24"/>
          <w:highlight w:val="none"/>
        </w:rPr>
        <w:t>供制冷空调安装维修资质证书、电工证、高空作业证、焊工证等作业人员资格证书。</w:t>
      </w:r>
    </w:p>
    <w:p w14:paraId="291CADE0">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1.3  </w:t>
      </w:r>
      <w:r>
        <w:rPr>
          <w:rFonts w:ascii="宋体" w:hAnsi="宋体" w:eastAsia="宋体" w:cs="宋体"/>
          <w:sz w:val="24"/>
          <w:szCs w:val="24"/>
          <w:highlight w:val="none"/>
        </w:rPr>
        <w:t>应附有</w:t>
      </w:r>
      <w:r>
        <w:rPr>
          <w:rFonts w:hint="eastAsia" w:ascii="宋体" w:hAnsi="宋体"/>
          <w:sz w:val="24"/>
          <w:szCs w:val="24"/>
          <w:highlight w:val="none"/>
        </w:rPr>
        <w:t>与本空调维保服务相同或相似规格、多联机系统、且已经正常使用或通过验收的近三年业绩清单；清单中应具备：买方单位名称、服务内容、规模、服务时间、联系人及固定电话；投标方应当保证其业绩的真实性，否则将影响投标或中标资格。</w:t>
      </w:r>
    </w:p>
    <w:p w14:paraId="7E87591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1.4  应附有其它与投标单位、</w:t>
      </w:r>
      <w:r>
        <w:rPr>
          <w:rFonts w:ascii="宋体" w:hAnsi="宋体" w:eastAsia="宋体" w:cs="宋体"/>
          <w:sz w:val="24"/>
          <w:szCs w:val="24"/>
          <w:highlight w:val="none"/>
        </w:rPr>
        <w:t>维保服务能力相关的荣誉证书或资料</w:t>
      </w:r>
      <w:r>
        <w:rPr>
          <w:rFonts w:hint="eastAsia" w:ascii="宋体" w:hAnsi="宋体"/>
          <w:sz w:val="24"/>
          <w:szCs w:val="24"/>
          <w:highlight w:val="none"/>
        </w:rPr>
        <w:t>。</w:t>
      </w:r>
    </w:p>
    <w:p w14:paraId="3392AAF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1.5  应附有中国相关国家部委颁发的有效期之内所必需的《生产许可证》。</w:t>
      </w:r>
    </w:p>
    <w:p w14:paraId="366E8336">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rPr>
        <w:t xml:space="preserve">1.6  </w:t>
      </w:r>
      <w:r>
        <w:rPr>
          <w:rFonts w:ascii="宋体" w:hAnsi="宋体" w:eastAsia="宋体" w:cs="宋体"/>
          <w:sz w:val="24"/>
          <w:szCs w:val="24"/>
          <w:highlight w:val="none"/>
        </w:rPr>
        <w:t>应附</w:t>
      </w:r>
      <w:r>
        <w:rPr>
          <w:rFonts w:hint="eastAsia" w:ascii="宋体" w:hAnsi="宋体"/>
          <w:sz w:val="24"/>
          <w:szCs w:val="24"/>
          <w:highlight w:val="none"/>
        </w:rPr>
        <w:t>有必要的设备检测报告、配件合格证明、冷媒及耗材环保认证等</w:t>
      </w:r>
      <w:r>
        <w:rPr>
          <w:rFonts w:ascii="宋体" w:hAnsi="宋体" w:eastAsia="宋体" w:cs="宋体"/>
          <w:sz w:val="24"/>
          <w:szCs w:val="24"/>
          <w:highlight w:val="none"/>
        </w:rPr>
        <w:t>。</w:t>
      </w:r>
    </w:p>
    <w:p w14:paraId="1274126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1.7  </w:t>
      </w:r>
      <w:r>
        <w:rPr>
          <w:rFonts w:ascii="宋体" w:hAnsi="宋体" w:eastAsia="宋体" w:cs="宋体"/>
          <w:sz w:val="24"/>
          <w:szCs w:val="24"/>
          <w:highlight w:val="none"/>
        </w:rPr>
        <w:t>投</w:t>
      </w:r>
      <w:r>
        <w:rPr>
          <w:rFonts w:hint="eastAsia" w:ascii="宋体" w:hAnsi="宋体"/>
          <w:sz w:val="24"/>
          <w:szCs w:val="24"/>
          <w:highlight w:val="none"/>
        </w:rPr>
        <w:t>标方必须附有国家规定必须的安全、环保、用电、动火作业相关保障措施及证明资料。</w:t>
      </w:r>
    </w:p>
    <w:p w14:paraId="6EC25283">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rPr>
        <w:t xml:space="preserve">1.8 </w:t>
      </w:r>
      <w:r>
        <w:rPr>
          <w:rFonts w:ascii="宋体" w:hAnsi="宋体" w:eastAsia="宋体" w:cs="宋体"/>
          <w:sz w:val="24"/>
          <w:szCs w:val="24"/>
          <w:highlight w:val="none"/>
        </w:rPr>
        <w:t>可</w:t>
      </w:r>
      <w:r>
        <w:rPr>
          <w:rFonts w:hint="eastAsia" w:ascii="宋体" w:hAnsi="宋体"/>
          <w:sz w:val="24"/>
          <w:szCs w:val="24"/>
          <w:highlight w:val="none"/>
        </w:rPr>
        <w:t>附有投标方认为能够证明其服务质量、技术水平、安全水平、节能水平、环保水平等相关证明文件，如：噪声检测报告、节能改造案例、系统调试</w:t>
      </w:r>
      <w:r>
        <w:rPr>
          <w:rFonts w:ascii="宋体" w:hAnsi="宋体" w:eastAsia="宋体" w:cs="宋体"/>
          <w:sz w:val="24"/>
          <w:szCs w:val="24"/>
          <w:highlight w:val="none"/>
        </w:rPr>
        <w:t>报告等。</w:t>
      </w:r>
    </w:p>
    <w:p w14:paraId="3A4DF92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  说明</w:t>
      </w:r>
    </w:p>
    <w:p w14:paraId="71AFE7C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2.1  投标方可以根据自身的技术、经验等优势以及对招标文件和本技术标书的理解，</w:t>
      </w:r>
      <w:r>
        <w:rPr>
          <w:rFonts w:ascii="宋体" w:hAnsi="宋体" w:eastAsia="宋体" w:cs="宋体"/>
          <w:sz w:val="24"/>
          <w:szCs w:val="24"/>
          <w:highlight w:val="none"/>
        </w:rPr>
        <w:t>写明对招标</w:t>
      </w:r>
      <w:r>
        <w:rPr>
          <w:rFonts w:hint="eastAsia" w:ascii="宋体" w:hAnsi="宋体"/>
          <w:sz w:val="24"/>
          <w:szCs w:val="24"/>
          <w:highlight w:val="none"/>
        </w:rPr>
        <w:t>方空调系统维保、优化运行、节能降耗、故障预防的优化方案或建议意见。投标方的这些努力，投标方表示感谢，并将有助于投标方优先胜出。</w:t>
      </w:r>
    </w:p>
    <w:p w14:paraId="12E1301E">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2.2  即使有建议意见或建议方案，仍应依据招标文件和本技术标书要求，编写符合要求的投标文件。建议方案或建议意见，应以单独篇章或文件，予以说明。</w:t>
      </w:r>
    </w:p>
    <w:p w14:paraId="7550BF6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2.3  请投标方仔细阅读“</w:t>
      </w:r>
      <w:r>
        <w:rPr>
          <w:rFonts w:ascii="宋体" w:hAnsi="宋体" w:eastAsia="宋体" w:cs="宋体"/>
          <w:sz w:val="24"/>
          <w:szCs w:val="24"/>
          <w:highlight w:val="none"/>
        </w:rPr>
        <w:t>采购服务概况</w:t>
      </w:r>
      <w:r>
        <w:rPr>
          <w:rFonts w:hint="eastAsia" w:ascii="宋体" w:hAnsi="宋体"/>
          <w:sz w:val="24"/>
          <w:szCs w:val="24"/>
          <w:highlight w:val="none"/>
        </w:rPr>
        <w:t>”章节内说明，针对允许分投分中的</w:t>
      </w:r>
      <w:r>
        <w:rPr>
          <w:rFonts w:hint="eastAsia" w:ascii="宋体" w:hAnsi="宋体"/>
          <w:sz w:val="24"/>
          <w:szCs w:val="24"/>
          <w:highlight w:val="none"/>
          <w:lang w:val="en-US" w:eastAsia="zh-CN"/>
        </w:rPr>
        <w:t>服务内容</w:t>
      </w:r>
      <w:r>
        <w:rPr>
          <w:rFonts w:hint="eastAsia" w:ascii="宋体" w:hAnsi="宋体"/>
          <w:sz w:val="24"/>
          <w:szCs w:val="24"/>
          <w:highlight w:val="none"/>
        </w:rPr>
        <w:t>，招标方有权利选择其中优秀设备或服务，作为投标方合同供货范围中的指定选用设备或服务（替代投标方分投而未中标部分）。</w:t>
      </w:r>
    </w:p>
    <w:p w14:paraId="7C62B760">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2.4  招标文件、投标文件、答疑文件、技术交流文件、技术协议书等，在招标过程全部为有效文件，如有差异，以对招标方或买方最有利的条款为准。</w:t>
      </w:r>
    </w:p>
    <w:p w14:paraId="2F65E88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2.5  本技术标书在“</w:t>
      </w:r>
      <w:r>
        <w:rPr>
          <w:rFonts w:hint="eastAsia" w:ascii="宋体" w:hAnsi="宋体"/>
          <w:sz w:val="24"/>
          <w:szCs w:val="24"/>
          <w:highlight w:val="none"/>
          <w:lang w:val="en-US" w:eastAsia="zh-CN"/>
        </w:rPr>
        <w:t>设备验收</w:t>
      </w:r>
      <w:r>
        <w:rPr>
          <w:rFonts w:hint="eastAsia" w:ascii="宋体" w:hAnsi="宋体"/>
          <w:sz w:val="24"/>
          <w:szCs w:val="24"/>
          <w:highlight w:val="none"/>
        </w:rPr>
        <w:t>”章节所列的招标方在合同签署后将成为买方，中标的投标方将成为卖方；为避免歧异，本技术标书在“</w:t>
      </w:r>
      <w:r>
        <w:rPr>
          <w:rFonts w:hint="eastAsia" w:ascii="宋体" w:hAnsi="宋体"/>
          <w:sz w:val="24"/>
          <w:szCs w:val="24"/>
          <w:highlight w:val="none"/>
          <w:lang w:val="en-US" w:eastAsia="zh-CN"/>
        </w:rPr>
        <w:t>设备验收</w:t>
      </w:r>
      <w:r>
        <w:rPr>
          <w:rFonts w:hint="eastAsia" w:ascii="宋体" w:hAnsi="宋体"/>
          <w:sz w:val="24"/>
          <w:szCs w:val="24"/>
          <w:highlight w:val="none"/>
        </w:rPr>
        <w:t>”之外的其它章节，均将潜在的卖方称为投标方、将买方称为招标方。</w:t>
      </w:r>
    </w:p>
    <w:p w14:paraId="2A65E9F9">
      <w:pPr>
        <w:pStyle w:val="76"/>
        <w:rPr>
          <w:b w:val="0"/>
          <w:bCs w:val="0"/>
          <w:highlight w:val="none"/>
        </w:rPr>
      </w:pPr>
    </w:p>
    <w:p w14:paraId="41362990">
      <w:pPr>
        <w:pStyle w:val="76"/>
        <w:rPr>
          <w:b/>
          <w:bCs/>
          <w:highlight w:val="none"/>
        </w:rPr>
      </w:pPr>
    </w:p>
    <w:p w14:paraId="0E3885EE">
      <w:pPr>
        <w:rPr>
          <w:rFonts w:hint="eastAsia"/>
          <w:highlight w:val="none"/>
        </w:rPr>
      </w:pPr>
      <w:bookmarkStart w:id="21" w:name="_Toc47976609"/>
      <w:r>
        <w:rPr>
          <w:rFonts w:hint="eastAsia"/>
          <w:highlight w:val="none"/>
        </w:rPr>
        <w:br w:type="page"/>
      </w:r>
    </w:p>
    <w:p w14:paraId="5871DF53">
      <w:pPr>
        <w:pStyle w:val="71"/>
        <w:numPr>
          <w:ilvl w:val="0"/>
          <w:numId w:val="27"/>
        </w:numPr>
        <w:rPr>
          <w:rFonts w:hint="eastAsia"/>
          <w:highlight w:val="none"/>
        </w:rPr>
      </w:pPr>
      <w:bookmarkStart w:id="22" w:name="_Toc8030"/>
      <w:r>
        <w:rPr>
          <w:rFonts w:hint="eastAsia"/>
          <w:highlight w:val="none"/>
        </w:rPr>
        <w:t>合同主要条款</w:t>
      </w:r>
      <w:bookmarkEnd w:id="21"/>
      <w:bookmarkEnd w:id="22"/>
    </w:p>
    <w:p w14:paraId="56105630">
      <w:pPr>
        <w:wordWrap w:val="0"/>
        <w:adjustRightInd w:val="0"/>
        <w:snapToGrid w:val="0"/>
        <w:spacing w:line="360" w:lineRule="auto"/>
        <w:jc w:val="right"/>
        <w:rPr>
          <w:rFonts w:ascii="宋体" w:hAnsi="宋体"/>
          <w:b/>
          <w:sz w:val="28"/>
          <w:szCs w:val="28"/>
        </w:rPr>
      </w:pPr>
    </w:p>
    <w:p w14:paraId="366A5A44">
      <w:pPr>
        <w:pStyle w:val="72"/>
        <w:numPr>
          <w:ilvl w:val="0"/>
          <w:numId w:val="0"/>
        </w:numPr>
        <w:ind w:leftChars="0"/>
        <w:rPr>
          <w:rFonts w:hint="eastAsia"/>
          <w:lang w:val="en-US" w:eastAsia="zh-CN"/>
        </w:rPr>
      </w:pPr>
      <w:bookmarkStart w:id="23" w:name="_Toc47976611"/>
      <w:bookmarkStart w:id="24" w:name="_Toc47976615"/>
      <w:r>
        <w:rPr>
          <w:rFonts w:hint="eastAsia"/>
          <w:lang w:val="en-US" w:eastAsia="zh-CN"/>
        </w:rPr>
        <w:t>一、标的、服务内容、服务周期</w:t>
      </w:r>
    </w:p>
    <w:bookmarkEnd w:id="23"/>
    <w:p w14:paraId="11E6D91A">
      <w:pPr>
        <w:pStyle w:val="72"/>
        <w:numPr>
          <w:ilvl w:val="0"/>
          <w:numId w:val="0"/>
        </w:numPr>
        <w:ind w:leftChars="0"/>
        <w:rPr>
          <w:rFonts w:hint="eastAsia"/>
          <w:lang w:val="en-US" w:eastAsia="zh-CN"/>
        </w:rPr>
      </w:pPr>
      <w:bookmarkStart w:id="25" w:name="_Toc47976612"/>
      <w:r>
        <w:rPr>
          <w:rFonts w:hint="eastAsia"/>
          <w:lang w:val="en-US" w:eastAsia="zh-CN"/>
        </w:rPr>
        <w:t>二、服务地点</w:t>
      </w:r>
    </w:p>
    <w:p w14:paraId="3F03A936">
      <w:pPr>
        <w:pStyle w:val="72"/>
        <w:numPr>
          <w:ilvl w:val="0"/>
          <w:numId w:val="0"/>
        </w:numPr>
        <w:ind w:leftChars="0"/>
      </w:pPr>
      <w:r>
        <w:rPr>
          <w:rFonts w:hint="eastAsia"/>
          <w:lang w:val="en-US" w:eastAsia="zh-CN"/>
        </w:rPr>
        <w:t>三、价款及</w:t>
      </w:r>
      <w:r>
        <w:rPr>
          <w:rFonts w:hint="eastAsia"/>
        </w:rPr>
        <w:t>付款方式</w:t>
      </w:r>
      <w:bookmarkEnd w:id="25"/>
    </w:p>
    <w:p w14:paraId="0A7F4E98">
      <w:pPr>
        <w:pStyle w:val="72"/>
        <w:numPr>
          <w:ilvl w:val="0"/>
          <w:numId w:val="0"/>
        </w:numPr>
        <w:ind w:leftChars="0"/>
      </w:pPr>
      <w:bookmarkStart w:id="26" w:name="_Toc47976613"/>
      <w:r>
        <w:rPr>
          <w:rFonts w:hint="eastAsia"/>
          <w:lang w:val="en-US" w:eastAsia="zh-CN"/>
        </w:rPr>
        <w:t>四、质量要求、</w:t>
      </w:r>
      <w:r>
        <w:rPr>
          <w:rFonts w:hint="eastAsia"/>
        </w:rPr>
        <w:t>保修期及售后服务</w:t>
      </w:r>
      <w:bookmarkEnd w:id="26"/>
    </w:p>
    <w:p w14:paraId="50F6C5C1">
      <w:pPr>
        <w:pStyle w:val="72"/>
        <w:numPr>
          <w:ilvl w:val="0"/>
          <w:numId w:val="0"/>
        </w:numPr>
        <w:ind w:leftChars="0"/>
      </w:pPr>
      <w:bookmarkStart w:id="27" w:name="_Toc47976614"/>
      <w:r>
        <w:rPr>
          <w:rFonts w:hint="eastAsia"/>
          <w:lang w:val="en-US" w:eastAsia="zh-CN"/>
        </w:rPr>
        <w:t>五、</w:t>
      </w:r>
      <w:bookmarkEnd w:id="27"/>
      <w:r>
        <w:rPr>
          <w:rFonts w:hint="eastAsia"/>
          <w:lang w:val="en-US" w:eastAsia="zh-CN"/>
        </w:rPr>
        <w:t>维保、调试及验收要求</w:t>
      </w:r>
    </w:p>
    <w:p w14:paraId="7FDA440C">
      <w:pPr>
        <w:pStyle w:val="72"/>
        <w:numPr>
          <w:ilvl w:val="0"/>
          <w:numId w:val="0"/>
        </w:numPr>
        <w:ind w:leftChars="0"/>
      </w:pPr>
      <w:r>
        <w:rPr>
          <w:rFonts w:hint="eastAsia"/>
          <w:lang w:val="en-US" w:eastAsia="zh-CN"/>
        </w:rPr>
        <w:t>六、违约责任</w:t>
      </w:r>
    </w:p>
    <w:p w14:paraId="7B4D50AD">
      <w:pPr>
        <w:pStyle w:val="72"/>
        <w:numPr>
          <w:ilvl w:val="0"/>
          <w:numId w:val="0"/>
        </w:numPr>
        <w:ind w:leftChars="0"/>
      </w:pPr>
      <w:r>
        <w:rPr>
          <w:rFonts w:hint="eastAsia"/>
          <w:lang w:val="en-US" w:eastAsia="zh-CN"/>
        </w:rPr>
        <w:t>七、争议解决方式</w:t>
      </w:r>
    </w:p>
    <w:p w14:paraId="504FA1DC">
      <w:pPr>
        <w:rPr>
          <w:rFonts w:hint="eastAsia"/>
        </w:rPr>
      </w:pPr>
    </w:p>
    <w:p w14:paraId="1A67A1AE">
      <w:pPr>
        <w:rPr>
          <w:rFonts w:hint="eastAsia"/>
        </w:rPr>
      </w:pPr>
      <w:r>
        <w:rPr>
          <w:rFonts w:hint="eastAsia"/>
        </w:rPr>
        <w:br w:type="page"/>
      </w:r>
    </w:p>
    <w:p w14:paraId="50D9D845">
      <w:pPr>
        <w:pStyle w:val="71"/>
        <w:rPr>
          <w:rFonts w:ascii="黑体" w:hAnsi="Calibri" w:eastAsia="黑体" w:cs="Times New Roman"/>
          <w:color w:val="000000"/>
          <w:sz w:val="24"/>
          <w:szCs w:val="24"/>
        </w:rPr>
      </w:pPr>
      <w:bookmarkStart w:id="28" w:name="_Toc16500"/>
      <w:r>
        <w:rPr>
          <w:rFonts w:hint="eastAsia"/>
        </w:rPr>
        <w:t>第四部分　</w:t>
      </w:r>
      <w:bookmarkEnd w:id="24"/>
      <w:r>
        <w:rPr>
          <w:rFonts w:hint="eastAsia"/>
          <w:lang w:val="en-US" w:eastAsia="zh-CN"/>
        </w:rPr>
        <w:t>投标文件附件</w:t>
      </w:r>
      <w:bookmarkEnd w:id="28"/>
    </w:p>
    <w:p w14:paraId="32681108">
      <w:pPr>
        <w:jc w:val="both"/>
        <w:rPr>
          <w:rFonts w:ascii="宋体"/>
          <w:b/>
          <w:color w:val="000000"/>
          <w:szCs w:val="24"/>
        </w:rPr>
      </w:pPr>
    </w:p>
    <w:p w14:paraId="6220DDA8">
      <w:pPr>
        <w:pStyle w:val="14"/>
      </w:pPr>
    </w:p>
    <w:p w14:paraId="34291980">
      <w:pPr>
        <w:pStyle w:val="72"/>
        <w:numPr>
          <w:ilvl w:val="0"/>
          <w:numId w:val="0"/>
        </w:numPr>
        <w:ind w:leftChars="0"/>
        <w:outlineLvl w:val="1"/>
        <w:rPr>
          <w:rFonts w:hint="default" w:ascii="宋体" w:hAnsi="宋体" w:eastAsia="宋体" w:cs="宋体"/>
          <w:sz w:val="32"/>
          <w:szCs w:val="32"/>
          <w:highlight w:val="yellow"/>
          <w:lang w:val="en-US" w:eastAsia="zh-CN"/>
        </w:rPr>
      </w:pPr>
      <w:bookmarkStart w:id="29" w:name="_Toc47976618"/>
      <w:bookmarkStart w:id="30" w:name="_Toc29366869"/>
      <w:bookmarkStart w:id="31" w:name="_Toc29366865"/>
      <w:r>
        <w:rPr>
          <w:rFonts w:hint="eastAsia" w:ascii="宋体" w:hAnsi="宋体" w:eastAsia="宋体" w:cs="宋体"/>
          <w:sz w:val="32"/>
          <w:szCs w:val="32"/>
          <w:highlight w:val="none"/>
          <w:lang w:val="en-US" w:eastAsia="zh-CN"/>
        </w:rPr>
        <w:t>附件1 法定代表人授权委托书</w:t>
      </w:r>
    </w:p>
    <w:bookmarkEnd w:id="29"/>
    <w:p w14:paraId="5121093B">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法定代表人授权委托书</w:t>
      </w:r>
    </w:p>
    <w:p w14:paraId="180342E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ascii="宋体" w:hAnsi="宋体" w:eastAsia="宋体" w:cs="Times New Roman"/>
          <w:b/>
          <w:bCs/>
          <w:color w:val="000000"/>
          <w:sz w:val="24"/>
          <w:szCs w:val="24"/>
          <w:u w:val="single"/>
        </w:rPr>
        <w:t xml:space="preserve"> </w:t>
      </w:r>
      <w:r>
        <w:rPr>
          <w:rFonts w:hint="eastAsia" w:ascii="宋体" w:hAnsi="宋体" w:cs="Times New Roman"/>
          <w:b/>
          <w:bCs/>
          <w:color w:val="000000"/>
          <w:sz w:val="24"/>
          <w:szCs w:val="24"/>
          <w:u w:val="single"/>
          <w:lang w:val="en-US" w:eastAsia="zh-CN"/>
        </w:rPr>
        <w:t xml:space="preserve"> </w:t>
      </w:r>
      <w:r>
        <w:rPr>
          <w:rFonts w:hint="eastAsia" w:ascii="宋体" w:hAnsi="宋体" w:cs="Times New Roman"/>
          <w:b/>
          <w:bCs/>
          <w:color w:val="000000"/>
          <w:sz w:val="24"/>
          <w:szCs w:val="24"/>
          <w:highlight w:val="none"/>
          <w:u w:val="single"/>
          <w:lang w:val="en-US" w:eastAsia="zh-CN"/>
        </w:rPr>
        <w:t xml:space="preserve">多联机空调维保项目 </w:t>
      </w:r>
      <w:r>
        <w:rPr>
          <w:rFonts w:hint="eastAsia" w:ascii="宋体" w:hAnsi="宋体" w:cs="Times New Roman"/>
          <w:b/>
          <w:bCs/>
          <w:color w:val="000000"/>
          <w:sz w:val="24"/>
          <w:szCs w:val="24"/>
          <w:u w:val="single"/>
          <w:lang w:val="en-US" w:eastAsia="zh-CN"/>
        </w:rPr>
        <w:t xml:space="preserve"> </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3F8F578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0"/>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30B7C1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3A69F347">
            <w:pPr>
              <w:adjustRightInd w:val="0"/>
              <w:snapToGrid w:val="0"/>
              <w:spacing w:before="93" w:beforeLines="30" w:line="312" w:lineRule="auto"/>
              <w:jc w:val="center"/>
              <w:rPr>
                <w:rFonts w:ascii="宋体" w:hAnsi="Calibri" w:eastAsia="宋体" w:cs="Times New Roman"/>
                <w:sz w:val="24"/>
                <w:szCs w:val="20"/>
                <w:u w:val="none"/>
              </w:rPr>
            </w:pPr>
            <w:r>
              <w:rPr>
                <w:rFonts w:hint="eastAsia" w:ascii="宋体" w:hAnsi="宋体" w:eastAsia="宋体" w:cs="Times New Roman"/>
                <w:sz w:val="24"/>
                <w:szCs w:val="20"/>
              </w:rPr>
              <w:t>附法人身份证明复印件</w:t>
            </w:r>
            <w:r>
              <w:rPr>
                <w:rFonts w:hint="eastAsia" w:ascii="宋体" w:hAnsi="宋体" w:eastAsia="宋体" w:cs="Times New Roman"/>
                <w:sz w:val="24"/>
                <w:szCs w:val="20"/>
                <w:u w:val="none"/>
                <w:lang w:eastAsia="zh-CN"/>
              </w:rPr>
              <w:t>（</w:t>
            </w:r>
            <w:r>
              <w:rPr>
                <w:rFonts w:hint="eastAsia" w:ascii="宋体" w:hAnsi="宋体" w:eastAsia="宋体" w:cs="Times New Roman"/>
                <w:color w:val="000000" w:themeColor="text1"/>
                <w:sz w:val="24"/>
                <w:szCs w:val="20"/>
                <w:u w:val="none"/>
                <w:lang w:val="en-US" w:eastAsia="zh-CN"/>
                <w14:textFill>
                  <w14:solidFill>
                    <w14:schemeClr w14:val="tx1"/>
                  </w14:solidFill>
                </w14:textFill>
              </w:rPr>
              <w:t>正反面）</w:t>
            </w:r>
          </w:p>
          <w:p w14:paraId="0427685B">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w:t>
            </w:r>
            <w:r>
              <w:rPr>
                <w:rFonts w:hint="eastAsia" w:ascii="宋体" w:hAnsi="宋体" w:eastAsia="宋体" w:cs="Times New Roman"/>
                <w:sz w:val="24"/>
                <w:szCs w:val="20"/>
                <w:lang w:eastAsia="zh-CN"/>
              </w:rPr>
              <w:t>（</w:t>
            </w:r>
            <w:r>
              <w:rPr>
                <w:rFonts w:hint="eastAsia" w:ascii="宋体" w:hAnsi="宋体" w:eastAsia="宋体" w:cs="Times New Roman"/>
                <w:sz w:val="24"/>
                <w:szCs w:val="20"/>
                <w:lang w:val="en-US" w:eastAsia="zh-CN"/>
              </w:rPr>
              <w:t>正反面</w:t>
            </w:r>
            <w:r>
              <w:rPr>
                <w:rFonts w:hint="eastAsia" w:ascii="宋体" w:hAnsi="宋体" w:eastAsia="宋体" w:cs="Times New Roman"/>
                <w:sz w:val="24"/>
                <w:szCs w:val="20"/>
                <w:lang w:eastAsia="zh-CN"/>
              </w:rPr>
              <w:t>）</w:t>
            </w:r>
          </w:p>
        </w:tc>
      </w:tr>
    </w:tbl>
    <w:p w14:paraId="6609A01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性别：</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年龄：</w:t>
      </w:r>
    </w:p>
    <w:p w14:paraId="73B5E5A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部门：</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职务：</w:t>
      </w:r>
    </w:p>
    <w:p w14:paraId="6F6925F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r>
        <w:rPr>
          <w:rFonts w:ascii="宋体" w:hAnsi="宋体" w:eastAsia="宋体" w:cs="Times New Roman"/>
          <w:color w:val="000000"/>
          <w:sz w:val="24"/>
          <w:szCs w:val="24"/>
        </w:rPr>
        <w:t xml:space="preserve">                          </w:t>
      </w:r>
    </w:p>
    <w:p w14:paraId="585FAE3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r>
        <w:rPr>
          <w:rFonts w:ascii="宋体" w:hAnsi="宋体" w:eastAsia="宋体" w:cs="Times New Roman"/>
          <w:color w:val="000000"/>
          <w:sz w:val="24"/>
          <w:szCs w:val="24"/>
        </w:rPr>
        <w:t xml:space="preserve">  </w:t>
      </w:r>
    </w:p>
    <w:p w14:paraId="6A49D1B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r>
        <w:rPr>
          <w:rFonts w:ascii="宋体" w:hAnsi="宋体" w:eastAsia="宋体" w:cs="Times New Roman"/>
          <w:color w:val="000000"/>
          <w:sz w:val="24"/>
          <w:szCs w:val="24"/>
        </w:rPr>
        <w:t xml:space="preserve">   </w:t>
      </w:r>
    </w:p>
    <w:p w14:paraId="374AA84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r>
        <w:rPr>
          <w:rFonts w:ascii="宋体" w:hAnsi="宋体" w:eastAsia="宋体" w:cs="Times New Roman"/>
          <w:color w:val="000000"/>
          <w:sz w:val="24"/>
          <w:szCs w:val="24"/>
        </w:rPr>
        <w:t xml:space="preserve">                       </w:t>
      </w:r>
    </w:p>
    <w:p w14:paraId="2D6CAE40">
      <w:pPr>
        <w:spacing w:line="460" w:lineRule="exact"/>
        <w:ind w:firstLine="5520" w:firstLineChars="2300"/>
        <w:rPr>
          <w:rFonts w:ascii="宋体" w:hAnsi="Calibri"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4FFC5B98">
      <w:pPr>
        <w:spacing w:line="460" w:lineRule="exact"/>
        <w:ind w:firstLine="5520" w:firstLineChars="2300"/>
        <w:rPr>
          <w:rFonts w:ascii="宋体" w:hAnsi="Calibri" w:eastAsia="宋体" w:cs="Times New Roman"/>
          <w:sz w:val="24"/>
          <w:szCs w:val="20"/>
          <w:u w:val="single"/>
        </w:rPr>
      </w:pPr>
    </w:p>
    <w:p w14:paraId="436DB774">
      <w:pPr>
        <w:rPr>
          <w:rFonts w:ascii="Calibri" w:hAnsi="Calibri" w:eastAsia="黑体" w:cs="Times New Roman"/>
          <w:b/>
          <w:bCs/>
          <w:color w:val="000000"/>
          <w:sz w:val="28"/>
          <w:szCs w:val="20"/>
        </w:rPr>
      </w:pPr>
    </w:p>
    <w:p w14:paraId="4B071144">
      <w:pPr>
        <w:pStyle w:val="14"/>
        <w:rPr>
          <w:rFonts w:ascii="Calibri" w:hAnsi="Calibri" w:eastAsia="黑体" w:cs="Times New Roman"/>
          <w:b/>
          <w:bCs/>
          <w:color w:val="000000"/>
          <w:sz w:val="28"/>
          <w:szCs w:val="20"/>
        </w:rPr>
        <w:sectPr>
          <w:footerReference r:id="rId9" w:type="first"/>
          <w:headerReference r:id="rId7" w:type="default"/>
          <w:footerReference r:id="rId8" w:type="default"/>
          <w:pgSz w:w="11906" w:h="16838"/>
          <w:pgMar w:top="1588" w:right="1418" w:bottom="1134" w:left="1418" w:header="851" w:footer="992" w:gutter="0"/>
          <w:cols w:space="720" w:num="1"/>
          <w:titlePg/>
          <w:docGrid w:type="lines" w:linePitch="312" w:charSpace="0"/>
        </w:sectPr>
      </w:pPr>
    </w:p>
    <w:p w14:paraId="6B20C6DF">
      <w:pPr>
        <w:pStyle w:val="72"/>
        <w:numPr>
          <w:ilvl w:val="0"/>
          <w:numId w:val="0"/>
        </w:numPr>
        <w:ind w:leftChars="0"/>
        <w:outlineLvl w:val="1"/>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附件2 保密承诺函</w:t>
      </w:r>
    </w:p>
    <w:p w14:paraId="0F4E083F">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保密承诺函</w:t>
      </w:r>
    </w:p>
    <w:p w14:paraId="4EBD3B8F">
      <w:pPr>
        <w:spacing w:line="240" w:lineRule="exact"/>
        <w:jc w:val="center"/>
        <w:rPr>
          <w:rFonts w:ascii="宋体" w:hAnsi="Calibri" w:eastAsia="宋体" w:cs="Times New Roman"/>
          <w:b/>
          <w:bCs/>
          <w:sz w:val="36"/>
          <w:szCs w:val="20"/>
        </w:rPr>
      </w:pPr>
    </w:p>
    <w:p w14:paraId="2FA216F9">
      <w:pPr>
        <w:spacing w:line="360" w:lineRule="auto"/>
        <w:rPr>
          <w:rFonts w:hint="default" w:ascii="宋体" w:hAnsi="宋体" w:eastAsia="宋体" w:cs="宋体"/>
          <w:b/>
          <w:bCs/>
          <w:sz w:val="24"/>
          <w:szCs w:val="24"/>
          <w:highlight w:val="none"/>
          <w:u w:val="single"/>
          <w:lang w:val="en-US" w:eastAsia="zh-CN"/>
        </w:rPr>
      </w:pPr>
      <w:r>
        <w:rPr>
          <w:rFonts w:hint="eastAsia" w:ascii="宋体" w:hAnsi="宋体" w:eastAsia="宋体" w:cs="Times New Roman"/>
          <w:sz w:val="24"/>
          <w:szCs w:val="20"/>
        </w:rPr>
        <w:t>项目名称：</w:t>
      </w:r>
      <w:r>
        <w:rPr>
          <w:rFonts w:hint="eastAsia" w:ascii="宋体" w:hAnsi="宋体" w:cs="宋体"/>
          <w:b/>
          <w:bCs/>
          <w:sz w:val="24"/>
          <w:szCs w:val="24"/>
          <w:highlight w:val="none"/>
          <w:u w:val="single"/>
          <w:lang w:val="en-US" w:eastAsia="zh-CN"/>
        </w:rPr>
        <w:t>多联机空调维保项目</w:t>
      </w:r>
    </w:p>
    <w:p w14:paraId="2D225539">
      <w:pPr>
        <w:spacing w:line="360" w:lineRule="auto"/>
        <w:rPr>
          <w:rFonts w:ascii="宋体" w:hAnsi="Calibri" w:eastAsia="宋体" w:cs="Times New Roman"/>
          <w:b/>
          <w:bCs/>
          <w:sz w:val="24"/>
          <w:szCs w:val="20"/>
          <w:highlight w:val="none"/>
        </w:rPr>
      </w:pPr>
      <w:r>
        <w:rPr>
          <w:rFonts w:hint="eastAsia" w:ascii="宋体" w:hAnsi="宋体" w:cs="Times New Roman"/>
          <w:b/>
          <w:bCs/>
          <w:sz w:val="24"/>
          <w:szCs w:val="20"/>
          <w:highlight w:val="none"/>
          <w:lang w:eastAsia="zh-CN"/>
        </w:rPr>
        <w:t>中国重汽集团济南汽车部件有限公司</w:t>
      </w:r>
      <w:r>
        <w:rPr>
          <w:rFonts w:hint="eastAsia" w:ascii="宋体" w:hAnsi="宋体" w:eastAsia="宋体" w:cs="Times New Roman"/>
          <w:b/>
          <w:bCs/>
          <w:sz w:val="24"/>
          <w:szCs w:val="20"/>
          <w:highlight w:val="none"/>
        </w:rPr>
        <w:t>：</w:t>
      </w:r>
    </w:p>
    <w:p w14:paraId="5C82D927">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w:t>
      </w:r>
      <w:r>
        <w:rPr>
          <w:rFonts w:hint="eastAsia" w:ascii="宋体" w:hAnsi="宋体" w:eastAsia="宋体" w:cs="Times New Roman"/>
          <w:sz w:val="24"/>
          <w:szCs w:val="20"/>
          <w:highlight w:val="none"/>
          <w:u w:val="single"/>
        </w:rPr>
        <w:t>投标单位名称</w:t>
      </w:r>
      <w:r>
        <w:rPr>
          <w:rFonts w:hint="eastAsia" w:ascii="宋体" w:hAnsi="宋体" w:eastAsia="宋体" w:cs="Times New Roman"/>
          <w:sz w:val="24"/>
          <w:szCs w:val="20"/>
        </w:rPr>
        <w:t>）对招标人的商业秘密作如下承诺：</w:t>
      </w:r>
    </w:p>
    <w:p w14:paraId="4898C179">
      <w:pPr>
        <w:spacing w:line="360" w:lineRule="auto"/>
        <w:ind w:left="479" w:leftChars="228"/>
        <w:rPr>
          <w:rFonts w:ascii="宋体" w:hAnsi="宋体"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r>
        <w:rPr>
          <w:rFonts w:ascii="宋体" w:hAnsi="宋体" w:eastAsia="宋体" w:cs="Times New Roman"/>
          <w:sz w:val="24"/>
          <w:szCs w:val="20"/>
          <w:u w:val="single"/>
        </w:rPr>
        <w:t xml:space="preserve">                                                                 </w:t>
      </w:r>
    </w:p>
    <w:p w14:paraId="516FF498">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20D74DA">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3932F6D">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7E012EF">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B4417CC">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2091268">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8E2ADA7">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9DE8234">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69E11B6">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DB1FADE">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7790580">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745FBF5">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4F442F6">
      <w:pPr>
        <w:spacing w:line="360" w:lineRule="auto"/>
        <w:ind w:firstLine="480" w:firstLineChars="200"/>
        <w:rPr>
          <w:rFonts w:ascii="宋体" w:hAnsi="宋体" w:eastAsia="宋体" w:cs="Times New Roman"/>
          <w:sz w:val="24"/>
          <w:szCs w:val="20"/>
          <w:u w:val="single"/>
        </w:rPr>
      </w:pPr>
    </w:p>
    <w:p w14:paraId="5E34C75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71CB54F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7966A3D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bookmarkEnd w:id="30"/>
    <w:bookmarkEnd w:id="31"/>
    <w:p w14:paraId="38EF994B">
      <w:pPr>
        <w:rPr>
          <w:rFonts w:hint="eastAsia" w:ascii="宋体" w:hAnsi="宋体" w:eastAsia="宋体" w:cs="宋体"/>
          <w:sz w:val="32"/>
          <w:szCs w:val="32"/>
          <w:highlight w:val="none"/>
          <w:lang w:val="en-US" w:eastAsia="zh-CN"/>
        </w:rPr>
      </w:pPr>
    </w:p>
    <w:p w14:paraId="46A8E032">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3</w:t>
      </w:r>
      <w:r>
        <w:rPr>
          <w:rFonts w:hint="default" w:ascii="宋体" w:hAnsi="宋体" w:eastAsia="宋体" w:cs="宋体"/>
          <w:sz w:val="32"/>
          <w:szCs w:val="32"/>
          <w:highlight w:val="none"/>
          <w:lang w:val="en-US" w:eastAsia="zh-CN"/>
        </w:rPr>
        <w:t xml:space="preserve"> 技术规格偏离表</w:t>
      </w:r>
    </w:p>
    <w:p w14:paraId="25FBE266">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项目名称：</w:t>
      </w:r>
      <w:r>
        <w:rPr>
          <w:rFonts w:hint="eastAsia" w:cs="Times New Roman"/>
          <w:sz w:val="24"/>
          <w:szCs w:val="24"/>
          <w:highlight w:val="none"/>
          <w:u w:val="single"/>
          <w:lang w:val="en-US" w:eastAsia="zh-CN"/>
        </w:rPr>
        <w:t>多联机空调维保项目</w:t>
      </w:r>
      <w:r>
        <w:rPr>
          <w:rFonts w:hint="default" w:ascii="Times New Roman" w:hAnsi="Times New Roman" w:eastAsia="宋体" w:cs="Times New Roman"/>
          <w:color w:val="000000"/>
          <w:sz w:val="24"/>
          <w:szCs w:val="24"/>
        </w:rPr>
        <w:t xml:space="preserve">                                                           </w:t>
      </w:r>
    </w:p>
    <w:tbl>
      <w:tblPr>
        <w:tblStyle w:val="30"/>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222D0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593DBE98">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序号</w:t>
            </w:r>
          </w:p>
        </w:tc>
        <w:tc>
          <w:tcPr>
            <w:tcW w:w="3449" w:type="dxa"/>
            <w:vAlign w:val="center"/>
          </w:tcPr>
          <w:p w14:paraId="611360DB">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招标要求</w:t>
            </w:r>
          </w:p>
        </w:tc>
        <w:tc>
          <w:tcPr>
            <w:tcW w:w="2414" w:type="dxa"/>
            <w:vAlign w:val="center"/>
          </w:tcPr>
          <w:p w14:paraId="14D8E09C">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响应规格</w:t>
            </w:r>
          </w:p>
        </w:tc>
        <w:tc>
          <w:tcPr>
            <w:tcW w:w="1608" w:type="dxa"/>
            <w:vAlign w:val="center"/>
          </w:tcPr>
          <w:p w14:paraId="31ECEA0F">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是否偏离</w:t>
            </w:r>
          </w:p>
        </w:tc>
      </w:tr>
      <w:tr w14:paraId="41599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560FC00E">
            <w:pPr>
              <w:jc w:val="both"/>
              <w:rPr>
                <w:rFonts w:hint="default" w:ascii="Times New Roman" w:hAnsi="Times New Roman" w:eastAsia="宋体" w:cs="Times New Roman"/>
                <w:b/>
                <w:sz w:val="24"/>
                <w:szCs w:val="20"/>
              </w:rPr>
            </w:pPr>
          </w:p>
        </w:tc>
        <w:tc>
          <w:tcPr>
            <w:tcW w:w="3449" w:type="dxa"/>
          </w:tcPr>
          <w:p w14:paraId="20C07C60">
            <w:pPr>
              <w:jc w:val="both"/>
              <w:rPr>
                <w:rFonts w:hint="default" w:ascii="Times New Roman" w:hAnsi="Times New Roman" w:eastAsia="宋体" w:cs="Times New Roman"/>
                <w:b/>
                <w:sz w:val="24"/>
                <w:szCs w:val="20"/>
              </w:rPr>
            </w:pPr>
          </w:p>
        </w:tc>
        <w:tc>
          <w:tcPr>
            <w:tcW w:w="2414" w:type="dxa"/>
          </w:tcPr>
          <w:p w14:paraId="1CEBD4A3">
            <w:pPr>
              <w:jc w:val="both"/>
              <w:rPr>
                <w:rFonts w:hint="default" w:ascii="Times New Roman" w:hAnsi="Times New Roman" w:eastAsia="宋体" w:cs="Times New Roman"/>
                <w:b/>
                <w:sz w:val="24"/>
                <w:szCs w:val="20"/>
              </w:rPr>
            </w:pPr>
          </w:p>
        </w:tc>
        <w:tc>
          <w:tcPr>
            <w:tcW w:w="1608" w:type="dxa"/>
          </w:tcPr>
          <w:p w14:paraId="0F776BDA">
            <w:pPr>
              <w:jc w:val="both"/>
              <w:rPr>
                <w:rFonts w:hint="default" w:ascii="Times New Roman" w:hAnsi="Times New Roman" w:eastAsia="宋体" w:cs="Times New Roman"/>
                <w:b/>
                <w:sz w:val="24"/>
                <w:szCs w:val="20"/>
              </w:rPr>
            </w:pPr>
          </w:p>
        </w:tc>
      </w:tr>
      <w:tr w14:paraId="28FF5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32C925A">
            <w:pPr>
              <w:jc w:val="both"/>
              <w:rPr>
                <w:rFonts w:hint="default" w:ascii="Times New Roman" w:hAnsi="Times New Roman" w:eastAsia="宋体" w:cs="Times New Roman"/>
                <w:b/>
                <w:sz w:val="24"/>
                <w:szCs w:val="20"/>
              </w:rPr>
            </w:pPr>
          </w:p>
        </w:tc>
        <w:tc>
          <w:tcPr>
            <w:tcW w:w="3449" w:type="dxa"/>
          </w:tcPr>
          <w:p w14:paraId="231CF809">
            <w:pPr>
              <w:jc w:val="both"/>
              <w:rPr>
                <w:rFonts w:hint="default" w:ascii="Times New Roman" w:hAnsi="Times New Roman" w:eastAsia="宋体" w:cs="Times New Roman"/>
                <w:b/>
                <w:sz w:val="24"/>
                <w:szCs w:val="20"/>
              </w:rPr>
            </w:pPr>
          </w:p>
        </w:tc>
        <w:tc>
          <w:tcPr>
            <w:tcW w:w="2414" w:type="dxa"/>
          </w:tcPr>
          <w:p w14:paraId="74D50EA6">
            <w:pPr>
              <w:jc w:val="both"/>
              <w:rPr>
                <w:rFonts w:hint="default" w:ascii="Times New Roman" w:hAnsi="Times New Roman" w:eastAsia="宋体" w:cs="Times New Roman"/>
                <w:b/>
                <w:sz w:val="24"/>
                <w:szCs w:val="20"/>
              </w:rPr>
            </w:pPr>
          </w:p>
        </w:tc>
        <w:tc>
          <w:tcPr>
            <w:tcW w:w="1608" w:type="dxa"/>
          </w:tcPr>
          <w:p w14:paraId="72654247">
            <w:pPr>
              <w:jc w:val="both"/>
              <w:rPr>
                <w:rFonts w:hint="default" w:ascii="Times New Roman" w:hAnsi="Times New Roman" w:eastAsia="宋体" w:cs="Times New Roman"/>
                <w:b/>
                <w:sz w:val="24"/>
                <w:szCs w:val="20"/>
              </w:rPr>
            </w:pPr>
          </w:p>
        </w:tc>
      </w:tr>
      <w:tr w14:paraId="7D3D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5C81234">
            <w:pPr>
              <w:jc w:val="both"/>
              <w:rPr>
                <w:rFonts w:hint="default" w:ascii="Times New Roman" w:hAnsi="Times New Roman" w:eastAsia="宋体" w:cs="Times New Roman"/>
                <w:b/>
                <w:sz w:val="24"/>
                <w:szCs w:val="20"/>
              </w:rPr>
            </w:pPr>
          </w:p>
        </w:tc>
        <w:tc>
          <w:tcPr>
            <w:tcW w:w="3449" w:type="dxa"/>
          </w:tcPr>
          <w:p w14:paraId="33D4BD5E">
            <w:pPr>
              <w:jc w:val="both"/>
              <w:rPr>
                <w:rFonts w:hint="default" w:ascii="Times New Roman" w:hAnsi="Times New Roman" w:eastAsia="宋体" w:cs="Times New Roman"/>
                <w:b/>
                <w:sz w:val="24"/>
                <w:szCs w:val="20"/>
              </w:rPr>
            </w:pPr>
          </w:p>
        </w:tc>
        <w:tc>
          <w:tcPr>
            <w:tcW w:w="2414" w:type="dxa"/>
          </w:tcPr>
          <w:p w14:paraId="66B35AA7">
            <w:pPr>
              <w:jc w:val="both"/>
              <w:rPr>
                <w:rFonts w:hint="default" w:ascii="Times New Roman" w:hAnsi="Times New Roman" w:eastAsia="宋体" w:cs="Times New Roman"/>
                <w:b/>
                <w:sz w:val="24"/>
                <w:szCs w:val="20"/>
              </w:rPr>
            </w:pPr>
          </w:p>
        </w:tc>
        <w:tc>
          <w:tcPr>
            <w:tcW w:w="1608" w:type="dxa"/>
          </w:tcPr>
          <w:p w14:paraId="08834B45">
            <w:pPr>
              <w:jc w:val="both"/>
              <w:rPr>
                <w:rFonts w:hint="default" w:ascii="Times New Roman" w:hAnsi="Times New Roman" w:eastAsia="宋体" w:cs="Times New Roman"/>
                <w:b/>
                <w:sz w:val="24"/>
                <w:szCs w:val="20"/>
              </w:rPr>
            </w:pPr>
          </w:p>
        </w:tc>
      </w:tr>
      <w:tr w14:paraId="210E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3C9530CA">
            <w:pPr>
              <w:jc w:val="both"/>
              <w:rPr>
                <w:rFonts w:hint="default" w:ascii="Times New Roman" w:hAnsi="Times New Roman" w:eastAsia="宋体" w:cs="Times New Roman"/>
                <w:b/>
                <w:sz w:val="24"/>
                <w:szCs w:val="20"/>
              </w:rPr>
            </w:pPr>
          </w:p>
        </w:tc>
        <w:tc>
          <w:tcPr>
            <w:tcW w:w="3449" w:type="dxa"/>
          </w:tcPr>
          <w:p w14:paraId="729C4B3A">
            <w:pPr>
              <w:jc w:val="both"/>
              <w:rPr>
                <w:rFonts w:hint="default" w:ascii="Times New Roman" w:hAnsi="Times New Roman" w:eastAsia="宋体" w:cs="Times New Roman"/>
                <w:b/>
                <w:sz w:val="24"/>
                <w:szCs w:val="20"/>
              </w:rPr>
            </w:pPr>
          </w:p>
        </w:tc>
        <w:tc>
          <w:tcPr>
            <w:tcW w:w="2414" w:type="dxa"/>
          </w:tcPr>
          <w:p w14:paraId="527E0F9E">
            <w:pPr>
              <w:jc w:val="both"/>
              <w:rPr>
                <w:rFonts w:hint="default" w:ascii="Times New Roman" w:hAnsi="Times New Roman" w:eastAsia="宋体" w:cs="Times New Roman"/>
                <w:b/>
                <w:sz w:val="24"/>
                <w:szCs w:val="20"/>
              </w:rPr>
            </w:pPr>
          </w:p>
        </w:tc>
        <w:tc>
          <w:tcPr>
            <w:tcW w:w="1608" w:type="dxa"/>
          </w:tcPr>
          <w:p w14:paraId="69301EF3">
            <w:pPr>
              <w:jc w:val="both"/>
              <w:rPr>
                <w:rFonts w:hint="default" w:ascii="Times New Roman" w:hAnsi="Times New Roman" w:eastAsia="宋体" w:cs="Times New Roman"/>
                <w:b/>
                <w:sz w:val="24"/>
                <w:szCs w:val="20"/>
              </w:rPr>
            </w:pPr>
          </w:p>
        </w:tc>
      </w:tr>
      <w:tr w14:paraId="0D4F7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09FCFC1">
            <w:pPr>
              <w:jc w:val="both"/>
              <w:rPr>
                <w:rFonts w:hint="default" w:ascii="Times New Roman" w:hAnsi="Times New Roman" w:eastAsia="宋体" w:cs="Times New Roman"/>
                <w:b/>
                <w:sz w:val="24"/>
                <w:szCs w:val="20"/>
              </w:rPr>
            </w:pPr>
          </w:p>
        </w:tc>
        <w:tc>
          <w:tcPr>
            <w:tcW w:w="3449" w:type="dxa"/>
          </w:tcPr>
          <w:p w14:paraId="773F42A1">
            <w:pPr>
              <w:jc w:val="both"/>
              <w:rPr>
                <w:rFonts w:hint="default" w:ascii="Times New Roman" w:hAnsi="Times New Roman" w:eastAsia="宋体" w:cs="Times New Roman"/>
                <w:b/>
                <w:sz w:val="24"/>
                <w:szCs w:val="20"/>
              </w:rPr>
            </w:pPr>
          </w:p>
        </w:tc>
        <w:tc>
          <w:tcPr>
            <w:tcW w:w="2414" w:type="dxa"/>
          </w:tcPr>
          <w:p w14:paraId="355AC3F1">
            <w:pPr>
              <w:jc w:val="both"/>
              <w:rPr>
                <w:rFonts w:hint="default" w:ascii="Times New Roman" w:hAnsi="Times New Roman" w:eastAsia="宋体" w:cs="Times New Roman"/>
                <w:b/>
                <w:sz w:val="24"/>
                <w:szCs w:val="20"/>
              </w:rPr>
            </w:pPr>
          </w:p>
        </w:tc>
        <w:tc>
          <w:tcPr>
            <w:tcW w:w="1608" w:type="dxa"/>
          </w:tcPr>
          <w:p w14:paraId="7AD90859">
            <w:pPr>
              <w:jc w:val="both"/>
              <w:rPr>
                <w:rFonts w:hint="default" w:ascii="Times New Roman" w:hAnsi="Times New Roman" w:eastAsia="宋体" w:cs="Times New Roman"/>
                <w:b/>
                <w:sz w:val="24"/>
                <w:szCs w:val="20"/>
              </w:rPr>
            </w:pPr>
          </w:p>
        </w:tc>
      </w:tr>
      <w:tr w14:paraId="2E88A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7646ED3">
            <w:pPr>
              <w:jc w:val="both"/>
              <w:rPr>
                <w:rFonts w:hint="default" w:ascii="Times New Roman" w:hAnsi="Times New Roman" w:eastAsia="宋体" w:cs="Times New Roman"/>
                <w:b/>
                <w:sz w:val="24"/>
                <w:szCs w:val="20"/>
              </w:rPr>
            </w:pPr>
          </w:p>
        </w:tc>
        <w:tc>
          <w:tcPr>
            <w:tcW w:w="3449" w:type="dxa"/>
          </w:tcPr>
          <w:p w14:paraId="4479F36E">
            <w:pPr>
              <w:jc w:val="both"/>
              <w:rPr>
                <w:rFonts w:hint="default" w:ascii="Times New Roman" w:hAnsi="Times New Roman" w:eastAsia="宋体" w:cs="Times New Roman"/>
                <w:b/>
                <w:sz w:val="24"/>
                <w:szCs w:val="20"/>
              </w:rPr>
            </w:pPr>
          </w:p>
        </w:tc>
        <w:tc>
          <w:tcPr>
            <w:tcW w:w="2414" w:type="dxa"/>
          </w:tcPr>
          <w:p w14:paraId="0DFE62A4">
            <w:pPr>
              <w:jc w:val="both"/>
              <w:rPr>
                <w:rFonts w:hint="default" w:ascii="Times New Roman" w:hAnsi="Times New Roman" w:eastAsia="宋体" w:cs="Times New Roman"/>
                <w:b/>
                <w:sz w:val="24"/>
                <w:szCs w:val="20"/>
              </w:rPr>
            </w:pPr>
          </w:p>
        </w:tc>
        <w:tc>
          <w:tcPr>
            <w:tcW w:w="1608" w:type="dxa"/>
          </w:tcPr>
          <w:p w14:paraId="76635A8F">
            <w:pPr>
              <w:jc w:val="both"/>
              <w:rPr>
                <w:rFonts w:hint="default" w:ascii="Times New Roman" w:hAnsi="Times New Roman" w:eastAsia="宋体" w:cs="Times New Roman"/>
                <w:b/>
                <w:sz w:val="24"/>
                <w:szCs w:val="20"/>
              </w:rPr>
            </w:pPr>
          </w:p>
        </w:tc>
      </w:tr>
      <w:tr w14:paraId="75343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DC61C07">
            <w:pPr>
              <w:jc w:val="both"/>
              <w:rPr>
                <w:rFonts w:hint="default" w:ascii="Times New Roman" w:hAnsi="Times New Roman" w:eastAsia="宋体" w:cs="Times New Roman"/>
                <w:b/>
                <w:sz w:val="24"/>
                <w:szCs w:val="20"/>
              </w:rPr>
            </w:pPr>
          </w:p>
        </w:tc>
        <w:tc>
          <w:tcPr>
            <w:tcW w:w="3449" w:type="dxa"/>
          </w:tcPr>
          <w:p w14:paraId="799B32B4">
            <w:pPr>
              <w:jc w:val="both"/>
              <w:rPr>
                <w:rFonts w:hint="default" w:ascii="Times New Roman" w:hAnsi="Times New Roman" w:eastAsia="宋体" w:cs="Times New Roman"/>
                <w:b/>
                <w:sz w:val="24"/>
                <w:szCs w:val="20"/>
              </w:rPr>
            </w:pPr>
          </w:p>
        </w:tc>
        <w:tc>
          <w:tcPr>
            <w:tcW w:w="2414" w:type="dxa"/>
          </w:tcPr>
          <w:p w14:paraId="2252CE08">
            <w:pPr>
              <w:jc w:val="both"/>
              <w:rPr>
                <w:rFonts w:hint="default" w:ascii="Times New Roman" w:hAnsi="Times New Roman" w:eastAsia="宋体" w:cs="Times New Roman"/>
                <w:b/>
                <w:sz w:val="24"/>
                <w:szCs w:val="20"/>
              </w:rPr>
            </w:pPr>
          </w:p>
        </w:tc>
        <w:tc>
          <w:tcPr>
            <w:tcW w:w="1608" w:type="dxa"/>
          </w:tcPr>
          <w:p w14:paraId="0960F772">
            <w:pPr>
              <w:jc w:val="both"/>
              <w:rPr>
                <w:rFonts w:hint="default" w:ascii="Times New Roman" w:hAnsi="Times New Roman" w:eastAsia="宋体" w:cs="Times New Roman"/>
                <w:b/>
                <w:sz w:val="24"/>
                <w:szCs w:val="20"/>
              </w:rPr>
            </w:pPr>
          </w:p>
        </w:tc>
      </w:tr>
      <w:tr w14:paraId="3FE29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D7F0670">
            <w:pPr>
              <w:jc w:val="both"/>
              <w:rPr>
                <w:rFonts w:hint="default" w:ascii="Times New Roman" w:hAnsi="Times New Roman" w:eastAsia="宋体" w:cs="Times New Roman"/>
                <w:b/>
                <w:sz w:val="24"/>
                <w:szCs w:val="20"/>
              </w:rPr>
            </w:pPr>
          </w:p>
        </w:tc>
        <w:tc>
          <w:tcPr>
            <w:tcW w:w="3449" w:type="dxa"/>
          </w:tcPr>
          <w:p w14:paraId="3EA03324">
            <w:pPr>
              <w:jc w:val="both"/>
              <w:rPr>
                <w:rFonts w:hint="default" w:ascii="Times New Roman" w:hAnsi="Times New Roman" w:eastAsia="宋体" w:cs="Times New Roman"/>
                <w:b/>
                <w:sz w:val="24"/>
                <w:szCs w:val="20"/>
              </w:rPr>
            </w:pPr>
          </w:p>
        </w:tc>
        <w:tc>
          <w:tcPr>
            <w:tcW w:w="2414" w:type="dxa"/>
          </w:tcPr>
          <w:p w14:paraId="19AC5926">
            <w:pPr>
              <w:jc w:val="both"/>
              <w:rPr>
                <w:rFonts w:hint="default" w:ascii="Times New Roman" w:hAnsi="Times New Roman" w:eastAsia="宋体" w:cs="Times New Roman"/>
                <w:b/>
                <w:sz w:val="24"/>
                <w:szCs w:val="20"/>
              </w:rPr>
            </w:pPr>
          </w:p>
        </w:tc>
        <w:tc>
          <w:tcPr>
            <w:tcW w:w="1608" w:type="dxa"/>
          </w:tcPr>
          <w:p w14:paraId="7B747AB6">
            <w:pPr>
              <w:jc w:val="both"/>
              <w:rPr>
                <w:rFonts w:hint="default" w:ascii="Times New Roman" w:hAnsi="Times New Roman" w:eastAsia="宋体" w:cs="Times New Roman"/>
                <w:b/>
                <w:sz w:val="24"/>
                <w:szCs w:val="20"/>
              </w:rPr>
            </w:pPr>
          </w:p>
        </w:tc>
      </w:tr>
      <w:tr w14:paraId="77CC8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7892A28">
            <w:pPr>
              <w:jc w:val="both"/>
              <w:rPr>
                <w:rFonts w:hint="default" w:ascii="Times New Roman" w:hAnsi="Times New Roman" w:eastAsia="宋体" w:cs="Times New Roman"/>
                <w:b/>
                <w:sz w:val="24"/>
                <w:szCs w:val="20"/>
              </w:rPr>
            </w:pPr>
          </w:p>
        </w:tc>
        <w:tc>
          <w:tcPr>
            <w:tcW w:w="3449" w:type="dxa"/>
          </w:tcPr>
          <w:p w14:paraId="510C7AA3">
            <w:pPr>
              <w:jc w:val="both"/>
              <w:rPr>
                <w:rFonts w:hint="default" w:ascii="Times New Roman" w:hAnsi="Times New Roman" w:eastAsia="宋体" w:cs="Times New Roman"/>
                <w:b/>
                <w:sz w:val="24"/>
                <w:szCs w:val="20"/>
              </w:rPr>
            </w:pPr>
          </w:p>
        </w:tc>
        <w:tc>
          <w:tcPr>
            <w:tcW w:w="2414" w:type="dxa"/>
          </w:tcPr>
          <w:p w14:paraId="7F78DFC9">
            <w:pPr>
              <w:jc w:val="both"/>
              <w:rPr>
                <w:rFonts w:hint="default" w:ascii="Times New Roman" w:hAnsi="Times New Roman" w:eastAsia="宋体" w:cs="Times New Roman"/>
                <w:b/>
                <w:sz w:val="24"/>
                <w:szCs w:val="20"/>
              </w:rPr>
            </w:pPr>
          </w:p>
        </w:tc>
        <w:tc>
          <w:tcPr>
            <w:tcW w:w="1608" w:type="dxa"/>
          </w:tcPr>
          <w:p w14:paraId="0B9A8CEE">
            <w:pPr>
              <w:jc w:val="both"/>
              <w:rPr>
                <w:rFonts w:hint="default" w:ascii="Times New Roman" w:hAnsi="Times New Roman" w:eastAsia="宋体" w:cs="Times New Roman"/>
                <w:b/>
                <w:sz w:val="24"/>
                <w:szCs w:val="20"/>
              </w:rPr>
            </w:pPr>
          </w:p>
        </w:tc>
      </w:tr>
      <w:tr w14:paraId="34206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2F569CA">
            <w:pPr>
              <w:jc w:val="both"/>
              <w:rPr>
                <w:rFonts w:hint="default" w:ascii="Times New Roman" w:hAnsi="Times New Roman" w:eastAsia="宋体" w:cs="Times New Roman"/>
                <w:b/>
                <w:sz w:val="24"/>
                <w:szCs w:val="20"/>
              </w:rPr>
            </w:pPr>
          </w:p>
        </w:tc>
        <w:tc>
          <w:tcPr>
            <w:tcW w:w="3449" w:type="dxa"/>
          </w:tcPr>
          <w:p w14:paraId="34549BC9">
            <w:pPr>
              <w:jc w:val="both"/>
              <w:rPr>
                <w:rFonts w:hint="default" w:ascii="Times New Roman" w:hAnsi="Times New Roman" w:eastAsia="宋体" w:cs="Times New Roman"/>
                <w:b/>
                <w:sz w:val="24"/>
                <w:szCs w:val="20"/>
              </w:rPr>
            </w:pPr>
          </w:p>
        </w:tc>
        <w:tc>
          <w:tcPr>
            <w:tcW w:w="2414" w:type="dxa"/>
          </w:tcPr>
          <w:p w14:paraId="0A42E9DF">
            <w:pPr>
              <w:jc w:val="both"/>
              <w:rPr>
                <w:rFonts w:hint="default" w:ascii="Times New Roman" w:hAnsi="Times New Roman" w:eastAsia="宋体" w:cs="Times New Roman"/>
                <w:b/>
                <w:sz w:val="24"/>
                <w:szCs w:val="20"/>
              </w:rPr>
            </w:pPr>
          </w:p>
        </w:tc>
        <w:tc>
          <w:tcPr>
            <w:tcW w:w="1608" w:type="dxa"/>
          </w:tcPr>
          <w:p w14:paraId="054C1744">
            <w:pPr>
              <w:jc w:val="both"/>
              <w:rPr>
                <w:rFonts w:hint="default" w:ascii="Times New Roman" w:hAnsi="Times New Roman" w:eastAsia="宋体" w:cs="Times New Roman"/>
                <w:b/>
                <w:sz w:val="24"/>
                <w:szCs w:val="20"/>
              </w:rPr>
            </w:pPr>
          </w:p>
        </w:tc>
      </w:tr>
      <w:tr w14:paraId="1512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A45330A">
            <w:pPr>
              <w:jc w:val="both"/>
              <w:rPr>
                <w:rFonts w:hint="default" w:ascii="Times New Roman" w:hAnsi="Times New Roman" w:eastAsia="宋体" w:cs="Times New Roman"/>
                <w:b/>
                <w:sz w:val="24"/>
                <w:szCs w:val="20"/>
              </w:rPr>
            </w:pPr>
          </w:p>
        </w:tc>
        <w:tc>
          <w:tcPr>
            <w:tcW w:w="3449" w:type="dxa"/>
          </w:tcPr>
          <w:p w14:paraId="03E0638E">
            <w:pPr>
              <w:jc w:val="both"/>
              <w:rPr>
                <w:rFonts w:hint="default" w:ascii="Times New Roman" w:hAnsi="Times New Roman" w:eastAsia="宋体" w:cs="Times New Roman"/>
                <w:b/>
                <w:sz w:val="24"/>
                <w:szCs w:val="20"/>
              </w:rPr>
            </w:pPr>
          </w:p>
        </w:tc>
        <w:tc>
          <w:tcPr>
            <w:tcW w:w="2414" w:type="dxa"/>
          </w:tcPr>
          <w:p w14:paraId="63250C13">
            <w:pPr>
              <w:jc w:val="both"/>
              <w:rPr>
                <w:rFonts w:hint="default" w:ascii="Times New Roman" w:hAnsi="Times New Roman" w:eastAsia="宋体" w:cs="Times New Roman"/>
                <w:b/>
                <w:sz w:val="24"/>
                <w:szCs w:val="20"/>
              </w:rPr>
            </w:pPr>
          </w:p>
        </w:tc>
        <w:tc>
          <w:tcPr>
            <w:tcW w:w="1608" w:type="dxa"/>
          </w:tcPr>
          <w:p w14:paraId="50350005">
            <w:pPr>
              <w:jc w:val="both"/>
              <w:rPr>
                <w:rFonts w:hint="default" w:ascii="Times New Roman" w:hAnsi="Times New Roman" w:eastAsia="宋体" w:cs="Times New Roman"/>
                <w:b/>
                <w:sz w:val="24"/>
                <w:szCs w:val="20"/>
              </w:rPr>
            </w:pPr>
          </w:p>
        </w:tc>
      </w:tr>
      <w:tr w14:paraId="6817F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4CE45805">
            <w:pPr>
              <w:jc w:val="both"/>
              <w:rPr>
                <w:rFonts w:hint="default" w:ascii="Times New Roman" w:hAnsi="Times New Roman" w:eastAsia="宋体" w:cs="Times New Roman"/>
                <w:b/>
                <w:sz w:val="24"/>
                <w:szCs w:val="20"/>
              </w:rPr>
            </w:pPr>
          </w:p>
        </w:tc>
        <w:tc>
          <w:tcPr>
            <w:tcW w:w="3449" w:type="dxa"/>
          </w:tcPr>
          <w:p w14:paraId="7C69147C">
            <w:pPr>
              <w:jc w:val="both"/>
              <w:rPr>
                <w:rFonts w:hint="default" w:ascii="Times New Roman" w:hAnsi="Times New Roman" w:eastAsia="宋体" w:cs="Times New Roman"/>
                <w:b/>
                <w:sz w:val="24"/>
                <w:szCs w:val="20"/>
              </w:rPr>
            </w:pPr>
          </w:p>
        </w:tc>
        <w:tc>
          <w:tcPr>
            <w:tcW w:w="2414" w:type="dxa"/>
          </w:tcPr>
          <w:p w14:paraId="7C271385">
            <w:pPr>
              <w:jc w:val="both"/>
              <w:rPr>
                <w:rFonts w:hint="default" w:ascii="Times New Roman" w:hAnsi="Times New Roman" w:eastAsia="宋体" w:cs="Times New Roman"/>
                <w:b/>
                <w:sz w:val="24"/>
                <w:szCs w:val="20"/>
              </w:rPr>
            </w:pPr>
          </w:p>
        </w:tc>
        <w:tc>
          <w:tcPr>
            <w:tcW w:w="1608" w:type="dxa"/>
          </w:tcPr>
          <w:p w14:paraId="52E4D7DE">
            <w:pPr>
              <w:jc w:val="both"/>
              <w:rPr>
                <w:rFonts w:hint="default" w:ascii="Times New Roman" w:hAnsi="Times New Roman" w:eastAsia="宋体" w:cs="Times New Roman"/>
                <w:b/>
                <w:sz w:val="24"/>
                <w:szCs w:val="20"/>
              </w:rPr>
            </w:pPr>
          </w:p>
        </w:tc>
      </w:tr>
      <w:tr w14:paraId="3E3CA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5E7A023">
            <w:pPr>
              <w:jc w:val="both"/>
              <w:rPr>
                <w:rFonts w:hint="default" w:ascii="Times New Roman" w:hAnsi="Times New Roman" w:eastAsia="宋体" w:cs="Times New Roman"/>
                <w:b/>
                <w:sz w:val="24"/>
                <w:szCs w:val="20"/>
              </w:rPr>
            </w:pPr>
          </w:p>
        </w:tc>
        <w:tc>
          <w:tcPr>
            <w:tcW w:w="3449" w:type="dxa"/>
          </w:tcPr>
          <w:p w14:paraId="44805680">
            <w:pPr>
              <w:jc w:val="both"/>
              <w:rPr>
                <w:rFonts w:hint="default" w:ascii="Times New Roman" w:hAnsi="Times New Roman" w:eastAsia="宋体" w:cs="Times New Roman"/>
                <w:b/>
                <w:sz w:val="24"/>
                <w:szCs w:val="20"/>
              </w:rPr>
            </w:pPr>
          </w:p>
        </w:tc>
        <w:tc>
          <w:tcPr>
            <w:tcW w:w="2414" w:type="dxa"/>
          </w:tcPr>
          <w:p w14:paraId="3EC5CB98">
            <w:pPr>
              <w:jc w:val="both"/>
              <w:rPr>
                <w:rFonts w:hint="default" w:ascii="Times New Roman" w:hAnsi="Times New Roman" w:eastAsia="宋体" w:cs="Times New Roman"/>
                <w:b/>
                <w:sz w:val="24"/>
                <w:szCs w:val="20"/>
              </w:rPr>
            </w:pPr>
          </w:p>
        </w:tc>
        <w:tc>
          <w:tcPr>
            <w:tcW w:w="1608" w:type="dxa"/>
          </w:tcPr>
          <w:p w14:paraId="192AC3B0">
            <w:pPr>
              <w:jc w:val="both"/>
              <w:rPr>
                <w:rFonts w:hint="default" w:ascii="Times New Roman" w:hAnsi="Times New Roman" w:eastAsia="宋体" w:cs="Times New Roman"/>
                <w:b/>
                <w:sz w:val="24"/>
                <w:szCs w:val="20"/>
              </w:rPr>
            </w:pPr>
          </w:p>
        </w:tc>
      </w:tr>
      <w:tr w14:paraId="2DBA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07A866BE">
            <w:pPr>
              <w:jc w:val="both"/>
              <w:rPr>
                <w:rFonts w:hint="default" w:ascii="Times New Roman" w:hAnsi="Times New Roman" w:eastAsia="宋体" w:cs="Times New Roman"/>
                <w:b/>
                <w:sz w:val="24"/>
                <w:szCs w:val="20"/>
              </w:rPr>
            </w:pPr>
          </w:p>
        </w:tc>
        <w:tc>
          <w:tcPr>
            <w:tcW w:w="3449" w:type="dxa"/>
          </w:tcPr>
          <w:p w14:paraId="4AECDF26">
            <w:pPr>
              <w:jc w:val="both"/>
              <w:rPr>
                <w:rFonts w:hint="default" w:ascii="Times New Roman" w:hAnsi="Times New Roman" w:eastAsia="宋体" w:cs="Times New Roman"/>
                <w:b/>
                <w:sz w:val="24"/>
                <w:szCs w:val="20"/>
              </w:rPr>
            </w:pPr>
          </w:p>
        </w:tc>
        <w:tc>
          <w:tcPr>
            <w:tcW w:w="2414" w:type="dxa"/>
          </w:tcPr>
          <w:p w14:paraId="168A64D4">
            <w:pPr>
              <w:jc w:val="both"/>
              <w:rPr>
                <w:rFonts w:hint="default" w:ascii="Times New Roman" w:hAnsi="Times New Roman" w:eastAsia="宋体" w:cs="Times New Roman"/>
                <w:b/>
                <w:sz w:val="24"/>
                <w:szCs w:val="20"/>
              </w:rPr>
            </w:pPr>
          </w:p>
        </w:tc>
        <w:tc>
          <w:tcPr>
            <w:tcW w:w="1608" w:type="dxa"/>
          </w:tcPr>
          <w:p w14:paraId="30A162FA">
            <w:pPr>
              <w:jc w:val="both"/>
              <w:rPr>
                <w:rFonts w:hint="default" w:ascii="Times New Roman" w:hAnsi="Times New Roman" w:eastAsia="宋体" w:cs="Times New Roman"/>
                <w:b/>
                <w:sz w:val="24"/>
                <w:szCs w:val="20"/>
              </w:rPr>
            </w:pPr>
          </w:p>
        </w:tc>
      </w:tr>
    </w:tbl>
    <w:p w14:paraId="7089172F">
      <w:pPr>
        <w:spacing w:line="660" w:lineRule="exact"/>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投标人：（盖章）</w:t>
      </w:r>
    </w:p>
    <w:p w14:paraId="10D3ED05">
      <w:pPr>
        <w:rPr>
          <w:rFonts w:hint="eastAsia" w:ascii="宋体" w:hAnsi="宋体" w:eastAsia="宋体" w:cs="宋体"/>
          <w:sz w:val="32"/>
          <w:szCs w:val="32"/>
          <w:highlight w:val="none"/>
          <w:lang w:val="en-US" w:eastAsia="zh-CN"/>
        </w:rPr>
      </w:pPr>
      <w:r>
        <w:rPr>
          <w:rFonts w:hint="default" w:ascii="Times New Roman" w:hAnsi="Times New Roman" w:eastAsia="宋体" w:cs="Times New Roman"/>
          <w:sz w:val="24"/>
          <w:szCs w:val="20"/>
        </w:rPr>
        <w:t>法定代表人（委托代理人）：（签字）</w:t>
      </w:r>
      <w:r>
        <w:rPr>
          <w:rFonts w:hint="eastAsia" w:ascii="宋体" w:hAnsi="宋体" w:eastAsia="宋体" w:cs="宋体"/>
          <w:sz w:val="32"/>
          <w:szCs w:val="32"/>
          <w:highlight w:val="none"/>
          <w:lang w:val="en-US" w:eastAsia="zh-CN"/>
        </w:rPr>
        <w:br w:type="page"/>
      </w:r>
    </w:p>
    <w:p w14:paraId="53E6B306">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附件4 开标一览表</w:t>
      </w:r>
    </w:p>
    <w:p w14:paraId="769BF465">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开标一览表</w:t>
      </w:r>
    </w:p>
    <w:p w14:paraId="71C63D3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项目名称：</w:t>
      </w:r>
      <w:r>
        <w:rPr>
          <w:rFonts w:hint="eastAsia" w:ascii="宋体" w:hAnsi="宋体" w:cs="Times New Roman"/>
          <w:color w:val="000000"/>
          <w:sz w:val="24"/>
          <w:szCs w:val="24"/>
          <w:u w:val="single"/>
          <w:lang w:val="en-US" w:eastAsia="zh-CN"/>
        </w:rPr>
        <w:t xml:space="preserve">                          </w:t>
      </w:r>
      <w:r>
        <w:rPr>
          <w:rFonts w:ascii="宋体" w:hAnsi="宋体" w:eastAsia="宋体" w:cs="Times New Roman"/>
          <w:color w:val="000000"/>
          <w:sz w:val="24"/>
          <w:szCs w:val="24"/>
        </w:rPr>
        <w:t xml:space="preserve">                                                        </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1"/>
        <w:gridCol w:w="1577"/>
        <w:gridCol w:w="571"/>
        <w:gridCol w:w="2554"/>
        <w:gridCol w:w="715"/>
        <w:gridCol w:w="1865"/>
        <w:gridCol w:w="1433"/>
      </w:tblGrid>
      <w:tr w14:paraId="07BA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0" w:type="auto"/>
            <w:vAlign w:val="center"/>
          </w:tcPr>
          <w:p w14:paraId="1B2BAAFF">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0" w:type="auto"/>
            <w:vAlign w:val="center"/>
          </w:tcPr>
          <w:p w14:paraId="0CB9085E">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0" w:type="auto"/>
            <w:vAlign w:val="center"/>
          </w:tcPr>
          <w:p w14:paraId="7FD1C6AE">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0" w:type="auto"/>
            <w:vAlign w:val="center"/>
          </w:tcPr>
          <w:p w14:paraId="7E8CB28F">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0" w:type="auto"/>
            <w:vAlign w:val="center"/>
          </w:tcPr>
          <w:p w14:paraId="43B51BBB">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质保期</w:t>
            </w:r>
          </w:p>
        </w:tc>
        <w:tc>
          <w:tcPr>
            <w:tcW w:w="0" w:type="auto"/>
            <w:vAlign w:val="center"/>
          </w:tcPr>
          <w:p w14:paraId="669E8072">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付款方式及比例如何响应</w:t>
            </w:r>
          </w:p>
        </w:tc>
        <w:tc>
          <w:tcPr>
            <w:tcW w:w="0" w:type="auto"/>
            <w:vAlign w:val="center"/>
          </w:tcPr>
          <w:p w14:paraId="0DA60CF4">
            <w:pPr>
              <w:jc w:val="center"/>
              <w:rPr>
                <w:rFonts w:hint="default" w:ascii="等线" w:hAnsi="等线" w:eastAsia="等线" w:cs="Times New Roman"/>
                <w:b/>
                <w:szCs w:val="20"/>
                <w:lang w:val="en-US"/>
              </w:rPr>
            </w:pPr>
            <w:r>
              <w:rPr>
                <w:rFonts w:hint="eastAsia" w:cs="Times New Roman"/>
                <w:b/>
                <w:szCs w:val="20"/>
                <w:lang w:val="en-US" w:eastAsia="zh-CN"/>
              </w:rPr>
              <w:t>商务条款是否偏离</w:t>
            </w:r>
          </w:p>
        </w:tc>
      </w:tr>
      <w:tr w14:paraId="035C9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0" w:type="auto"/>
            <w:vAlign w:val="center"/>
          </w:tcPr>
          <w:p w14:paraId="6D0E9BE6">
            <w:pPr>
              <w:jc w:val="center"/>
              <w:rPr>
                <w:rFonts w:hint="eastAsia"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1</w:t>
            </w:r>
          </w:p>
        </w:tc>
        <w:tc>
          <w:tcPr>
            <w:tcW w:w="0" w:type="auto"/>
            <w:vAlign w:val="center"/>
          </w:tcPr>
          <w:p w14:paraId="01DDB5C4">
            <w:pPr>
              <w:jc w:val="center"/>
              <w:rPr>
                <w:rFonts w:hint="eastAsia" w:ascii="Times New Roman" w:hAnsi="Times New Roman" w:eastAsia="宋体" w:cs="Times New Roman"/>
                <w:b/>
                <w:szCs w:val="20"/>
                <w:lang w:val="en-US" w:eastAsia="zh-CN"/>
              </w:rPr>
            </w:pPr>
            <w:r>
              <w:rPr>
                <w:rFonts w:hint="eastAsia" w:cs="Times New Roman"/>
                <w:b/>
                <w:szCs w:val="20"/>
                <w:lang w:val="en-US" w:eastAsia="zh-CN"/>
              </w:rPr>
              <w:t>多联机空调维保</w:t>
            </w:r>
            <w:r>
              <w:rPr>
                <w:rFonts w:hint="eastAsia" w:ascii="Times New Roman" w:hAnsi="Times New Roman" w:eastAsia="宋体" w:cs="Times New Roman"/>
                <w:b/>
                <w:szCs w:val="20"/>
                <w:lang w:val="en-US" w:eastAsia="zh-CN"/>
              </w:rPr>
              <w:t>项目</w:t>
            </w:r>
          </w:p>
        </w:tc>
        <w:tc>
          <w:tcPr>
            <w:tcW w:w="0" w:type="auto"/>
            <w:vAlign w:val="center"/>
          </w:tcPr>
          <w:p w14:paraId="5754ED5A">
            <w:pPr>
              <w:jc w:val="center"/>
              <w:rPr>
                <w:rFonts w:hint="default"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2</w:t>
            </w:r>
          </w:p>
        </w:tc>
        <w:tc>
          <w:tcPr>
            <w:tcW w:w="0" w:type="auto"/>
            <w:vAlign w:val="center"/>
          </w:tcPr>
          <w:p w14:paraId="63A1C48D">
            <w:pPr>
              <w:jc w:val="left"/>
              <w:rPr>
                <w:rFonts w:hint="eastAsia" w:ascii="等线" w:hAnsi="等线" w:eastAsia="等线" w:cs="Times New Roman"/>
                <w:b/>
                <w:szCs w:val="20"/>
                <w:lang w:val="en-US" w:eastAsia="zh-CN"/>
              </w:rPr>
            </w:pPr>
            <w:r>
              <w:rPr>
                <w:rFonts w:hint="eastAsia" w:ascii="等线" w:hAnsi="等线" w:eastAsia="等线" w:cs="Times New Roman"/>
                <w:b/>
                <w:szCs w:val="20"/>
              </w:rPr>
              <w:t>不含税价</w:t>
            </w:r>
            <w:r>
              <w:rPr>
                <w:rFonts w:hint="eastAsia" w:ascii="等线" w:hAnsi="等线" w:eastAsia="等线" w:cs="Times New Roman"/>
                <w:b/>
                <w:szCs w:val="20"/>
                <w:lang w:eastAsia="zh-CN"/>
              </w:rPr>
              <w:t>：</w:t>
            </w:r>
          </w:p>
          <w:p w14:paraId="6C6D0F49">
            <w:pPr>
              <w:jc w:val="left"/>
              <w:rPr>
                <w:rFonts w:hint="default" w:ascii="等线" w:hAnsi="等线" w:eastAsia="等线" w:cs="Times New Roman"/>
                <w:b/>
                <w:szCs w:val="20"/>
                <w:lang w:val="en-US" w:eastAsia="zh-CN"/>
              </w:rPr>
            </w:pPr>
            <w:r>
              <w:rPr>
                <w:rFonts w:hint="eastAsia" w:ascii="等线" w:hAnsi="等线" w:eastAsia="等线" w:cs="Times New Roman"/>
                <w:b/>
                <w:szCs w:val="20"/>
              </w:rPr>
              <w:t>含税价格：</w:t>
            </w:r>
            <w:r>
              <w:rPr>
                <w:rFonts w:hint="eastAsia" w:ascii="等线" w:hAnsi="等线" w:eastAsia="等线" w:cs="Times New Roman"/>
                <w:b/>
                <w:szCs w:val="20"/>
                <w:u w:val="single"/>
                <w:lang w:val="en-US" w:eastAsia="zh-CN"/>
              </w:rPr>
              <w:t xml:space="preserve">    （大写：    ）</w:t>
            </w:r>
          </w:p>
          <w:p w14:paraId="34B462C2">
            <w:pPr>
              <w:jc w:val="left"/>
              <w:rPr>
                <w:rFonts w:ascii="Times New Roman" w:hAnsi="Times New Roman" w:eastAsia="宋体" w:cs="Times New Roman"/>
                <w:b/>
                <w:szCs w:val="20"/>
              </w:rPr>
            </w:pPr>
            <w:r>
              <w:rPr>
                <w:rFonts w:hint="eastAsia" w:ascii="等线" w:hAnsi="等线" w:eastAsia="等线" w:cs="Times New Roman"/>
                <w:b/>
                <w:szCs w:val="20"/>
              </w:rPr>
              <w:t>税率：</w:t>
            </w:r>
          </w:p>
        </w:tc>
        <w:tc>
          <w:tcPr>
            <w:tcW w:w="0" w:type="auto"/>
            <w:vAlign w:val="center"/>
          </w:tcPr>
          <w:p w14:paraId="1E0AF0C2">
            <w:pPr>
              <w:jc w:val="center"/>
              <w:rPr>
                <w:rFonts w:ascii="Times New Roman" w:hAnsi="Times New Roman" w:eastAsia="宋体" w:cs="Times New Roman"/>
                <w:b/>
                <w:szCs w:val="20"/>
              </w:rPr>
            </w:pPr>
          </w:p>
        </w:tc>
        <w:tc>
          <w:tcPr>
            <w:tcW w:w="0" w:type="auto"/>
            <w:vAlign w:val="center"/>
          </w:tcPr>
          <w:p w14:paraId="2516E961">
            <w:pPr>
              <w:jc w:val="center"/>
              <w:rPr>
                <w:rFonts w:ascii="Times New Roman" w:hAnsi="Times New Roman" w:eastAsia="宋体" w:cs="Times New Roman"/>
                <w:b/>
                <w:szCs w:val="20"/>
              </w:rPr>
            </w:pPr>
          </w:p>
        </w:tc>
        <w:tc>
          <w:tcPr>
            <w:tcW w:w="0" w:type="auto"/>
            <w:vAlign w:val="center"/>
          </w:tcPr>
          <w:p w14:paraId="14D620AB">
            <w:pPr>
              <w:jc w:val="center"/>
              <w:rPr>
                <w:rFonts w:ascii="Times New Roman" w:hAnsi="Times New Roman" w:eastAsia="宋体" w:cs="Times New Roman"/>
                <w:b/>
                <w:szCs w:val="20"/>
              </w:rPr>
            </w:pPr>
          </w:p>
        </w:tc>
      </w:tr>
    </w:tbl>
    <w:p w14:paraId="2AC98F24">
      <w:pPr>
        <w:rPr>
          <w:rFonts w:ascii="宋体" w:hAnsi="Arial" w:eastAsia="宋体" w:cs="Times New Roman"/>
          <w:sz w:val="24"/>
          <w:szCs w:val="24"/>
        </w:rPr>
      </w:pPr>
    </w:p>
    <w:p w14:paraId="0B093042">
      <w:pPr>
        <w:spacing w:line="400" w:lineRule="exact"/>
        <w:rPr>
          <w:rFonts w:ascii="宋体" w:hAnsi="Calibri" w:eastAsia="宋体" w:cs="Times New Roman"/>
          <w:szCs w:val="21"/>
        </w:rPr>
      </w:pPr>
      <w:r>
        <w:rPr>
          <w:rFonts w:hint="eastAsia" w:ascii="宋体" w:hAnsi="宋体" w:eastAsia="宋体" w:cs="Times New Roman"/>
          <w:b/>
          <w:bCs/>
          <w:szCs w:val="21"/>
        </w:rPr>
        <w:t>注：</w:t>
      </w:r>
    </w:p>
    <w:p w14:paraId="440943D3">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14:paraId="4A5EE63D">
      <w:pPr>
        <w:spacing w:line="300" w:lineRule="auto"/>
        <w:rPr>
          <w:rFonts w:hint="eastAsia" w:ascii="宋体" w:hAnsi="宋体" w:eastAsia="宋体" w:cs="宋体"/>
          <w:b/>
          <w:szCs w:val="20"/>
        </w:rPr>
      </w:pPr>
      <w:r>
        <w:rPr>
          <w:rFonts w:hint="eastAsia" w:ascii="宋体" w:hAnsi="宋体" w:cs="宋体"/>
          <w:b/>
          <w:szCs w:val="20"/>
          <w:lang w:val="en-US" w:eastAsia="zh-CN"/>
        </w:rPr>
        <w:t>2</w:t>
      </w:r>
      <w:r>
        <w:rPr>
          <w:rFonts w:hint="eastAsia" w:ascii="宋体" w:hAnsi="宋体" w:eastAsia="宋体" w:cs="宋体"/>
          <w:b/>
          <w:szCs w:val="20"/>
        </w:rPr>
        <w:t>.需写明含税价、不含税价格、税率。</w:t>
      </w:r>
    </w:p>
    <w:p w14:paraId="6381D8BE">
      <w:pPr>
        <w:spacing w:line="300" w:lineRule="auto"/>
        <w:rPr>
          <w:rFonts w:hint="eastAsia" w:ascii="宋体" w:hAnsi="宋体" w:eastAsia="宋体" w:cs="宋体"/>
          <w:b/>
          <w:szCs w:val="20"/>
          <w:lang w:val="en-US" w:eastAsia="zh-CN"/>
        </w:rPr>
      </w:pPr>
      <w:r>
        <w:rPr>
          <w:rFonts w:hint="eastAsia" w:ascii="宋体" w:hAnsi="宋体" w:eastAsia="宋体" w:cs="宋体"/>
          <w:b/>
          <w:szCs w:val="20"/>
          <w:lang w:val="en-US" w:eastAsia="zh-CN"/>
        </w:rPr>
        <w:t>3</w:t>
      </w:r>
      <w:r>
        <w:rPr>
          <w:rFonts w:hint="eastAsia" w:ascii="宋体" w:hAnsi="宋体" w:eastAsia="宋体" w:cs="宋体"/>
          <w:b/>
          <w:szCs w:val="20"/>
        </w:rPr>
        <w:t>.投标总价包括设备费、调试费、备品备件、特殊工具、运杂费、装卸费、技术服务费、保险费及增值税和其它税费。</w:t>
      </w:r>
    </w:p>
    <w:p w14:paraId="7CA9A866">
      <w:pPr>
        <w:pStyle w:val="14"/>
        <w:rPr>
          <w:rFonts w:hint="eastAsia" w:hAnsi="宋体" w:eastAsia="宋体" w:cs="Times New Roman"/>
          <w:b/>
          <w:bCs/>
          <w:szCs w:val="21"/>
          <w:highlight w:val="yellow"/>
        </w:rPr>
      </w:pPr>
    </w:p>
    <w:p w14:paraId="31061A95">
      <w:pPr>
        <w:pStyle w:val="14"/>
        <w:rPr>
          <w:rFonts w:hint="eastAsia" w:hAnsi="宋体" w:eastAsia="宋体" w:cs="Times New Roman"/>
          <w:b/>
          <w:bCs/>
          <w:szCs w:val="21"/>
          <w:highlight w:val="yellow"/>
        </w:rPr>
      </w:pPr>
    </w:p>
    <w:p w14:paraId="5A2F2EC2">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投标人：（盖章）</w:t>
      </w:r>
    </w:p>
    <w:p w14:paraId="3B316BD5">
      <w:pPr>
        <w:spacing w:line="660" w:lineRule="exact"/>
        <w:jc w:val="righ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5E5A5D5F">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日</w:t>
      </w:r>
      <w:r>
        <w:rPr>
          <w:rFonts w:ascii="宋体" w:hAnsi="宋体" w:eastAsia="宋体" w:cs="Times New Roman"/>
          <w:sz w:val="24"/>
          <w:szCs w:val="20"/>
        </w:rPr>
        <w:t xml:space="preserve">  </w:t>
      </w:r>
      <w:r>
        <w:rPr>
          <w:rFonts w:hint="eastAsia" w:ascii="宋体" w:hAnsi="宋体" w:eastAsia="宋体" w:cs="Times New Roman"/>
          <w:sz w:val="24"/>
          <w:szCs w:val="20"/>
        </w:rPr>
        <w:t>期：</w:t>
      </w: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40B2C361">
      <w:pPr>
        <w:pStyle w:val="76"/>
        <w:bidi w:val="0"/>
      </w:pPr>
      <w:r>
        <w:t xml:space="preserve"> </w:t>
      </w:r>
    </w:p>
    <w:p w14:paraId="36B9F02A">
      <w:pPr>
        <w:pStyle w:val="76"/>
        <w:bidi w:val="0"/>
      </w:pPr>
    </w:p>
    <w:p w14:paraId="6E7F97B7">
      <w:pPr>
        <w:pStyle w:val="76"/>
        <w:bidi w:val="0"/>
      </w:pPr>
    </w:p>
    <w:p w14:paraId="0A484835">
      <w:pPr>
        <w:rPr>
          <w:rFonts w:hint="eastAsia" w:ascii="宋体" w:hAnsi="宋体" w:eastAsia="宋体" w:cs="宋体"/>
          <w:sz w:val="32"/>
          <w:szCs w:val="32"/>
          <w:highlight w:val="none"/>
          <w:lang w:val="en-US" w:eastAsia="zh-CN"/>
        </w:rPr>
      </w:pPr>
      <w:bookmarkStart w:id="32" w:name="_Toc47976616"/>
      <w:bookmarkStart w:id="33" w:name="_Toc4225"/>
      <w:r>
        <w:rPr>
          <w:rFonts w:hint="eastAsia" w:ascii="宋体" w:hAnsi="宋体" w:eastAsia="宋体" w:cs="宋体"/>
          <w:sz w:val="32"/>
          <w:szCs w:val="32"/>
          <w:highlight w:val="none"/>
          <w:lang w:val="en-US" w:eastAsia="zh-CN"/>
        </w:rPr>
        <w:br w:type="page"/>
      </w:r>
    </w:p>
    <w:p w14:paraId="230754D8">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w:t>
      </w:r>
      <w:bookmarkEnd w:id="32"/>
      <w:bookmarkEnd w:id="33"/>
      <w:r>
        <w:rPr>
          <w:rFonts w:hint="eastAsia" w:ascii="宋体" w:hAnsi="宋体" w:eastAsia="宋体" w:cs="宋体"/>
          <w:sz w:val="32"/>
          <w:szCs w:val="32"/>
          <w:highlight w:val="none"/>
          <w:lang w:val="en-US" w:eastAsia="zh-CN"/>
        </w:rPr>
        <w:t>5 投标函</w:t>
      </w:r>
    </w:p>
    <w:p w14:paraId="78BEF19D">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投标函</w:t>
      </w:r>
    </w:p>
    <w:p w14:paraId="1A7AA2F0">
      <w:pPr>
        <w:spacing w:line="360" w:lineRule="auto"/>
        <w:ind w:firstLine="480" w:firstLineChars="200"/>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rPr>
        <w:t>致：</w:t>
      </w:r>
      <w:r>
        <w:rPr>
          <w:rFonts w:hint="eastAsia" w:ascii="宋体" w:hAnsi="宋体" w:cs="Times New Roman"/>
          <w:color w:val="000000"/>
          <w:sz w:val="24"/>
          <w:szCs w:val="24"/>
          <w:highlight w:val="none"/>
          <w:lang w:eastAsia="zh-CN"/>
        </w:rPr>
        <w:t>中国重汽集团济南汽车部件有限公司</w:t>
      </w:r>
      <w:r>
        <w:rPr>
          <w:rFonts w:hint="eastAsia" w:ascii="宋体" w:hAnsi="宋体" w:eastAsia="宋体" w:cs="Times New Roman"/>
          <w:color w:val="000000"/>
          <w:sz w:val="24"/>
          <w:szCs w:val="24"/>
          <w:highlight w:val="none"/>
        </w:rPr>
        <w:t>：</w:t>
      </w:r>
    </w:p>
    <w:p w14:paraId="251C176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highlight w:val="none"/>
        </w:rPr>
        <w:t>根据贵方</w:t>
      </w:r>
      <w:r>
        <w:rPr>
          <w:rFonts w:hint="eastAsia" w:ascii="宋体" w:hAnsi="宋体" w:cs="Times New Roman"/>
          <w:color w:val="000000"/>
          <w:sz w:val="24"/>
          <w:szCs w:val="24"/>
          <w:highlight w:val="none"/>
          <w:u w:val="single"/>
          <w:lang w:val="en-US" w:eastAsia="zh-CN"/>
        </w:rPr>
        <w:t>多联机空调维保项目</w:t>
      </w:r>
      <w:r>
        <w:rPr>
          <w:rFonts w:hint="eastAsia" w:ascii="宋体" w:hAnsi="宋体" w:eastAsia="宋体" w:cs="Times New Roman"/>
          <w:bCs/>
          <w:snapToGrid w:val="0"/>
          <w:color w:val="000000"/>
          <w:kern w:val="0"/>
          <w:sz w:val="24"/>
          <w:szCs w:val="24"/>
        </w:rPr>
        <w:t>招标公告</w:t>
      </w:r>
      <w:r>
        <w:rPr>
          <w:rFonts w:hint="eastAsia" w:ascii="宋体" w:hAnsi="宋体" w:cs="Times New Roman"/>
          <w:bCs/>
          <w:snapToGrid w:val="0"/>
          <w:color w:val="000000"/>
          <w:kern w:val="0"/>
          <w:sz w:val="24"/>
          <w:szCs w:val="24"/>
          <w:lang w:val="en-US" w:eastAsia="zh-CN"/>
        </w:rPr>
        <w:t>及招标文件</w:t>
      </w:r>
      <w:r>
        <w:rPr>
          <w:rFonts w:hint="eastAsia" w:ascii="宋体" w:hAnsi="宋体" w:eastAsia="宋体" w:cs="Times New Roman"/>
          <w:color w:val="000000"/>
          <w:sz w:val="24"/>
          <w:szCs w:val="24"/>
        </w:rPr>
        <w:t>，</w:t>
      </w:r>
      <w:r>
        <w:rPr>
          <w:rFonts w:ascii="宋体" w:hAnsi="宋体" w:eastAsia="宋体" w:cs="Times New Roman"/>
          <w:b/>
          <w:color w:val="000000"/>
          <w:sz w:val="24"/>
          <w:szCs w:val="24"/>
          <w:u w:val="single"/>
        </w:rPr>
        <w:t xml:space="preserve">            </w:t>
      </w:r>
      <w:r>
        <w:rPr>
          <w:rFonts w:hint="eastAsia" w:ascii="宋体" w:hAnsi="宋体" w:eastAsia="宋体" w:cs="Times New Roman"/>
          <w:color w:val="000000"/>
          <w:sz w:val="24"/>
          <w:szCs w:val="24"/>
        </w:rPr>
        <w:t>投标公司，</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法人代表人为</w:t>
      </w:r>
      <w:r>
        <w:rPr>
          <w:rFonts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，正式授权</w:t>
      </w:r>
      <w:r>
        <w:rPr>
          <w:rFonts w:ascii="宋体" w:hAnsi="宋体" w:eastAsia="宋体" w:cs="Times New Roman"/>
          <w:color w:val="000000"/>
          <w:sz w:val="24"/>
          <w:szCs w:val="24"/>
          <w:u w:val="single"/>
        </w:rPr>
        <w:t xml:space="preserve">           </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提交</w:t>
      </w:r>
      <w:r>
        <w:rPr>
          <w:rFonts w:hint="default" w:ascii="Times New Roman" w:hAnsi="Times New Roman" w:eastAsia="宋体" w:cs="Times New Roman"/>
          <w:color w:val="000000"/>
          <w:sz w:val="24"/>
          <w:szCs w:val="24"/>
          <w:highlight w:val="none"/>
        </w:rPr>
        <w:t>纸质投标文件：资质证明文件、商务文件和技术文件正本一份</w:t>
      </w:r>
      <w:r>
        <w:rPr>
          <w:rFonts w:hint="eastAsia" w:cs="Times New Roman"/>
          <w:color w:val="000000"/>
          <w:sz w:val="24"/>
          <w:szCs w:val="24"/>
          <w:highlight w:val="none"/>
          <w:lang w:val="en-US" w:eastAsia="zh-CN"/>
        </w:rPr>
        <w:t>副本4份</w:t>
      </w:r>
      <w:r>
        <w:rPr>
          <w:rFonts w:hint="default" w:ascii="Times New Roman" w:hAnsi="Times New Roman" w:eastAsia="宋体" w:cs="Times New Roman"/>
          <w:color w:val="000000"/>
          <w:sz w:val="24"/>
          <w:szCs w:val="24"/>
          <w:highlight w:val="none"/>
        </w:rPr>
        <w:t>；</w:t>
      </w:r>
      <w:r>
        <w:rPr>
          <w:rFonts w:hint="eastAsia" w:ascii="宋体" w:hAnsi="宋体" w:cs="Times New Roman"/>
          <w:color w:val="000000"/>
          <w:sz w:val="24"/>
          <w:szCs w:val="24"/>
          <w:lang w:val="en-US" w:eastAsia="zh-CN"/>
        </w:rPr>
        <w:t>电子版</w:t>
      </w:r>
      <w:r>
        <w:rPr>
          <w:rFonts w:hint="eastAsia" w:ascii="宋体" w:hAnsi="宋体" w:eastAsia="宋体" w:cs="Times New Roman"/>
          <w:color w:val="000000"/>
          <w:sz w:val="24"/>
          <w:szCs w:val="24"/>
        </w:rPr>
        <w:t>投标文件</w:t>
      </w:r>
      <w:r>
        <w:rPr>
          <w:rFonts w:hint="eastAsia" w:ascii="宋体" w:hAnsi="宋体" w:cs="Times New Roman"/>
          <w:color w:val="000000"/>
          <w:sz w:val="24"/>
          <w:szCs w:val="24"/>
          <w:lang w:val="en-US" w:eastAsia="zh-CN"/>
        </w:rPr>
        <w:t>两</w:t>
      </w:r>
      <w:r>
        <w:rPr>
          <w:rFonts w:hint="default" w:ascii="Times New Roman" w:hAnsi="Times New Roman" w:eastAsia="宋体" w:cs="Times New Roman"/>
          <w:color w:val="000000"/>
          <w:sz w:val="24"/>
          <w:szCs w:val="24"/>
        </w:rPr>
        <w:t>份</w:t>
      </w:r>
      <w:r>
        <w:rPr>
          <w:rFonts w:hint="eastAsia" w:ascii="宋体" w:hAnsi="宋体" w:eastAsia="宋体" w:cs="Times New Roman"/>
          <w:color w:val="000000"/>
          <w:sz w:val="24"/>
          <w:szCs w:val="24"/>
        </w:rPr>
        <w:t>：资质证明文件、商务文件和技术文件。</w:t>
      </w:r>
    </w:p>
    <w:p w14:paraId="65C45EA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14:paraId="10880B3E">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60660118">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14:paraId="45B0FEC9">
      <w:pPr>
        <w:spacing w:line="360" w:lineRule="auto"/>
        <w:ind w:firstLine="480" w:firstLineChars="200"/>
        <w:rPr>
          <w:rFonts w:hint="eastAsia" w:ascii="宋体" w:hAnsi="宋体" w:eastAsia="宋体" w:cs="Times New Roman"/>
          <w:color w:val="000000"/>
          <w:sz w:val="24"/>
          <w:szCs w:val="24"/>
          <w:lang w:eastAsia="zh-CN"/>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hint="eastAsia" w:ascii="宋体" w:hAnsi="宋体" w:eastAsia="宋体" w:cs="Times New Roman"/>
          <w:color w:val="000000"/>
          <w:sz w:val="24"/>
          <w:szCs w:val="24"/>
          <w:lang w:val="en-US" w:eastAsia="zh-CN"/>
        </w:rPr>
        <w:t>90</w:t>
      </w:r>
      <w:r>
        <w:rPr>
          <w:rFonts w:hint="eastAsia" w:ascii="宋体" w:hAnsi="宋体" w:eastAsia="宋体" w:cs="Times New Roman"/>
          <w:color w:val="000000"/>
          <w:sz w:val="24"/>
          <w:szCs w:val="24"/>
        </w:rPr>
        <w:t>个日历日。</w:t>
      </w:r>
    </w:p>
    <w:p w14:paraId="48E1E958">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14:paraId="474B6890">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14:paraId="62D730F2">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14:paraId="0D70DD7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r>
        <w:rPr>
          <w:rFonts w:ascii="宋体" w:hAnsi="宋体" w:eastAsia="宋体" w:cs="Times New Roman"/>
          <w:color w:val="000000"/>
          <w:sz w:val="24"/>
          <w:szCs w:val="24"/>
        </w:rPr>
        <w:t xml:space="preserve">                             </w:t>
      </w:r>
    </w:p>
    <w:p w14:paraId="15A1378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r>
        <w:rPr>
          <w:rFonts w:ascii="宋体" w:hAnsi="宋体" w:eastAsia="宋体" w:cs="Times New Roman"/>
          <w:color w:val="000000"/>
          <w:sz w:val="24"/>
          <w:szCs w:val="24"/>
        </w:rPr>
        <w:t xml:space="preserve">        </w:t>
      </w:r>
    </w:p>
    <w:p w14:paraId="642217A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传真：</w:t>
      </w:r>
      <w:r>
        <w:rPr>
          <w:rFonts w:ascii="宋体" w:hAnsi="宋体" w:eastAsia="宋体" w:cs="Times New Roman"/>
          <w:color w:val="000000"/>
          <w:sz w:val="24"/>
          <w:szCs w:val="24"/>
        </w:rPr>
        <w:t xml:space="preserve">                   </w:t>
      </w:r>
    </w:p>
    <w:p w14:paraId="64E7D1C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w:t>
      </w:r>
      <w:r>
        <w:rPr>
          <w:rFonts w:hint="eastAsia"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职务：</w:t>
      </w:r>
      <w:r>
        <w:rPr>
          <w:rFonts w:ascii="宋体" w:hAnsi="宋体" w:eastAsia="宋体" w:cs="Times New Roman"/>
          <w:color w:val="000000"/>
          <w:sz w:val="24"/>
          <w:szCs w:val="24"/>
        </w:rPr>
        <w:t xml:space="preserve">          </w:t>
      </w:r>
    </w:p>
    <w:p w14:paraId="6770A28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r>
        <w:rPr>
          <w:rFonts w:ascii="宋体" w:hAnsi="宋体" w:eastAsia="宋体" w:cs="Times New Roman"/>
          <w:color w:val="000000"/>
          <w:sz w:val="24"/>
          <w:szCs w:val="24"/>
        </w:rPr>
        <w:t xml:space="preserve">                   </w:t>
      </w:r>
    </w:p>
    <w:p w14:paraId="076E3F3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r>
        <w:rPr>
          <w:rFonts w:ascii="宋体" w:hAnsi="宋体" w:eastAsia="宋体" w:cs="Times New Roman"/>
          <w:color w:val="000000"/>
          <w:sz w:val="24"/>
          <w:szCs w:val="24"/>
        </w:rPr>
        <w:t xml:space="preserve">                   </w:t>
      </w:r>
    </w:p>
    <w:p w14:paraId="696EA9C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14:paraId="006F507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14:paraId="348E15C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3391EAE8">
      <w:pPr>
        <w:pStyle w:val="76"/>
        <w:bidi w:val="0"/>
      </w:pPr>
    </w:p>
    <w:p w14:paraId="391DF144">
      <w:pPr>
        <w:pStyle w:val="76"/>
        <w:bidi w:val="0"/>
      </w:pPr>
    </w:p>
    <w:p w14:paraId="67214EB0">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6</w:t>
      </w:r>
      <w:r>
        <w:rPr>
          <w:rFonts w:hint="default" w:ascii="宋体" w:hAnsi="宋体" w:eastAsia="宋体" w:cs="宋体"/>
          <w:sz w:val="32"/>
          <w:szCs w:val="32"/>
          <w:highlight w:val="none"/>
          <w:lang w:val="en-US" w:eastAsia="zh-CN"/>
        </w:rPr>
        <w:t xml:space="preserve"> 服务承诺函</w:t>
      </w:r>
    </w:p>
    <w:p w14:paraId="7E180CB3">
      <w:pPr>
        <w:spacing w:line="240" w:lineRule="exact"/>
        <w:jc w:val="both"/>
        <w:rPr>
          <w:rFonts w:hint="default" w:ascii="Times New Roman" w:hAnsi="Times New Roman" w:eastAsia="宋体" w:cs="Times New Roman"/>
          <w:b/>
          <w:bCs/>
          <w:sz w:val="36"/>
          <w:szCs w:val="20"/>
        </w:rPr>
      </w:pPr>
    </w:p>
    <w:p w14:paraId="006C53F8">
      <w:pPr>
        <w:spacing w:line="360" w:lineRule="auto"/>
        <w:jc w:val="both"/>
        <w:rPr>
          <w:rFonts w:hint="default" w:ascii="Times New Roman" w:hAnsi="Times New Roman" w:eastAsia="宋体" w:cs="Times New Roman"/>
          <w:sz w:val="24"/>
          <w:szCs w:val="20"/>
          <w:highlight w:val="none"/>
        </w:rPr>
      </w:pPr>
      <w:r>
        <w:rPr>
          <w:rFonts w:hint="default" w:ascii="Times New Roman" w:hAnsi="Times New Roman" w:eastAsia="宋体" w:cs="Times New Roman"/>
          <w:sz w:val="24"/>
          <w:szCs w:val="20"/>
        </w:rPr>
        <w:t>项目名称：</w:t>
      </w:r>
      <w:r>
        <w:rPr>
          <w:rFonts w:hint="eastAsia" w:ascii="宋体" w:hAnsi="宋体" w:cs="宋体"/>
          <w:b/>
          <w:bCs/>
          <w:i w:val="0"/>
          <w:iCs w:val="0"/>
          <w:sz w:val="24"/>
          <w:szCs w:val="24"/>
          <w:highlight w:val="none"/>
          <w:u w:val="none"/>
          <w:lang w:val="en-US" w:eastAsia="zh-CN"/>
        </w:rPr>
        <w:t>多联机空调维保项目</w:t>
      </w:r>
    </w:p>
    <w:p w14:paraId="10308AC3">
      <w:pPr>
        <w:spacing w:line="360" w:lineRule="auto"/>
        <w:jc w:val="both"/>
        <w:rPr>
          <w:rFonts w:hint="default" w:ascii="Times New Roman" w:hAnsi="Times New Roman" w:eastAsia="宋体" w:cs="Times New Roman"/>
          <w:b/>
          <w:bCs/>
          <w:sz w:val="24"/>
          <w:szCs w:val="20"/>
        </w:rPr>
      </w:pPr>
      <w:r>
        <w:rPr>
          <w:rFonts w:hint="eastAsia" w:cs="Times New Roman"/>
          <w:b/>
          <w:bCs/>
          <w:sz w:val="24"/>
          <w:szCs w:val="20"/>
          <w:lang w:eastAsia="zh-CN"/>
        </w:rPr>
        <w:t>中国重汽集团济南汽车部件有限公司</w:t>
      </w:r>
      <w:r>
        <w:rPr>
          <w:rFonts w:hint="default" w:ascii="Times New Roman" w:hAnsi="Times New Roman" w:eastAsia="宋体" w:cs="Times New Roman"/>
          <w:b/>
          <w:bCs/>
          <w:sz w:val="24"/>
          <w:szCs w:val="20"/>
        </w:rPr>
        <w:t>：</w:t>
      </w:r>
    </w:p>
    <w:p w14:paraId="653A453F">
      <w:pPr>
        <w:spacing w:line="360" w:lineRule="auto"/>
        <w:ind w:firstLine="480"/>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我代表（</w:t>
      </w:r>
      <w:r>
        <w:rPr>
          <w:rFonts w:hint="default" w:ascii="Times New Roman" w:hAnsi="Times New Roman" w:eastAsia="宋体" w:cs="Times New Roman"/>
          <w:sz w:val="24"/>
          <w:szCs w:val="20"/>
          <w:lang w:eastAsia="zh-CN"/>
        </w:rPr>
        <w:t>投标人</w:t>
      </w:r>
      <w:r>
        <w:rPr>
          <w:rFonts w:hint="default" w:ascii="Times New Roman" w:hAnsi="Times New Roman" w:eastAsia="宋体" w:cs="Times New Roman"/>
          <w:sz w:val="24"/>
          <w:szCs w:val="20"/>
        </w:rPr>
        <w:t>名称）对中标合同产品的服务作如下承诺：</w:t>
      </w:r>
    </w:p>
    <w:p w14:paraId="39C7681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B31E44A">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12A818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1AB823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11D92CDF">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BD8E353">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07A1E51">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54ECF59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2EE1086A">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0DEAA583">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57D7F67">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500D3D4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95FC43D">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96D439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241E090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425019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04A4554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4E3E895">
      <w:pPr>
        <w:spacing w:line="360" w:lineRule="auto"/>
        <w:ind w:firstLine="480" w:firstLineChars="200"/>
        <w:jc w:val="both"/>
        <w:rPr>
          <w:rFonts w:hint="default" w:ascii="Times New Roman" w:hAnsi="Times New Roman" w:eastAsia="宋体" w:cs="Times New Roman"/>
          <w:sz w:val="24"/>
          <w:szCs w:val="20"/>
          <w:u w:val="single"/>
        </w:rPr>
      </w:pPr>
    </w:p>
    <w:p w14:paraId="3A8CE099">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投标人：（盖章）</w:t>
      </w:r>
    </w:p>
    <w:p w14:paraId="0ECD7EDC">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法定代表人（委托代理人）：（签字）</w:t>
      </w:r>
    </w:p>
    <w:p w14:paraId="5399ED64">
      <w:pPr>
        <w:rPr>
          <w:rFonts w:hint="eastAsia" w:ascii="宋体" w:hAnsi="宋体" w:eastAsia="宋体" w:cs="宋体"/>
          <w:sz w:val="32"/>
          <w:szCs w:val="32"/>
          <w:highlight w:val="none"/>
          <w:lang w:val="en-US" w:eastAsia="zh-CN"/>
        </w:rPr>
      </w:pPr>
      <w:r>
        <w:rPr>
          <w:rFonts w:hint="default" w:ascii="Times New Roman" w:hAnsi="Times New Roman" w:eastAsia="宋体" w:cs="Times New Roman"/>
          <w:color w:val="000000"/>
          <w:sz w:val="24"/>
          <w:szCs w:val="24"/>
        </w:rPr>
        <w:t>日  期：       年    月    日</w:t>
      </w:r>
      <w:r>
        <w:rPr>
          <w:rFonts w:hint="eastAsia" w:ascii="宋体" w:hAnsi="宋体" w:eastAsia="宋体" w:cs="宋体"/>
          <w:sz w:val="32"/>
          <w:szCs w:val="32"/>
          <w:highlight w:val="none"/>
          <w:lang w:val="en-US" w:eastAsia="zh-CN"/>
        </w:rPr>
        <w:br w:type="page"/>
      </w:r>
    </w:p>
    <w:p w14:paraId="4E91CA03">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附件7 商务条款偏离表</w:t>
      </w:r>
    </w:p>
    <w:p w14:paraId="38D36224">
      <w:pPr>
        <w:spacing w:line="360" w:lineRule="auto"/>
        <w:jc w:val="center"/>
        <w:rPr>
          <w:rFonts w:hint="eastAsia" w:ascii="宋体" w:hAnsi="宋体" w:cs="宋体"/>
          <w:b/>
          <w:bCs/>
          <w:color w:val="000000"/>
          <w:sz w:val="32"/>
          <w:szCs w:val="32"/>
          <w:lang w:val="en-US" w:eastAsia="zh-CN"/>
        </w:rPr>
      </w:pPr>
      <w:r>
        <w:rPr>
          <w:rFonts w:hint="eastAsia" w:ascii="宋体" w:hAnsi="宋体" w:cs="宋体"/>
          <w:b/>
          <w:bCs/>
          <w:color w:val="000000"/>
          <w:sz w:val="32"/>
          <w:szCs w:val="32"/>
          <w:lang w:val="en-US" w:eastAsia="zh-CN"/>
        </w:rPr>
        <w:t>商务条款偏离表</w:t>
      </w:r>
    </w:p>
    <w:tbl>
      <w:tblPr>
        <w:tblStyle w:val="30"/>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14:paraId="66A31E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EAA7D60">
            <w:pPr>
              <w:jc w:val="center"/>
              <w:rPr>
                <w:rFonts w:hint="default" w:ascii="Times New Roman" w:hAnsi="Times New Roman" w:eastAsia="宋体" w:cs="Times New Roman"/>
                <w:b/>
                <w:szCs w:val="20"/>
                <w:lang w:val="en-US"/>
              </w:rPr>
            </w:pPr>
            <w:r>
              <w:rPr>
                <w:rFonts w:hint="eastAsia" w:ascii="宋体" w:hAnsi="宋体" w:cs="宋体"/>
                <w:b/>
                <w:bCs/>
                <w:i w:val="0"/>
                <w:iCs w:val="0"/>
                <w:sz w:val="24"/>
                <w:szCs w:val="24"/>
                <w:highlight w:val="none"/>
                <w:u w:val="none"/>
                <w:lang w:val="en-US" w:eastAsia="zh-CN"/>
              </w:rPr>
              <w:t>多联机空调维保项目</w:t>
            </w:r>
          </w:p>
        </w:tc>
        <w:tc>
          <w:tcPr>
            <w:tcW w:w="2875" w:type="dxa"/>
            <w:tcBorders>
              <w:top w:val="single" w:color="auto" w:sz="4" w:space="0"/>
              <w:left w:val="single" w:color="auto" w:sz="4" w:space="0"/>
              <w:bottom w:val="single" w:color="auto" w:sz="4" w:space="0"/>
              <w:right w:val="single" w:color="auto" w:sz="4" w:space="0"/>
            </w:tcBorders>
            <w:vAlign w:val="center"/>
          </w:tcPr>
          <w:p w14:paraId="11CC7152">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1938DE94">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14:paraId="2EA137BC">
            <w:pPr>
              <w:jc w:val="center"/>
              <w:rPr>
                <w:rFonts w:ascii="Times New Roman" w:hAnsi="Times New Roman" w:eastAsia="宋体" w:cs="Times New Roman"/>
                <w:b/>
                <w:szCs w:val="20"/>
              </w:rPr>
            </w:pPr>
            <w:r>
              <w:rPr>
                <w:rFonts w:hint="eastAsia" w:ascii="宋体" w:hAnsi="宋体" w:eastAsia="宋体" w:cs="宋体"/>
                <w:b/>
                <w:szCs w:val="20"/>
              </w:rPr>
              <w:t>是否偏离</w:t>
            </w:r>
          </w:p>
          <w:p w14:paraId="695C9B64">
            <w:pPr>
              <w:jc w:val="center"/>
              <w:rPr>
                <w:rFonts w:ascii="Times New Roman" w:hAnsi="Times New Roman" w:eastAsia="宋体" w:cs="Times New Roman"/>
                <w:b/>
                <w:szCs w:val="20"/>
              </w:rPr>
            </w:pPr>
            <w:r>
              <w:rPr>
                <w:rFonts w:hint="eastAsia" w:ascii="宋体" w:hAnsi="宋体" w:eastAsia="宋体" w:cs="宋体"/>
                <w:b/>
                <w:szCs w:val="20"/>
              </w:rPr>
              <w:t>（提供说明）</w:t>
            </w:r>
          </w:p>
        </w:tc>
      </w:tr>
      <w:tr w14:paraId="5D3B8B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563008E0">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14:paraId="51AB607E">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3479390B">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284F2FF5">
            <w:pPr>
              <w:jc w:val="center"/>
              <w:rPr>
                <w:rFonts w:ascii="Times New Roman" w:hAnsi="Times New Roman" w:eastAsia="宋体" w:cs="Times New Roman"/>
                <w:b/>
                <w:szCs w:val="20"/>
              </w:rPr>
            </w:pPr>
          </w:p>
        </w:tc>
      </w:tr>
      <w:tr w14:paraId="0E4AFE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D873810">
            <w:pPr>
              <w:jc w:val="center"/>
              <w:rPr>
                <w:rFonts w:ascii="Times New Roman" w:hAnsi="Times New Roman" w:eastAsia="宋体" w:cs="Times New Roman"/>
                <w:b/>
                <w:szCs w:val="20"/>
              </w:rPr>
            </w:pPr>
            <w:r>
              <w:rPr>
                <w:rFonts w:hint="eastAsia" w:ascii="宋体" w:hAnsi="宋体" w:cs="宋体"/>
                <w:b/>
                <w:szCs w:val="20"/>
                <w:lang w:val="en-US" w:eastAsia="zh-CN"/>
              </w:rPr>
              <w:t>服务</w:t>
            </w:r>
            <w:r>
              <w:rPr>
                <w:rFonts w:hint="eastAsia" w:ascii="宋体" w:hAnsi="宋体" w:eastAsia="宋体" w:cs="宋体"/>
                <w:b/>
                <w:szCs w:val="20"/>
              </w:rPr>
              <w:t>时间及地点</w:t>
            </w:r>
          </w:p>
        </w:tc>
        <w:tc>
          <w:tcPr>
            <w:tcW w:w="2875" w:type="dxa"/>
            <w:tcBorders>
              <w:top w:val="single" w:color="auto" w:sz="4" w:space="0"/>
              <w:left w:val="single" w:color="auto" w:sz="4" w:space="0"/>
              <w:bottom w:val="single" w:color="auto" w:sz="4" w:space="0"/>
              <w:right w:val="single" w:color="auto" w:sz="4" w:space="0"/>
            </w:tcBorders>
            <w:vAlign w:val="center"/>
          </w:tcPr>
          <w:p w14:paraId="6C8F3FAA">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372EB4DF">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1084D158">
            <w:pPr>
              <w:jc w:val="center"/>
              <w:rPr>
                <w:rFonts w:ascii="Times New Roman" w:hAnsi="Times New Roman" w:eastAsia="宋体" w:cs="Times New Roman"/>
                <w:b/>
                <w:szCs w:val="21"/>
              </w:rPr>
            </w:pPr>
          </w:p>
        </w:tc>
      </w:tr>
      <w:tr w14:paraId="5C0B8A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69D4069E">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14:paraId="4964D6D4">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0CC919F8">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61DA3E96">
            <w:pPr>
              <w:jc w:val="center"/>
              <w:rPr>
                <w:rFonts w:ascii="Times New Roman" w:hAnsi="Times New Roman" w:eastAsia="宋体" w:cs="Times New Roman"/>
                <w:b/>
                <w:szCs w:val="20"/>
              </w:rPr>
            </w:pPr>
          </w:p>
        </w:tc>
      </w:tr>
      <w:tr w14:paraId="2D16E8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3D5B77B">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14:paraId="099352AA">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7FFCFD26">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0F93773C">
            <w:pPr>
              <w:jc w:val="center"/>
              <w:rPr>
                <w:rFonts w:ascii="Times New Roman" w:hAnsi="Times New Roman" w:eastAsia="宋体" w:cs="Times New Roman"/>
                <w:b/>
                <w:szCs w:val="21"/>
              </w:rPr>
            </w:pPr>
          </w:p>
          <w:p w14:paraId="2311C360">
            <w:pPr>
              <w:jc w:val="center"/>
              <w:rPr>
                <w:rFonts w:ascii="Times New Roman" w:hAnsi="Times New Roman" w:eastAsia="宋体" w:cs="Times New Roman"/>
                <w:b/>
                <w:szCs w:val="21"/>
              </w:rPr>
            </w:pPr>
          </w:p>
          <w:p w14:paraId="7FD0011A">
            <w:pPr>
              <w:jc w:val="center"/>
              <w:rPr>
                <w:rFonts w:ascii="Times New Roman" w:hAnsi="Times New Roman" w:eastAsia="宋体" w:cs="Times New Roman"/>
                <w:b/>
                <w:szCs w:val="21"/>
              </w:rPr>
            </w:pPr>
          </w:p>
          <w:p w14:paraId="7E133CE2">
            <w:pPr>
              <w:jc w:val="center"/>
              <w:rPr>
                <w:rFonts w:ascii="Times New Roman" w:hAnsi="Times New Roman" w:eastAsia="宋体" w:cs="Times New Roman"/>
                <w:b/>
                <w:szCs w:val="21"/>
              </w:rPr>
            </w:pPr>
          </w:p>
          <w:p w14:paraId="51AC5346">
            <w:pPr>
              <w:jc w:val="center"/>
              <w:rPr>
                <w:rFonts w:ascii="Times New Roman" w:hAnsi="Times New Roman" w:eastAsia="宋体" w:cs="Times New Roman"/>
                <w:b/>
                <w:szCs w:val="21"/>
              </w:rPr>
            </w:pPr>
          </w:p>
          <w:p w14:paraId="2BC45769">
            <w:pPr>
              <w:jc w:val="center"/>
              <w:rPr>
                <w:rFonts w:ascii="Times New Roman" w:hAnsi="Times New Roman" w:eastAsia="宋体" w:cs="Times New Roman"/>
                <w:b/>
                <w:szCs w:val="21"/>
              </w:rPr>
            </w:pPr>
          </w:p>
          <w:p w14:paraId="76CE503C">
            <w:pPr>
              <w:jc w:val="center"/>
              <w:rPr>
                <w:rFonts w:ascii="Times New Roman" w:hAnsi="Times New Roman" w:eastAsia="宋体" w:cs="Times New Roman"/>
                <w:b/>
                <w:szCs w:val="21"/>
              </w:rPr>
            </w:pPr>
          </w:p>
          <w:p w14:paraId="085D6DBC">
            <w:pPr>
              <w:jc w:val="center"/>
              <w:rPr>
                <w:rFonts w:ascii="Times New Roman" w:hAnsi="Times New Roman" w:eastAsia="宋体" w:cs="Times New Roman"/>
                <w:b/>
                <w:szCs w:val="21"/>
              </w:rPr>
            </w:pPr>
          </w:p>
          <w:p w14:paraId="1571192F">
            <w:pPr>
              <w:jc w:val="center"/>
              <w:rPr>
                <w:rFonts w:ascii="Times New Roman" w:hAnsi="Times New Roman" w:eastAsia="宋体" w:cs="Times New Roman"/>
                <w:b/>
                <w:szCs w:val="21"/>
              </w:rPr>
            </w:pPr>
          </w:p>
          <w:p w14:paraId="7D15E4F6">
            <w:pPr>
              <w:jc w:val="center"/>
              <w:rPr>
                <w:rFonts w:ascii="Times New Roman" w:hAnsi="Times New Roman" w:eastAsia="宋体" w:cs="Times New Roman"/>
                <w:b/>
                <w:szCs w:val="21"/>
              </w:rPr>
            </w:pPr>
          </w:p>
          <w:p w14:paraId="4542552C">
            <w:pPr>
              <w:jc w:val="center"/>
              <w:rPr>
                <w:rFonts w:ascii="Times New Roman" w:hAnsi="Times New Roman" w:eastAsia="宋体" w:cs="Times New Roman"/>
                <w:b/>
                <w:szCs w:val="21"/>
              </w:rPr>
            </w:pPr>
          </w:p>
          <w:p w14:paraId="53820639">
            <w:pPr>
              <w:jc w:val="center"/>
              <w:rPr>
                <w:rFonts w:ascii="Times New Roman" w:hAnsi="Times New Roman" w:eastAsia="宋体" w:cs="Times New Roman"/>
                <w:b/>
                <w:szCs w:val="21"/>
              </w:rPr>
            </w:pPr>
          </w:p>
          <w:p w14:paraId="58C55B20">
            <w:pPr>
              <w:jc w:val="center"/>
              <w:rPr>
                <w:rFonts w:ascii="Times New Roman" w:hAnsi="Times New Roman" w:eastAsia="宋体" w:cs="Times New Roman"/>
                <w:b/>
                <w:szCs w:val="21"/>
              </w:rPr>
            </w:pPr>
          </w:p>
          <w:p w14:paraId="0214A778">
            <w:pPr>
              <w:jc w:val="center"/>
              <w:rPr>
                <w:rFonts w:ascii="Times New Roman" w:hAnsi="Times New Roman" w:eastAsia="宋体" w:cs="Times New Roman"/>
                <w:b/>
                <w:szCs w:val="21"/>
              </w:rPr>
            </w:pPr>
          </w:p>
          <w:p w14:paraId="6EFAB8EF">
            <w:pPr>
              <w:jc w:val="center"/>
              <w:rPr>
                <w:rFonts w:ascii="Times New Roman" w:hAnsi="Times New Roman" w:eastAsia="宋体" w:cs="Times New Roman"/>
                <w:b/>
                <w:szCs w:val="21"/>
              </w:rPr>
            </w:pPr>
          </w:p>
          <w:p w14:paraId="576EE7F4">
            <w:pPr>
              <w:jc w:val="center"/>
              <w:rPr>
                <w:rFonts w:ascii="Times New Roman" w:hAnsi="Times New Roman" w:eastAsia="宋体" w:cs="Times New Roman"/>
                <w:b/>
                <w:szCs w:val="21"/>
              </w:rPr>
            </w:pPr>
          </w:p>
          <w:p w14:paraId="1C6A0C58">
            <w:pPr>
              <w:jc w:val="center"/>
              <w:rPr>
                <w:rFonts w:ascii="Times New Roman" w:hAnsi="Times New Roman" w:eastAsia="宋体" w:cs="Times New Roman"/>
                <w:b/>
                <w:szCs w:val="20"/>
              </w:rPr>
            </w:pPr>
          </w:p>
        </w:tc>
      </w:tr>
      <w:tr w14:paraId="026C4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3568D7A9">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14:paraId="6D9879D6">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14:paraId="69E4C958">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14:paraId="66DF1D53">
            <w:pPr>
              <w:jc w:val="center"/>
              <w:rPr>
                <w:rFonts w:ascii="Times New Roman" w:hAnsi="Times New Roman" w:eastAsia="宋体" w:cs="Times New Roman"/>
                <w:b/>
                <w:szCs w:val="20"/>
              </w:rPr>
            </w:pPr>
          </w:p>
        </w:tc>
      </w:tr>
    </w:tbl>
    <w:p w14:paraId="1D46FAD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p w14:paraId="2ACA508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14:paraId="14A64866">
      <w:pPr>
        <w:pStyle w:val="12"/>
        <w:rPr>
          <w:rFonts w:hint="default"/>
          <w:lang w:val="en-US" w:eastAsia="zh-CN"/>
        </w:rPr>
      </w:pPr>
    </w:p>
    <w:p w14:paraId="0D0184EF">
      <w:pPr>
        <w:pStyle w:val="76"/>
        <w:rPr>
          <w:rFonts w:hint="default" w:hAnsi="宋体"/>
          <w:sz w:val="24"/>
          <w:lang w:val="en-US"/>
        </w:rPr>
      </w:pPr>
    </w:p>
    <w:p w14:paraId="25341579">
      <w:pPr>
        <w:pStyle w:val="76"/>
        <w:rPr>
          <w:rFonts w:hint="default" w:hAnsi="宋体"/>
          <w:sz w:val="24"/>
          <w:lang w:val="en-US"/>
        </w:rPr>
      </w:pPr>
    </w:p>
    <w:p w14:paraId="3D42EF00">
      <w:pPr>
        <w:pStyle w:val="76"/>
        <w:rPr>
          <w:rFonts w:hint="default" w:hAnsi="宋体"/>
          <w:sz w:val="24"/>
          <w:lang w:val="en-US"/>
        </w:rPr>
      </w:pPr>
    </w:p>
    <w:p w14:paraId="16DD544E">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6FEFF112">
      <w:pPr>
        <w:pStyle w:val="72"/>
        <w:numPr>
          <w:ilvl w:val="0"/>
          <w:numId w:val="0"/>
        </w:numPr>
        <w:ind w:leftChars="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附件8 SRM系统供应商用户手册</w:t>
      </w:r>
    </w:p>
    <w:p w14:paraId="4F79C23C">
      <w:pPr>
        <w:snapToGrid/>
        <w:spacing w:before="0" w:after="0" w:line="360" w:lineRule="auto"/>
        <w:ind w:left="0" w:right="0" w:firstLine="0"/>
        <w:jc w:val="both"/>
        <w:rPr>
          <w:rStyle w:val="37"/>
          <w:rFonts w:hint="eastAsia" w:ascii="宋体" w:hAnsi="宋体" w:eastAsia="宋体" w:cs="宋体"/>
          <w:sz w:val="24"/>
          <w:szCs w:val="24"/>
        </w:rPr>
      </w:pPr>
      <w:r>
        <w:rPr>
          <w:rFonts w:hint="eastAsia" w:ascii="宋体" w:hAnsi="宋体" w:eastAsia="宋体" w:cs="宋体"/>
          <w:i w:val="0"/>
          <w:strike w:val="0"/>
          <w:color w:val="000000"/>
          <w:sz w:val="24"/>
          <w:szCs w:val="24"/>
          <w:u w:val="none"/>
        </w:rPr>
        <w:t>系统网址：</w:t>
      </w:r>
      <w:r>
        <w:rPr>
          <w:rStyle w:val="37"/>
          <w:rFonts w:hint="eastAsia" w:ascii="宋体" w:hAnsi="宋体" w:eastAsia="宋体" w:cs="宋体"/>
          <w:sz w:val="24"/>
          <w:szCs w:val="24"/>
        </w:rPr>
        <w:fldChar w:fldCharType="begin"/>
      </w:r>
      <w:r>
        <w:rPr>
          <w:rStyle w:val="37"/>
          <w:rFonts w:hint="eastAsia" w:ascii="宋体" w:hAnsi="宋体" w:eastAsia="宋体" w:cs="宋体"/>
          <w:sz w:val="24"/>
          <w:szCs w:val="24"/>
        </w:rPr>
        <w:instrText xml:space="preserve">HYPERLINK http://ecaitong.sinotruk.com:8012/ normalLink \tdkey u5b6qk \tdfu http://ecaitong.sinotruk.com:8012/ \tdfn http%3A//ecaitong.sinotruk.com%3A8012/ \tdfe -10 \tdlt text </w:instrText>
      </w:r>
      <w:r>
        <w:rPr>
          <w:rStyle w:val="37"/>
          <w:rFonts w:hint="eastAsia" w:ascii="宋体" w:hAnsi="宋体" w:eastAsia="宋体" w:cs="宋体"/>
          <w:sz w:val="24"/>
          <w:szCs w:val="24"/>
        </w:rPr>
        <w:fldChar w:fldCharType="separate"/>
      </w:r>
      <w:r>
        <w:rPr>
          <w:rStyle w:val="37"/>
          <w:rFonts w:hint="eastAsia" w:ascii="宋体" w:hAnsi="宋体" w:eastAsia="宋体" w:cs="宋体"/>
          <w:sz w:val="24"/>
          <w:szCs w:val="24"/>
        </w:rPr>
        <w:t>http</w:t>
      </w:r>
      <w:r>
        <w:rPr>
          <w:rStyle w:val="37"/>
          <w:rFonts w:hint="eastAsia" w:ascii="宋体" w:hAnsi="宋体" w:eastAsia="宋体" w:cs="宋体"/>
          <w:sz w:val="24"/>
          <w:szCs w:val="24"/>
          <w:lang w:val="en-US" w:eastAsia="zh-CN"/>
        </w:rPr>
        <w:t>s</w:t>
      </w:r>
      <w:r>
        <w:rPr>
          <w:rStyle w:val="37"/>
          <w:rFonts w:hint="eastAsia" w:ascii="宋体" w:hAnsi="宋体" w:eastAsia="宋体" w:cs="宋体"/>
          <w:sz w:val="24"/>
          <w:szCs w:val="24"/>
        </w:rPr>
        <w:t>://ecaitong.sinotruk.com:8012/</w:t>
      </w:r>
      <w:r>
        <w:rPr>
          <w:rStyle w:val="37"/>
          <w:rFonts w:hint="eastAsia" w:ascii="宋体" w:hAnsi="宋体" w:eastAsia="宋体" w:cs="宋体"/>
          <w:sz w:val="24"/>
          <w:szCs w:val="24"/>
        </w:rPr>
        <w:fldChar w:fldCharType="end"/>
      </w:r>
    </w:p>
    <w:p w14:paraId="7BC3932F">
      <w:pPr>
        <w:snapToGrid/>
        <w:spacing w:before="0" w:after="0" w:line="360" w:lineRule="auto"/>
        <w:ind w:left="0" w:right="0" w:firstLine="0"/>
        <w:jc w:val="both"/>
        <w:rPr>
          <w:rFonts w:hint="default" w:ascii="Times New Roman" w:hAnsi="Times New Roman" w:eastAsia="宋体" w:cs="Times New Roman"/>
          <w:i w:val="0"/>
          <w:strike w:val="0"/>
          <w:color w:val="000000"/>
          <w:sz w:val="24"/>
          <w:szCs w:val="24"/>
          <w:u w:val="none"/>
          <w:lang w:eastAsia="zh-CN"/>
        </w:rPr>
      </w:pPr>
      <w:r>
        <w:rPr>
          <w:rFonts w:hint="default" w:ascii="Times New Roman" w:hAnsi="Times New Roman" w:eastAsia="宋体" w:cs="Times New Roman"/>
          <w:i w:val="0"/>
          <w:strike w:val="0"/>
          <w:color w:val="000000"/>
          <w:sz w:val="24"/>
          <w:szCs w:val="24"/>
          <w:u w:val="none"/>
        </w:rPr>
        <w:t>用 户 名：gys+供应商代码</w:t>
      </w:r>
      <w:r>
        <w:rPr>
          <w:rFonts w:hint="default" w:ascii="Times New Roman" w:hAnsi="Times New Roman" w:eastAsia="宋体" w:cs="Times New Roman"/>
          <w:i w:val="0"/>
          <w:strike w:val="0"/>
          <w:color w:val="000000"/>
          <w:sz w:val="24"/>
          <w:szCs w:val="24"/>
          <w:u w:val="none"/>
          <w:lang w:eastAsia="zh-CN"/>
        </w:rPr>
        <w:t>（</w:t>
      </w:r>
      <w:r>
        <w:rPr>
          <w:rFonts w:hint="default" w:ascii="Times New Roman" w:hAnsi="Times New Roman" w:eastAsia="宋体" w:cs="Times New Roman"/>
          <w:i w:val="0"/>
          <w:strike w:val="0"/>
          <w:color w:val="FF0000"/>
          <w:sz w:val="24"/>
          <w:szCs w:val="24"/>
          <w:highlight w:val="none"/>
          <w:u w:val="none"/>
          <w:lang w:val="en-US" w:eastAsia="zh-CN"/>
        </w:rPr>
        <w:t>注意：注册完毕后，用户名不要用手机号登录</w:t>
      </w:r>
      <w:r>
        <w:rPr>
          <w:rFonts w:hint="default" w:ascii="Times New Roman" w:hAnsi="Times New Roman" w:eastAsia="宋体" w:cs="Times New Roman"/>
          <w:i w:val="0"/>
          <w:strike w:val="0"/>
          <w:color w:val="000000"/>
          <w:sz w:val="24"/>
          <w:szCs w:val="24"/>
          <w:u w:val="none"/>
          <w:lang w:eastAsia="zh-CN"/>
        </w:rPr>
        <w:t>）</w:t>
      </w:r>
    </w:p>
    <w:p w14:paraId="6EB598E2">
      <w:pPr>
        <w:pStyle w:val="12"/>
        <w:rPr>
          <w:rFonts w:hint="eastAsia"/>
        </w:rPr>
      </w:pPr>
      <w:r>
        <w:rPr>
          <w:rFonts w:hint="eastAsia"/>
          <w:sz w:val="24"/>
          <w:highlight w:val="none"/>
        </w:rPr>
        <w:t>初始密码为scm@2022或@2023</w:t>
      </w:r>
    </w:p>
    <w:p w14:paraId="6870C911">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1.供应商应标</w:t>
      </w:r>
    </w:p>
    <w:p w14:paraId="6B38AD38">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供应商应标</w:t>
      </w:r>
    </w:p>
    <w:p w14:paraId="09129DA8">
      <w:pPr>
        <w:snapToGrid/>
        <w:spacing w:before="0" w:after="0" w:line="360" w:lineRule="auto"/>
        <w:ind w:left="0" w:right="0"/>
        <w:jc w:val="both"/>
        <w:rPr>
          <w:rFonts w:ascii="宋体" w:hAnsi="宋体" w:eastAsia="宋体" w:cs="宋体"/>
          <w:i w:val="0"/>
          <w:strike w:val="0"/>
          <w:color w:val="000000"/>
          <w:sz w:val="24"/>
          <w:szCs w:val="24"/>
          <w:u w:val="none"/>
        </w:rPr>
      </w:pPr>
      <w:r>
        <w:rPr>
          <w:rFonts w:ascii="宋体" w:hAnsi="宋体" w:eastAsia="宋体" w:cs="宋体"/>
          <w:i w:val="0"/>
          <w:strike w:val="0"/>
          <w:color w:val="000000"/>
          <w:sz w:val="24"/>
          <w:szCs w:val="24"/>
          <w:u w:val="none"/>
        </w:rPr>
        <w:t>点击应标，上传文件之后点击提交。</w:t>
      </w:r>
    </w:p>
    <w:p w14:paraId="29700869">
      <w:pPr>
        <w:snapToGrid/>
        <w:spacing w:before="0" w:after="0" w:line="240" w:lineRule="auto"/>
        <w:ind w:left="0" w:right="0"/>
        <w:jc w:val="both"/>
      </w:pPr>
      <w:r>
        <w:drawing>
          <wp:inline distT="0" distB="0" distL="0" distR="0">
            <wp:extent cx="5760085" cy="2269490"/>
            <wp:effectExtent l="0" t="0" r="12065" b="16510"/>
            <wp:docPr id="25" name="picture" descr="descript"/>
            <wp:cNvGraphicFramePr/>
            <a:graphic xmlns:a="http://schemas.openxmlformats.org/drawingml/2006/main">
              <a:graphicData uri="http://schemas.openxmlformats.org/drawingml/2006/picture">
                <pic:pic xmlns:pic="http://schemas.openxmlformats.org/drawingml/2006/picture">
                  <pic:nvPicPr>
                    <pic:cNvPr id="25" name="picture" descr="descript"/>
                    <pic:cNvPicPr/>
                  </pic:nvPicPr>
                  <pic:blipFill>
                    <a:blip r:embed="rId15"/>
                    <a:stretch>
                      <a:fillRect/>
                    </a:stretch>
                  </pic:blipFill>
                  <pic:spPr>
                    <a:xfrm>
                      <a:off x="0" y="0"/>
                      <a:ext cx="5760085" cy="2269864"/>
                    </a:xfrm>
                    <a:prstGeom prst="rect">
                      <a:avLst/>
                    </a:prstGeom>
                  </pic:spPr>
                </pic:pic>
              </a:graphicData>
            </a:graphic>
          </wp:inline>
        </w:drawing>
      </w:r>
    </w:p>
    <w:p w14:paraId="6FC0C503">
      <w:pPr>
        <w:snapToGrid/>
        <w:spacing w:before="0" w:after="0" w:line="240" w:lineRule="auto"/>
        <w:ind w:left="0" w:right="0"/>
        <w:jc w:val="both"/>
      </w:pPr>
    </w:p>
    <w:p w14:paraId="12566FF3">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2.供应商投标</w:t>
      </w:r>
    </w:p>
    <w:p w14:paraId="5B08C7A4">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供应商投标</w:t>
      </w:r>
    </w:p>
    <w:p w14:paraId="5452BC84">
      <w:pPr>
        <w:snapToGrid/>
        <w:spacing w:before="0" w:after="0" w:line="240" w:lineRule="auto"/>
        <w:ind w:left="0" w:right="0"/>
        <w:jc w:val="both"/>
        <w:rPr>
          <w:rFonts w:ascii="宋体" w:hAnsi="宋体" w:eastAsia="宋体" w:cs="宋体"/>
          <w:i w:val="0"/>
          <w:strike w:val="0"/>
          <w:color w:val="000000"/>
          <w:sz w:val="21"/>
          <w:u w:val="none"/>
        </w:rPr>
      </w:pPr>
      <w:r>
        <w:rPr>
          <w:rFonts w:ascii="宋体" w:hAnsi="宋体" w:eastAsia="宋体" w:cs="宋体"/>
          <w:i w:val="0"/>
          <w:strike w:val="0"/>
          <w:color w:val="000000"/>
          <w:sz w:val="21"/>
          <w:u w:val="none"/>
        </w:rPr>
        <w:drawing>
          <wp:inline distT="0" distB="0" distL="0" distR="0">
            <wp:extent cx="5760085" cy="2125345"/>
            <wp:effectExtent l="0" t="0" r="12065" b="8255"/>
            <wp:docPr id="26" name="picture" descr="descript"/>
            <wp:cNvGraphicFramePr/>
            <a:graphic xmlns:a="http://schemas.openxmlformats.org/drawingml/2006/main">
              <a:graphicData uri="http://schemas.openxmlformats.org/drawingml/2006/picture">
                <pic:pic xmlns:pic="http://schemas.openxmlformats.org/drawingml/2006/picture">
                  <pic:nvPicPr>
                    <pic:cNvPr id="26" name="picture" descr="descript"/>
                    <pic:cNvPicPr/>
                  </pic:nvPicPr>
                  <pic:blipFill>
                    <a:blip r:embed="rId16"/>
                    <a:stretch>
                      <a:fillRect/>
                    </a:stretch>
                  </pic:blipFill>
                  <pic:spPr>
                    <a:xfrm>
                      <a:off x="0" y="0"/>
                      <a:ext cx="5760085" cy="2125673"/>
                    </a:xfrm>
                    <a:prstGeom prst="rect">
                      <a:avLst/>
                    </a:prstGeom>
                  </pic:spPr>
                </pic:pic>
              </a:graphicData>
            </a:graphic>
          </wp:inline>
        </w:drawing>
      </w:r>
    </w:p>
    <w:p w14:paraId="44AAA1FA">
      <w:pPr>
        <w:snapToGrid/>
        <w:spacing w:before="0" w:after="0" w:line="360" w:lineRule="auto"/>
        <w:ind w:left="0" w:right="0"/>
        <w:jc w:val="both"/>
        <w:rPr>
          <w:rFonts w:ascii="宋体" w:hAnsi="宋体" w:eastAsia="宋体" w:cs="宋体"/>
          <w:i w:val="0"/>
          <w:strike w:val="0"/>
          <w:color w:val="000000"/>
          <w:sz w:val="24"/>
          <w:szCs w:val="28"/>
          <w:u w:val="none"/>
        </w:rPr>
      </w:pPr>
      <w:r>
        <w:rPr>
          <w:rFonts w:ascii="宋体" w:hAnsi="宋体" w:eastAsia="宋体" w:cs="宋体"/>
          <w:i w:val="0"/>
          <w:strike w:val="0"/>
          <w:color w:val="000000"/>
          <w:sz w:val="24"/>
          <w:szCs w:val="28"/>
          <w:u w:val="none"/>
        </w:rPr>
        <w:t>点击投标按钮，进入详情页，输入投标报价并上传相应的附件。</w:t>
      </w:r>
    </w:p>
    <w:p w14:paraId="767038DF">
      <w:pPr>
        <w:pStyle w:val="14"/>
        <w:rPr>
          <w:b/>
          <w:bCs/>
          <w:highlight w:val="none"/>
        </w:rPr>
      </w:pPr>
      <w:r>
        <w:rPr>
          <w:rFonts w:hint="eastAsia" w:ascii="宋体" w:hAnsi="宋体" w:eastAsia="宋体" w:cs="宋体"/>
          <w:b/>
          <w:bCs/>
          <w:i w:val="0"/>
          <w:strike w:val="0"/>
          <w:color w:val="000000"/>
          <w:sz w:val="24"/>
          <w:szCs w:val="28"/>
          <w:highlight w:val="none"/>
          <w:u w:val="none"/>
          <w:lang w:val="en-US" w:eastAsia="zh-CN"/>
        </w:rPr>
        <w:t>注意：系统内的投标报价单位为“万元”，如开标现场发现填错报价，即直接淘汰</w:t>
      </w:r>
      <w:r>
        <w:rPr>
          <w:rFonts w:hint="eastAsia" w:hAnsi="宋体" w:eastAsia="宋体" w:cs="宋体"/>
          <w:b/>
          <w:bCs/>
          <w:i w:val="0"/>
          <w:strike w:val="0"/>
          <w:color w:val="000000"/>
          <w:sz w:val="24"/>
          <w:szCs w:val="28"/>
          <w:highlight w:val="none"/>
          <w:u w:val="none"/>
          <w:lang w:val="en-US" w:eastAsia="zh-CN"/>
        </w:rPr>
        <w:t>。</w:t>
      </w:r>
    </w:p>
    <w:p w14:paraId="2C1CB367">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668905"/>
            <wp:effectExtent l="0" t="0" r="15240" b="17145"/>
            <wp:docPr id="27" name="picture" descr="descript"/>
            <wp:cNvGraphicFramePr/>
            <a:graphic xmlns:a="http://schemas.openxmlformats.org/drawingml/2006/main">
              <a:graphicData uri="http://schemas.openxmlformats.org/drawingml/2006/picture">
                <pic:pic xmlns:pic="http://schemas.openxmlformats.org/drawingml/2006/picture">
                  <pic:nvPicPr>
                    <pic:cNvPr id="27" name="picture" descr="descript"/>
                    <pic:cNvPicPr/>
                  </pic:nvPicPr>
                  <pic:blipFill>
                    <a:blip r:embed="rId17"/>
                    <a:stretch>
                      <a:fillRect/>
                    </a:stretch>
                  </pic:blipFill>
                  <pic:spPr>
                    <a:xfrm>
                      <a:off x="0" y="0"/>
                      <a:ext cx="5490210" cy="2669498"/>
                    </a:xfrm>
                    <a:prstGeom prst="rect">
                      <a:avLst/>
                    </a:prstGeom>
                  </pic:spPr>
                </pic:pic>
              </a:graphicData>
            </a:graphic>
          </wp:inline>
        </w:drawing>
      </w:r>
    </w:p>
    <w:p w14:paraId="10FBE356">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3.供应商技术标澄清函</w:t>
      </w:r>
    </w:p>
    <w:p w14:paraId="587847E9">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供应商技术标澄清函</w:t>
      </w:r>
    </w:p>
    <w:p w14:paraId="33A7F0BF">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点击编辑按钮进入系统，上传技术标澄清函。</w:t>
      </w:r>
    </w:p>
    <w:p w14:paraId="7DFB480E">
      <w:pPr>
        <w:spacing w:before="0" w:after="0" w:line="360" w:lineRule="auto"/>
        <w:ind w:left="0"/>
        <w:rPr>
          <w:rFonts w:ascii="Arial" w:hAnsi="Arial" w:eastAsia="Arial" w:cs="Arial"/>
          <w:i w:val="0"/>
          <w:strike w:val="0"/>
          <w:color w:val="000000"/>
          <w:sz w:val="28"/>
          <w:u w:val="none"/>
        </w:rPr>
      </w:pPr>
      <w:r>
        <w:rPr>
          <w:rFonts w:ascii="宋体" w:hAnsi="宋体" w:eastAsia="宋体" w:cs="宋体"/>
          <w:i w:val="0"/>
          <w:strike w:val="0"/>
          <w:color w:val="000000"/>
          <w:sz w:val="24"/>
          <w:szCs w:val="24"/>
          <w:u w:val="none"/>
        </w:rPr>
        <w:t>开标之后所有投标的供应商都可编辑提交，技术标入围之后</w:t>
      </w:r>
      <w:r>
        <w:rPr>
          <w:rFonts w:hint="eastAsia" w:ascii="宋体" w:hAnsi="宋体" w:eastAsia="宋体" w:cs="宋体"/>
          <w:i w:val="0"/>
          <w:strike w:val="0"/>
          <w:color w:val="000000"/>
          <w:sz w:val="24"/>
          <w:szCs w:val="24"/>
          <w:u w:val="none"/>
        </w:rPr>
        <w:t xml:space="preserve"> </w:t>
      </w:r>
      <w:r>
        <w:rPr>
          <w:rFonts w:ascii="宋体" w:hAnsi="宋体" w:eastAsia="宋体" w:cs="宋体"/>
          <w:i w:val="0"/>
          <w:strike w:val="0"/>
          <w:color w:val="000000"/>
          <w:sz w:val="24"/>
          <w:szCs w:val="24"/>
          <w:u w:val="none"/>
        </w:rPr>
        <w:t>都不可编辑</w:t>
      </w:r>
      <w:r>
        <w:rPr>
          <w:rFonts w:ascii="Arial" w:hAnsi="Arial" w:eastAsia="Arial" w:cs="Arial"/>
          <w:i w:val="0"/>
          <w:strike w:val="0"/>
          <w:color w:val="000000"/>
          <w:sz w:val="28"/>
          <w:u w:val="none"/>
        </w:rPr>
        <w:drawing>
          <wp:inline distT="0" distB="0" distL="0" distR="0">
            <wp:extent cx="5490210" cy="1992630"/>
            <wp:effectExtent l="0" t="0" r="15240" b="7620"/>
            <wp:docPr id="28" name="picture" descr="descript"/>
            <wp:cNvGraphicFramePr/>
            <a:graphic xmlns:a="http://schemas.openxmlformats.org/drawingml/2006/main">
              <a:graphicData uri="http://schemas.openxmlformats.org/drawingml/2006/picture">
                <pic:pic xmlns:pic="http://schemas.openxmlformats.org/drawingml/2006/picture">
                  <pic:nvPicPr>
                    <pic:cNvPr id="28" name="picture" descr="descript"/>
                    <pic:cNvPicPr/>
                  </pic:nvPicPr>
                  <pic:blipFill>
                    <a:blip r:embed="rId18"/>
                    <a:stretch>
                      <a:fillRect/>
                    </a:stretch>
                  </pic:blipFill>
                  <pic:spPr>
                    <a:xfrm>
                      <a:off x="0" y="0"/>
                      <a:ext cx="5490210" cy="1992743"/>
                    </a:xfrm>
                    <a:prstGeom prst="rect">
                      <a:avLst/>
                    </a:prstGeom>
                  </pic:spPr>
                </pic:pic>
              </a:graphicData>
            </a:graphic>
          </wp:inline>
        </w:drawing>
      </w:r>
    </w:p>
    <w:p w14:paraId="79933C9D">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4.供应商报价</w:t>
      </w:r>
    </w:p>
    <w:p w14:paraId="6351E23D">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供应商报价</w:t>
      </w:r>
    </w:p>
    <w:p w14:paraId="063B414B">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点击报价按钮进入报价详情界面，请在此轮报价起止时间内报价，否则无法报价。</w:t>
      </w:r>
    </w:p>
    <w:p w14:paraId="6B4F12C4">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5.供应商澄清报价</w:t>
      </w:r>
    </w:p>
    <w:p w14:paraId="60B7C771">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供应商澄清报价</w:t>
      </w:r>
    </w:p>
    <w:p w14:paraId="6D12A282">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招标发起人接收建议价的同时会给供应商发送澄清报价，供应商在此界面进行澄清报价，点击编辑按钮进入澄清报价详细界面，输入价格并上传澄清函，之后点击提交。</w:t>
      </w:r>
    </w:p>
    <w:p w14:paraId="3EE190DD">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544445"/>
            <wp:effectExtent l="0" t="0" r="15240" b="8255"/>
            <wp:docPr id="29" name="picture" descr="descript"/>
            <wp:cNvGraphicFramePr/>
            <a:graphic xmlns:a="http://schemas.openxmlformats.org/drawingml/2006/main">
              <a:graphicData uri="http://schemas.openxmlformats.org/drawingml/2006/picture">
                <pic:pic xmlns:pic="http://schemas.openxmlformats.org/drawingml/2006/picture">
                  <pic:nvPicPr>
                    <pic:cNvPr id="29" name="picture" descr="descript"/>
                    <pic:cNvPicPr/>
                  </pic:nvPicPr>
                  <pic:blipFill>
                    <a:blip r:embed="rId19"/>
                    <a:stretch>
                      <a:fillRect/>
                    </a:stretch>
                  </pic:blipFill>
                  <pic:spPr>
                    <a:xfrm>
                      <a:off x="0" y="0"/>
                      <a:ext cx="5490210" cy="2544669"/>
                    </a:xfrm>
                    <a:prstGeom prst="rect">
                      <a:avLst/>
                    </a:prstGeom>
                  </pic:spPr>
                </pic:pic>
              </a:graphicData>
            </a:graphic>
          </wp:inline>
        </w:drawing>
      </w:r>
    </w:p>
    <w:p w14:paraId="5845F660">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6.供应商查看中标通知</w:t>
      </w:r>
    </w:p>
    <w:p w14:paraId="4D335B85">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中标项目</w:t>
      </w:r>
    </w:p>
    <w:p w14:paraId="43DC18C4">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点击查看进入查看中标项目详情</w:t>
      </w:r>
    </w:p>
    <w:p w14:paraId="5C92D437">
      <w:pPr>
        <w:snapToGrid/>
        <w:spacing w:before="0" w:after="0" w:line="240" w:lineRule="auto"/>
        <w:ind w:left="0" w:right="0"/>
        <w:jc w:val="both"/>
      </w:pPr>
      <w:r>
        <w:drawing>
          <wp:inline distT="0" distB="0" distL="0" distR="0">
            <wp:extent cx="5760085" cy="1956435"/>
            <wp:effectExtent l="0" t="0" r="12065" b="5715"/>
            <wp:docPr id="30" name="picture" descr="descript"/>
            <wp:cNvGraphicFramePr/>
            <a:graphic xmlns:a="http://schemas.openxmlformats.org/drawingml/2006/main">
              <a:graphicData uri="http://schemas.openxmlformats.org/drawingml/2006/picture">
                <pic:pic xmlns:pic="http://schemas.openxmlformats.org/drawingml/2006/picture">
                  <pic:nvPicPr>
                    <pic:cNvPr id="30" name="picture" descr="descript"/>
                    <pic:cNvPicPr/>
                  </pic:nvPicPr>
                  <pic:blipFill>
                    <a:blip r:embed="rId20"/>
                    <a:stretch>
                      <a:fillRect/>
                    </a:stretch>
                  </pic:blipFill>
                  <pic:spPr>
                    <a:xfrm>
                      <a:off x="0" y="0"/>
                      <a:ext cx="5760085" cy="1956600"/>
                    </a:xfrm>
                    <a:prstGeom prst="rect">
                      <a:avLst/>
                    </a:prstGeom>
                  </pic:spPr>
                </pic:pic>
              </a:graphicData>
            </a:graphic>
          </wp:inline>
        </w:drawing>
      </w:r>
    </w:p>
    <w:p w14:paraId="6D948036">
      <w:pPr>
        <w:rPr>
          <w:rFonts w:hint="default" w:hAnsi="宋体"/>
          <w:sz w:val="24"/>
          <w:lang w:val="en-US"/>
        </w:rPr>
      </w:pPr>
      <w:r>
        <w:rPr>
          <w:rFonts w:hint="default" w:hAnsi="宋体"/>
          <w:sz w:val="24"/>
          <w:lang w:val="en-US"/>
        </w:rPr>
        <w:br w:type="page"/>
      </w:r>
    </w:p>
    <w:p w14:paraId="775AB031">
      <w:pPr>
        <w:outlineLvl w:val="1"/>
        <w:rPr>
          <w:rFonts w:ascii="Calibri" w:hAnsi="Calibri" w:eastAsia="宋体" w:cs="Times New Roman"/>
          <w:szCs w:val="20"/>
        </w:rPr>
      </w:pPr>
      <w:r>
        <w:rPr>
          <w:rFonts w:hint="eastAsia" w:ascii="Times New Roman" w:hAnsi="Times New Roman" w:eastAsia="宋体" w:cs="Times New Roman"/>
          <w:b/>
          <w:bCs/>
          <w:color w:val="000000"/>
          <w:sz w:val="24"/>
          <w:szCs w:val="24"/>
        </w:rPr>
        <w:t>附件</w:t>
      </w:r>
      <w:r>
        <w:rPr>
          <w:rFonts w:hint="eastAsia" w:cs="Times New Roman"/>
          <w:b/>
          <w:bCs/>
          <w:color w:val="000000"/>
          <w:sz w:val="24"/>
          <w:szCs w:val="24"/>
          <w:lang w:val="en-US" w:eastAsia="zh-CN"/>
        </w:rPr>
        <w:t>10</w:t>
      </w:r>
      <w:r>
        <w:rPr>
          <w:rFonts w:hint="eastAsia" w:ascii="Times New Roman" w:hAnsi="Times New Roman" w:eastAsia="宋体" w:cs="Times New Roman"/>
          <w:b/>
          <w:bCs/>
          <w:color w:val="000000"/>
          <w:sz w:val="24"/>
          <w:szCs w:val="24"/>
        </w:rPr>
        <w:t xml:space="preserve"> 投标文件封面及封口格式</w:t>
      </w:r>
    </w:p>
    <w:p w14:paraId="6D263CE9">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0"/>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5D3D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6EFBB33F">
            <w:pPr>
              <w:jc w:val="center"/>
              <w:rPr>
                <w:rFonts w:ascii="Times New Roman" w:hAnsi="Times New Roman" w:eastAsia="宋体" w:cs="Times New Roman"/>
                <w:b/>
                <w:szCs w:val="20"/>
              </w:rPr>
            </w:pPr>
          </w:p>
          <w:p w14:paraId="49187AC9">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14:paraId="4B2B5772">
            <w:pPr>
              <w:rPr>
                <w:rFonts w:ascii="Times New Roman" w:hAnsi="Times New Roman" w:eastAsia="等线" w:cs="Times New Roman"/>
                <w:b/>
                <w:sz w:val="30"/>
                <w:szCs w:val="30"/>
              </w:rPr>
            </w:pPr>
          </w:p>
          <w:p w14:paraId="58C695DE">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ascii="等线" w:hAnsi="等线" w:eastAsia="等线" w:cs="Times New Roman"/>
                <w:b/>
                <w:sz w:val="30"/>
                <w:szCs w:val="30"/>
                <w:u w:val="single"/>
              </w:rPr>
              <w:t xml:space="preserve"> </w:t>
            </w:r>
            <w:r>
              <w:rPr>
                <w:rFonts w:hint="eastAsia" w:ascii="等线" w:hAnsi="等线" w:eastAsia="等线" w:cs="Times New Roman"/>
                <w:b/>
                <w:sz w:val="30"/>
                <w:szCs w:val="30"/>
                <w:u w:val="single"/>
                <w:lang w:val="en-US" w:eastAsia="zh-CN"/>
              </w:rPr>
              <w:t>4</w:t>
            </w:r>
            <w:r>
              <w:rPr>
                <w:rFonts w:ascii="等线" w:hAnsi="等线" w:eastAsia="等线" w:cs="Times New Roman"/>
                <w:b/>
                <w:sz w:val="30"/>
                <w:szCs w:val="30"/>
                <w:u w:val="single"/>
              </w:rPr>
              <w:t xml:space="preserve"> </w:t>
            </w:r>
            <w:r>
              <w:rPr>
                <w:rFonts w:hint="eastAsia" w:ascii="宋体" w:hAnsi="宋体" w:eastAsia="宋体" w:cs="宋体"/>
                <w:b/>
                <w:sz w:val="30"/>
                <w:szCs w:val="30"/>
              </w:rPr>
              <w:t>副本）</w:t>
            </w:r>
          </w:p>
          <w:p w14:paraId="55703D3D">
            <w:pPr>
              <w:jc w:val="center"/>
              <w:rPr>
                <w:rFonts w:ascii="Times New Roman" w:hAnsi="Times New Roman" w:eastAsia="宋体" w:cs="Times New Roman"/>
                <w:b/>
                <w:szCs w:val="20"/>
              </w:rPr>
            </w:pPr>
          </w:p>
          <w:p w14:paraId="4DEA33F6">
            <w:pPr>
              <w:jc w:val="center"/>
              <w:rPr>
                <w:rFonts w:ascii="Times New Roman" w:hAnsi="Times New Roman" w:eastAsia="宋体" w:cs="Times New Roman"/>
                <w:b/>
                <w:szCs w:val="20"/>
              </w:rPr>
            </w:pPr>
          </w:p>
          <w:p w14:paraId="000DBAF6">
            <w:pPr>
              <w:jc w:val="center"/>
              <w:rPr>
                <w:rFonts w:ascii="Times New Roman" w:hAnsi="Times New Roman" w:eastAsia="宋体" w:cs="Times New Roman"/>
                <w:b/>
                <w:szCs w:val="20"/>
              </w:rPr>
            </w:pPr>
            <w:r>
              <w:rPr>
                <w:rFonts w:hint="eastAsia" w:ascii="宋体" w:hAnsi="宋体" w:eastAsia="宋体" w:cs="宋体"/>
                <w:b/>
                <w:szCs w:val="20"/>
              </w:rPr>
              <w:t>项目名称：</w:t>
            </w:r>
            <w:r>
              <w:rPr>
                <w:rFonts w:hint="eastAsia" w:ascii="宋体" w:hAnsi="宋体" w:cs="宋体"/>
                <w:b/>
                <w:bCs/>
                <w:i w:val="0"/>
                <w:iCs w:val="0"/>
                <w:sz w:val="24"/>
                <w:szCs w:val="24"/>
                <w:highlight w:val="none"/>
                <w:u w:val="none"/>
                <w:lang w:val="en-US" w:eastAsia="zh-CN"/>
              </w:rPr>
              <w:t>多联机空调维保项目</w:t>
            </w:r>
            <w:r>
              <w:rPr>
                <w:rFonts w:hint="eastAsia" w:ascii="宋体" w:hAnsi="宋体" w:cs="宋体"/>
                <w:b/>
                <w:bCs/>
                <w:i w:val="0"/>
                <w:iCs w:val="0"/>
                <w:sz w:val="24"/>
                <w:szCs w:val="24"/>
                <w:highlight w:val="cyan"/>
                <w:u w:val="none"/>
                <w:lang w:val="en-US" w:eastAsia="zh-CN"/>
              </w:rPr>
              <w:br w:type="textWrapping"/>
            </w:r>
            <w:r>
              <w:rPr>
                <w:rFonts w:hint="eastAsia" w:ascii="宋体" w:hAnsi="宋体" w:eastAsia="宋体" w:cs="宋体"/>
                <w:b/>
                <w:szCs w:val="20"/>
              </w:rPr>
              <w:t>投标人名称（公章）：</w:t>
            </w:r>
          </w:p>
          <w:p w14:paraId="29CA31AE">
            <w:pPr>
              <w:jc w:val="center"/>
              <w:rPr>
                <w:rFonts w:ascii="Times New Roman" w:hAnsi="Times New Roman" w:eastAsia="宋体" w:cs="Times New Roman"/>
                <w:b/>
                <w:szCs w:val="20"/>
              </w:rPr>
            </w:pPr>
            <w:r>
              <w:rPr>
                <w:rFonts w:hint="eastAsia" w:ascii="宋体" w:hAnsi="宋体" w:eastAsia="宋体" w:cs="宋体"/>
                <w:b/>
                <w:szCs w:val="20"/>
              </w:rPr>
              <w:t>地址：</w:t>
            </w:r>
          </w:p>
          <w:p w14:paraId="4CE0B089">
            <w:pPr>
              <w:jc w:val="center"/>
              <w:rPr>
                <w:rFonts w:ascii="Times New Roman" w:hAnsi="Times New Roman" w:eastAsia="宋体" w:cs="Times New Roman"/>
                <w:b/>
                <w:szCs w:val="20"/>
              </w:rPr>
            </w:pPr>
            <w:r>
              <w:rPr>
                <w:rFonts w:hint="eastAsia" w:ascii="宋体" w:hAnsi="宋体" w:eastAsia="宋体" w:cs="宋体"/>
                <w:b/>
                <w:szCs w:val="20"/>
              </w:rPr>
              <w:t>授权代表电话：</w:t>
            </w:r>
          </w:p>
          <w:p w14:paraId="62E15474">
            <w:pPr>
              <w:jc w:val="center"/>
              <w:rPr>
                <w:rFonts w:ascii="Times New Roman" w:hAnsi="Times New Roman" w:eastAsia="宋体" w:cs="Times New Roman"/>
                <w:b/>
                <w:szCs w:val="20"/>
              </w:rPr>
            </w:pPr>
            <w:r>
              <w:rPr>
                <w:rFonts w:hint="eastAsia" w:ascii="宋体" w:hAnsi="宋体" w:eastAsia="宋体" w:cs="宋体"/>
                <w:b/>
                <w:szCs w:val="20"/>
              </w:rPr>
              <w:t>传真：</w:t>
            </w:r>
          </w:p>
          <w:p w14:paraId="7971DA6D">
            <w:pPr>
              <w:jc w:val="center"/>
              <w:rPr>
                <w:rFonts w:ascii="Times New Roman" w:hAnsi="Times New Roman" w:eastAsia="宋体" w:cs="Times New Roman"/>
                <w:b/>
                <w:szCs w:val="20"/>
              </w:rPr>
            </w:pPr>
          </w:p>
          <w:p w14:paraId="1FD58435">
            <w:pPr>
              <w:jc w:val="center"/>
              <w:rPr>
                <w:rFonts w:ascii="Times New Roman" w:hAnsi="Times New Roman" w:eastAsia="宋体" w:cs="Times New Roman"/>
                <w:b/>
                <w:szCs w:val="20"/>
              </w:rPr>
            </w:pPr>
          </w:p>
        </w:tc>
      </w:tr>
    </w:tbl>
    <w:p w14:paraId="4E35C53D">
      <w:pPr>
        <w:pStyle w:val="76"/>
        <w:rPr>
          <w:rFonts w:hint="default" w:hAnsi="宋体"/>
          <w:sz w:val="24"/>
          <w:lang w:val="en-US"/>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sectPr>
      <w:headerReference r:id="rId10" w:type="first"/>
      <w:footerReference r:id="rId12" w:type="first"/>
      <w:footerReference r:id="rId11" w:type="default"/>
      <w:pgSz w:w="11906" w:h="16838"/>
      <w:pgMar w:top="1701" w:right="1418" w:bottom="1134" w:left="1418"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altName w:val="宋体"/>
    <w:panose1 w:val="020B0503020204020204"/>
    <w:charset w:val="86"/>
    <w:family w:val="swiss"/>
    <w:pitch w:val="default"/>
    <w:sig w:usb0="00000000" w:usb1="0000000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
    <w:altName w:val="Times New Roman"/>
    <w:panose1 w:val="00000000000000000000"/>
    <w:charset w:val="00"/>
    <w:family w:val="roman"/>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8291327"/>
    </w:sdtPr>
    <w:sdtContent>
      <w:p w14:paraId="10E4B243">
        <w:pPr>
          <w:pStyle w:val="18"/>
          <w:jc w:val="center"/>
          <w:rPr>
            <w:sz w:val="21"/>
            <w:szCs w:val="20"/>
          </w:rP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- 18 -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1DC9">
    <w:pPr>
      <w:pStyle w:val="18"/>
      <w:framePr w:wrap="around" w:vAnchor="text" w:hAnchor="margin" w:xAlign="center" w:y="1"/>
      <w:rPr>
        <w:rStyle w:val="34"/>
      </w:rPr>
    </w:pPr>
    <w:r>
      <w:fldChar w:fldCharType="begin"/>
    </w:r>
    <w:r>
      <w:rPr>
        <w:rStyle w:val="34"/>
      </w:rPr>
      <w:instrText xml:space="preserve">PAGE  </w:instrText>
    </w:r>
    <w:r>
      <w:fldChar w:fldCharType="end"/>
    </w:r>
  </w:p>
  <w:p w14:paraId="7AD47F75">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3BF48">
    <w:pPr>
      <w:pStyle w:val="18"/>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AE670">
    <w:pPr>
      <w:pStyle w:val="18"/>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72" name="文本框 100"/>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7EC07BB">
                          <w:pPr>
                            <w:pStyle w:val="18"/>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00"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uXW5UtAAAAAFAQAADwAAAAAAAAABACAAAAAiAAAAZHJzL2Rvd25yZXYu&#10;eG1sUEsBAhQAFAAAAAgAh07iQNo3hVjKAQAAlAMAAA4AAAAAAAAAAQAgAAAAHwEAAGRycy9lMm9E&#10;b2MueG1sUEsFBgAAAAAGAAYAWQEAAFsFAAAAAA==&#10;">
              <v:fill on="f" focussize="0,0"/>
              <v:stroke on="f"/>
              <v:imagedata o:title=""/>
              <o:lock v:ext="edit" aspectratio="f"/>
              <v:textbox inset="0mm,0mm,0mm,0mm" style="mso-fit-shape-to-text:t;">
                <w:txbxContent>
                  <w:p w14:paraId="77EC07BB">
                    <w:pPr>
                      <w:pStyle w:val="18"/>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6EDD5">
    <w:pPr>
      <w:pStyle w:val="18"/>
      <w:jc w:val="center"/>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73" name="文本框 10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14137EB">
                          <w:pPr>
                            <w:pStyle w:val="18"/>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01"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5dblS0AAAAAUBAAAPAAAAAAAAAAEAIAAAACIAAABkcnMvZG93bnJl&#10;di54bWxQSwECFAAUAAAACACHTuJAOQo78MwBAACUAwAADgAAAAAAAAABACAAAAAfAQAAZHJzL2Uy&#10;b0RvYy54bWxQSwUGAAAAAAYABgBZAQAAXQUAAAAA&#10;">
              <v:fill on="f" focussize="0,0"/>
              <v:stroke on="f"/>
              <v:imagedata o:title=""/>
              <o:lock v:ext="edit" aspectratio="f"/>
              <v:textbox inset="0mm,0mm,0mm,0mm" style="mso-fit-shape-to-text:t;">
                <w:txbxContent>
                  <w:p w14:paraId="214137EB">
                    <w:pPr>
                      <w:pStyle w:val="18"/>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F351B">
    <w:pPr>
      <w:spacing w:line="179" w:lineRule="auto"/>
      <w:ind w:left="6868"/>
      <w:rPr>
        <w:rFonts w:ascii="宋体" w:hAnsi="宋体" w:eastAsia="宋体" w:cs="宋体"/>
        <w:sz w:val="17"/>
        <w:szCs w:val="17"/>
      </w:rPr>
    </w:pPr>
    <w:r>
      <w:rPr>
        <w:sz w:val="1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40DB97">
                          <w:pPr>
                            <w:pStyle w:val="18"/>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ZNNQg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n31dpwuXDwAlxo5IonusdEK7a7tme1M&#10;cQIxZ7re8JZvaiTfMh/umUMz4MEYl3CHpZQGSUxvUVIZ9/Vf5zEeNYKXkgbNlVONWaJEftCoHQDD&#10;YLjB2A2GPqhbg26dYAwtTyYuuCAHs3RGfcEMrWIOuJjmyJTTMJi3oWtwzCAXq1UKQrdZFrb6wfII&#10;HcXzdnUIEDDpGkXplOi1Qr+lyvSzERv6z32KevofLB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ZNNQgtAgAAVwQAAA4AAAAAAAAAAQAgAAAAHwEAAGRycy9lMm9Eb2MueG1sUEsFBgAAAAAG&#10;AAYAWQEAAL4FAAAAAA==&#10;">
              <v:fill on="f" focussize="0,0"/>
              <v:stroke on="f" weight="0.5pt"/>
              <v:imagedata o:title=""/>
              <o:lock v:ext="edit" aspectratio="f"/>
              <v:textbox inset="0mm,0mm,0mm,0mm" style="mso-fit-shape-to-text:t;">
                <w:txbxContent>
                  <w:p w14:paraId="2640DB97">
                    <w:pPr>
                      <w:pStyle w:val="18"/>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8472429"/>
    </w:sdtPr>
    <w:sdtContent>
      <w:sdt>
        <w:sdtPr>
          <w:id w:val="1728636285"/>
        </w:sdtPr>
        <w:sdtContent>
          <w:p w14:paraId="2F4AD690">
            <w:pPr>
              <w:pStyle w:val="18"/>
              <w:jc w:val="cente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sdtContent>
  </w:sdt>
  <w:p w14:paraId="651627BB">
    <w:pPr>
      <w:pStyle w:val="18"/>
      <w:jc w:val="center"/>
    </w:pPr>
  </w:p>
  <w:p w14:paraId="1DFF0D79"/>
  <w:p w14:paraId="5CB49AF2"/>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A41F0">
    <w:pPr>
      <w:pStyle w:val="19"/>
      <w:ind w:firstLine="360"/>
      <w:jc w:val="right"/>
    </w:pPr>
    <w:r>
      <w:rPr>
        <w:rFonts w:hint="eastAsia"/>
      </w:rPr>
      <w:t>中国重型汽车集团*</w:t>
    </w:r>
    <w:r>
      <w:t>*****</w:t>
    </w:r>
    <w:r>
      <w:rPr>
        <w:rFonts w:hint="eastAsia"/>
      </w:rPr>
      <w:t>采购项目招标书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F124D">
    <w:pPr>
      <w:pStyle w:val="1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C20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23EC5"/>
    <w:multiLevelType w:val="multilevel"/>
    <w:tmpl w:val="86323EC5"/>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B20830A4"/>
    <w:multiLevelType w:val="multilevel"/>
    <w:tmpl w:val="B20830A4"/>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
    <w:nsid w:val="B862383A"/>
    <w:multiLevelType w:val="multilevel"/>
    <w:tmpl w:val="B862383A"/>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
    <w:nsid w:val="B9F08EBE"/>
    <w:multiLevelType w:val="multilevel"/>
    <w:tmpl w:val="B9F08EBE"/>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highlight w:val="none"/>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
    <w:nsid w:val="CA6467C6"/>
    <w:multiLevelType w:val="multilevel"/>
    <w:tmpl w:val="CA6467C6"/>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5">
    <w:nsid w:val="D05F1A21"/>
    <w:multiLevelType w:val="multilevel"/>
    <w:tmpl w:val="D05F1A21"/>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b w:val="0"/>
        <w:bCs w:val="0"/>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6">
    <w:nsid w:val="D87ECBDD"/>
    <w:multiLevelType w:val="multilevel"/>
    <w:tmpl w:val="D87ECBDD"/>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7">
    <w:nsid w:val="F40E5138"/>
    <w:multiLevelType w:val="singleLevel"/>
    <w:tmpl w:val="F40E5138"/>
    <w:lvl w:ilvl="0" w:tentative="0">
      <w:start w:val="1"/>
      <w:numFmt w:val="bullet"/>
      <w:suff w:val="nothing"/>
      <w:lvlText w:val=""/>
      <w:lvlJc w:val="left"/>
      <w:pPr>
        <w:ind w:left="0" w:leftChars="0" w:firstLine="0" w:firstLineChars="0"/>
      </w:pPr>
      <w:rPr>
        <w:rFonts w:hint="default" w:ascii="Wingdings" w:hAnsi="Wingdings"/>
      </w:rPr>
    </w:lvl>
  </w:abstractNum>
  <w:abstractNum w:abstractNumId="8">
    <w:nsid w:val="06882CE3"/>
    <w:multiLevelType w:val="multilevel"/>
    <w:tmpl w:val="06882CE3"/>
    <w:lvl w:ilvl="0" w:tentative="0">
      <w:start w:val="1"/>
      <w:numFmt w:val="decimal"/>
      <w:pStyle w:val="75"/>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9">
    <w:nsid w:val="080D2180"/>
    <w:multiLevelType w:val="singleLevel"/>
    <w:tmpl w:val="080D2180"/>
    <w:lvl w:ilvl="0" w:tentative="0">
      <w:start w:val="1"/>
      <w:numFmt w:val="bullet"/>
      <w:lvlText w:val=""/>
      <w:lvlJc w:val="left"/>
      <w:pPr>
        <w:ind w:left="420" w:hanging="420"/>
      </w:pPr>
      <w:rPr>
        <w:rFonts w:hint="default" w:ascii="Wingdings" w:hAnsi="Wingdings"/>
      </w:rPr>
    </w:lvl>
  </w:abstractNum>
  <w:abstractNum w:abstractNumId="10">
    <w:nsid w:val="11906048"/>
    <w:multiLevelType w:val="multilevel"/>
    <w:tmpl w:val="11906048"/>
    <w:lvl w:ilvl="0" w:tentative="0">
      <w:start w:val="1"/>
      <w:numFmt w:val="decimal"/>
      <w:suff w:val="nothing"/>
      <w:lvlText w:val="%1."/>
      <w:lvlJc w:val="left"/>
      <w:pPr>
        <w:ind w:left="0" w:leftChars="0" w:firstLine="0" w:firstLineChars="0"/>
      </w:pPr>
      <w:rPr>
        <w:rFonts w:hint="default"/>
      </w:rPr>
    </w:lvl>
    <w:lvl w:ilvl="1" w:tentative="0">
      <w:start w:val="1"/>
      <w:numFmt w:val="decimal"/>
      <w:suff w:val="space"/>
      <w:lvlText w:val="(%2)"/>
      <w:lvlJc w:val="left"/>
      <w:pPr>
        <w:ind w:left="0" w:leftChars="0" w:firstLine="420" w:firstLineChars="0"/>
      </w:pPr>
      <w:rPr>
        <w:rFonts w:hint="default"/>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1">
    <w:nsid w:val="12D9A626"/>
    <w:multiLevelType w:val="singleLevel"/>
    <w:tmpl w:val="12D9A626"/>
    <w:lvl w:ilvl="0" w:tentative="0">
      <w:start w:val="3"/>
      <w:numFmt w:val="chineseCounting"/>
      <w:suff w:val="nothing"/>
      <w:lvlText w:val="第%1部分　"/>
      <w:lvlJc w:val="left"/>
      <w:rPr>
        <w:rFonts w:hint="eastAsia"/>
      </w:rPr>
    </w:lvl>
  </w:abstractNum>
  <w:abstractNum w:abstractNumId="12">
    <w:nsid w:val="13C67257"/>
    <w:multiLevelType w:val="multilevel"/>
    <w:tmpl w:val="13C67257"/>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840" w:leftChars="0" w:hanging="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3">
    <w:nsid w:val="178D3D0E"/>
    <w:multiLevelType w:val="multilevel"/>
    <w:tmpl w:val="178D3D0E"/>
    <w:lvl w:ilvl="0" w:tentative="0">
      <w:start w:val="1"/>
      <w:numFmt w:val="bullet"/>
      <w:pStyle w:val="91"/>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4">
    <w:nsid w:val="199F58C0"/>
    <w:multiLevelType w:val="multilevel"/>
    <w:tmpl w:val="199F58C0"/>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5">
    <w:nsid w:val="1E7B065C"/>
    <w:multiLevelType w:val="multilevel"/>
    <w:tmpl w:val="1E7B065C"/>
    <w:lvl w:ilvl="0" w:tentative="0">
      <w:start w:val="1"/>
      <w:numFmt w:val="decimal"/>
      <w:pStyle w:val="96"/>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6">
    <w:nsid w:val="2B8672BE"/>
    <w:multiLevelType w:val="singleLevel"/>
    <w:tmpl w:val="2B8672BE"/>
    <w:lvl w:ilvl="0" w:tentative="0">
      <w:start w:val="1"/>
      <w:numFmt w:val="decimal"/>
      <w:lvlText w:val="%1."/>
      <w:lvlJc w:val="left"/>
      <w:pPr>
        <w:ind w:left="425" w:hanging="425"/>
      </w:pPr>
      <w:rPr>
        <w:rFonts w:hint="default"/>
      </w:rPr>
    </w:lvl>
  </w:abstractNum>
  <w:abstractNum w:abstractNumId="17">
    <w:nsid w:val="3DA58DF5"/>
    <w:multiLevelType w:val="multilevel"/>
    <w:tmpl w:val="3DA58DF5"/>
    <w:lvl w:ilvl="0" w:tentative="0">
      <w:start w:val="1"/>
      <w:numFmt w:val="decimal"/>
      <w:lvlText w:val="%1."/>
      <w:lvlJc w:val="left"/>
      <w:pPr>
        <w:ind w:left="425" w:hanging="425"/>
      </w:pPr>
      <w:rPr>
        <w:rFonts w:hint="default"/>
        <w:b w:val="0"/>
        <w:bCs w:val="0"/>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8">
    <w:nsid w:val="4CB32FC8"/>
    <w:multiLevelType w:val="multilevel"/>
    <w:tmpl w:val="4CB32FC8"/>
    <w:lvl w:ilvl="0" w:tentative="0">
      <w:start w:val="1"/>
      <w:numFmt w:val="upperLetter"/>
      <w:pStyle w:val="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520018B0"/>
    <w:multiLevelType w:val="multilevel"/>
    <w:tmpl w:val="520018B0"/>
    <w:lvl w:ilvl="0" w:tentative="0">
      <w:start w:val="1"/>
      <w:numFmt w:val="decimal"/>
      <w:pStyle w:val="74"/>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0">
    <w:nsid w:val="560F40FB"/>
    <w:multiLevelType w:val="multilevel"/>
    <w:tmpl w:val="560F40FB"/>
    <w:lvl w:ilvl="0" w:tentative="0">
      <w:start w:val="1"/>
      <w:numFmt w:val="lowerLetter"/>
      <w:pStyle w:val="101"/>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1">
    <w:nsid w:val="56D20133"/>
    <w:multiLevelType w:val="multilevel"/>
    <w:tmpl w:val="56D20133"/>
    <w:lvl w:ilvl="0" w:tentative="0">
      <w:start w:val="1"/>
      <w:numFmt w:val="chineseCountingThousand"/>
      <w:pStyle w:val="73"/>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2">
    <w:nsid w:val="58A803A7"/>
    <w:multiLevelType w:val="singleLevel"/>
    <w:tmpl w:val="58A803A7"/>
    <w:lvl w:ilvl="0" w:tentative="0">
      <w:start w:val="1"/>
      <w:numFmt w:val="decimal"/>
      <w:suff w:val="nothing"/>
      <w:lvlText w:val="%1."/>
      <w:lvlJc w:val="left"/>
      <w:pPr>
        <w:ind w:left="454" w:leftChars="0" w:hanging="454" w:firstLineChars="0"/>
      </w:pPr>
      <w:rPr>
        <w:rFonts w:hint="default"/>
      </w:rPr>
    </w:lvl>
  </w:abstractNum>
  <w:abstractNum w:abstractNumId="23">
    <w:nsid w:val="5A6836EF"/>
    <w:multiLevelType w:val="singleLevel"/>
    <w:tmpl w:val="5A6836EF"/>
    <w:lvl w:ilvl="0" w:tentative="0">
      <w:start w:val="1"/>
      <w:numFmt w:val="decimal"/>
      <w:suff w:val="nothing"/>
      <w:lvlText w:val="%1."/>
      <w:lvlJc w:val="left"/>
      <w:pPr>
        <w:ind w:left="0" w:firstLine="0"/>
      </w:pPr>
    </w:lvl>
  </w:abstractNum>
  <w:abstractNum w:abstractNumId="24">
    <w:nsid w:val="5B6F7349"/>
    <w:multiLevelType w:val="multilevel"/>
    <w:tmpl w:val="5B6F7349"/>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5">
    <w:nsid w:val="5EEE3A7E"/>
    <w:multiLevelType w:val="multilevel"/>
    <w:tmpl w:val="5EEE3A7E"/>
    <w:lvl w:ilvl="0" w:tentative="0">
      <w:start w:val="1"/>
      <w:numFmt w:val="bullet"/>
      <w:suff w:val="nothing"/>
      <w:lvlText w:val=""/>
      <w:lvlJc w:val="left"/>
      <w:pPr>
        <w:ind w:left="0" w:leftChars="0" w:firstLine="0" w:firstLineChars="0"/>
      </w:pPr>
      <w:rPr>
        <w:rFonts w:hint="default" w:ascii="Wingdings" w:hAnsi="Wingdings"/>
        <w:color w:val="auto"/>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26">
    <w:nsid w:val="656A6EAE"/>
    <w:multiLevelType w:val="multilevel"/>
    <w:tmpl w:val="656A6EAE"/>
    <w:lvl w:ilvl="0" w:tentative="0">
      <w:start w:val="1"/>
      <w:numFmt w:val="chineseCountingThousand"/>
      <w:pStyle w:val="72"/>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8"/>
  </w:num>
  <w:num w:numId="2">
    <w:abstractNumId w:val="26"/>
  </w:num>
  <w:num w:numId="3">
    <w:abstractNumId w:val="21"/>
  </w:num>
  <w:num w:numId="4">
    <w:abstractNumId w:val="19"/>
  </w:num>
  <w:num w:numId="5">
    <w:abstractNumId w:val="8"/>
  </w:num>
  <w:num w:numId="6">
    <w:abstractNumId w:val="13"/>
  </w:num>
  <w:num w:numId="7">
    <w:abstractNumId w:val="15"/>
  </w:num>
  <w:num w:numId="8">
    <w:abstractNumId w:val="20"/>
  </w:num>
  <w:num w:numId="9">
    <w:abstractNumId w:val="22"/>
  </w:num>
  <w:num w:numId="10">
    <w:abstractNumId w:val="12"/>
  </w:num>
  <w:num w:numId="11">
    <w:abstractNumId w:val="10"/>
  </w:num>
  <w:num w:numId="12">
    <w:abstractNumId w:val="0"/>
  </w:num>
  <w:num w:numId="13">
    <w:abstractNumId w:val="4"/>
  </w:num>
  <w:num w:numId="14">
    <w:abstractNumId w:val="5"/>
  </w:num>
  <w:num w:numId="15">
    <w:abstractNumId w:val="3"/>
  </w:num>
  <w:num w:numId="16">
    <w:abstractNumId w:val="9"/>
  </w:num>
  <w:num w:numId="17">
    <w:abstractNumId w:val="14"/>
  </w:num>
  <w:num w:numId="18">
    <w:abstractNumId w:val="2"/>
  </w:num>
  <w:num w:numId="19">
    <w:abstractNumId w:val="25"/>
  </w:num>
  <w:num w:numId="20">
    <w:abstractNumId w:val="6"/>
  </w:num>
  <w:num w:numId="21">
    <w:abstractNumId w:val="24"/>
  </w:num>
  <w:num w:numId="22">
    <w:abstractNumId w:val="7"/>
  </w:num>
  <w:num w:numId="23">
    <w:abstractNumId w:val="1"/>
  </w:num>
  <w:num w:numId="24">
    <w:abstractNumId w:val="17"/>
  </w:num>
  <w:num w:numId="25">
    <w:abstractNumId w:val="23"/>
  </w:num>
  <w:num w:numId="26">
    <w:abstractNumId w:val="16"/>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lYzA2M2U3YjFkYWEwOWE3MmFiNGEzODVjMGM5M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742"/>
    <w:rsid w:val="006D7E84"/>
    <w:rsid w:val="006E09A9"/>
    <w:rsid w:val="006E1A8E"/>
    <w:rsid w:val="006E31B2"/>
    <w:rsid w:val="006E335D"/>
    <w:rsid w:val="006E3733"/>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2CDB"/>
    <w:rsid w:val="007C32E0"/>
    <w:rsid w:val="007C54A3"/>
    <w:rsid w:val="007C60C1"/>
    <w:rsid w:val="007C76C4"/>
    <w:rsid w:val="007C7FA8"/>
    <w:rsid w:val="007D09D1"/>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1B40D3"/>
    <w:rsid w:val="01563B79"/>
    <w:rsid w:val="01EF6C32"/>
    <w:rsid w:val="02173A21"/>
    <w:rsid w:val="02CC3DCA"/>
    <w:rsid w:val="02FE76EF"/>
    <w:rsid w:val="034E1239"/>
    <w:rsid w:val="035256C0"/>
    <w:rsid w:val="03F033B0"/>
    <w:rsid w:val="04340045"/>
    <w:rsid w:val="04472DF8"/>
    <w:rsid w:val="05612989"/>
    <w:rsid w:val="057C1D39"/>
    <w:rsid w:val="05891259"/>
    <w:rsid w:val="05AF46BA"/>
    <w:rsid w:val="05D554DB"/>
    <w:rsid w:val="05F572F9"/>
    <w:rsid w:val="06023C82"/>
    <w:rsid w:val="0633552C"/>
    <w:rsid w:val="0654565B"/>
    <w:rsid w:val="07253DF6"/>
    <w:rsid w:val="07613623"/>
    <w:rsid w:val="08633479"/>
    <w:rsid w:val="08940DDD"/>
    <w:rsid w:val="08D71511"/>
    <w:rsid w:val="09630A6C"/>
    <w:rsid w:val="09FE7278"/>
    <w:rsid w:val="0A63147A"/>
    <w:rsid w:val="0ADB2EF0"/>
    <w:rsid w:val="0ADD4CBE"/>
    <w:rsid w:val="0B415BB4"/>
    <w:rsid w:val="0C2A1544"/>
    <w:rsid w:val="0C4F5E3C"/>
    <w:rsid w:val="0C83309C"/>
    <w:rsid w:val="0CA60618"/>
    <w:rsid w:val="0CB51572"/>
    <w:rsid w:val="0D01045C"/>
    <w:rsid w:val="0DE361E9"/>
    <w:rsid w:val="0DE73E36"/>
    <w:rsid w:val="0E4D31E3"/>
    <w:rsid w:val="0E530E38"/>
    <w:rsid w:val="10DC2AA3"/>
    <w:rsid w:val="10F468BD"/>
    <w:rsid w:val="10FA7C8C"/>
    <w:rsid w:val="12174CE2"/>
    <w:rsid w:val="121D1E44"/>
    <w:rsid w:val="12F64B6E"/>
    <w:rsid w:val="130B198F"/>
    <w:rsid w:val="13FA68E0"/>
    <w:rsid w:val="14C06690"/>
    <w:rsid w:val="15BB1367"/>
    <w:rsid w:val="16A918E4"/>
    <w:rsid w:val="16FC210E"/>
    <w:rsid w:val="17D966D6"/>
    <w:rsid w:val="18146E94"/>
    <w:rsid w:val="18432991"/>
    <w:rsid w:val="18945E62"/>
    <w:rsid w:val="19517BDA"/>
    <w:rsid w:val="19581095"/>
    <w:rsid w:val="19AE68D1"/>
    <w:rsid w:val="19E33213"/>
    <w:rsid w:val="1A463A67"/>
    <w:rsid w:val="1A4856D7"/>
    <w:rsid w:val="1A9829AF"/>
    <w:rsid w:val="1B481CDF"/>
    <w:rsid w:val="1B9B4505"/>
    <w:rsid w:val="1BA3160C"/>
    <w:rsid w:val="1BB870C9"/>
    <w:rsid w:val="1BC71D3B"/>
    <w:rsid w:val="1C59115B"/>
    <w:rsid w:val="1CA51100"/>
    <w:rsid w:val="1D0D2835"/>
    <w:rsid w:val="1D596BD7"/>
    <w:rsid w:val="1DFE17D9"/>
    <w:rsid w:val="1E296445"/>
    <w:rsid w:val="1EFD1680"/>
    <w:rsid w:val="1F6C766B"/>
    <w:rsid w:val="1F6D42D7"/>
    <w:rsid w:val="1FB23E60"/>
    <w:rsid w:val="1FBA79B4"/>
    <w:rsid w:val="1FF23ED3"/>
    <w:rsid w:val="21183ED7"/>
    <w:rsid w:val="211D0DCC"/>
    <w:rsid w:val="212F23EA"/>
    <w:rsid w:val="21F50ADF"/>
    <w:rsid w:val="2225345A"/>
    <w:rsid w:val="225F3737"/>
    <w:rsid w:val="226A2E83"/>
    <w:rsid w:val="2271428C"/>
    <w:rsid w:val="227640E7"/>
    <w:rsid w:val="227F2CA6"/>
    <w:rsid w:val="2286766F"/>
    <w:rsid w:val="22C5630B"/>
    <w:rsid w:val="23EC0BA6"/>
    <w:rsid w:val="24701A48"/>
    <w:rsid w:val="247E07FE"/>
    <w:rsid w:val="24AB04CD"/>
    <w:rsid w:val="25113A8A"/>
    <w:rsid w:val="25EC6AF8"/>
    <w:rsid w:val="268B0052"/>
    <w:rsid w:val="26B30B53"/>
    <w:rsid w:val="26CF6817"/>
    <w:rsid w:val="26EC4567"/>
    <w:rsid w:val="272A6A1B"/>
    <w:rsid w:val="27743C90"/>
    <w:rsid w:val="27B358EA"/>
    <w:rsid w:val="283931F7"/>
    <w:rsid w:val="284A307C"/>
    <w:rsid w:val="285E514C"/>
    <w:rsid w:val="28B55739"/>
    <w:rsid w:val="29CA2459"/>
    <w:rsid w:val="2AE22289"/>
    <w:rsid w:val="2B271A58"/>
    <w:rsid w:val="2B4D164C"/>
    <w:rsid w:val="2B6304A7"/>
    <w:rsid w:val="2BE02638"/>
    <w:rsid w:val="2C593377"/>
    <w:rsid w:val="2C642D3E"/>
    <w:rsid w:val="2CF6734C"/>
    <w:rsid w:val="2D4D284A"/>
    <w:rsid w:val="2D663463"/>
    <w:rsid w:val="2E077189"/>
    <w:rsid w:val="2E112A52"/>
    <w:rsid w:val="2EDD38C8"/>
    <w:rsid w:val="2EF96EE4"/>
    <w:rsid w:val="2EFB779B"/>
    <w:rsid w:val="2FAA5F8F"/>
    <w:rsid w:val="2FD2302A"/>
    <w:rsid w:val="2FF10008"/>
    <w:rsid w:val="30C9346B"/>
    <w:rsid w:val="317E4255"/>
    <w:rsid w:val="31D238BE"/>
    <w:rsid w:val="31E37A09"/>
    <w:rsid w:val="32355791"/>
    <w:rsid w:val="32C207BF"/>
    <w:rsid w:val="3380787D"/>
    <w:rsid w:val="33822A0F"/>
    <w:rsid w:val="349855A3"/>
    <w:rsid w:val="34F565DC"/>
    <w:rsid w:val="352E7115"/>
    <w:rsid w:val="354D5AA0"/>
    <w:rsid w:val="35D271A0"/>
    <w:rsid w:val="36254FE4"/>
    <w:rsid w:val="36AA39B8"/>
    <w:rsid w:val="372F61E0"/>
    <w:rsid w:val="38C745C2"/>
    <w:rsid w:val="390124A7"/>
    <w:rsid w:val="39322FCA"/>
    <w:rsid w:val="3A2968D6"/>
    <w:rsid w:val="3A503E1E"/>
    <w:rsid w:val="3AB90991"/>
    <w:rsid w:val="3B706131"/>
    <w:rsid w:val="3B7F4B16"/>
    <w:rsid w:val="3BF833EC"/>
    <w:rsid w:val="3C8E02FC"/>
    <w:rsid w:val="3C931866"/>
    <w:rsid w:val="3D3346FD"/>
    <w:rsid w:val="3DE11DF4"/>
    <w:rsid w:val="3E6F041E"/>
    <w:rsid w:val="3E7C65B4"/>
    <w:rsid w:val="3E846635"/>
    <w:rsid w:val="3EC02A3D"/>
    <w:rsid w:val="3F834738"/>
    <w:rsid w:val="3F8B14C5"/>
    <w:rsid w:val="3F9D2397"/>
    <w:rsid w:val="3FE931E1"/>
    <w:rsid w:val="4020131E"/>
    <w:rsid w:val="40AC20A0"/>
    <w:rsid w:val="41A5482C"/>
    <w:rsid w:val="4275481E"/>
    <w:rsid w:val="428542D8"/>
    <w:rsid w:val="428B617A"/>
    <w:rsid w:val="42CE288A"/>
    <w:rsid w:val="433D7BDC"/>
    <w:rsid w:val="437E1813"/>
    <w:rsid w:val="43A427AA"/>
    <w:rsid w:val="43E96A97"/>
    <w:rsid w:val="444E2202"/>
    <w:rsid w:val="45354CBC"/>
    <w:rsid w:val="45BD47FC"/>
    <w:rsid w:val="45CC5FB2"/>
    <w:rsid w:val="462E6F30"/>
    <w:rsid w:val="46B75BA8"/>
    <w:rsid w:val="46E91D19"/>
    <w:rsid w:val="476E5648"/>
    <w:rsid w:val="47701514"/>
    <w:rsid w:val="47DE0683"/>
    <w:rsid w:val="48C97955"/>
    <w:rsid w:val="48D805C0"/>
    <w:rsid w:val="48F61800"/>
    <w:rsid w:val="492E2C7C"/>
    <w:rsid w:val="49880C8F"/>
    <w:rsid w:val="4A1A43A3"/>
    <w:rsid w:val="4A1E2A29"/>
    <w:rsid w:val="4A2007F8"/>
    <w:rsid w:val="4A8835F7"/>
    <w:rsid w:val="4AB619BA"/>
    <w:rsid w:val="4B1A4B97"/>
    <w:rsid w:val="4B592E71"/>
    <w:rsid w:val="4B963237"/>
    <w:rsid w:val="4BBE3774"/>
    <w:rsid w:val="4BEA574A"/>
    <w:rsid w:val="4BFA7044"/>
    <w:rsid w:val="4BFD2306"/>
    <w:rsid w:val="4C851584"/>
    <w:rsid w:val="4CB314C9"/>
    <w:rsid w:val="4DF75369"/>
    <w:rsid w:val="4DFF4B95"/>
    <w:rsid w:val="4E9E572E"/>
    <w:rsid w:val="4EA23B01"/>
    <w:rsid w:val="4EB0217D"/>
    <w:rsid w:val="4F8B220C"/>
    <w:rsid w:val="4FA74C65"/>
    <w:rsid w:val="4FD25793"/>
    <w:rsid w:val="504F4EAF"/>
    <w:rsid w:val="506C3F7C"/>
    <w:rsid w:val="516C4BAA"/>
    <w:rsid w:val="51BF13F4"/>
    <w:rsid w:val="51D51447"/>
    <w:rsid w:val="521A2D60"/>
    <w:rsid w:val="528B5CF4"/>
    <w:rsid w:val="52B9239A"/>
    <w:rsid w:val="52D52A7F"/>
    <w:rsid w:val="54287EA1"/>
    <w:rsid w:val="54BD78FD"/>
    <w:rsid w:val="552A3C28"/>
    <w:rsid w:val="555A2DA3"/>
    <w:rsid w:val="555B06B0"/>
    <w:rsid w:val="56901A99"/>
    <w:rsid w:val="571B2939"/>
    <w:rsid w:val="575363BD"/>
    <w:rsid w:val="581925FA"/>
    <w:rsid w:val="58A86DDE"/>
    <w:rsid w:val="59154AD7"/>
    <w:rsid w:val="59254E33"/>
    <w:rsid w:val="595B6819"/>
    <w:rsid w:val="59AA17DC"/>
    <w:rsid w:val="5A0A04BC"/>
    <w:rsid w:val="5A3C6E2C"/>
    <w:rsid w:val="5A542AB4"/>
    <w:rsid w:val="5ADF548D"/>
    <w:rsid w:val="5BF95104"/>
    <w:rsid w:val="5C4627AE"/>
    <w:rsid w:val="5C9249CA"/>
    <w:rsid w:val="5D5C60B4"/>
    <w:rsid w:val="5DA23E51"/>
    <w:rsid w:val="5E5B22B9"/>
    <w:rsid w:val="5F4E71AE"/>
    <w:rsid w:val="5F906154"/>
    <w:rsid w:val="5F9B694B"/>
    <w:rsid w:val="60027C70"/>
    <w:rsid w:val="605E6D10"/>
    <w:rsid w:val="60651FB9"/>
    <w:rsid w:val="614E12EC"/>
    <w:rsid w:val="616D6769"/>
    <w:rsid w:val="619522AC"/>
    <w:rsid w:val="61BD5D78"/>
    <w:rsid w:val="62AF7E63"/>
    <w:rsid w:val="62BD60DC"/>
    <w:rsid w:val="63D71235"/>
    <w:rsid w:val="63F04A69"/>
    <w:rsid w:val="646A3D0C"/>
    <w:rsid w:val="64A82747"/>
    <w:rsid w:val="64E36D74"/>
    <w:rsid w:val="65336B29"/>
    <w:rsid w:val="65AF62ED"/>
    <w:rsid w:val="65C45128"/>
    <w:rsid w:val="66526AE4"/>
    <w:rsid w:val="66A50B1E"/>
    <w:rsid w:val="67095CF1"/>
    <w:rsid w:val="674E3DF4"/>
    <w:rsid w:val="67A92DAB"/>
    <w:rsid w:val="67B2063C"/>
    <w:rsid w:val="67C97AC3"/>
    <w:rsid w:val="67D5595A"/>
    <w:rsid w:val="67E30EC1"/>
    <w:rsid w:val="695D046C"/>
    <w:rsid w:val="69AB74E8"/>
    <w:rsid w:val="6A4E3B2B"/>
    <w:rsid w:val="6A775937"/>
    <w:rsid w:val="6A7B1191"/>
    <w:rsid w:val="6AAE6E86"/>
    <w:rsid w:val="6AC838A9"/>
    <w:rsid w:val="6AED682D"/>
    <w:rsid w:val="6B481C3B"/>
    <w:rsid w:val="6B875383"/>
    <w:rsid w:val="6BB836A4"/>
    <w:rsid w:val="6BED7089"/>
    <w:rsid w:val="6C1331A3"/>
    <w:rsid w:val="6C765676"/>
    <w:rsid w:val="6CA84BC1"/>
    <w:rsid w:val="6D170ADE"/>
    <w:rsid w:val="6D3E4756"/>
    <w:rsid w:val="6D5D40D0"/>
    <w:rsid w:val="6F12155D"/>
    <w:rsid w:val="6FC523EB"/>
    <w:rsid w:val="6FE22646"/>
    <w:rsid w:val="70122115"/>
    <w:rsid w:val="70825D63"/>
    <w:rsid w:val="70BA0E1D"/>
    <w:rsid w:val="71FE41EB"/>
    <w:rsid w:val="72895F2E"/>
    <w:rsid w:val="72C02EBE"/>
    <w:rsid w:val="72C507AD"/>
    <w:rsid w:val="72D028D8"/>
    <w:rsid w:val="73234831"/>
    <w:rsid w:val="73397A01"/>
    <w:rsid w:val="745D47C3"/>
    <w:rsid w:val="75341FA7"/>
    <w:rsid w:val="755404B8"/>
    <w:rsid w:val="75F01B62"/>
    <w:rsid w:val="764F7753"/>
    <w:rsid w:val="76AC3757"/>
    <w:rsid w:val="76B66003"/>
    <w:rsid w:val="76DC0C04"/>
    <w:rsid w:val="77D4005C"/>
    <w:rsid w:val="782513D5"/>
    <w:rsid w:val="78292927"/>
    <w:rsid w:val="78B2145F"/>
    <w:rsid w:val="78D35C78"/>
    <w:rsid w:val="78D62583"/>
    <w:rsid w:val="78F33EC6"/>
    <w:rsid w:val="78F37D6B"/>
    <w:rsid w:val="79791A31"/>
    <w:rsid w:val="7A6B48EE"/>
    <w:rsid w:val="7B8A3D70"/>
    <w:rsid w:val="7B902651"/>
    <w:rsid w:val="7B9755C4"/>
    <w:rsid w:val="7C6021A7"/>
    <w:rsid w:val="7CAB4D9F"/>
    <w:rsid w:val="7CB93F8E"/>
    <w:rsid w:val="7CED7FF7"/>
    <w:rsid w:val="7CF66B46"/>
    <w:rsid w:val="7D185B2A"/>
    <w:rsid w:val="7D4A0A5C"/>
    <w:rsid w:val="7D97125D"/>
    <w:rsid w:val="7DB618B0"/>
    <w:rsid w:val="7DBD28BA"/>
    <w:rsid w:val="7DF63749"/>
    <w:rsid w:val="7E736B66"/>
    <w:rsid w:val="7EE64005"/>
    <w:rsid w:val="7EEE3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8"/>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67"/>
    <w:semiHidden/>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81"/>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11"/>
    <w:semiHidden/>
    <w:qFormat/>
    <w:uiPriority w:val="0"/>
    <w:pPr>
      <w:keepNext/>
      <w:keepLines/>
      <w:spacing w:line="416" w:lineRule="auto"/>
      <w:outlineLvl w:val="2"/>
    </w:pPr>
    <w:rPr>
      <w:b/>
      <w:bCs/>
      <w:sz w:val="32"/>
      <w:szCs w:val="32"/>
    </w:rPr>
  </w:style>
  <w:style w:type="paragraph" w:styleId="6">
    <w:name w:val="heading 4"/>
    <w:basedOn w:val="1"/>
    <w:next w:val="1"/>
    <w:link w:val="77"/>
    <w:semiHidden/>
    <w:qFormat/>
    <w:uiPriority w:val="0"/>
    <w:pPr>
      <w:keepNext/>
      <w:keepLines/>
      <w:spacing w:line="360" w:lineRule="auto"/>
      <w:outlineLvl w:val="3"/>
    </w:pPr>
    <w:rPr>
      <w:rFonts w:ascii="Arial" w:hAnsi="Arial"/>
      <w:b/>
      <w:bCs/>
      <w:szCs w:val="28"/>
    </w:rPr>
  </w:style>
  <w:style w:type="paragraph" w:styleId="7">
    <w:name w:val="heading 5"/>
    <w:basedOn w:val="1"/>
    <w:next w:val="1"/>
    <w:link w:val="78"/>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semiHidden/>
    <w:qFormat/>
    <w:uiPriority w:val="39"/>
    <w:pPr>
      <w:adjustRightInd w:val="0"/>
      <w:spacing w:line="312" w:lineRule="atLeast"/>
      <w:ind w:left="840" w:leftChars="400"/>
      <w:textAlignment w:val="baseline"/>
    </w:pPr>
    <w:rPr>
      <w:kern w:val="0"/>
      <w:sz w:val="24"/>
    </w:rPr>
  </w:style>
  <w:style w:type="paragraph" w:styleId="8">
    <w:name w:val="E-mail Signature"/>
    <w:basedOn w:val="1"/>
    <w:link w:val="104"/>
    <w:semiHidden/>
    <w:qFormat/>
    <w:uiPriority w:val="99"/>
    <w:pPr>
      <w:spacing w:after="200" w:line="276" w:lineRule="auto"/>
      <w:jc w:val="left"/>
    </w:pPr>
    <w:rPr>
      <w:rFonts w:ascii="Calibri" w:hAnsi="Calibri"/>
      <w:kern w:val="0"/>
      <w:szCs w:val="21"/>
    </w:rPr>
  </w:style>
  <w:style w:type="paragraph" w:styleId="9">
    <w:name w:val="caption"/>
    <w:basedOn w:val="1"/>
    <w:next w:val="1"/>
    <w:semiHidden/>
    <w:qFormat/>
    <w:uiPriority w:val="98"/>
    <w:pPr>
      <w:spacing w:before="152" w:after="160"/>
    </w:pPr>
    <w:rPr>
      <w:rFonts w:ascii="Arial" w:hAnsi="Arial" w:eastAsia="黑体" w:cs="Arial"/>
      <w:sz w:val="20"/>
    </w:rPr>
  </w:style>
  <w:style w:type="paragraph" w:styleId="10">
    <w:name w:val="Document Map"/>
    <w:basedOn w:val="1"/>
    <w:link w:val="93"/>
    <w:semiHidden/>
    <w:qFormat/>
    <w:uiPriority w:val="0"/>
    <w:pPr>
      <w:adjustRightInd w:val="0"/>
      <w:spacing w:line="312" w:lineRule="atLeast"/>
      <w:textAlignment w:val="baseline"/>
    </w:pPr>
    <w:rPr>
      <w:rFonts w:ascii="宋体"/>
      <w:kern w:val="0"/>
      <w:sz w:val="18"/>
      <w:szCs w:val="18"/>
    </w:rPr>
  </w:style>
  <w:style w:type="paragraph" w:styleId="11">
    <w:name w:val="annotation text"/>
    <w:basedOn w:val="1"/>
    <w:link w:val="46"/>
    <w:qFormat/>
    <w:uiPriority w:val="99"/>
    <w:pPr>
      <w:jc w:val="left"/>
    </w:pPr>
  </w:style>
  <w:style w:type="paragraph" w:styleId="12">
    <w:name w:val="Body Text"/>
    <w:basedOn w:val="1"/>
    <w:link w:val="42"/>
    <w:semiHidden/>
    <w:qFormat/>
    <w:uiPriority w:val="98"/>
    <w:rPr>
      <w:rFonts w:ascii="仿宋_GB2312" w:eastAsia="仿宋_GB2312"/>
      <w:sz w:val="32"/>
    </w:r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Plain Text"/>
    <w:basedOn w:val="1"/>
    <w:link w:val="51"/>
    <w:qFormat/>
    <w:uiPriority w:val="0"/>
    <w:rPr>
      <w:rFonts w:ascii="宋体" w:hAnsi="Courier New"/>
    </w:rPr>
  </w:style>
  <w:style w:type="paragraph" w:styleId="15">
    <w:name w:val="Date"/>
    <w:basedOn w:val="1"/>
    <w:next w:val="1"/>
    <w:link w:val="87"/>
    <w:semiHidden/>
    <w:qFormat/>
    <w:uiPriority w:val="0"/>
    <w:pPr>
      <w:adjustRightInd w:val="0"/>
      <w:spacing w:line="312" w:lineRule="atLeast"/>
      <w:ind w:left="100" w:leftChars="2500"/>
      <w:textAlignment w:val="baseline"/>
    </w:pPr>
    <w:rPr>
      <w:kern w:val="0"/>
      <w:sz w:val="24"/>
    </w:rPr>
  </w:style>
  <w:style w:type="paragraph" w:styleId="16">
    <w:name w:val="Body Text Indent 2"/>
    <w:basedOn w:val="1"/>
    <w:link w:val="86"/>
    <w:semiHidden/>
    <w:qFormat/>
    <w:uiPriority w:val="0"/>
    <w:pPr>
      <w:adjustRightInd w:val="0"/>
      <w:spacing w:after="120" w:line="480" w:lineRule="auto"/>
      <w:ind w:left="420" w:leftChars="200"/>
      <w:textAlignment w:val="baseline"/>
    </w:pPr>
    <w:rPr>
      <w:kern w:val="0"/>
      <w:sz w:val="24"/>
    </w:rPr>
  </w:style>
  <w:style w:type="paragraph" w:styleId="17">
    <w:name w:val="Balloon Text"/>
    <w:basedOn w:val="1"/>
    <w:link w:val="48"/>
    <w:semiHidden/>
    <w:qFormat/>
    <w:uiPriority w:val="0"/>
    <w:rPr>
      <w:sz w:val="18"/>
      <w:szCs w:val="18"/>
    </w:rPr>
  </w:style>
  <w:style w:type="paragraph" w:styleId="18">
    <w:name w:val="footer"/>
    <w:basedOn w:val="1"/>
    <w:link w:val="43"/>
    <w:semiHidden/>
    <w:qFormat/>
    <w:uiPriority w:val="0"/>
    <w:pPr>
      <w:tabs>
        <w:tab w:val="center" w:pos="4153"/>
        <w:tab w:val="right" w:pos="8306"/>
      </w:tabs>
      <w:snapToGrid w:val="0"/>
      <w:jc w:val="left"/>
    </w:pPr>
    <w:rPr>
      <w:sz w:val="18"/>
      <w:szCs w:val="18"/>
    </w:rPr>
  </w:style>
  <w:style w:type="paragraph" w:styleId="19">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right" w:leader="dot" w:pos="8729"/>
      </w:tabs>
      <w:spacing w:line="480" w:lineRule="auto"/>
      <w:jc w:val="left"/>
    </w:pPr>
    <w:rPr>
      <w:rFonts w:ascii="宋体" w:hAnsi="宋体"/>
      <w:b/>
      <w:caps/>
      <w:sz w:val="28"/>
      <w:szCs w:val="28"/>
    </w:rPr>
  </w:style>
  <w:style w:type="paragraph" w:styleId="21">
    <w:name w:val="List"/>
    <w:basedOn w:val="1"/>
    <w:qFormat/>
    <w:uiPriority w:val="0"/>
    <w:pPr>
      <w:ind w:left="200" w:hanging="200" w:hangingChars="200"/>
    </w:pPr>
    <w:rPr>
      <w:szCs w:val="21"/>
    </w:rPr>
  </w:style>
  <w:style w:type="paragraph" w:styleId="22">
    <w:name w:val="Body Text Indent 3"/>
    <w:basedOn w:val="1"/>
    <w:link w:val="83"/>
    <w:semiHidden/>
    <w:qFormat/>
    <w:uiPriority w:val="0"/>
    <w:pPr>
      <w:spacing w:line="360" w:lineRule="auto"/>
      <w:ind w:left="1347" w:leftChars="413" w:hanging="480" w:hangingChars="200"/>
    </w:pPr>
    <w:rPr>
      <w:rFonts w:ascii="宋体" w:hAnsi="宋体"/>
      <w:color w:val="FF0000"/>
      <w:sz w:val="24"/>
      <w:szCs w:val="24"/>
    </w:rPr>
  </w:style>
  <w:style w:type="paragraph" w:styleId="23">
    <w:name w:val="index 9"/>
    <w:basedOn w:val="1"/>
    <w:next w:val="1"/>
    <w:autoRedefine/>
    <w:semiHidden/>
    <w:qFormat/>
    <w:uiPriority w:val="98"/>
    <w:pPr>
      <w:ind w:left="1600" w:leftChars="1600"/>
    </w:pPr>
  </w:style>
  <w:style w:type="paragraph" w:styleId="24">
    <w:name w:val="toc 2"/>
    <w:basedOn w:val="1"/>
    <w:next w:val="1"/>
    <w:qFormat/>
    <w:uiPriority w:val="39"/>
    <w:pPr>
      <w:ind w:left="420" w:leftChars="200"/>
    </w:pPr>
  </w:style>
  <w:style w:type="paragraph" w:styleId="25">
    <w:name w:val="Message Header"/>
    <w:basedOn w:val="1"/>
    <w:link w:val="108"/>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6">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7">
    <w:name w:val="Title"/>
    <w:basedOn w:val="1"/>
    <w:next w:val="1"/>
    <w:link w:val="70"/>
    <w:semiHidden/>
    <w:qFormat/>
    <w:uiPriority w:val="0"/>
    <w:pPr>
      <w:spacing w:before="240" w:after="60"/>
      <w:jc w:val="center"/>
      <w:outlineLvl w:val="0"/>
    </w:pPr>
    <w:rPr>
      <w:rFonts w:eastAsia="黑体" w:asciiTheme="majorHAnsi" w:hAnsiTheme="majorHAnsi" w:cstheme="majorBidi"/>
      <w:b/>
      <w:bCs/>
      <w:sz w:val="36"/>
      <w:szCs w:val="32"/>
    </w:rPr>
  </w:style>
  <w:style w:type="paragraph" w:styleId="28">
    <w:name w:val="annotation subject"/>
    <w:basedOn w:val="11"/>
    <w:next w:val="11"/>
    <w:link w:val="54"/>
    <w:semiHidden/>
    <w:qFormat/>
    <w:uiPriority w:val="98"/>
    <w:rPr>
      <w:b/>
      <w:bCs/>
    </w:rPr>
  </w:style>
  <w:style w:type="paragraph" w:styleId="29">
    <w:name w:val="Body Text First Indent 2"/>
    <w:basedOn w:val="13"/>
    <w:next w:val="24"/>
    <w:qFormat/>
    <w:uiPriority w:val="0"/>
    <w:pPr>
      <w:spacing w:line="276" w:lineRule="auto"/>
      <w:ind w:left="200" w:firstLine="200" w:firstLineChars="200"/>
      <w:jc w:val="left"/>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semiHidden/>
    <w:qFormat/>
    <w:uiPriority w:val="98"/>
    <w:rPr>
      <w:b/>
    </w:rPr>
  </w:style>
  <w:style w:type="character" w:styleId="34">
    <w:name w:val="page number"/>
    <w:basedOn w:val="32"/>
    <w:semiHidden/>
    <w:qFormat/>
    <w:uiPriority w:val="0"/>
  </w:style>
  <w:style w:type="character" w:styleId="35">
    <w:name w:val="FollowedHyperlink"/>
    <w:semiHidden/>
    <w:qFormat/>
    <w:uiPriority w:val="98"/>
    <w:rPr>
      <w:color w:val="800080"/>
      <w:u w:val="single"/>
    </w:rPr>
  </w:style>
  <w:style w:type="character" w:styleId="36">
    <w:name w:val="Emphasis"/>
    <w:semiHidden/>
    <w:qFormat/>
    <w:uiPriority w:val="98"/>
    <w:rPr>
      <w:i/>
      <w:iCs/>
    </w:rPr>
  </w:style>
  <w:style w:type="character" w:styleId="37">
    <w:name w:val="Hyperlink"/>
    <w:basedOn w:val="32"/>
    <w:qFormat/>
    <w:uiPriority w:val="99"/>
    <w:rPr>
      <w:rFonts w:cs="Times New Roman"/>
      <w:color w:val="1F4F88"/>
      <w:u w:val="none"/>
    </w:rPr>
  </w:style>
  <w:style w:type="character" w:styleId="38">
    <w:name w:val="annotation reference"/>
    <w:semiHidden/>
    <w:qFormat/>
    <w:uiPriority w:val="98"/>
    <w:rPr>
      <w:sz w:val="21"/>
      <w:szCs w:val="21"/>
    </w:rPr>
  </w:style>
  <w:style w:type="paragraph" w:customStyle="1" w:styleId="39">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2"/>
    <w:semiHidden/>
    <w:qFormat/>
    <w:uiPriority w:val="98"/>
    <w:rPr>
      <w:rFonts w:ascii="仿宋_GB2312" w:eastAsia="仿宋_GB2312"/>
      <w:kern w:val="2"/>
      <w:sz w:val="32"/>
    </w:rPr>
  </w:style>
  <w:style w:type="character" w:customStyle="1" w:styleId="43">
    <w:name w:val="页脚 字符"/>
    <w:link w:val="18"/>
    <w:semiHidden/>
    <w:qFormat/>
    <w:uiPriority w:val="0"/>
    <w:rPr>
      <w:kern w:val="2"/>
      <w:sz w:val="18"/>
      <w:szCs w:val="18"/>
    </w:rPr>
  </w:style>
  <w:style w:type="character" w:customStyle="1" w:styleId="44">
    <w:name w:val="标题 3 字符"/>
    <w:link w:val="5"/>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1"/>
    <w:qFormat/>
    <w:uiPriority w:val="99"/>
    <w:rPr>
      <w:kern w:val="2"/>
      <w:sz w:val="21"/>
    </w:rPr>
  </w:style>
  <w:style w:type="character" w:customStyle="1" w:styleId="47">
    <w:name w:val="apple-converted-space"/>
    <w:basedOn w:val="32"/>
    <w:semiHidden/>
    <w:qFormat/>
    <w:uiPriority w:val="98"/>
  </w:style>
  <w:style w:type="character" w:customStyle="1" w:styleId="48">
    <w:name w:val="批注框文本 字符"/>
    <w:link w:val="17"/>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4"/>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19"/>
    <w:semiHidden/>
    <w:qFormat/>
    <w:uiPriority w:val="0"/>
    <w:rPr>
      <w:kern w:val="2"/>
      <w:sz w:val="18"/>
      <w:szCs w:val="18"/>
    </w:rPr>
  </w:style>
  <w:style w:type="character" w:customStyle="1" w:styleId="54">
    <w:name w:val="批注主题 字符"/>
    <w:link w:val="28"/>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character" w:customStyle="1" w:styleId="66">
    <w:name w:val="style61"/>
    <w:semiHidden/>
    <w:qFormat/>
    <w:uiPriority w:val="98"/>
  </w:style>
  <w:style w:type="character" w:customStyle="1" w:styleId="67">
    <w:name w:val="标题 1 字符"/>
    <w:basedOn w:val="32"/>
    <w:link w:val="2"/>
    <w:semiHidden/>
    <w:qFormat/>
    <w:uiPriority w:val="0"/>
    <w:rPr>
      <w:b/>
      <w:bCs/>
      <w:kern w:val="44"/>
      <w:sz w:val="44"/>
      <w:szCs w:val="44"/>
    </w:rPr>
  </w:style>
  <w:style w:type="paragraph" w:customStyle="1" w:styleId="68">
    <w:name w:val="TOC 标题1"/>
    <w:basedOn w:val="2"/>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69">
    <w:name w:val="标题 2 字符"/>
    <w:basedOn w:val="32"/>
    <w:link w:val="4"/>
    <w:semiHidden/>
    <w:qFormat/>
    <w:uiPriority w:val="0"/>
    <w:rPr>
      <w:rFonts w:asciiTheme="majorHAnsi" w:hAnsiTheme="majorHAnsi" w:eastAsiaTheme="majorEastAsia" w:cstheme="majorBidi"/>
      <w:b/>
      <w:bCs/>
      <w:kern w:val="2"/>
      <w:sz w:val="32"/>
      <w:szCs w:val="32"/>
    </w:rPr>
  </w:style>
  <w:style w:type="character" w:customStyle="1" w:styleId="70">
    <w:name w:val="标题 字符"/>
    <w:basedOn w:val="32"/>
    <w:link w:val="27"/>
    <w:semiHidden/>
    <w:qFormat/>
    <w:uiPriority w:val="0"/>
    <w:rPr>
      <w:rFonts w:eastAsia="黑体" w:asciiTheme="majorHAnsi" w:hAnsiTheme="majorHAnsi" w:cstheme="majorBidi"/>
      <w:b/>
      <w:bCs/>
      <w:kern w:val="2"/>
      <w:sz w:val="36"/>
      <w:szCs w:val="32"/>
    </w:rPr>
  </w:style>
  <w:style w:type="paragraph" w:customStyle="1" w:styleId="71">
    <w:name w:val="章节"/>
    <w:basedOn w:val="14"/>
    <w:qFormat/>
    <w:uiPriority w:val="0"/>
    <w:pPr>
      <w:spacing w:line="360" w:lineRule="auto"/>
      <w:jc w:val="center"/>
      <w:outlineLvl w:val="0"/>
    </w:pPr>
    <w:rPr>
      <w:rFonts w:ascii="黑体" w:eastAsia="黑体"/>
      <w:b/>
      <w:bCs/>
      <w:sz w:val="36"/>
      <w:szCs w:val="36"/>
    </w:rPr>
  </w:style>
  <w:style w:type="paragraph" w:customStyle="1" w:styleId="72">
    <w:name w:val="一级标题"/>
    <w:basedOn w:val="14"/>
    <w:qFormat/>
    <w:uiPriority w:val="1"/>
    <w:pPr>
      <w:numPr>
        <w:ilvl w:val="0"/>
        <w:numId w:val="2"/>
      </w:numPr>
      <w:spacing w:line="360" w:lineRule="auto"/>
      <w:ind w:left="420"/>
      <w:outlineLvl w:val="1"/>
    </w:pPr>
    <w:rPr>
      <w:rFonts w:ascii="黑体" w:eastAsia="黑体"/>
      <w:b/>
      <w:bCs/>
      <w:sz w:val="28"/>
    </w:rPr>
  </w:style>
  <w:style w:type="paragraph" w:customStyle="1" w:styleId="73">
    <w:name w:val="（二）级标题"/>
    <w:basedOn w:val="14"/>
    <w:qFormat/>
    <w:uiPriority w:val="2"/>
    <w:pPr>
      <w:numPr>
        <w:ilvl w:val="0"/>
        <w:numId w:val="3"/>
      </w:numPr>
      <w:spacing w:line="360" w:lineRule="auto"/>
      <w:outlineLvl w:val="2"/>
    </w:pPr>
    <w:rPr>
      <w:b/>
    </w:rPr>
  </w:style>
  <w:style w:type="paragraph" w:customStyle="1" w:styleId="74">
    <w:name w:val="3级标题"/>
    <w:basedOn w:val="14"/>
    <w:link w:val="102"/>
    <w:qFormat/>
    <w:uiPriority w:val="3"/>
    <w:pPr>
      <w:numPr>
        <w:ilvl w:val="0"/>
        <w:numId w:val="4"/>
      </w:numPr>
      <w:spacing w:line="360" w:lineRule="auto"/>
      <w:outlineLvl w:val="3"/>
    </w:pPr>
    <w:rPr>
      <w:b/>
    </w:rPr>
  </w:style>
  <w:style w:type="paragraph" w:customStyle="1" w:styleId="75">
    <w:name w:val="（4）级标题"/>
    <w:basedOn w:val="14"/>
    <w:qFormat/>
    <w:uiPriority w:val="8"/>
    <w:pPr>
      <w:numPr>
        <w:ilvl w:val="0"/>
        <w:numId w:val="5"/>
      </w:numPr>
      <w:spacing w:line="360" w:lineRule="auto"/>
      <w:outlineLvl w:val="4"/>
    </w:pPr>
  </w:style>
  <w:style w:type="paragraph" w:customStyle="1" w:styleId="76">
    <w:name w:val="标书正文"/>
    <w:basedOn w:val="14"/>
    <w:link w:val="97"/>
    <w:qFormat/>
    <w:uiPriority w:val="9"/>
    <w:pPr>
      <w:spacing w:line="360" w:lineRule="auto"/>
      <w:jc w:val="left"/>
    </w:pPr>
  </w:style>
  <w:style w:type="character" w:customStyle="1" w:styleId="77">
    <w:name w:val="标题 4 字符"/>
    <w:basedOn w:val="32"/>
    <w:link w:val="6"/>
    <w:semiHidden/>
    <w:qFormat/>
    <w:uiPriority w:val="0"/>
    <w:rPr>
      <w:rFonts w:ascii="Arial" w:hAnsi="Arial"/>
      <w:b/>
      <w:bCs/>
      <w:kern w:val="2"/>
      <w:sz w:val="21"/>
      <w:szCs w:val="28"/>
    </w:rPr>
  </w:style>
  <w:style w:type="character" w:customStyle="1" w:styleId="78">
    <w:name w:val="标题 5 字符"/>
    <w:basedOn w:val="32"/>
    <w:link w:val="7"/>
    <w:semiHidden/>
    <w:qFormat/>
    <w:uiPriority w:val="0"/>
    <w:rPr>
      <w:rFonts w:ascii="宋体" w:hAnsi="宋体"/>
      <w:bCs/>
      <w:iCs/>
      <w:color w:val="000000"/>
      <w:sz w:val="28"/>
      <w:szCs w:val="28"/>
    </w:rPr>
  </w:style>
  <w:style w:type="paragraph" w:customStyle="1" w:styleId="79">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0">
    <w:name w:val="case31"/>
    <w:qFormat/>
    <w:uiPriority w:val="0"/>
    <w:rPr>
      <w:rFonts w:hint="default" w:ascii="ˎ̥" w:hAnsi="ˎ̥"/>
      <w:sz w:val="21"/>
      <w:szCs w:val="21"/>
    </w:rPr>
  </w:style>
  <w:style w:type="character" w:customStyle="1" w:styleId="81">
    <w:name w:val="标题 2 Char"/>
    <w:link w:val="4"/>
    <w:qFormat/>
    <w:uiPriority w:val="0"/>
    <w:rPr>
      <w:rFonts w:ascii="宋体" w:hAnsi="宋体"/>
      <w:bCs/>
      <w:sz w:val="24"/>
      <w:szCs w:val="32"/>
    </w:rPr>
  </w:style>
  <w:style w:type="character" w:customStyle="1" w:styleId="82">
    <w:name w:val="标题 Char"/>
    <w:qFormat/>
    <w:uiPriority w:val="0"/>
    <w:rPr>
      <w:rFonts w:ascii="宋体" w:hAnsi="宋体" w:cs="Times New Roman"/>
      <w:b/>
      <w:bCs/>
      <w:sz w:val="24"/>
      <w:szCs w:val="32"/>
    </w:rPr>
  </w:style>
  <w:style w:type="character" w:customStyle="1" w:styleId="83">
    <w:name w:val="正文文本缩进 3 字符"/>
    <w:basedOn w:val="32"/>
    <w:link w:val="22"/>
    <w:semiHidden/>
    <w:qFormat/>
    <w:uiPriority w:val="0"/>
    <w:rPr>
      <w:rFonts w:ascii="宋体" w:hAnsi="宋体"/>
      <w:color w:val="FF0000"/>
      <w:kern w:val="2"/>
      <w:sz w:val="24"/>
      <w:szCs w:val="24"/>
    </w:rPr>
  </w:style>
  <w:style w:type="paragraph" w:customStyle="1" w:styleId="84">
    <w:name w:val="_Style 4"/>
    <w:basedOn w:val="2"/>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5">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6">
    <w:name w:val="正文文本缩进 2 字符"/>
    <w:basedOn w:val="32"/>
    <w:link w:val="16"/>
    <w:semiHidden/>
    <w:qFormat/>
    <w:uiPriority w:val="0"/>
    <w:rPr>
      <w:sz w:val="24"/>
    </w:rPr>
  </w:style>
  <w:style w:type="character" w:customStyle="1" w:styleId="87">
    <w:name w:val="日期 字符"/>
    <w:basedOn w:val="32"/>
    <w:link w:val="15"/>
    <w:semiHidden/>
    <w:qFormat/>
    <w:uiPriority w:val="0"/>
    <w:rPr>
      <w:sz w:val="24"/>
    </w:rPr>
  </w:style>
  <w:style w:type="paragraph" w:customStyle="1" w:styleId="88">
    <w:name w:val="Char1 Char Char Char Char Char Char"/>
    <w:basedOn w:val="1"/>
    <w:qFormat/>
    <w:uiPriority w:val="0"/>
    <w:rPr>
      <w:rFonts w:ascii="Tahoma" w:hAnsi="Tahoma"/>
      <w:sz w:val="24"/>
    </w:rPr>
  </w:style>
  <w:style w:type="paragraph" w:customStyle="1" w:styleId="89">
    <w:name w:val="样式1"/>
    <w:basedOn w:val="1"/>
    <w:qFormat/>
    <w:uiPriority w:val="0"/>
    <w:pPr>
      <w:adjustRightInd w:val="0"/>
      <w:spacing w:line="420" w:lineRule="auto"/>
      <w:jc w:val="center"/>
      <w:textAlignment w:val="baseline"/>
    </w:pPr>
    <w:rPr>
      <w:rFonts w:ascii="宋体"/>
      <w:kern w:val="0"/>
      <w:sz w:val="24"/>
    </w:rPr>
  </w:style>
  <w:style w:type="paragraph" w:customStyle="1" w:styleId="90">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1">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2">
    <w:name w:val="文档结构图 字符"/>
    <w:basedOn w:val="32"/>
    <w:semiHidden/>
    <w:qFormat/>
    <w:uiPriority w:val="98"/>
    <w:rPr>
      <w:rFonts w:ascii="Microsoft YaHei UI" w:eastAsia="Microsoft YaHei UI"/>
      <w:kern w:val="2"/>
      <w:sz w:val="18"/>
      <w:szCs w:val="18"/>
    </w:rPr>
  </w:style>
  <w:style w:type="character" w:customStyle="1" w:styleId="93">
    <w:name w:val="文档结构图 字符1"/>
    <w:basedOn w:val="32"/>
    <w:link w:val="10"/>
    <w:semiHidden/>
    <w:qFormat/>
    <w:uiPriority w:val="0"/>
    <w:rPr>
      <w:rFonts w:ascii="宋体"/>
      <w:sz w:val="18"/>
      <w:szCs w:val="18"/>
    </w:rPr>
  </w:style>
  <w:style w:type="paragraph" w:customStyle="1" w:styleId="94">
    <w:name w:val="表格"/>
    <w:basedOn w:val="1"/>
    <w:link w:val="95"/>
    <w:qFormat/>
    <w:uiPriority w:val="10"/>
    <w:rPr>
      <w:rFonts w:ascii="宋体" w:hAnsi="宋体"/>
      <w:szCs w:val="30"/>
    </w:rPr>
  </w:style>
  <w:style w:type="character" w:customStyle="1" w:styleId="95">
    <w:name w:val="表格 字符"/>
    <w:basedOn w:val="32"/>
    <w:link w:val="94"/>
    <w:qFormat/>
    <w:uiPriority w:val="10"/>
    <w:rPr>
      <w:rFonts w:ascii="宋体" w:hAnsi="宋体"/>
      <w:kern w:val="2"/>
      <w:sz w:val="21"/>
      <w:szCs w:val="30"/>
    </w:rPr>
  </w:style>
  <w:style w:type="paragraph" w:customStyle="1" w:styleId="96">
    <w:name w:val="5）级标题"/>
    <w:basedOn w:val="76"/>
    <w:link w:val="98"/>
    <w:qFormat/>
    <w:uiPriority w:val="11"/>
    <w:pPr>
      <w:numPr>
        <w:ilvl w:val="0"/>
        <w:numId w:val="7"/>
      </w:numPr>
      <w:ind w:firstLine="0"/>
    </w:pPr>
  </w:style>
  <w:style w:type="character" w:customStyle="1" w:styleId="97">
    <w:name w:val="标书正文 字符"/>
    <w:basedOn w:val="51"/>
    <w:link w:val="76"/>
    <w:qFormat/>
    <w:uiPriority w:val="9"/>
    <w:rPr>
      <w:rFonts w:ascii="宋体" w:hAnsi="Courier New"/>
      <w:kern w:val="2"/>
      <w:sz w:val="21"/>
    </w:rPr>
  </w:style>
  <w:style w:type="character" w:customStyle="1" w:styleId="98">
    <w:name w:val="5）级标题 字符"/>
    <w:basedOn w:val="97"/>
    <w:link w:val="96"/>
    <w:qFormat/>
    <w:uiPriority w:val="11"/>
    <w:rPr>
      <w:rFonts w:ascii="宋体" w:hAnsi="Courier New"/>
      <w:kern w:val="2"/>
      <w:sz w:val="21"/>
    </w:rPr>
  </w:style>
  <w:style w:type="paragraph" w:customStyle="1" w:styleId="99">
    <w:name w:val="样式 标题 4 + 段前: 5 磅 段后: 5 磅 行距: 单倍行距"/>
    <w:next w:val="23"/>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0">
    <w:name w:val="Subtle Emphasis"/>
    <w:basedOn w:val="32"/>
    <w:qFormat/>
    <w:uiPriority w:val="19"/>
    <w:rPr>
      <w:rFonts w:eastAsia="宋体"/>
      <w:i/>
      <w:iCs/>
      <w:color w:val="auto"/>
      <w:sz w:val="21"/>
    </w:rPr>
  </w:style>
  <w:style w:type="paragraph" w:customStyle="1" w:styleId="101">
    <w:name w:val="⑥级标题"/>
    <w:basedOn w:val="74"/>
    <w:link w:val="103"/>
    <w:qFormat/>
    <w:uiPriority w:val="12"/>
    <w:pPr>
      <w:numPr>
        <w:numId w:val="8"/>
      </w:numPr>
    </w:pPr>
  </w:style>
  <w:style w:type="character" w:customStyle="1" w:styleId="102">
    <w:name w:val="3级标题 字符"/>
    <w:basedOn w:val="51"/>
    <w:link w:val="74"/>
    <w:qFormat/>
    <w:uiPriority w:val="3"/>
    <w:rPr>
      <w:rFonts w:ascii="宋体" w:hAnsi="Courier New"/>
      <w:b/>
      <w:kern w:val="2"/>
      <w:sz w:val="21"/>
    </w:rPr>
  </w:style>
  <w:style w:type="character" w:customStyle="1" w:styleId="103">
    <w:name w:val="⑥级标题 字符"/>
    <w:basedOn w:val="102"/>
    <w:link w:val="101"/>
    <w:qFormat/>
    <w:uiPriority w:val="12"/>
    <w:rPr>
      <w:rFonts w:ascii="宋体" w:hAnsi="Courier New"/>
      <w:kern w:val="2"/>
      <w:sz w:val="21"/>
    </w:rPr>
  </w:style>
  <w:style w:type="character" w:customStyle="1" w:styleId="104">
    <w:name w:val="电子邮件签名 字符"/>
    <w:link w:val="8"/>
    <w:semiHidden/>
    <w:qFormat/>
    <w:locked/>
    <w:uiPriority w:val="99"/>
    <w:rPr>
      <w:sz w:val="21"/>
      <w:szCs w:val="21"/>
    </w:rPr>
  </w:style>
  <w:style w:type="character" w:customStyle="1" w:styleId="105">
    <w:name w:val="电子邮件签名 字符1"/>
    <w:basedOn w:val="32"/>
    <w:semiHidden/>
    <w:qFormat/>
    <w:uiPriority w:val="98"/>
    <w:rPr>
      <w:rFonts w:ascii="Times New Roman" w:hAnsi="Times New Roman"/>
      <w:kern w:val="2"/>
      <w:sz w:val="21"/>
    </w:rPr>
  </w:style>
  <w:style w:type="character" w:customStyle="1" w:styleId="106">
    <w:name w:val="HR正文 Char"/>
    <w:link w:val="107"/>
    <w:qFormat/>
    <w:uiPriority w:val="0"/>
    <w:rPr>
      <w:kern w:val="2"/>
      <w:sz w:val="24"/>
      <w:szCs w:val="24"/>
    </w:rPr>
  </w:style>
  <w:style w:type="paragraph" w:customStyle="1" w:styleId="107">
    <w:name w:val="HR正文"/>
    <w:basedOn w:val="1"/>
    <w:link w:val="106"/>
    <w:qFormat/>
    <w:uiPriority w:val="0"/>
    <w:pPr>
      <w:spacing w:line="300" w:lineRule="auto"/>
      <w:ind w:firstLine="200" w:firstLineChars="200"/>
    </w:pPr>
    <w:rPr>
      <w:rFonts w:ascii="Calibri" w:hAnsi="Calibri"/>
      <w:sz w:val="24"/>
      <w:szCs w:val="24"/>
    </w:rPr>
  </w:style>
  <w:style w:type="character" w:customStyle="1" w:styleId="108">
    <w:name w:val="信息标题 字符"/>
    <w:link w:val="25"/>
    <w:semiHidden/>
    <w:qFormat/>
    <w:locked/>
    <w:uiPriority w:val="99"/>
    <w:rPr>
      <w:rFonts w:ascii="Cambria" w:hAnsi="Cambria" w:cs="Cambria"/>
      <w:sz w:val="24"/>
      <w:szCs w:val="24"/>
      <w:shd w:val="pct20" w:color="auto" w:fill="auto"/>
    </w:rPr>
  </w:style>
  <w:style w:type="character" w:customStyle="1" w:styleId="109">
    <w:name w:val="信息标题 字符1"/>
    <w:basedOn w:val="32"/>
    <w:semiHidden/>
    <w:qFormat/>
    <w:uiPriority w:val="98"/>
    <w:rPr>
      <w:rFonts w:asciiTheme="majorHAnsi" w:hAnsiTheme="majorHAnsi" w:eastAsiaTheme="majorEastAsia" w:cstheme="majorBidi"/>
      <w:kern w:val="2"/>
      <w:sz w:val="24"/>
      <w:szCs w:val="24"/>
      <w:shd w:val="pct20" w:color="auto" w:fill="auto"/>
    </w:rPr>
  </w:style>
  <w:style w:type="character" w:customStyle="1" w:styleId="110">
    <w:name w:val="页眉 Char1"/>
    <w:semiHidden/>
    <w:qFormat/>
    <w:locked/>
    <w:uiPriority w:val="0"/>
    <w:rPr>
      <w:rFonts w:ascii="Calibri" w:hAnsi="Calibri"/>
      <w:sz w:val="18"/>
      <w:szCs w:val="18"/>
    </w:rPr>
  </w:style>
  <w:style w:type="character" w:customStyle="1" w:styleId="111">
    <w:name w:val="标题 3 Char"/>
    <w:link w:val="5"/>
    <w:qFormat/>
    <w:uiPriority w:val="0"/>
    <w:rPr>
      <w:b/>
      <w:sz w:val="32"/>
    </w:rPr>
  </w:style>
  <w:style w:type="paragraph" w:customStyle="1" w:styleId="112">
    <w:name w:val="Table Paragraph"/>
    <w:basedOn w:val="1"/>
    <w:autoRedefine/>
    <w:qFormat/>
    <w:uiPriority w:val="1"/>
    <w:rPr>
      <w:rFonts w:ascii="宋体" w:hAnsi="宋体" w:eastAsia="宋体" w:cs="宋体"/>
    </w:rPr>
  </w:style>
  <w:style w:type="table" w:customStyle="1" w:styleId="113">
    <w:name w:val="Table Normal"/>
    <w:autoRedefine/>
    <w:qFormat/>
    <w:uiPriority w:val="0"/>
    <w:tblPr>
      <w:tblCellMar>
        <w:top w:w="0" w:type="dxa"/>
        <w:left w:w="0" w:type="dxa"/>
        <w:bottom w:w="0" w:type="dxa"/>
        <w:right w:w="0" w:type="dxa"/>
      </w:tblCellMar>
    </w:tblPr>
  </w:style>
  <w:style w:type="paragraph" w:customStyle="1" w:styleId="114">
    <w:name w:val="BodyText3"/>
    <w:basedOn w:val="1"/>
    <w:qFormat/>
    <w:uiPriority w:val="0"/>
    <w:pPr>
      <w:spacing w:after="120"/>
    </w:pPr>
    <w:rPr>
      <w:sz w:val="16"/>
      <w:szCs w:val="16"/>
    </w:rPr>
  </w:style>
  <w:style w:type="character" w:customStyle="1" w:styleId="115">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37</Pages>
  <Words>1501</Words>
  <Characters>1655</Characters>
  <Lines>127</Lines>
  <Paragraphs>35</Paragraphs>
  <TotalTime>46</TotalTime>
  <ScaleCrop>false</ScaleCrop>
  <LinksUpToDate>false</LinksUpToDate>
  <CharactersWithSpaces>1686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骑士</cp:lastModifiedBy>
  <cp:lastPrinted>2020-06-28T02:28:00Z</cp:lastPrinted>
  <dcterms:modified xsi:type="dcterms:W3CDTF">2026-07-10T05:54:59Z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E165F3114E734B7291ED236160331EEB_13</vt:lpwstr>
  </property>
  <property fmtid="{D5CDD505-2E9C-101B-9397-08002B2CF9AE}" pid="4" name="KSOTemplateDocerSaveRecord">
    <vt:lpwstr>eyJoZGlkIjoiYTQ5NjcwNTc1YjMzNzM3NzZlZGVhZjNmMGQ3MmM2YzIiLCJ1c2VySWQiOiI2NDU1Mzg1MTkifQ==</vt:lpwstr>
  </property>
</Properties>
</file>