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1198F">
      <w:pPr>
        <w:pStyle w:val="5"/>
        <w:numPr>
          <w:ilvl w:val="0"/>
          <w:numId w:val="1"/>
        </w:numPr>
        <w:jc w:val="center"/>
        <w:outlineLvl w:val="0"/>
        <w:rPr>
          <w:rFonts w:ascii="Calibri" w:hAnsi="Calibri" w:eastAsia="宋体" w:cs="Times New Roman"/>
          <w:b/>
          <w:bCs/>
          <w:kern w:val="44"/>
          <w:sz w:val="36"/>
          <w:szCs w:val="44"/>
        </w:rPr>
      </w:pPr>
      <w:bookmarkStart w:id="0" w:name="_Toc25915"/>
      <w:r>
        <w:rPr>
          <w:rFonts w:hint="eastAsia" w:ascii="Calibri" w:hAnsi="Calibri" w:eastAsia="宋体" w:cs="Times New Roman"/>
          <w:b/>
          <w:bCs/>
          <w:kern w:val="44"/>
          <w:sz w:val="36"/>
          <w:szCs w:val="44"/>
        </w:rPr>
        <w:t xml:space="preserve"> 投标须知前附表</w:t>
      </w:r>
      <w:bookmarkEnd w:id="0"/>
    </w:p>
    <w:p w14:paraId="274CD03A">
      <w:pPr>
        <w:pStyle w:val="5"/>
        <w:jc w:val="center"/>
        <w:rPr>
          <w:rFonts w:ascii="Calibri" w:hAnsi="Calibri" w:eastAsia="宋体" w:cs="Times New Roman"/>
          <w:b/>
          <w:bCs/>
          <w:kern w:val="44"/>
          <w:sz w:val="36"/>
          <w:szCs w:val="44"/>
        </w:rPr>
      </w:pPr>
    </w:p>
    <w:p w14:paraId="562838F3">
      <w:pPr>
        <w:spacing w:line="360" w:lineRule="auto"/>
        <w:ind w:firstLine="482" w:firstLineChars="200"/>
        <w:rPr>
          <w:rFonts w:ascii="宋体" w:hAnsi="宋体" w:eastAsia="宋体" w:cs="宋体"/>
          <w:b/>
          <w:bCs/>
          <w:sz w:val="24"/>
          <w:szCs w:val="24"/>
        </w:rPr>
      </w:pPr>
      <w:r>
        <w:rPr>
          <w:rFonts w:hint="eastAsia" w:ascii="宋体" w:hAnsi="宋体" w:eastAsia="宋体" w:cs="宋体"/>
          <w:b/>
          <w:bCs/>
          <w:sz w:val="24"/>
          <w:szCs w:val="24"/>
        </w:rPr>
        <w:t>本部分是对“投标须知”正文的具体补充和修改，如有不一致，以“前附表”为准。</w:t>
      </w:r>
    </w:p>
    <w:tbl>
      <w:tblPr>
        <w:tblStyle w:val="9"/>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14:paraId="2068D0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trPr>
        <w:tc>
          <w:tcPr>
            <w:tcW w:w="595" w:type="dxa"/>
            <w:tcBorders>
              <w:top w:val="single" w:color="auto" w:sz="2" w:space="0"/>
              <w:left w:val="single" w:color="auto" w:sz="2" w:space="0"/>
              <w:bottom w:val="single" w:color="auto" w:sz="2" w:space="0"/>
              <w:right w:val="single" w:color="auto" w:sz="2" w:space="0"/>
            </w:tcBorders>
            <w:shd w:val="clear" w:color="auto" w:fill="E2EFD9"/>
            <w:vAlign w:val="center"/>
          </w:tcPr>
          <w:p w14:paraId="54A7D245">
            <w:pPr>
              <w:jc w:val="center"/>
              <w:rPr>
                <w:rStyle w:val="12"/>
                <w:rFonts w:ascii="宋体" w:hAnsi="宋体" w:eastAsia="宋体" w:cs="宋体"/>
                <w:b/>
                <w:sz w:val="28"/>
                <w:szCs w:val="28"/>
              </w:rPr>
            </w:pPr>
            <w:bookmarkStart w:id="1" w:name="_Toc346372875"/>
            <w:r>
              <w:rPr>
                <w:rStyle w:val="12"/>
                <w:rFonts w:hint="eastAsia" w:ascii="宋体" w:hAnsi="宋体" w:eastAsia="宋体" w:cs="宋体"/>
                <w:b/>
                <w:sz w:val="28"/>
                <w:szCs w:val="28"/>
              </w:rPr>
              <w:t>序号</w:t>
            </w:r>
          </w:p>
        </w:tc>
        <w:tc>
          <w:tcPr>
            <w:tcW w:w="8363" w:type="dxa"/>
            <w:tcBorders>
              <w:top w:val="single" w:color="auto" w:sz="2" w:space="0"/>
              <w:left w:val="single" w:color="auto" w:sz="2" w:space="0"/>
              <w:bottom w:val="single" w:color="auto" w:sz="2" w:space="0"/>
              <w:right w:val="single" w:color="auto" w:sz="2" w:space="0"/>
            </w:tcBorders>
            <w:shd w:val="clear" w:color="auto" w:fill="E2EFD9"/>
            <w:vAlign w:val="center"/>
          </w:tcPr>
          <w:p w14:paraId="6661B686">
            <w:pPr>
              <w:ind w:firstLine="562" w:firstLineChars="200"/>
              <w:jc w:val="center"/>
              <w:rPr>
                <w:rFonts w:ascii="宋体" w:hAnsi="宋体" w:eastAsia="宋体" w:cs="宋体"/>
                <w:b/>
                <w:bCs/>
                <w:sz w:val="28"/>
                <w:szCs w:val="28"/>
              </w:rPr>
            </w:pPr>
            <w:r>
              <w:rPr>
                <w:rStyle w:val="12"/>
                <w:rFonts w:hint="eastAsia" w:ascii="宋体" w:hAnsi="宋体" w:eastAsia="宋体" w:cs="宋体"/>
                <w:b/>
                <w:sz w:val="28"/>
                <w:szCs w:val="28"/>
              </w:rPr>
              <w:t>编  列  内  容</w:t>
            </w:r>
          </w:p>
        </w:tc>
      </w:tr>
      <w:tr w14:paraId="236DE7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18610123">
            <w:pPr>
              <w:jc w:val="center"/>
              <w:rPr>
                <w:rFonts w:ascii="宋体" w:hAnsi="宋体" w:eastAsia="宋体" w:cs="宋体"/>
                <w:b/>
                <w:bCs/>
                <w:sz w:val="24"/>
                <w:szCs w:val="24"/>
              </w:rPr>
            </w:pPr>
            <w:r>
              <w:rPr>
                <w:rFonts w:hint="eastAsia" w:ascii="宋体" w:hAnsi="宋体" w:eastAsia="宋体" w:cs="宋体"/>
                <w:b/>
                <w:bCs/>
                <w:sz w:val="24"/>
                <w:szCs w:val="24"/>
              </w:rPr>
              <w:t>1.项目说明</w:t>
            </w:r>
          </w:p>
        </w:tc>
      </w:tr>
      <w:tr w14:paraId="61A62F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restart"/>
            <w:tcBorders>
              <w:top w:val="single" w:color="auto" w:sz="2" w:space="0"/>
              <w:left w:val="single" w:color="auto" w:sz="2" w:space="0"/>
              <w:right w:val="single" w:color="auto" w:sz="2" w:space="0"/>
            </w:tcBorders>
            <w:vAlign w:val="center"/>
          </w:tcPr>
          <w:p w14:paraId="419CC0B3">
            <w:pPr>
              <w:jc w:val="center"/>
              <w:rPr>
                <w:rFonts w:ascii="宋体" w:hAnsi="宋体" w:eastAsia="宋体" w:cs="宋体"/>
                <w:sz w:val="24"/>
                <w:szCs w:val="24"/>
              </w:rPr>
            </w:pPr>
            <w:r>
              <w:rPr>
                <w:rFonts w:hint="eastAsia" w:ascii="宋体" w:hAnsi="宋体" w:eastAsia="宋体" w:cs="宋体"/>
                <w:sz w:val="24"/>
                <w:szCs w:val="24"/>
              </w:rPr>
              <w:t>1.1</w:t>
            </w:r>
          </w:p>
        </w:tc>
        <w:tc>
          <w:tcPr>
            <w:tcW w:w="8363" w:type="dxa"/>
            <w:tcBorders>
              <w:top w:val="single" w:color="auto" w:sz="2" w:space="0"/>
              <w:left w:val="single" w:color="auto" w:sz="2" w:space="0"/>
              <w:bottom w:val="single" w:color="auto" w:sz="2" w:space="0"/>
              <w:right w:val="single" w:color="auto" w:sz="2" w:space="0"/>
            </w:tcBorders>
            <w:vAlign w:val="center"/>
          </w:tcPr>
          <w:p w14:paraId="0760D5DA">
            <w:pPr>
              <w:ind w:firstLine="482" w:firstLineChars="200"/>
              <w:rPr>
                <w:rFonts w:ascii="宋体" w:hAnsi="宋体" w:eastAsia="宋体" w:cs="宋体"/>
                <w:sz w:val="24"/>
                <w:szCs w:val="24"/>
              </w:rPr>
            </w:pPr>
            <w:r>
              <w:rPr>
                <w:rFonts w:hint="eastAsia" w:ascii="宋体" w:hAnsi="宋体" w:eastAsia="宋体" w:cs="宋体"/>
                <w:b/>
                <w:bCs/>
                <w:sz w:val="24"/>
                <w:szCs w:val="24"/>
              </w:rPr>
              <w:t>项目名称：</w:t>
            </w:r>
            <w:r>
              <w:rPr>
                <w:rFonts w:hint="eastAsia" w:ascii="宋体" w:hAnsi="宋体" w:eastAsia="宋体" w:cs="宋体"/>
                <w:sz w:val="24"/>
                <w:szCs w:val="24"/>
                <w:u w:val="single"/>
              </w:rPr>
              <w:t>印尼制造公司建设KD工厂技改项目-货箱焊接及上装设备</w:t>
            </w:r>
          </w:p>
        </w:tc>
      </w:tr>
      <w:tr w14:paraId="744479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39855009">
            <w:pPr>
              <w:ind w:firstLine="420" w:firstLineChars="200"/>
            </w:pPr>
          </w:p>
        </w:tc>
        <w:tc>
          <w:tcPr>
            <w:tcW w:w="8363" w:type="dxa"/>
            <w:tcBorders>
              <w:top w:val="single" w:color="auto" w:sz="2" w:space="0"/>
              <w:left w:val="single" w:color="auto" w:sz="2" w:space="0"/>
              <w:bottom w:val="single" w:color="auto" w:sz="2" w:space="0"/>
              <w:right w:val="single" w:color="auto" w:sz="2" w:space="0"/>
            </w:tcBorders>
            <w:vAlign w:val="center"/>
          </w:tcPr>
          <w:p w14:paraId="1E2E0AEF">
            <w:pPr>
              <w:ind w:firstLine="482" w:firstLineChars="200"/>
              <w:rPr>
                <w:rFonts w:ascii="宋体" w:hAnsi="宋体" w:eastAsia="宋体" w:cs="宋体"/>
                <w:b/>
                <w:bCs/>
                <w:sz w:val="24"/>
                <w:szCs w:val="24"/>
              </w:rPr>
            </w:pPr>
            <w:r>
              <w:rPr>
                <w:rFonts w:hint="eastAsia" w:ascii="宋体" w:hAnsi="宋体" w:eastAsia="宋体" w:cs="宋体"/>
                <w:b/>
                <w:bCs/>
                <w:sz w:val="24"/>
                <w:szCs w:val="24"/>
              </w:rPr>
              <w:t>采购形式编号：</w:t>
            </w:r>
            <w:r>
              <w:rPr>
                <w:rFonts w:hint="eastAsia" w:ascii="宋体" w:hAnsi="宋体" w:eastAsia="宋体" w:cs="宋体"/>
                <w:sz w:val="24"/>
                <w:szCs w:val="24"/>
                <w:u w:val="single"/>
              </w:rPr>
              <w:t>ZBGL2026070472</w:t>
            </w:r>
          </w:p>
        </w:tc>
      </w:tr>
      <w:tr w14:paraId="36B8F2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17" w:hRule="atLeast"/>
        </w:trPr>
        <w:tc>
          <w:tcPr>
            <w:tcW w:w="595" w:type="dxa"/>
            <w:vMerge w:val="restart"/>
            <w:tcBorders>
              <w:top w:val="single" w:color="auto" w:sz="2" w:space="0"/>
              <w:left w:val="single" w:color="auto" w:sz="2" w:space="0"/>
              <w:right w:val="single" w:color="auto" w:sz="2" w:space="0"/>
            </w:tcBorders>
            <w:vAlign w:val="center"/>
          </w:tcPr>
          <w:p w14:paraId="7A648BB5">
            <w:pPr>
              <w:jc w:val="center"/>
              <w:rPr>
                <w:rFonts w:ascii="宋体" w:hAnsi="宋体" w:eastAsia="宋体" w:cs="宋体"/>
                <w:sz w:val="24"/>
                <w:szCs w:val="24"/>
              </w:rPr>
            </w:pPr>
            <w:r>
              <w:rPr>
                <w:rFonts w:hint="eastAsia" w:ascii="宋体" w:hAnsi="宋体" w:eastAsia="宋体" w:cs="宋体"/>
                <w:sz w:val="24"/>
                <w:szCs w:val="24"/>
              </w:rPr>
              <w:t>1.2</w:t>
            </w:r>
          </w:p>
        </w:tc>
        <w:tc>
          <w:tcPr>
            <w:tcW w:w="8363" w:type="dxa"/>
            <w:tcBorders>
              <w:top w:val="single" w:color="auto" w:sz="2" w:space="0"/>
              <w:left w:val="single" w:color="auto" w:sz="2" w:space="0"/>
              <w:bottom w:val="single" w:color="auto" w:sz="2" w:space="0"/>
              <w:right w:val="single" w:color="auto" w:sz="2" w:space="0"/>
            </w:tcBorders>
            <w:vAlign w:val="center"/>
          </w:tcPr>
          <w:p w14:paraId="4B5924D3">
            <w:pPr>
              <w:ind w:firstLine="482" w:firstLineChars="200"/>
              <w:rPr>
                <w:rFonts w:ascii="宋体" w:hAnsi="宋体" w:eastAsia="宋体" w:cs="宋体"/>
                <w:sz w:val="24"/>
                <w:szCs w:val="24"/>
              </w:rPr>
            </w:pPr>
            <w:r>
              <w:rPr>
                <w:rFonts w:hint="eastAsia" w:ascii="宋体" w:hAnsi="宋体" w:eastAsia="宋体" w:cs="宋体"/>
                <w:b/>
                <w:bCs/>
                <w:sz w:val="24"/>
                <w:szCs w:val="24"/>
              </w:rPr>
              <w:t>招标内容：</w:t>
            </w:r>
            <w:r>
              <w:rPr>
                <w:rFonts w:hint="eastAsia" w:ascii="宋体" w:hAnsi="宋体" w:eastAsia="宋体" w:cs="宋体"/>
                <w:sz w:val="24"/>
                <w:szCs w:val="24"/>
                <w:u w:val="single"/>
              </w:rPr>
              <w:t>货箱焊接及上装设备及备品备件1套。</w:t>
            </w:r>
          </w:p>
        </w:tc>
      </w:tr>
      <w:tr w14:paraId="429983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08" w:hRule="atLeast"/>
        </w:trPr>
        <w:tc>
          <w:tcPr>
            <w:tcW w:w="595" w:type="dxa"/>
            <w:vMerge w:val="continue"/>
            <w:tcBorders>
              <w:left w:val="single" w:color="auto" w:sz="2" w:space="0"/>
              <w:bottom w:val="single" w:color="auto" w:sz="2" w:space="0"/>
              <w:right w:val="single" w:color="auto" w:sz="2" w:space="0"/>
            </w:tcBorders>
            <w:vAlign w:val="center"/>
          </w:tcPr>
          <w:p w14:paraId="68CA8D80">
            <w:pPr>
              <w:ind w:firstLine="420" w:firstLineChars="200"/>
            </w:pPr>
          </w:p>
        </w:tc>
        <w:tc>
          <w:tcPr>
            <w:tcW w:w="8363" w:type="dxa"/>
            <w:tcBorders>
              <w:top w:val="single" w:color="auto" w:sz="2" w:space="0"/>
              <w:left w:val="single" w:color="auto" w:sz="2" w:space="0"/>
              <w:bottom w:val="single" w:color="auto" w:sz="2" w:space="0"/>
              <w:right w:val="single" w:color="auto" w:sz="2" w:space="0"/>
            </w:tcBorders>
            <w:vAlign w:val="center"/>
          </w:tcPr>
          <w:p w14:paraId="6ECC7B5C">
            <w:pPr>
              <w:ind w:firstLine="482" w:firstLineChars="200"/>
              <w:rPr>
                <w:rFonts w:ascii="宋体" w:hAnsi="宋体" w:eastAsia="宋体" w:cs="宋体"/>
                <w:b/>
                <w:bCs/>
                <w:sz w:val="24"/>
                <w:szCs w:val="24"/>
              </w:rPr>
            </w:pPr>
            <w:r>
              <w:rPr>
                <w:rFonts w:hint="eastAsia" w:ascii="宋体" w:hAnsi="宋体" w:eastAsia="宋体" w:cs="宋体"/>
                <w:b/>
                <w:bCs/>
                <w:sz w:val="24"/>
                <w:szCs w:val="24"/>
              </w:rPr>
              <w:t>招标形式：公开招标</w:t>
            </w:r>
          </w:p>
        </w:tc>
      </w:tr>
      <w:tr w14:paraId="25CAB1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501" w:hRule="atLeast"/>
        </w:trPr>
        <w:tc>
          <w:tcPr>
            <w:tcW w:w="595" w:type="dxa"/>
            <w:tcBorders>
              <w:top w:val="single" w:color="auto" w:sz="2" w:space="0"/>
              <w:left w:val="single" w:color="auto" w:sz="2" w:space="0"/>
              <w:bottom w:val="single" w:color="auto" w:sz="2" w:space="0"/>
              <w:right w:val="single" w:color="auto" w:sz="2" w:space="0"/>
            </w:tcBorders>
            <w:vAlign w:val="center"/>
          </w:tcPr>
          <w:p w14:paraId="026631FB">
            <w:pPr>
              <w:jc w:val="center"/>
              <w:rPr>
                <w:rFonts w:ascii="宋体" w:hAnsi="宋体" w:eastAsia="宋体" w:cs="宋体"/>
                <w:sz w:val="24"/>
                <w:szCs w:val="24"/>
              </w:rPr>
            </w:pPr>
            <w:r>
              <w:rPr>
                <w:rFonts w:hint="eastAsia" w:ascii="宋体" w:hAnsi="宋体" w:eastAsia="宋体" w:cs="宋体"/>
                <w:sz w:val="24"/>
                <w:szCs w:val="24"/>
              </w:rPr>
              <w:t>1.3</w:t>
            </w:r>
          </w:p>
        </w:tc>
        <w:tc>
          <w:tcPr>
            <w:tcW w:w="8363" w:type="dxa"/>
            <w:tcBorders>
              <w:top w:val="single" w:color="auto" w:sz="2" w:space="0"/>
              <w:left w:val="single" w:color="auto" w:sz="2" w:space="0"/>
              <w:bottom w:val="single" w:color="auto" w:sz="2" w:space="0"/>
              <w:right w:val="single" w:color="auto" w:sz="2" w:space="0"/>
            </w:tcBorders>
            <w:shd w:val="clear" w:color="auto" w:fill="auto"/>
            <w:vAlign w:val="center"/>
          </w:tcPr>
          <w:p w14:paraId="6C70D0DC">
            <w:pPr>
              <w:ind w:firstLine="482" w:firstLineChars="200"/>
              <w:rPr>
                <w:rFonts w:ascii="宋体" w:hAnsi="宋体" w:eastAsia="宋体" w:cs="宋体"/>
                <w:bCs/>
                <w:snapToGrid w:val="0"/>
                <w:kern w:val="0"/>
                <w:sz w:val="24"/>
                <w:szCs w:val="24"/>
              </w:rPr>
            </w:pPr>
            <w:r>
              <w:rPr>
                <w:rFonts w:hint="eastAsia" w:ascii="宋体" w:hAnsi="宋体" w:eastAsia="宋体" w:cs="宋体"/>
                <w:b/>
                <w:snapToGrid w:val="0"/>
                <w:kern w:val="0"/>
                <w:sz w:val="24"/>
                <w:szCs w:val="24"/>
              </w:rPr>
              <w:t>招标人名称：</w:t>
            </w:r>
            <w:r>
              <w:rPr>
                <w:rFonts w:hint="eastAsia" w:ascii="宋体" w:hAnsi="宋体" w:eastAsia="宋体" w:cs="宋体"/>
                <w:sz w:val="24"/>
                <w:szCs w:val="24"/>
                <w:u w:val="single"/>
              </w:rPr>
              <w:t>中国重汽集团国际有限公司</w:t>
            </w:r>
          </w:p>
          <w:p w14:paraId="6E2AF871">
            <w:pPr>
              <w:ind w:firstLine="482" w:firstLineChars="200"/>
              <w:rPr>
                <w:rFonts w:ascii="宋体" w:hAnsi="宋体" w:eastAsia="宋体" w:cs="宋体"/>
                <w:sz w:val="24"/>
                <w:szCs w:val="24"/>
              </w:rPr>
            </w:pPr>
            <w:r>
              <w:rPr>
                <w:rFonts w:hint="eastAsia" w:ascii="宋体" w:hAnsi="宋体" w:eastAsia="宋体" w:cs="宋体"/>
                <w:b/>
                <w:snapToGrid w:val="0"/>
                <w:kern w:val="0"/>
                <w:sz w:val="24"/>
                <w:szCs w:val="24"/>
              </w:rPr>
              <w:t>招标人地址：</w:t>
            </w:r>
            <w:r>
              <w:rPr>
                <w:rFonts w:hint="eastAsia" w:ascii="宋体" w:hAnsi="宋体" w:eastAsia="宋体" w:cs="宋体"/>
                <w:sz w:val="24"/>
                <w:szCs w:val="24"/>
                <w:u w:val="single"/>
              </w:rPr>
              <w:t>山东省济南市历城区华奥路777号</w:t>
            </w:r>
          </w:p>
          <w:p w14:paraId="7D461888">
            <w:pPr>
              <w:ind w:firstLine="482" w:firstLineChars="200"/>
              <w:rPr>
                <w:rFonts w:ascii="宋体" w:hAnsi="宋体" w:eastAsia="宋体" w:cs="宋体"/>
                <w:bCs/>
                <w:snapToGrid w:val="0"/>
                <w:kern w:val="0"/>
                <w:sz w:val="24"/>
                <w:szCs w:val="24"/>
                <w:highlight w:val="yellow"/>
              </w:rPr>
            </w:pPr>
            <w:r>
              <w:rPr>
                <w:rFonts w:hint="eastAsia" w:ascii="宋体" w:hAnsi="宋体" w:eastAsia="宋体" w:cs="宋体"/>
                <w:b/>
                <w:snapToGrid w:val="0"/>
                <w:kern w:val="0"/>
                <w:sz w:val="24"/>
                <w:szCs w:val="24"/>
                <w:highlight w:val="yellow"/>
              </w:rPr>
              <w:t>商务联系人：郭磊鑫</w:t>
            </w:r>
            <w:r>
              <w:rPr>
                <w:rFonts w:hint="eastAsia" w:ascii="宋体" w:hAnsi="宋体" w:eastAsia="宋体" w:cs="宋体"/>
                <w:sz w:val="24"/>
                <w:szCs w:val="24"/>
                <w:highlight w:val="yellow"/>
              </w:rPr>
              <w:t xml:space="preserve"> </w:t>
            </w:r>
            <w:r>
              <w:rPr>
                <w:rFonts w:ascii="宋体" w:hAnsi="宋体" w:eastAsia="宋体" w:cs="宋体"/>
                <w:sz w:val="24"/>
                <w:szCs w:val="24"/>
                <w:highlight w:val="yellow"/>
              </w:rPr>
              <w:t xml:space="preserve">     </w:t>
            </w:r>
            <w:r>
              <w:rPr>
                <w:rFonts w:hint="eastAsia" w:ascii="宋体" w:hAnsi="宋体" w:eastAsia="宋体" w:cs="宋体"/>
                <w:sz w:val="24"/>
                <w:szCs w:val="24"/>
                <w:highlight w:val="yellow"/>
              </w:rPr>
              <w:t xml:space="preserve"> </w:t>
            </w:r>
            <w:r>
              <w:rPr>
                <w:rFonts w:ascii="宋体" w:hAnsi="宋体" w:eastAsia="宋体" w:cs="宋体"/>
                <w:sz w:val="24"/>
                <w:szCs w:val="24"/>
                <w:highlight w:val="yellow"/>
              </w:rPr>
              <w:t xml:space="preserve">  </w:t>
            </w:r>
            <w:r>
              <w:rPr>
                <w:rFonts w:hint="eastAsia" w:ascii="宋体" w:hAnsi="宋体" w:eastAsia="宋体" w:cs="宋体"/>
                <w:sz w:val="24"/>
                <w:szCs w:val="24"/>
                <w:highlight w:val="yellow"/>
              </w:rPr>
              <w:t xml:space="preserve">       技术联系人：王辉</w:t>
            </w:r>
          </w:p>
          <w:p w14:paraId="62F3CE82">
            <w:pPr>
              <w:ind w:firstLine="482" w:firstLineChars="200"/>
              <w:rPr>
                <w:rFonts w:ascii="宋体" w:hAnsi="宋体" w:cs="宋体"/>
                <w:bCs/>
                <w:snapToGrid w:val="0"/>
                <w:kern w:val="0"/>
                <w:sz w:val="24"/>
                <w:szCs w:val="24"/>
                <w:highlight w:val="yellow"/>
              </w:rPr>
            </w:pPr>
            <w:r>
              <w:rPr>
                <w:rFonts w:hint="eastAsia" w:ascii="宋体" w:hAnsi="宋体" w:eastAsia="宋体" w:cs="宋体"/>
                <w:b/>
                <w:snapToGrid w:val="0"/>
                <w:kern w:val="0"/>
                <w:sz w:val="24"/>
                <w:szCs w:val="24"/>
                <w:highlight w:val="yellow"/>
              </w:rPr>
              <w:t>电话：</w:t>
            </w:r>
            <w:r>
              <w:rPr>
                <w:rFonts w:ascii="宋体" w:hAnsi="宋体" w:eastAsia="宋体" w:cs="宋体"/>
                <w:b/>
                <w:snapToGrid w:val="0"/>
                <w:kern w:val="0"/>
                <w:sz w:val="24"/>
                <w:szCs w:val="24"/>
                <w:highlight w:val="yellow"/>
              </w:rPr>
              <w:t>17860603271</w:t>
            </w:r>
            <w:r>
              <w:rPr>
                <w:rFonts w:ascii="宋体" w:hAnsi="宋体" w:eastAsia="宋体" w:cs="宋体"/>
                <w:sz w:val="24"/>
                <w:szCs w:val="24"/>
                <w:highlight w:val="yellow"/>
              </w:rPr>
              <w:t xml:space="preserve">              </w:t>
            </w:r>
            <w:r>
              <w:rPr>
                <w:rFonts w:hint="eastAsia" w:ascii="宋体" w:hAnsi="宋体" w:eastAsia="宋体" w:cs="宋体"/>
                <w:sz w:val="24"/>
                <w:szCs w:val="24"/>
                <w:highlight w:val="yellow"/>
              </w:rPr>
              <w:t>电话：</w:t>
            </w:r>
            <w:r>
              <w:rPr>
                <w:highlight w:val="yellow"/>
              </w:rPr>
              <w:t xml:space="preserve"> </w:t>
            </w:r>
            <w:r>
              <w:rPr>
                <w:rFonts w:hint="eastAsia" w:ascii="宋体" w:hAnsi="宋体" w:eastAsia="宋体" w:cs="宋体"/>
                <w:sz w:val="24"/>
                <w:szCs w:val="24"/>
                <w:highlight w:val="yellow"/>
              </w:rPr>
              <w:t>18205417519</w:t>
            </w:r>
          </w:p>
          <w:p w14:paraId="64B1A340">
            <w:pPr>
              <w:ind w:firstLine="482" w:firstLineChars="200"/>
              <w:rPr>
                <w:rFonts w:eastAsia="宋体"/>
              </w:rPr>
            </w:pPr>
            <w:r>
              <w:rPr>
                <w:rFonts w:hint="eastAsia" w:ascii="宋体" w:hAnsi="宋体" w:eastAsia="宋体" w:cs="宋体"/>
                <w:b/>
                <w:snapToGrid w:val="0"/>
                <w:kern w:val="0"/>
                <w:sz w:val="24"/>
                <w:szCs w:val="24"/>
                <w:highlight w:val="yellow"/>
              </w:rPr>
              <w:t>邮箱：</w:t>
            </w:r>
            <w:r>
              <w:rPr>
                <w:rFonts w:ascii="宋体" w:hAnsi="宋体" w:eastAsia="宋体" w:cs="宋体"/>
                <w:b/>
                <w:bCs/>
                <w:sz w:val="24"/>
                <w:szCs w:val="24"/>
                <w:highlight w:val="yellow"/>
              </w:rPr>
              <w:t>guoleix@sinotruk.com</w:t>
            </w:r>
            <w:r>
              <w:rPr>
                <w:rFonts w:hint="eastAsia" w:ascii="宋体" w:hAnsi="宋体" w:eastAsia="宋体" w:cs="宋体"/>
                <w:sz w:val="24"/>
                <w:szCs w:val="24"/>
                <w:highlight w:val="yellow"/>
              </w:rPr>
              <w:t xml:space="preserve">     </w:t>
            </w:r>
            <w:r>
              <w:rPr>
                <w:rFonts w:hint="eastAsia" w:ascii="宋体" w:hAnsi="宋体" w:eastAsia="宋体" w:cs="宋体"/>
                <w:bCs/>
                <w:snapToGrid w:val="0"/>
                <w:kern w:val="0"/>
                <w:sz w:val="24"/>
                <w:szCs w:val="24"/>
                <w:highlight w:val="yellow"/>
              </w:rPr>
              <w:t>邮箱：wanghui6@sinotruk.com</w:t>
            </w:r>
          </w:p>
        </w:tc>
      </w:tr>
      <w:tr w14:paraId="69BDD0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4" w:hRule="atLeast"/>
        </w:trPr>
        <w:tc>
          <w:tcPr>
            <w:tcW w:w="595" w:type="dxa"/>
            <w:tcBorders>
              <w:top w:val="single" w:color="auto" w:sz="2" w:space="0"/>
              <w:left w:val="single" w:color="auto" w:sz="2" w:space="0"/>
              <w:bottom w:val="single" w:color="auto" w:sz="2" w:space="0"/>
              <w:right w:val="single" w:color="auto" w:sz="2" w:space="0"/>
            </w:tcBorders>
            <w:vAlign w:val="center"/>
          </w:tcPr>
          <w:p w14:paraId="04BE3F90">
            <w:pPr>
              <w:jc w:val="center"/>
              <w:rPr>
                <w:rFonts w:ascii="宋体" w:hAnsi="宋体" w:eastAsia="宋体" w:cs="宋体"/>
                <w:sz w:val="24"/>
                <w:szCs w:val="24"/>
              </w:rPr>
            </w:pPr>
            <w:r>
              <w:rPr>
                <w:rFonts w:hint="eastAsia" w:ascii="宋体" w:hAnsi="宋体" w:eastAsia="宋体" w:cs="宋体"/>
                <w:sz w:val="24"/>
                <w:szCs w:val="24"/>
              </w:rPr>
              <w:t>1.4</w:t>
            </w:r>
          </w:p>
        </w:tc>
        <w:tc>
          <w:tcPr>
            <w:tcW w:w="8363" w:type="dxa"/>
            <w:tcBorders>
              <w:top w:val="single" w:color="auto" w:sz="2" w:space="0"/>
              <w:left w:val="single" w:color="auto" w:sz="2" w:space="0"/>
              <w:bottom w:val="single" w:color="auto" w:sz="2" w:space="0"/>
              <w:right w:val="single" w:color="auto" w:sz="2" w:space="0"/>
            </w:tcBorders>
            <w:shd w:val="clear" w:color="auto" w:fill="auto"/>
            <w:vAlign w:val="center"/>
          </w:tcPr>
          <w:p w14:paraId="1D7CD428">
            <w:pPr>
              <w:ind w:firstLine="482" w:firstLineChars="200"/>
              <w:rPr>
                <w:rFonts w:ascii="宋体" w:hAnsi="宋体" w:eastAsia="宋体" w:cs="宋体"/>
                <w:sz w:val="24"/>
                <w:szCs w:val="24"/>
              </w:rPr>
            </w:pPr>
            <w:r>
              <w:rPr>
                <w:rFonts w:hint="eastAsia" w:ascii="宋体" w:hAnsi="宋体" w:eastAsia="宋体" w:cs="宋体"/>
                <w:b/>
                <w:bCs/>
                <w:sz w:val="24"/>
                <w:szCs w:val="24"/>
              </w:rPr>
              <w:t>资金来源：</w:t>
            </w:r>
            <w:r>
              <w:rPr>
                <w:rFonts w:hint="eastAsia" w:ascii="宋体" w:hAnsi="宋体" w:eastAsia="宋体" w:cs="宋体"/>
                <w:bCs/>
                <w:sz w:val="24"/>
                <w:szCs w:val="24"/>
              </w:rPr>
              <w:t>企业自筹，已落实</w:t>
            </w:r>
            <w:r>
              <w:rPr>
                <w:rFonts w:hint="eastAsia" w:ascii="宋体" w:hAnsi="宋体" w:eastAsia="宋体" w:cs="宋体"/>
                <w:kern w:val="0"/>
                <w:sz w:val="24"/>
                <w:szCs w:val="24"/>
              </w:rPr>
              <w:t>。</w:t>
            </w:r>
          </w:p>
        </w:tc>
      </w:tr>
      <w:tr w14:paraId="106983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trPr>
        <w:tc>
          <w:tcPr>
            <w:tcW w:w="595" w:type="dxa"/>
            <w:tcBorders>
              <w:top w:val="single" w:color="auto" w:sz="2" w:space="0"/>
              <w:left w:val="single" w:color="auto" w:sz="2" w:space="0"/>
              <w:bottom w:val="single" w:color="auto" w:sz="2" w:space="0"/>
              <w:right w:val="single" w:color="auto" w:sz="2" w:space="0"/>
            </w:tcBorders>
            <w:vAlign w:val="center"/>
          </w:tcPr>
          <w:p w14:paraId="1879A388">
            <w:pPr>
              <w:jc w:val="center"/>
              <w:rPr>
                <w:rFonts w:ascii="宋体" w:hAnsi="宋体" w:eastAsia="宋体" w:cs="宋体"/>
                <w:sz w:val="24"/>
                <w:szCs w:val="24"/>
              </w:rPr>
            </w:pPr>
            <w:r>
              <w:rPr>
                <w:rFonts w:hint="eastAsia" w:ascii="宋体" w:hAnsi="宋体" w:eastAsia="宋体" w:cs="宋体"/>
                <w:sz w:val="24"/>
                <w:szCs w:val="24"/>
              </w:rPr>
              <w:t>1.5</w:t>
            </w:r>
          </w:p>
        </w:tc>
        <w:tc>
          <w:tcPr>
            <w:tcW w:w="8363" w:type="dxa"/>
            <w:tcBorders>
              <w:top w:val="single" w:color="auto" w:sz="2" w:space="0"/>
              <w:left w:val="single" w:color="auto" w:sz="2" w:space="0"/>
              <w:bottom w:val="single" w:color="auto" w:sz="2" w:space="0"/>
              <w:right w:val="single" w:color="auto" w:sz="2" w:space="0"/>
            </w:tcBorders>
            <w:shd w:val="clear" w:color="auto" w:fill="auto"/>
            <w:vAlign w:val="center"/>
          </w:tcPr>
          <w:p w14:paraId="19478F66">
            <w:pPr>
              <w:ind w:firstLine="482" w:firstLineChars="200"/>
              <w:rPr>
                <w:rFonts w:ascii="宋体" w:hAnsi="宋体" w:eastAsia="宋体" w:cs="Times New Roman"/>
                <w:color w:val="000000"/>
                <w:sz w:val="24"/>
                <w:szCs w:val="24"/>
              </w:rPr>
            </w:pPr>
            <w:r>
              <w:rPr>
                <w:rFonts w:hint="eastAsia" w:ascii="宋体" w:hAnsi="宋体" w:eastAsia="宋体" w:cs="宋体"/>
                <w:b/>
                <w:bCs/>
                <w:sz w:val="24"/>
                <w:szCs w:val="24"/>
              </w:rPr>
              <w:t>报价：</w:t>
            </w:r>
            <w:r>
              <w:rPr>
                <w:rFonts w:hint="eastAsia" w:ascii="宋体" w:hAnsi="宋体" w:eastAsia="宋体" w:cs="宋体"/>
                <w:sz w:val="24"/>
                <w:szCs w:val="24"/>
              </w:rPr>
              <w:t>如需要，由投标人自行勘察现场，进行合理报价。投标总报价应包括设备费、原厂服务费及相关配件、随机资料、人身保险、税费、包装、装箱、集装箱偏重配重费用、安装调试</w:t>
            </w:r>
            <w:r>
              <w:rPr>
                <w:rFonts w:ascii="宋体" w:hAnsi="宋体" w:eastAsia="宋体" w:cs="宋体"/>
                <w:sz w:val="24"/>
                <w:szCs w:val="24"/>
              </w:rPr>
              <w:t>(含人员</w:t>
            </w:r>
            <w:r>
              <w:rPr>
                <w:rFonts w:hint="eastAsia" w:ascii="宋体" w:hAnsi="宋体" w:eastAsia="宋体" w:cs="宋体"/>
                <w:sz w:val="24"/>
                <w:szCs w:val="24"/>
              </w:rPr>
              <w:t>过境机票、</w:t>
            </w:r>
            <w:r>
              <w:rPr>
                <w:rFonts w:ascii="宋体" w:hAnsi="宋体" w:eastAsia="宋体" w:cs="宋体"/>
                <w:sz w:val="24"/>
                <w:szCs w:val="24"/>
              </w:rPr>
              <w:t>签证</w:t>
            </w:r>
            <w:r>
              <w:rPr>
                <w:rFonts w:hint="eastAsia" w:ascii="宋体" w:hAnsi="宋体" w:eastAsia="宋体" w:cs="宋体"/>
                <w:sz w:val="24"/>
                <w:szCs w:val="24"/>
              </w:rPr>
              <w:t>、食宿</w:t>
            </w:r>
            <w:r>
              <w:rPr>
                <w:rFonts w:ascii="宋体" w:hAnsi="宋体" w:eastAsia="宋体" w:cs="宋体"/>
                <w:sz w:val="24"/>
                <w:szCs w:val="24"/>
              </w:rPr>
              <w:t>和交通费用</w:t>
            </w:r>
            <w:r>
              <w:rPr>
                <w:rFonts w:hint="eastAsia" w:ascii="宋体" w:hAnsi="宋体" w:eastAsia="宋体" w:cs="宋体"/>
                <w:sz w:val="24"/>
                <w:szCs w:val="24"/>
              </w:rPr>
              <w:t>等</w:t>
            </w:r>
            <w:r>
              <w:rPr>
                <w:rFonts w:ascii="宋体" w:hAnsi="宋体" w:eastAsia="宋体" w:cs="宋体"/>
                <w:sz w:val="24"/>
                <w:szCs w:val="24"/>
              </w:rPr>
              <w:t>)、与其他专业配合、配合办理竣工验收（交钥匙）手续及可预见的风险以及其它不可预见等全部费用。</w:t>
            </w:r>
          </w:p>
          <w:p w14:paraId="44190512">
            <w:pPr>
              <w:ind w:firstLine="482" w:firstLineChars="200"/>
              <w:rPr>
                <w:rFonts w:hint="eastAsia" w:ascii="宋体" w:hAnsi="宋体" w:eastAsia="宋体" w:cs="Times New Roman"/>
                <w:color w:val="000000"/>
                <w:sz w:val="24"/>
                <w:szCs w:val="24"/>
              </w:rPr>
            </w:pPr>
            <w:r>
              <w:rPr>
                <w:rFonts w:hint="eastAsia" w:ascii="宋体" w:hAnsi="宋体" w:eastAsia="宋体" w:cs="Times New Roman"/>
                <w:b/>
                <w:bCs/>
                <w:color w:val="000000"/>
                <w:sz w:val="24"/>
                <w:szCs w:val="24"/>
              </w:rPr>
              <w:t>报价货币：</w:t>
            </w:r>
            <w:r>
              <w:rPr>
                <w:rFonts w:hint="eastAsia" w:ascii="宋体" w:hAnsi="宋体" w:eastAsia="宋体" w:cs="Times New Roman"/>
                <w:color w:val="000000"/>
                <w:sz w:val="24"/>
                <w:szCs w:val="24"/>
              </w:rPr>
              <w:t>人民币（</w:t>
            </w:r>
            <w:r>
              <w:rPr>
                <w:rFonts w:hint="eastAsia" w:ascii="宋体" w:hAnsi="宋体" w:eastAsia="宋体" w:cs="Times New Roman"/>
                <w:b/>
                <w:bCs/>
                <w:color w:val="000000"/>
                <w:sz w:val="24"/>
                <w:szCs w:val="24"/>
              </w:rPr>
              <w:t>应同时报含税价和不含税价，写明税率</w:t>
            </w:r>
            <w:r>
              <w:rPr>
                <w:rFonts w:hint="eastAsia" w:ascii="宋体" w:hAnsi="宋体" w:eastAsia="宋体" w:cs="Times New Roman"/>
                <w:color w:val="000000"/>
                <w:sz w:val="24"/>
                <w:szCs w:val="24"/>
              </w:rPr>
              <w:t>）。</w:t>
            </w:r>
          </w:p>
        </w:tc>
      </w:tr>
      <w:tr w14:paraId="157C00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77" w:hRule="atLeast"/>
        </w:trPr>
        <w:tc>
          <w:tcPr>
            <w:tcW w:w="595" w:type="dxa"/>
            <w:tcBorders>
              <w:top w:val="single" w:color="auto" w:sz="2" w:space="0"/>
              <w:left w:val="single" w:color="auto" w:sz="2" w:space="0"/>
              <w:bottom w:val="single" w:color="auto" w:sz="2" w:space="0"/>
              <w:right w:val="single" w:color="auto" w:sz="2" w:space="0"/>
            </w:tcBorders>
            <w:vAlign w:val="center"/>
          </w:tcPr>
          <w:p w14:paraId="24D994F1">
            <w:pPr>
              <w:jc w:val="center"/>
              <w:rPr>
                <w:rFonts w:ascii="宋体" w:hAnsi="宋体" w:eastAsia="宋体" w:cs="宋体"/>
                <w:sz w:val="24"/>
                <w:szCs w:val="24"/>
              </w:rPr>
            </w:pPr>
            <w:r>
              <w:rPr>
                <w:rFonts w:hint="eastAsia" w:ascii="宋体" w:hAnsi="宋体" w:eastAsia="宋体" w:cs="宋体"/>
                <w:sz w:val="24"/>
                <w:szCs w:val="24"/>
              </w:rPr>
              <w:t>1.6</w:t>
            </w:r>
          </w:p>
        </w:tc>
        <w:tc>
          <w:tcPr>
            <w:tcW w:w="8363" w:type="dxa"/>
            <w:tcBorders>
              <w:top w:val="single" w:color="auto" w:sz="2" w:space="0"/>
              <w:left w:val="single" w:color="auto" w:sz="2" w:space="0"/>
              <w:bottom w:val="single" w:color="auto" w:sz="2" w:space="0"/>
              <w:right w:val="single" w:color="auto" w:sz="2" w:space="0"/>
            </w:tcBorders>
            <w:vAlign w:val="center"/>
          </w:tcPr>
          <w:p w14:paraId="003DD92E">
            <w:pPr>
              <w:pStyle w:val="5"/>
              <w:ind w:firstLine="482" w:firstLineChars="200"/>
              <w:rPr>
                <w:rFonts w:hAnsi="宋体" w:eastAsia="宋体" w:cs="宋体"/>
                <w:b/>
                <w:bCs/>
                <w:color w:val="FF0000"/>
                <w:sz w:val="24"/>
                <w:szCs w:val="24"/>
              </w:rPr>
            </w:pPr>
            <w:r>
              <w:rPr>
                <w:rFonts w:hint="eastAsia" w:hAnsi="宋体" w:eastAsia="宋体" w:cs="宋体"/>
                <w:b/>
                <w:bCs/>
                <w:color w:val="000000"/>
                <w:sz w:val="24"/>
                <w:szCs w:val="24"/>
              </w:rPr>
              <w:t>投标人条件：</w:t>
            </w:r>
          </w:p>
          <w:p w14:paraId="4919E92E">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1.对于中国境内投标人，投标条件如下：</w:t>
            </w:r>
          </w:p>
          <w:p w14:paraId="0781421B">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1.1.拟投标人必须是在中华人民共和国境内注册的独立法人机构，具有独立承担民事责任能力；注册资金不少于</w:t>
            </w:r>
            <w:r>
              <w:rPr>
                <w:rFonts w:hAnsi="宋体" w:eastAsia="宋体" w:cs="宋体"/>
                <w:sz w:val="24"/>
                <w:szCs w:val="24"/>
              </w:rPr>
              <w:t>5</w:t>
            </w:r>
            <w:r>
              <w:rPr>
                <w:rFonts w:hint="eastAsia" w:hAnsi="宋体" w:eastAsia="宋体" w:cs="宋体"/>
                <w:sz w:val="24"/>
                <w:szCs w:val="24"/>
              </w:rPr>
              <w:t>00万人民币</w:t>
            </w:r>
            <w:r>
              <w:rPr>
                <w:rFonts w:hint="eastAsia" w:hAnsi="宋体" w:eastAsia="宋体" w:cs="宋体"/>
                <w:color w:val="000000"/>
                <w:sz w:val="24"/>
                <w:szCs w:val="24"/>
              </w:rPr>
              <w:t>（或等值其他货币）；公司成立三年以上（以营业执照成立日期到开标当日满三年为准），且经营范围满足招标人需求；并在人员、设备、资金等方面具有承担本项目的能力；投标人为该标的物的制造商或其在中国境内有完善的技术以及售后服务体系；</w:t>
            </w:r>
            <w:r>
              <w:rPr>
                <w:rFonts w:hAnsi="宋体" w:eastAsia="宋体" w:cs="宋体"/>
                <w:color w:val="000000"/>
                <w:sz w:val="24"/>
                <w:szCs w:val="24"/>
              </w:rPr>
              <w:t xml:space="preserve"> </w:t>
            </w:r>
          </w:p>
          <w:p w14:paraId="75D8EEE3">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1.2.拟投标人应提供营业执照副本原件和扫描件（需盖章）；</w:t>
            </w:r>
          </w:p>
          <w:p w14:paraId="1186B57B">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1.3.拟投标人应提供法定代表人资格证明文件；</w:t>
            </w:r>
          </w:p>
          <w:p w14:paraId="7C64DEE0">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1.4.拟投标人在国家市场监督管理总局的《国家企业信用信息公示系统》等信息平台中，无行政处罚及失信记录等信息；</w:t>
            </w:r>
          </w:p>
          <w:p w14:paraId="3E4A9DF6">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1.5.拟投标人不存在严重违规或被列入招标人“黑名单”的声明；</w:t>
            </w:r>
          </w:p>
          <w:p w14:paraId="3054F7A1">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1.6.拟投标人应提供202</w:t>
            </w:r>
            <w:r>
              <w:rPr>
                <w:rFonts w:hAnsi="宋体" w:eastAsia="宋体" w:cs="宋体"/>
                <w:color w:val="000000"/>
                <w:sz w:val="24"/>
                <w:szCs w:val="24"/>
              </w:rPr>
              <w:t>3</w:t>
            </w:r>
            <w:r>
              <w:rPr>
                <w:rFonts w:hint="eastAsia" w:hAnsi="宋体" w:eastAsia="宋体" w:cs="宋体"/>
                <w:color w:val="000000"/>
                <w:sz w:val="24"/>
                <w:szCs w:val="24"/>
              </w:rPr>
              <w:t>年1月1日至今经会计师事务所审计且出具无保留意见的财务审计报告，并加盖公章，（如投标人公司没有经审计的财务报告，可提供加盖公章的近三年财务报表，包括但不限于资产负债表、损益表、现金流量表），且未显示异常；</w:t>
            </w:r>
          </w:p>
          <w:p w14:paraId="7DA340BF">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1.7.拟投标人近3年（202</w:t>
            </w:r>
            <w:r>
              <w:rPr>
                <w:rFonts w:hAnsi="宋体" w:eastAsia="宋体" w:cs="宋体"/>
                <w:color w:val="000000"/>
                <w:sz w:val="24"/>
                <w:szCs w:val="24"/>
              </w:rPr>
              <w:t>3</w:t>
            </w:r>
            <w:r>
              <w:rPr>
                <w:rFonts w:hint="eastAsia" w:hAnsi="宋体" w:eastAsia="宋体" w:cs="宋体"/>
                <w:color w:val="000000"/>
                <w:sz w:val="24"/>
                <w:szCs w:val="24"/>
              </w:rPr>
              <w:t>年1月1日至采购截止时间，以销售合同签订时间为准）所投标段同类业绩。须提供中标通知书（如有）、合同协议书扫描件（须包含合同标的、签字盖章等关键页）等相关证明材料，且近2年内无因服务不当而造成重大事故；</w:t>
            </w:r>
          </w:p>
          <w:p w14:paraId="1115DFFC">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1.8.拟投标人近三年内在经营活动中无与本项目有关的违法及重大违规情况；</w:t>
            </w:r>
          </w:p>
          <w:p w14:paraId="4A48E5E2">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w:t>
            </w:r>
            <w:r>
              <w:rPr>
                <w:rFonts w:hAnsi="宋体" w:eastAsia="宋体" w:cs="宋体"/>
                <w:color w:val="000000"/>
                <w:sz w:val="24"/>
                <w:szCs w:val="24"/>
              </w:rPr>
              <w:t>9</w:t>
            </w:r>
            <w:r>
              <w:rPr>
                <w:rFonts w:hint="eastAsia" w:hAnsi="宋体" w:eastAsia="宋体" w:cs="宋体"/>
                <w:color w:val="000000"/>
                <w:sz w:val="24"/>
                <w:szCs w:val="24"/>
              </w:rPr>
              <w:t>.拟投标人财务状况良好，最近半年纳税正常；</w:t>
            </w:r>
          </w:p>
          <w:p w14:paraId="148BE824">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w:t>
            </w:r>
            <w:r>
              <w:rPr>
                <w:rFonts w:hAnsi="宋体" w:eastAsia="宋体" w:cs="宋体"/>
                <w:color w:val="000000"/>
                <w:sz w:val="24"/>
                <w:szCs w:val="24"/>
              </w:rPr>
              <w:t>0</w:t>
            </w:r>
            <w:r>
              <w:rPr>
                <w:rFonts w:hint="eastAsia" w:hAnsi="宋体" w:eastAsia="宋体" w:cs="宋体"/>
                <w:color w:val="000000"/>
                <w:sz w:val="24"/>
                <w:szCs w:val="24"/>
              </w:rPr>
              <w:t>.拟投标人没有被我公司列入黑名单；</w:t>
            </w:r>
          </w:p>
          <w:p w14:paraId="69AE75C0">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w:t>
            </w:r>
            <w:r>
              <w:rPr>
                <w:rFonts w:hAnsi="宋体" w:eastAsia="宋体" w:cs="宋体"/>
                <w:color w:val="000000"/>
                <w:sz w:val="24"/>
                <w:szCs w:val="24"/>
              </w:rPr>
              <w:t>1</w:t>
            </w:r>
            <w:r>
              <w:rPr>
                <w:rFonts w:hint="eastAsia" w:hAnsi="宋体" w:eastAsia="宋体" w:cs="宋体"/>
                <w:color w:val="000000"/>
                <w:sz w:val="24"/>
                <w:szCs w:val="24"/>
              </w:rPr>
              <w:t>.拟投标人信用证明材料（征信中心出具的信用报告）未显示异常；</w:t>
            </w:r>
          </w:p>
          <w:p w14:paraId="31601E6E">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w:t>
            </w:r>
            <w:r>
              <w:rPr>
                <w:rFonts w:hAnsi="宋体" w:eastAsia="宋体" w:cs="宋体"/>
                <w:color w:val="000000"/>
                <w:sz w:val="24"/>
                <w:szCs w:val="24"/>
              </w:rPr>
              <w:t>2</w:t>
            </w:r>
            <w:r>
              <w:rPr>
                <w:rFonts w:hint="eastAsia" w:hAnsi="宋体" w:eastAsia="宋体" w:cs="宋体"/>
                <w:color w:val="000000"/>
                <w:sz w:val="24"/>
                <w:szCs w:val="24"/>
              </w:rPr>
              <w:t>.拟投标人的直接或间接股东、法定代表人、董事、监事、高管非重汽员工及其亲属；</w:t>
            </w:r>
          </w:p>
          <w:p w14:paraId="6E1A0814">
            <w:pPr>
              <w:pStyle w:val="5"/>
              <w:ind w:firstLine="480" w:firstLineChars="200"/>
              <w:rPr>
                <w:rFonts w:hAnsi="宋体" w:eastAsia="宋体" w:cs="宋体"/>
                <w:color w:val="000000"/>
                <w:sz w:val="24"/>
                <w:szCs w:val="24"/>
                <w:highlight w:val="yellow"/>
              </w:rPr>
            </w:pPr>
            <w:r>
              <w:rPr>
                <w:rFonts w:hint="eastAsia" w:hAnsi="宋体" w:eastAsia="宋体" w:cs="宋体"/>
                <w:color w:val="000000"/>
                <w:sz w:val="24"/>
                <w:szCs w:val="24"/>
                <w:highlight w:val="yellow"/>
              </w:rPr>
              <w:t>1.1</w:t>
            </w:r>
            <w:r>
              <w:rPr>
                <w:rFonts w:hAnsi="宋体" w:eastAsia="宋体" w:cs="宋体"/>
                <w:color w:val="000000"/>
                <w:sz w:val="24"/>
                <w:szCs w:val="24"/>
                <w:highlight w:val="yellow"/>
              </w:rPr>
              <w:t>3</w:t>
            </w:r>
            <w:r>
              <w:rPr>
                <w:rFonts w:hint="eastAsia" w:hAnsi="宋体" w:eastAsia="宋体" w:cs="宋体"/>
                <w:color w:val="000000"/>
                <w:sz w:val="24"/>
                <w:szCs w:val="24"/>
                <w:highlight w:val="yellow"/>
              </w:rPr>
              <w:t>.本次招标项目不接受代理商投标；</w:t>
            </w:r>
          </w:p>
          <w:p w14:paraId="623662F4">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w:t>
            </w:r>
            <w:r>
              <w:rPr>
                <w:rFonts w:hAnsi="宋体" w:eastAsia="宋体" w:cs="宋体"/>
                <w:color w:val="000000"/>
                <w:sz w:val="24"/>
                <w:szCs w:val="24"/>
              </w:rPr>
              <w:t>4</w:t>
            </w:r>
            <w:r>
              <w:rPr>
                <w:rFonts w:hint="eastAsia" w:hAnsi="宋体" w:eastAsia="宋体" w:cs="宋体"/>
                <w:color w:val="000000"/>
                <w:sz w:val="24"/>
                <w:szCs w:val="24"/>
              </w:rPr>
              <w:t>.本项目不接受联合体投标，拟投标人必须是最终投标单位和签订合同单位，不得以任何理由将已中标项目以任何形式分包或转包给其他单位；</w:t>
            </w:r>
          </w:p>
          <w:p w14:paraId="0EDE98A6">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w:t>
            </w:r>
            <w:r>
              <w:rPr>
                <w:rFonts w:hAnsi="宋体" w:eastAsia="宋体" w:cs="宋体"/>
                <w:color w:val="000000"/>
                <w:sz w:val="24"/>
                <w:szCs w:val="24"/>
              </w:rPr>
              <w:t>5</w:t>
            </w:r>
            <w:r>
              <w:rPr>
                <w:rFonts w:hint="eastAsia" w:hAnsi="宋体" w:eastAsia="宋体" w:cs="宋体"/>
                <w:color w:val="000000"/>
                <w:sz w:val="24"/>
                <w:szCs w:val="24"/>
              </w:rPr>
              <w:t>.与招标人存在利害关系可能影响招标公正性的法人、其他组织或者个人，不得参加投标。</w:t>
            </w:r>
          </w:p>
          <w:p w14:paraId="64BB369E">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w:t>
            </w:r>
            <w:r>
              <w:rPr>
                <w:rFonts w:hAnsi="宋体" w:eastAsia="宋体" w:cs="宋体"/>
                <w:color w:val="000000"/>
                <w:sz w:val="24"/>
                <w:szCs w:val="24"/>
              </w:rPr>
              <w:t>6</w:t>
            </w:r>
            <w:r>
              <w:rPr>
                <w:rFonts w:hint="eastAsia" w:hAnsi="宋体" w:eastAsia="宋体" w:cs="宋体"/>
                <w:color w:val="000000"/>
                <w:sz w:val="24"/>
                <w:szCs w:val="24"/>
              </w:rPr>
              <w:t>.无招标违规、谎报年度报告信息、提供虚假资质资料等行为或其他行政处罚记录。</w:t>
            </w:r>
          </w:p>
          <w:p w14:paraId="2756EC5F">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1.1</w:t>
            </w:r>
            <w:r>
              <w:rPr>
                <w:rFonts w:hAnsi="宋体" w:eastAsia="宋体" w:cs="宋体"/>
                <w:color w:val="000000"/>
                <w:sz w:val="24"/>
                <w:szCs w:val="24"/>
              </w:rPr>
              <w:t>7</w:t>
            </w:r>
            <w:r>
              <w:rPr>
                <w:rFonts w:hint="eastAsia" w:hAnsi="宋体" w:eastAsia="宋体" w:cs="宋体"/>
                <w:color w:val="000000"/>
                <w:sz w:val="24"/>
                <w:szCs w:val="24"/>
              </w:rPr>
              <w:t>.投标方应保证所供货物（或设备）必须符合当前国家或地方最新安全、环保、消防、职业健康最新法律法规及《机械制造企业安全生产标准化规范》各项要求。确保货物在使用管理过程中满足《职业健康安全管理体系》《环境管理体系》等方面的国家标准、规范及地方规章要求。</w:t>
            </w:r>
          </w:p>
          <w:p w14:paraId="524AB824">
            <w:pPr>
              <w:pStyle w:val="5"/>
              <w:ind w:firstLine="482" w:firstLineChars="200"/>
              <w:rPr>
                <w:rFonts w:hAnsi="宋体" w:eastAsia="宋体" w:cs="宋体"/>
                <w:color w:val="000000"/>
                <w:sz w:val="24"/>
                <w:szCs w:val="24"/>
              </w:rPr>
            </w:pPr>
            <w:r>
              <w:rPr>
                <w:rFonts w:hint="eastAsia" w:hAnsi="宋体" w:eastAsia="宋体" w:cs="宋体"/>
                <w:b/>
                <w:bCs/>
                <w:sz w:val="24"/>
                <w:szCs w:val="24"/>
              </w:rPr>
              <w:t>1-11</w:t>
            </w:r>
            <w:r>
              <w:rPr>
                <w:rFonts w:hAnsi="宋体" w:eastAsia="宋体" w:cs="宋体"/>
                <w:b/>
                <w:bCs/>
                <w:sz w:val="24"/>
                <w:szCs w:val="24"/>
              </w:rPr>
              <w:t>项文件必须提供，未提供者直接视为资质、资格审查未通过，无法继续参与投标！</w:t>
            </w:r>
          </w:p>
          <w:p w14:paraId="30A2E418">
            <w:pPr>
              <w:pStyle w:val="5"/>
              <w:ind w:firstLine="480" w:firstLineChars="200"/>
              <w:rPr>
                <w:rFonts w:hAnsi="宋体" w:eastAsia="宋体" w:cs="宋体"/>
                <w:color w:val="000000"/>
                <w:sz w:val="24"/>
                <w:szCs w:val="24"/>
              </w:rPr>
            </w:pPr>
          </w:p>
        </w:tc>
      </w:tr>
      <w:tr w14:paraId="223023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0C70CD35">
            <w:pPr>
              <w:jc w:val="center"/>
              <w:rPr>
                <w:rFonts w:ascii="宋体" w:hAnsi="宋体" w:eastAsia="宋体" w:cs="宋体"/>
                <w:b/>
                <w:bCs/>
                <w:sz w:val="24"/>
                <w:szCs w:val="24"/>
              </w:rPr>
            </w:pPr>
            <w:r>
              <w:rPr>
                <w:rFonts w:hint="eastAsia" w:ascii="宋体" w:hAnsi="宋体" w:eastAsia="宋体" w:cs="宋体"/>
                <w:b/>
                <w:bCs/>
                <w:sz w:val="24"/>
                <w:szCs w:val="24"/>
              </w:rPr>
              <w:t>2.招标文件的答疑、澄清、修改、应标及投标报名</w:t>
            </w:r>
          </w:p>
        </w:tc>
      </w:tr>
      <w:tr w14:paraId="3BADA6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2" w:hRule="atLeast"/>
        </w:trPr>
        <w:tc>
          <w:tcPr>
            <w:tcW w:w="595" w:type="dxa"/>
            <w:vMerge w:val="restart"/>
            <w:tcBorders>
              <w:top w:val="single" w:color="auto" w:sz="2" w:space="0"/>
              <w:left w:val="single" w:color="auto" w:sz="2" w:space="0"/>
              <w:right w:val="single" w:color="auto" w:sz="2" w:space="0"/>
            </w:tcBorders>
            <w:vAlign w:val="center"/>
          </w:tcPr>
          <w:p w14:paraId="36F00C0D">
            <w:pPr>
              <w:jc w:val="center"/>
              <w:rPr>
                <w:rFonts w:ascii="宋体" w:hAnsi="宋体" w:eastAsia="宋体" w:cs="宋体"/>
                <w:sz w:val="24"/>
                <w:szCs w:val="24"/>
              </w:rPr>
            </w:pPr>
            <w:r>
              <w:rPr>
                <w:rFonts w:hint="eastAsia" w:ascii="宋体" w:hAnsi="宋体" w:eastAsia="宋体" w:cs="宋体"/>
                <w:sz w:val="24"/>
                <w:szCs w:val="24"/>
              </w:rPr>
              <w:t>2.1</w:t>
            </w:r>
          </w:p>
        </w:tc>
        <w:tc>
          <w:tcPr>
            <w:tcW w:w="8363" w:type="dxa"/>
            <w:tcBorders>
              <w:top w:val="single" w:color="auto" w:sz="2" w:space="0"/>
              <w:left w:val="single" w:color="auto" w:sz="2" w:space="0"/>
              <w:bottom w:val="single" w:color="auto" w:sz="2" w:space="0"/>
              <w:right w:val="single" w:color="auto" w:sz="2" w:space="0"/>
            </w:tcBorders>
            <w:vAlign w:val="center"/>
          </w:tcPr>
          <w:p w14:paraId="107A73FE">
            <w:pPr>
              <w:ind w:firstLine="482" w:firstLineChars="200"/>
              <w:rPr>
                <w:rFonts w:ascii="宋体" w:hAnsi="宋体" w:eastAsia="宋体" w:cs="宋体"/>
                <w:sz w:val="24"/>
                <w:szCs w:val="24"/>
              </w:rPr>
            </w:pPr>
            <w:r>
              <w:rPr>
                <w:rFonts w:hint="eastAsia" w:ascii="宋体" w:hAnsi="宋体" w:eastAsia="宋体" w:cs="宋体"/>
                <w:b/>
                <w:bCs/>
                <w:sz w:val="24"/>
                <w:szCs w:val="24"/>
              </w:rPr>
              <w:t>发标时间：</w:t>
            </w:r>
            <w:r>
              <w:rPr>
                <w:rFonts w:ascii="宋体" w:hAnsi="宋体" w:eastAsia="宋体" w:cs="宋体"/>
                <w:bCs/>
                <w:sz w:val="24"/>
                <w:szCs w:val="24"/>
                <w:highlight w:val="yellow"/>
              </w:rPr>
              <w:t>2026</w:t>
            </w:r>
            <w:r>
              <w:rPr>
                <w:rFonts w:hint="eastAsia" w:ascii="宋体" w:hAnsi="宋体" w:eastAsia="宋体" w:cs="宋体"/>
                <w:bCs/>
                <w:sz w:val="24"/>
                <w:szCs w:val="24"/>
                <w:highlight w:val="yellow"/>
              </w:rPr>
              <w:t>年</w:t>
            </w:r>
            <w:r>
              <w:rPr>
                <w:rFonts w:ascii="宋体" w:hAnsi="宋体" w:eastAsia="宋体" w:cs="宋体"/>
                <w:bCs/>
                <w:sz w:val="24"/>
                <w:szCs w:val="24"/>
                <w:highlight w:val="yellow"/>
                <w:u w:val="single"/>
              </w:rPr>
              <w:t xml:space="preserve"> </w:t>
            </w:r>
            <w:r>
              <w:rPr>
                <w:rFonts w:hint="eastAsia" w:ascii="宋体" w:hAnsi="宋体" w:eastAsia="宋体" w:cs="宋体"/>
                <w:bCs/>
                <w:sz w:val="24"/>
                <w:szCs w:val="24"/>
                <w:highlight w:val="yellow"/>
                <w:u w:val="single"/>
              </w:rPr>
              <w:t>8</w:t>
            </w:r>
            <w:r>
              <w:rPr>
                <w:rFonts w:ascii="宋体" w:hAnsi="宋体" w:eastAsia="宋体" w:cs="宋体"/>
                <w:bCs/>
                <w:sz w:val="24"/>
                <w:szCs w:val="24"/>
                <w:highlight w:val="yellow"/>
                <w:u w:val="single"/>
              </w:rPr>
              <w:t xml:space="preserve"> </w:t>
            </w:r>
            <w:r>
              <w:rPr>
                <w:rFonts w:hint="eastAsia" w:ascii="宋体" w:hAnsi="宋体" w:eastAsia="宋体" w:cs="宋体"/>
                <w:bCs/>
                <w:sz w:val="24"/>
                <w:szCs w:val="24"/>
                <w:highlight w:val="yellow"/>
              </w:rPr>
              <w:t>月</w:t>
            </w:r>
            <w:r>
              <w:rPr>
                <w:rFonts w:ascii="宋体" w:hAnsi="宋体" w:eastAsia="宋体" w:cs="宋体"/>
                <w:bCs/>
                <w:sz w:val="24"/>
                <w:szCs w:val="24"/>
                <w:highlight w:val="yellow"/>
                <w:u w:val="single"/>
              </w:rPr>
              <w:t xml:space="preserve"> </w:t>
            </w:r>
            <w:r>
              <w:rPr>
                <w:rFonts w:hint="eastAsia" w:ascii="宋体" w:hAnsi="宋体" w:eastAsia="宋体" w:cs="宋体"/>
                <w:bCs/>
                <w:sz w:val="24"/>
                <w:szCs w:val="24"/>
                <w:highlight w:val="yellow"/>
                <w:u w:val="single"/>
              </w:rPr>
              <w:t>5</w:t>
            </w:r>
            <w:r>
              <w:rPr>
                <w:rFonts w:ascii="宋体" w:hAnsi="宋体" w:eastAsia="宋体" w:cs="宋体"/>
                <w:bCs/>
                <w:sz w:val="24"/>
                <w:szCs w:val="24"/>
                <w:highlight w:val="yellow"/>
                <w:u w:val="single"/>
              </w:rPr>
              <w:t xml:space="preserve"> </w:t>
            </w:r>
            <w:r>
              <w:rPr>
                <w:rFonts w:hint="eastAsia" w:ascii="宋体" w:hAnsi="宋体" w:eastAsia="宋体" w:cs="宋体"/>
                <w:bCs/>
                <w:sz w:val="24"/>
                <w:szCs w:val="24"/>
                <w:highlight w:val="yellow"/>
              </w:rPr>
              <w:t>日</w:t>
            </w:r>
            <w:r>
              <w:rPr>
                <w:rFonts w:hint="eastAsia" w:ascii="宋体" w:hAnsi="宋体" w:eastAsia="宋体" w:cs="宋体"/>
                <w:bCs/>
                <w:sz w:val="24"/>
                <w:szCs w:val="24"/>
              </w:rPr>
              <w:t>;</w:t>
            </w:r>
          </w:p>
        </w:tc>
      </w:tr>
      <w:tr w14:paraId="5DD5CBE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93" w:hRule="atLeast"/>
        </w:trPr>
        <w:tc>
          <w:tcPr>
            <w:tcW w:w="595" w:type="dxa"/>
            <w:vMerge w:val="continue"/>
            <w:tcBorders>
              <w:left w:val="single" w:color="auto" w:sz="2" w:space="0"/>
              <w:right w:val="single" w:color="auto" w:sz="2" w:space="0"/>
            </w:tcBorders>
            <w:vAlign w:val="center"/>
          </w:tcPr>
          <w:p w14:paraId="796A8349">
            <w:pPr>
              <w:snapToGrid w:val="0"/>
              <w:ind w:firstLine="420" w:firstLineChars="200"/>
            </w:pPr>
          </w:p>
        </w:tc>
        <w:tc>
          <w:tcPr>
            <w:tcW w:w="8363" w:type="dxa"/>
            <w:tcBorders>
              <w:top w:val="single" w:color="auto" w:sz="2" w:space="0"/>
              <w:left w:val="single" w:color="auto" w:sz="2" w:space="0"/>
              <w:bottom w:val="single" w:color="auto" w:sz="2" w:space="0"/>
              <w:right w:val="single" w:color="auto" w:sz="2" w:space="0"/>
            </w:tcBorders>
            <w:vAlign w:val="center"/>
          </w:tcPr>
          <w:p w14:paraId="0ED7200F">
            <w:pPr>
              <w:ind w:firstLine="482" w:firstLineChars="200"/>
              <w:rPr>
                <w:rFonts w:ascii="宋体" w:hAnsi="宋体" w:eastAsia="宋体" w:cs="宋体"/>
                <w:sz w:val="24"/>
                <w:szCs w:val="24"/>
              </w:rPr>
            </w:pPr>
            <w:r>
              <w:rPr>
                <w:rFonts w:hint="eastAsia" w:ascii="宋体" w:hAnsi="宋体" w:eastAsia="宋体" w:cs="宋体"/>
                <w:b/>
                <w:sz w:val="24"/>
                <w:szCs w:val="24"/>
              </w:rPr>
              <w:t>发标方式：</w:t>
            </w:r>
            <w:r>
              <w:rPr>
                <w:rFonts w:ascii="宋体" w:hAnsi="宋体" w:eastAsia="宋体" w:cs="宋体"/>
                <w:sz w:val="24"/>
                <w:szCs w:val="24"/>
              </w:rPr>
              <w:t>中国重汽官网</w:t>
            </w:r>
            <w:r>
              <w:rPr>
                <w:rFonts w:hint="eastAsia" w:ascii="宋体" w:hAnsi="宋体" w:eastAsia="宋体" w:cs="宋体"/>
                <w:sz w:val="24"/>
                <w:szCs w:val="24"/>
              </w:rPr>
              <w:t>、山东省阳光采购服务平台、中国招标投标公共服务平台等公开媒体</w:t>
            </w:r>
            <w:r>
              <w:rPr>
                <w:rFonts w:ascii="宋体" w:hAnsi="宋体" w:eastAsia="宋体" w:cs="宋体"/>
                <w:color w:val="000000"/>
                <w:sz w:val="24"/>
                <w:szCs w:val="24"/>
              </w:rPr>
              <w:t>公布</w:t>
            </w:r>
            <w:r>
              <w:rPr>
                <w:rFonts w:hint="eastAsia" w:ascii="宋体" w:hAnsi="宋体" w:eastAsia="宋体" w:cs="Times New Roman"/>
                <w:color w:val="000000"/>
                <w:sz w:val="24"/>
                <w:szCs w:val="24"/>
              </w:rPr>
              <w:t>。</w:t>
            </w:r>
          </w:p>
        </w:tc>
      </w:tr>
      <w:tr w14:paraId="4253D0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429" w:hRule="atLeast"/>
        </w:trPr>
        <w:tc>
          <w:tcPr>
            <w:tcW w:w="595" w:type="dxa"/>
            <w:vMerge w:val="continue"/>
            <w:tcBorders>
              <w:left w:val="single" w:color="auto" w:sz="2" w:space="0"/>
              <w:bottom w:val="single" w:color="auto" w:sz="2" w:space="0"/>
              <w:right w:val="single" w:color="auto" w:sz="2" w:space="0"/>
            </w:tcBorders>
            <w:vAlign w:val="center"/>
          </w:tcPr>
          <w:p w14:paraId="67A41F62">
            <w:pPr>
              <w:snapToGrid w:val="0"/>
              <w:ind w:firstLine="480" w:firstLineChars="200"/>
              <w:rPr>
                <w:rFonts w:ascii="宋体" w:hAnsi="宋体" w:eastAsia="宋体" w:cs="宋体"/>
                <w:sz w:val="24"/>
                <w:szCs w:val="24"/>
              </w:rPr>
            </w:pPr>
          </w:p>
        </w:tc>
        <w:tc>
          <w:tcPr>
            <w:tcW w:w="8363" w:type="dxa"/>
            <w:tcBorders>
              <w:top w:val="single" w:color="auto" w:sz="2" w:space="0"/>
              <w:left w:val="single" w:color="auto" w:sz="2" w:space="0"/>
              <w:bottom w:val="single" w:color="auto" w:sz="2" w:space="0"/>
              <w:right w:val="single" w:color="auto" w:sz="2" w:space="0"/>
            </w:tcBorders>
            <w:vAlign w:val="center"/>
          </w:tcPr>
          <w:p w14:paraId="686D5959">
            <w:pPr>
              <w:ind w:firstLine="480" w:firstLineChars="200"/>
              <w:jc w:val="left"/>
              <w:rPr>
                <w:rFonts w:ascii="宋体" w:hAnsi="宋体" w:eastAsia="宋体" w:cs="宋体"/>
                <w:b/>
                <w:bCs/>
                <w:sz w:val="24"/>
                <w:szCs w:val="24"/>
              </w:rPr>
            </w:pPr>
            <w:r>
              <w:rPr>
                <w:rFonts w:hint="eastAsia" w:ascii="宋体" w:hAnsi="宋体" w:eastAsia="宋体" w:cs="宋体"/>
                <w:sz w:val="24"/>
                <w:szCs w:val="24"/>
              </w:rPr>
              <w:t>如果投标人对招标文件商务部分、技术部分有疑问，请各投标人在本答疑环节提出。</w:t>
            </w:r>
          </w:p>
          <w:p w14:paraId="16AF9949">
            <w:pPr>
              <w:ind w:firstLine="482" w:firstLineChars="200"/>
              <w:jc w:val="left"/>
              <w:rPr>
                <w:rFonts w:ascii="宋体" w:hAnsi="宋体" w:eastAsia="宋体" w:cs="宋体"/>
                <w:sz w:val="24"/>
                <w:szCs w:val="24"/>
              </w:rPr>
            </w:pPr>
            <w:r>
              <w:rPr>
                <w:rFonts w:hint="eastAsia" w:ascii="宋体" w:hAnsi="宋体" w:eastAsia="宋体" w:cs="宋体"/>
                <w:b/>
                <w:bCs/>
                <w:sz w:val="24"/>
                <w:szCs w:val="24"/>
              </w:rPr>
              <w:t>提交疑问时间：</w:t>
            </w:r>
            <w:r>
              <w:rPr>
                <w:rFonts w:hint="eastAsia" w:ascii="宋体" w:hAnsi="宋体" w:eastAsia="宋体" w:cs="宋体"/>
                <w:bCs/>
                <w:sz w:val="24"/>
                <w:szCs w:val="24"/>
                <w:highlight w:val="yellow"/>
              </w:rPr>
              <w:t>202</w:t>
            </w:r>
            <w:r>
              <w:rPr>
                <w:rFonts w:ascii="宋体" w:hAnsi="宋体" w:eastAsia="宋体" w:cs="宋体"/>
                <w:bCs/>
                <w:sz w:val="24"/>
                <w:szCs w:val="24"/>
                <w:highlight w:val="yellow"/>
              </w:rPr>
              <w:t>6</w:t>
            </w:r>
            <w:r>
              <w:rPr>
                <w:rFonts w:hint="eastAsia" w:ascii="宋体" w:hAnsi="宋体" w:eastAsia="宋体" w:cs="宋体"/>
                <w:bCs/>
                <w:sz w:val="24"/>
                <w:szCs w:val="24"/>
                <w:highlight w:val="yellow"/>
              </w:rPr>
              <w:t>年</w:t>
            </w:r>
            <w:r>
              <w:rPr>
                <w:rFonts w:ascii="宋体" w:hAnsi="宋体" w:eastAsia="宋体" w:cs="宋体"/>
                <w:bCs/>
                <w:sz w:val="24"/>
                <w:szCs w:val="24"/>
                <w:highlight w:val="yellow"/>
                <w:u w:val="single"/>
              </w:rPr>
              <w:t xml:space="preserve">  </w:t>
            </w:r>
            <w:r>
              <w:rPr>
                <w:rFonts w:hint="eastAsia" w:ascii="宋体" w:hAnsi="宋体" w:eastAsia="宋体" w:cs="宋体"/>
                <w:bCs/>
                <w:sz w:val="24"/>
                <w:szCs w:val="24"/>
                <w:highlight w:val="yellow"/>
                <w:u w:val="single"/>
              </w:rPr>
              <w:t>8</w:t>
            </w:r>
            <w:r>
              <w:rPr>
                <w:rFonts w:ascii="宋体" w:hAnsi="宋体" w:eastAsia="宋体" w:cs="宋体"/>
                <w:bCs/>
                <w:sz w:val="24"/>
                <w:szCs w:val="24"/>
                <w:highlight w:val="yellow"/>
                <w:u w:val="single"/>
              </w:rPr>
              <w:t xml:space="preserve">  </w:t>
            </w:r>
            <w:r>
              <w:rPr>
                <w:rFonts w:hint="eastAsia" w:ascii="宋体" w:hAnsi="宋体" w:eastAsia="宋体" w:cs="宋体"/>
                <w:bCs/>
                <w:sz w:val="24"/>
                <w:szCs w:val="24"/>
                <w:highlight w:val="yellow"/>
              </w:rPr>
              <w:t>月</w:t>
            </w:r>
            <w:r>
              <w:rPr>
                <w:rFonts w:ascii="宋体" w:hAnsi="宋体" w:eastAsia="宋体" w:cs="宋体"/>
                <w:bCs/>
                <w:sz w:val="24"/>
                <w:szCs w:val="24"/>
                <w:highlight w:val="yellow"/>
                <w:u w:val="single"/>
              </w:rPr>
              <w:t xml:space="preserve">  </w:t>
            </w:r>
            <w:r>
              <w:rPr>
                <w:rFonts w:hint="eastAsia" w:ascii="宋体" w:hAnsi="宋体" w:eastAsia="宋体" w:cs="宋体"/>
                <w:bCs/>
                <w:sz w:val="24"/>
                <w:szCs w:val="24"/>
                <w:highlight w:val="yellow"/>
                <w:u w:val="single"/>
              </w:rPr>
              <w:t xml:space="preserve">7 </w:t>
            </w:r>
            <w:r>
              <w:rPr>
                <w:rFonts w:ascii="宋体" w:hAnsi="宋体" w:eastAsia="宋体" w:cs="宋体"/>
                <w:bCs/>
                <w:sz w:val="24"/>
                <w:szCs w:val="24"/>
                <w:highlight w:val="yellow"/>
                <w:u w:val="single"/>
              </w:rPr>
              <w:t xml:space="preserve"> </w:t>
            </w:r>
            <w:r>
              <w:rPr>
                <w:rFonts w:hint="eastAsia" w:ascii="宋体" w:hAnsi="宋体" w:eastAsia="宋体" w:cs="宋体"/>
                <w:bCs/>
                <w:sz w:val="24"/>
                <w:szCs w:val="24"/>
                <w:highlight w:val="yellow"/>
              </w:rPr>
              <w:t>日17:00:00前</w:t>
            </w:r>
            <w:r>
              <w:rPr>
                <w:rFonts w:hint="eastAsia" w:ascii="宋体" w:hAnsi="宋体" w:eastAsia="宋体" w:cs="宋体"/>
                <w:bCs/>
                <w:sz w:val="24"/>
                <w:szCs w:val="24"/>
              </w:rPr>
              <w:t>；</w:t>
            </w:r>
          </w:p>
          <w:p w14:paraId="6C54AB92">
            <w:pPr>
              <w:ind w:firstLine="482" w:firstLineChars="200"/>
              <w:jc w:val="left"/>
              <w:rPr>
                <w:rFonts w:ascii="宋体" w:hAnsi="宋体" w:eastAsia="宋体" w:cs="宋体"/>
                <w:b/>
                <w:bCs/>
                <w:sz w:val="24"/>
                <w:szCs w:val="24"/>
              </w:rPr>
            </w:pPr>
            <w:r>
              <w:rPr>
                <w:rFonts w:hint="eastAsia" w:ascii="宋体" w:hAnsi="宋体" w:eastAsia="宋体" w:cs="宋体"/>
                <w:b/>
                <w:bCs/>
                <w:sz w:val="24"/>
                <w:szCs w:val="24"/>
              </w:rPr>
              <w:t>提交疑问方式</w:t>
            </w:r>
            <w:r>
              <w:rPr>
                <w:rFonts w:hint="eastAsia" w:ascii="宋体" w:hAnsi="宋体" w:eastAsia="宋体" w:cs="宋体"/>
                <w:sz w:val="24"/>
                <w:szCs w:val="24"/>
              </w:rPr>
              <w:t>：将答疑问题以word文件格式发送至联系人邮件内，并电话联系工作人员查收，</w:t>
            </w:r>
            <w:r>
              <w:rPr>
                <w:rFonts w:hint="eastAsia" w:ascii="宋体" w:hAnsi="宋体" w:eastAsia="宋体" w:cs="宋体"/>
                <w:b/>
                <w:bCs/>
                <w:sz w:val="24"/>
                <w:szCs w:val="24"/>
              </w:rPr>
              <w:t>邮件名格式为：XXX公司（五个字以内公司简称）XX项目答疑文件。</w:t>
            </w:r>
          </w:p>
          <w:p w14:paraId="1A8B7FD9">
            <w:pPr>
              <w:ind w:firstLine="482" w:firstLineChars="200"/>
              <w:jc w:val="left"/>
              <w:rPr>
                <w:rFonts w:ascii="宋体" w:hAnsi="宋体" w:eastAsia="宋体" w:cs="宋体"/>
                <w:sz w:val="24"/>
                <w:szCs w:val="24"/>
              </w:rPr>
            </w:pPr>
            <w:r>
              <w:rPr>
                <w:rFonts w:hint="eastAsia" w:ascii="宋体" w:hAnsi="宋体" w:eastAsia="宋体" w:cs="宋体"/>
                <w:b/>
                <w:bCs/>
                <w:sz w:val="24"/>
                <w:szCs w:val="24"/>
              </w:rPr>
              <w:t>同时必须在邮件中以文字方式提供投标人全称、投标授权人姓名、联系方式（固定电话、手机、电子邮箱），并提供附件2</w:t>
            </w:r>
            <w:r>
              <w:rPr>
                <w:rFonts w:hint="eastAsia" w:ascii="Times New Roman" w:hAnsi="Times New Roman" w:eastAsia="宋体" w:cs="Times New Roman"/>
                <w:b/>
                <w:bCs/>
                <w:color w:val="000000"/>
                <w:sz w:val="24"/>
                <w:szCs w:val="24"/>
              </w:rPr>
              <w:t>法定代表人授权委托书</w:t>
            </w:r>
            <w:r>
              <w:rPr>
                <w:rFonts w:hint="eastAsia" w:ascii="宋体" w:hAnsi="宋体" w:eastAsia="宋体" w:cs="宋体"/>
                <w:b/>
                <w:bCs/>
                <w:sz w:val="24"/>
                <w:szCs w:val="24"/>
              </w:rPr>
              <w:t>。</w:t>
            </w:r>
          </w:p>
        </w:tc>
      </w:tr>
      <w:tr w14:paraId="3AB016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07" w:hRule="atLeast"/>
        </w:trPr>
        <w:tc>
          <w:tcPr>
            <w:tcW w:w="595"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0973BBE6">
            <w:pPr>
              <w:jc w:val="center"/>
              <w:rPr>
                <w:rFonts w:ascii="宋体" w:hAnsi="宋体" w:eastAsia="宋体" w:cs="宋体"/>
                <w:sz w:val="24"/>
                <w:szCs w:val="24"/>
              </w:rPr>
            </w:pPr>
            <w:r>
              <w:rPr>
                <w:rFonts w:hint="eastAsia" w:ascii="宋体" w:hAnsi="宋体" w:eastAsia="宋体" w:cs="宋体"/>
                <w:sz w:val="24"/>
                <w:szCs w:val="24"/>
              </w:rPr>
              <w:t>2.2</w:t>
            </w:r>
          </w:p>
        </w:tc>
        <w:tc>
          <w:tcPr>
            <w:tcW w:w="8363" w:type="dxa"/>
            <w:tcBorders>
              <w:top w:val="single" w:color="auto" w:sz="2" w:space="0"/>
              <w:left w:val="single" w:color="auto" w:sz="2" w:space="0"/>
              <w:bottom w:val="single" w:color="auto" w:sz="2" w:space="0"/>
              <w:right w:val="single" w:color="auto" w:sz="2" w:space="0"/>
            </w:tcBorders>
            <w:shd w:val="clear" w:color="auto" w:fill="FFFFFF" w:themeFill="background1"/>
            <w:vAlign w:val="center"/>
          </w:tcPr>
          <w:p w14:paraId="2DB522CE">
            <w:pPr>
              <w:shd w:val="clear" w:color="auto" w:fill="FFFFFF" w:themeFill="background1"/>
              <w:ind w:firstLine="480" w:firstLineChars="200"/>
              <w:rPr>
                <w:rFonts w:ascii="宋体" w:hAnsi="宋体" w:eastAsia="宋体" w:cs="宋体"/>
                <w:sz w:val="24"/>
                <w:szCs w:val="24"/>
              </w:rPr>
            </w:pPr>
            <w:r>
              <w:rPr>
                <w:rFonts w:hint="eastAsia" w:ascii="宋体" w:hAnsi="宋体" w:eastAsia="宋体" w:cs="宋体"/>
                <w:sz w:val="24"/>
                <w:szCs w:val="24"/>
              </w:rPr>
              <w:t>领取答疑、澄清和修改文件时间：</w:t>
            </w:r>
            <w:r>
              <w:rPr>
                <w:rFonts w:hint="eastAsia" w:ascii="宋体" w:hAnsi="宋体" w:eastAsia="宋体" w:cs="宋体"/>
                <w:sz w:val="24"/>
                <w:szCs w:val="24"/>
                <w:highlight w:val="yellow"/>
              </w:rPr>
              <w:t>202</w:t>
            </w:r>
            <w:r>
              <w:rPr>
                <w:rFonts w:ascii="宋体" w:hAnsi="宋体" w:eastAsia="宋体" w:cs="宋体"/>
                <w:sz w:val="24"/>
                <w:szCs w:val="24"/>
                <w:highlight w:val="yellow"/>
              </w:rPr>
              <w:t>6</w:t>
            </w:r>
            <w:r>
              <w:rPr>
                <w:rFonts w:hint="eastAsia" w:ascii="宋体" w:hAnsi="宋体" w:eastAsia="宋体" w:cs="宋体"/>
                <w:sz w:val="24"/>
                <w:szCs w:val="24"/>
                <w:highlight w:val="yellow"/>
              </w:rPr>
              <w:t>年</w:t>
            </w:r>
            <w:r>
              <w:rPr>
                <w:rFonts w:ascii="宋体" w:hAnsi="宋体" w:eastAsia="宋体" w:cs="宋体"/>
                <w:bCs/>
                <w:sz w:val="24"/>
                <w:szCs w:val="24"/>
                <w:highlight w:val="yellow"/>
                <w:u w:val="single"/>
              </w:rPr>
              <w:t xml:space="preserve">  </w:t>
            </w:r>
            <w:r>
              <w:rPr>
                <w:rFonts w:hint="eastAsia" w:ascii="宋体" w:hAnsi="宋体" w:eastAsia="宋体" w:cs="宋体"/>
                <w:bCs/>
                <w:sz w:val="24"/>
                <w:szCs w:val="24"/>
                <w:highlight w:val="yellow"/>
                <w:u w:val="single"/>
              </w:rPr>
              <w:t>8</w:t>
            </w:r>
            <w:r>
              <w:rPr>
                <w:rFonts w:ascii="宋体" w:hAnsi="宋体" w:eastAsia="宋体" w:cs="宋体"/>
                <w:bCs/>
                <w:sz w:val="24"/>
                <w:szCs w:val="24"/>
                <w:highlight w:val="yellow"/>
                <w:u w:val="single"/>
              </w:rPr>
              <w:t xml:space="preserve">  </w:t>
            </w:r>
            <w:r>
              <w:rPr>
                <w:rFonts w:hint="eastAsia" w:ascii="宋体" w:hAnsi="宋体" w:eastAsia="宋体" w:cs="宋体"/>
                <w:sz w:val="24"/>
                <w:szCs w:val="24"/>
                <w:highlight w:val="yellow"/>
              </w:rPr>
              <w:t>月</w:t>
            </w:r>
            <w:r>
              <w:rPr>
                <w:rFonts w:ascii="宋体" w:hAnsi="宋体" w:eastAsia="宋体" w:cs="宋体"/>
                <w:bCs/>
                <w:sz w:val="24"/>
                <w:szCs w:val="24"/>
                <w:highlight w:val="yellow"/>
                <w:u w:val="single"/>
              </w:rPr>
              <w:t xml:space="preserve">  </w:t>
            </w:r>
            <w:r>
              <w:rPr>
                <w:rFonts w:hint="eastAsia" w:ascii="宋体" w:hAnsi="宋体" w:eastAsia="宋体" w:cs="宋体"/>
                <w:bCs/>
                <w:sz w:val="24"/>
                <w:szCs w:val="24"/>
                <w:highlight w:val="yellow"/>
                <w:u w:val="single"/>
              </w:rPr>
              <w:t>10</w:t>
            </w:r>
            <w:r>
              <w:rPr>
                <w:rFonts w:ascii="宋体" w:hAnsi="宋体" w:eastAsia="宋体" w:cs="宋体"/>
                <w:bCs/>
                <w:sz w:val="24"/>
                <w:szCs w:val="24"/>
                <w:highlight w:val="yellow"/>
                <w:u w:val="single"/>
              </w:rPr>
              <w:t xml:space="preserve"> </w:t>
            </w:r>
            <w:r>
              <w:rPr>
                <w:rFonts w:hint="eastAsia" w:ascii="宋体" w:hAnsi="宋体" w:eastAsia="宋体" w:cs="宋体"/>
                <w:sz w:val="24"/>
                <w:szCs w:val="24"/>
                <w:highlight w:val="yellow"/>
              </w:rPr>
              <w:t>日</w:t>
            </w:r>
            <w:r>
              <w:rPr>
                <w:rFonts w:hint="eastAsia" w:ascii="宋体" w:hAnsi="宋体" w:eastAsia="宋体" w:cs="宋体"/>
                <w:bCs/>
                <w:sz w:val="24"/>
                <w:szCs w:val="24"/>
                <w:highlight w:val="yellow"/>
              </w:rPr>
              <w:t>17:00:00</w:t>
            </w:r>
            <w:r>
              <w:rPr>
                <w:rFonts w:hint="eastAsia" w:ascii="宋体" w:hAnsi="宋体" w:eastAsia="宋体" w:cs="宋体"/>
                <w:sz w:val="24"/>
                <w:szCs w:val="24"/>
                <w:highlight w:val="yellow"/>
              </w:rPr>
              <w:t>前</w:t>
            </w:r>
            <w:r>
              <w:rPr>
                <w:rFonts w:hint="eastAsia" w:ascii="宋体" w:hAnsi="宋体" w:eastAsia="宋体" w:cs="宋体"/>
                <w:sz w:val="24"/>
                <w:szCs w:val="24"/>
              </w:rPr>
              <w:t>；</w:t>
            </w:r>
          </w:p>
          <w:p w14:paraId="7686E4FF">
            <w:pPr>
              <w:shd w:val="clear" w:color="auto" w:fill="FFFFFF" w:themeFill="background1"/>
              <w:ind w:firstLine="480" w:firstLineChars="200"/>
              <w:rPr>
                <w:rFonts w:ascii="宋体" w:hAnsi="宋体" w:eastAsia="宋体" w:cs="宋体"/>
                <w:sz w:val="24"/>
                <w:szCs w:val="24"/>
              </w:rPr>
            </w:pPr>
            <w:r>
              <w:rPr>
                <w:rFonts w:hint="eastAsia" w:ascii="宋体" w:hAnsi="宋体" w:eastAsia="宋体" w:cs="宋体"/>
                <w:sz w:val="24"/>
                <w:szCs w:val="24"/>
              </w:rPr>
              <w:t>答疑、澄清和修改文件方式：招标人将以电子邮件的方式将招标文件的答疑澄清文件发送至答疑文件提交时登记的电子邮箱。</w:t>
            </w:r>
          </w:p>
        </w:tc>
      </w:tr>
      <w:tr w14:paraId="37CF4D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045" w:hRule="atLeast"/>
        </w:trPr>
        <w:tc>
          <w:tcPr>
            <w:tcW w:w="595" w:type="dxa"/>
            <w:vMerge w:val="restart"/>
            <w:tcBorders>
              <w:top w:val="single" w:color="auto" w:sz="2" w:space="0"/>
              <w:left w:val="single" w:color="auto" w:sz="2" w:space="0"/>
              <w:right w:val="single" w:color="auto" w:sz="2" w:space="0"/>
            </w:tcBorders>
            <w:vAlign w:val="center"/>
          </w:tcPr>
          <w:p w14:paraId="70657E20">
            <w:pPr>
              <w:jc w:val="center"/>
              <w:rPr>
                <w:rFonts w:ascii="宋体" w:hAnsi="宋体" w:eastAsia="宋体" w:cs="宋体"/>
                <w:b/>
                <w:bCs/>
                <w:sz w:val="24"/>
                <w:szCs w:val="24"/>
                <w:highlight w:val="green"/>
              </w:rPr>
            </w:pPr>
            <w:r>
              <w:rPr>
                <w:rFonts w:hint="eastAsia" w:ascii="宋体" w:hAnsi="宋体" w:eastAsia="宋体" w:cs="宋体"/>
                <w:sz w:val="24"/>
                <w:szCs w:val="24"/>
              </w:rPr>
              <w:t>2.3</w:t>
            </w:r>
          </w:p>
        </w:tc>
        <w:tc>
          <w:tcPr>
            <w:tcW w:w="8363" w:type="dxa"/>
            <w:tcBorders>
              <w:top w:val="single" w:color="auto" w:sz="2" w:space="0"/>
              <w:left w:val="single" w:color="auto" w:sz="2" w:space="0"/>
              <w:bottom w:val="single" w:color="auto" w:sz="2" w:space="0"/>
              <w:right w:val="single" w:color="auto" w:sz="2" w:space="0"/>
            </w:tcBorders>
            <w:vAlign w:val="center"/>
          </w:tcPr>
          <w:p w14:paraId="2B6E6FC2">
            <w:pPr>
              <w:pStyle w:val="13"/>
              <w:spacing w:line="240" w:lineRule="auto"/>
              <w:ind w:firstLine="482"/>
              <w:rPr>
                <w:rFonts w:eastAsia="宋体" w:cs="宋体"/>
                <w:b/>
                <w:bCs/>
              </w:rPr>
            </w:pPr>
            <w:r>
              <w:rPr>
                <w:rFonts w:hint="eastAsia" w:eastAsia="宋体" w:cs="宋体"/>
                <w:b/>
                <w:bCs/>
              </w:rPr>
              <w:t>报名方式：</w:t>
            </w:r>
            <w:r>
              <w:rPr>
                <w:rFonts w:hint="eastAsia" w:eastAsia="宋体" w:cs="宋体"/>
              </w:rPr>
              <w:t>拟投标人根据招标人在中国重汽官网等公开媒体上发布的招标信息，</w:t>
            </w:r>
            <w:r>
              <w:rPr>
                <w:rFonts w:hint="eastAsia" w:hAnsi="Courier New" w:eastAsia="宋体" w:cs="Times New Roman"/>
              </w:rPr>
              <w:t>在“中国重汽e采通”平台报名</w:t>
            </w:r>
            <w:r>
              <w:rPr>
                <w:rFonts w:hint="eastAsia" w:eastAsia="宋体" w:cs="宋体"/>
              </w:rPr>
              <w:t>。</w:t>
            </w:r>
            <w:r>
              <w:rPr>
                <w:rFonts w:hint="eastAsia" w:eastAsia="宋体" w:cs="Times New Roman"/>
                <w:b/>
                <w:bCs/>
              </w:rPr>
              <w:t>按照中国重汽e采通“SRM非生产供应商注册手册”（附件15）进行注册</w:t>
            </w:r>
            <w:r>
              <w:rPr>
                <w:rFonts w:hint="eastAsia" w:eastAsia="宋体" w:cs="Times New Roman"/>
              </w:rPr>
              <w:t>，注册完毕后按照</w:t>
            </w:r>
            <w:r>
              <w:rPr>
                <w:rFonts w:hint="eastAsia" w:eastAsia="宋体" w:cs="宋体"/>
                <w:b/>
              </w:rPr>
              <w:t>“SRM系统供应商用户手册（附件16）”，</w:t>
            </w:r>
            <w:r>
              <w:rPr>
                <w:rFonts w:hint="eastAsia" w:eastAsia="宋体" w:cs="Times New Roman"/>
              </w:rPr>
              <w:t>登录</w:t>
            </w:r>
            <w:r>
              <w:rPr>
                <w:rFonts w:hint="eastAsia" w:eastAsia="宋体" w:cs="宋体"/>
                <w:b/>
              </w:rPr>
              <w:t>重汽e采通平台</w:t>
            </w:r>
            <w:r>
              <w:rPr>
                <w:rFonts w:hint="eastAsia" w:eastAsia="宋体" w:cs="Times New Roman"/>
              </w:rPr>
              <w:t>后进入“供应商应标”，选择对应的项目，点击“</w:t>
            </w:r>
            <w:r>
              <w:rPr>
                <w:rFonts w:hint="eastAsia" w:eastAsia="宋体" w:cs="Times New Roman"/>
                <w:b/>
                <w:bCs/>
              </w:rPr>
              <w:t>应标</w:t>
            </w:r>
            <w:r>
              <w:rPr>
                <w:rFonts w:hint="eastAsia" w:eastAsia="宋体" w:cs="Times New Roman"/>
              </w:rPr>
              <w:t>”</w:t>
            </w:r>
            <w:r>
              <w:rPr>
                <w:rFonts w:hint="eastAsia" w:eastAsia="宋体" w:cs="Times New Roman"/>
                <w:b/>
                <w:bCs/>
              </w:rPr>
              <w:t>后按照招标文件第三部分投标文件组成资格证明文件中的1.1</w:t>
            </w:r>
            <w:r>
              <w:rPr>
                <w:rFonts w:eastAsia="宋体" w:cs="Times New Roman"/>
                <w:b/>
                <w:bCs/>
              </w:rPr>
              <w:t>-</w:t>
            </w:r>
            <w:r>
              <w:rPr>
                <w:rFonts w:hint="eastAsia" w:eastAsia="宋体" w:cs="Times New Roman"/>
                <w:b/>
                <w:bCs/>
              </w:rPr>
              <w:t>1.1</w:t>
            </w:r>
            <w:r>
              <w:rPr>
                <w:rFonts w:eastAsia="宋体" w:cs="Times New Roman"/>
                <w:b/>
                <w:bCs/>
              </w:rPr>
              <w:t>2</w:t>
            </w:r>
            <w:r>
              <w:rPr>
                <w:rFonts w:hint="eastAsia" w:eastAsia="宋体" w:cs="Times New Roman"/>
                <w:b/>
                <w:bCs/>
              </w:rPr>
              <w:t>准备资料并</w:t>
            </w:r>
            <w:r>
              <w:rPr>
                <w:rFonts w:hint="eastAsia" w:eastAsia="宋体" w:cs="Times New Roman"/>
              </w:rPr>
              <w:t>上传，资质审查通过即为报名成功</w:t>
            </w:r>
            <w:r>
              <w:rPr>
                <w:rFonts w:hint="eastAsia" w:hAnsi="Courier New" w:eastAsia="宋体" w:cs="Times New Roman"/>
              </w:rPr>
              <w:t>；公示期间请尽快报名</w:t>
            </w:r>
            <w:r>
              <w:rPr>
                <w:rFonts w:hint="eastAsia" w:eastAsia="宋体" w:cs="宋体"/>
              </w:rPr>
              <w:t>。</w:t>
            </w:r>
          </w:p>
        </w:tc>
      </w:tr>
      <w:tr w14:paraId="1181C5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3" w:hRule="atLeast"/>
        </w:trPr>
        <w:tc>
          <w:tcPr>
            <w:tcW w:w="595" w:type="dxa"/>
            <w:vMerge w:val="continue"/>
            <w:tcBorders>
              <w:left w:val="single" w:color="auto" w:sz="2" w:space="0"/>
              <w:right w:val="single" w:color="auto" w:sz="2" w:space="0"/>
            </w:tcBorders>
            <w:vAlign w:val="center"/>
          </w:tcPr>
          <w:p w14:paraId="7B183CEA">
            <w:pPr>
              <w:jc w:val="left"/>
            </w:pPr>
          </w:p>
        </w:tc>
        <w:tc>
          <w:tcPr>
            <w:tcW w:w="8363" w:type="dxa"/>
            <w:tcBorders>
              <w:top w:val="single" w:color="auto" w:sz="2" w:space="0"/>
              <w:left w:val="single" w:color="auto" w:sz="2" w:space="0"/>
              <w:bottom w:val="single" w:color="auto" w:sz="2" w:space="0"/>
              <w:right w:val="single" w:color="auto" w:sz="2" w:space="0"/>
            </w:tcBorders>
            <w:vAlign w:val="center"/>
          </w:tcPr>
          <w:p w14:paraId="3565C766">
            <w:pPr>
              <w:pStyle w:val="13"/>
              <w:spacing w:line="240" w:lineRule="auto"/>
              <w:ind w:firstLine="482"/>
              <w:rPr>
                <w:rFonts w:eastAsia="宋体" w:cs="宋体"/>
              </w:rPr>
            </w:pPr>
            <w:r>
              <w:rPr>
                <w:rFonts w:hint="eastAsia" w:eastAsia="宋体" w:cs="宋体"/>
                <w:b/>
                <w:bCs/>
              </w:rPr>
              <w:t>应标截止时间：</w:t>
            </w:r>
            <w:r>
              <w:rPr>
                <w:rFonts w:hint="eastAsia" w:eastAsia="宋体" w:cs="宋体"/>
                <w:highlight w:val="yellow"/>
              </w:rPr>
              <w:t>202</w:t>
            </w:r>
            <w:r>
              <w:rPr>
                <w:rFonts w:eastAsia="宋体" w:cs="宋体"/>
                <w:highlight w:val="yellow"/>
              </w:rPr>
              <w:t>6</w:t>
            </w:r>
            <w:r>
              <w:rPr>
                <w:rFonts w:hint="eastAsia" w:eastAsia="宋体" w:cs="宋体"/>
                <w:highlight w:val="yellow"/>
              </w:rPr>
              <w:t>年</w:t>
            </w:r>
            <w:r>
              <w:rPr>
                <w:rFonts w:eastAsia="宋体" w:cs="宋体"/>
                <w:bCs/>
                <w:highlight w:val="yellow"/>
                <w:u w:val="single"/>
              </w:rPr>
              <w:t xml:space="preserve">  8  </w:t>
            </w:r>
            <w:r>
              <w:rPr>
                <w:rFonts w:hint="eastAsia" w:eastAsia="宋体" w:cs="宋体"/>
                <w:highlight w:val="yellow"/>
              </w:rPr>
              <w:t>月</w:t>
            </w:r>
            <w:r>
              <w:rPr>
                <w:rFonts w:eastAsia="宋体" w:cs="宋体"/>
                <w:bCs/>
                <w:highlight w:val="yellow"/>
                <w:u w:val="single"/>
              </w:rPr>
              <w:t xml:space="preserve">  </w:t>
            </w:r>
            <w:r>
              <w:rPr>
                <w:rFonts w:hint="eastAsia" w:eastAsia="宋体" w:cs="宋体"/>
                <w:bCs/>
                <w:highlight w:val="yellow"/>
                <w:u w:val="single"/>
              </w:rPr>
              <w:t>11</w:t>
            </w:r>
            <w:r>
              <w:rPr>
                <w:rFonts w:eastAsia="宋体" w:cs="宋体"/>
                <w:bCs/>
                <w:highlight w:val="yellow"/>
                <w:u w:val="single"/>
              </w:rPr>
              <w:t xml:space="preserve">  </w:t>
            </w:r>
            <w:r>
              <w:rPr>
                <w:rFonts w:hint="eastAsia" w:eastAsia="宋体" w:cs="宋体"/>
                <w:highlight w:val="yellow"/>
              </w:rPr>
              <w:t>日</w:t>
            </w:r>
            <w:r>
              <w:rPr>
                <w:rFonts w:hint="eastAsia" w:eastAsia="宋体" w:cs="宋体"/>
                <w:bCs/>
                <w:highlight w:val="yellow"/>
              </w:rPr>
              <w:t>17:00:00前</w:t>
            </w:r>
          </w:p>
          <w:p w14:paraId="6E39BCF3">
            <w:pPr>
              <w:pStyle w:val="13"/>
              <w:spacing w:line="240" w:lineRule="auto"/>
              <w:ind w:firstLine="482"/>
              <w:rPr>
                <w:rFonts w:eastAsia="宋体" w:cs="宋体"/>
                <w:highlight w:val="yellow"/>
              </w:rPr>
            </w:pPr>
            <w:r>
              <w:rPr>
                <w:rFonts w:hint="eastAsia" w:eastAsia="宋体" w:cs="宋体"/>
                <w:b/>
                <w:bCs/>
              </w:rPr>
              <w:t>注：请务必在应标截止时间前完成注册及应标操作，注册审核需2-4日，应标截止时间精确到秒，逾期将无法应标。请自行掌握时间，避免无法应标。</w:t>
            </w:r>
          </w:p>
        </w:tc>
      </w:tr>
      <w:tr w14:paraId="2BF153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8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37225052">
            <w:pPr>
              <w:jc w:val="center"/>
              <w:rPr>
                <w:rFonts w:ascii="宋体" w:hAnsi="宋体" w:eastAsia="宋体" w:cs="宋体"/>
                <w:b/>
                <w:bCs/>
                <w:sz w:val="24"/>
                <w:szCs w:val="24"/>
              </w:rPr>
            </w:pPr>
            <w:r>
              <w:rPr>
                <w:rFonts w:hint="eastAsia" w:ascii="宋体" w:hAnsi="宋体" w:eastAsia="宋体" w:cs="宋体"/>
                <w:b/>
                <w:bCs/>
                <w:sz w:val="24"/>
                <w:szCs w:val="24"/>
              </w:rPr>
              <w:t>3.投标文件的组成、编制及投递</w:t>
            </w:r>
          </w:p>
        </w:tc>
      </w:tr>
      <w:tr w14:paraId="51E510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51" w:hRule="atLeast"/>
        </w:trPr>
        <w:tc>
          <w:tcPr>
            <w:tcW w:w="595" w:type="dxa"/>
            <w:tcBorders>
              <w:top w:val="single" w:color="auto" w:sz="2" w:space="0"/>
              <w:left w:val="single" w:color="auto" w:sz="2" w:space="0"/>
              <w:bottom w:val="single" w:color="auto" w:sz="2" w:space="0"/>
              <w:right w:val="single" w:color="auto" w:sz="2" w:space="0"/>
            </w:tcBorders>
            <w:vAlign w:val="center"/>
          </w:tcPr>
          <w:p w14:paraId="54E49CF9">
            <w:pPr>
              <w:jc w:val="center"/>
              <w:rPr>
                <w:rFonts w:ascii="宋体" w:hAnsi="宋体" w:eastAsia="宋体" w:cs="宋体"/>
                <w:sz w:val="24"/>
                <w:szCs w:val="24"/>
              </w:rPr>
            </w:pPr>
            <w:r>
              <w:rPr>
                <w:rFonts w:hint="eastAsia" w:ascii="宋体" w:hAnsi="宋体" w:eastAsia="宋体" w:cs="宋体"/>
                <w:sz w:val="24"/>
                <w:szCs w:val="24"/>
              </w:rPr>
              <w:t>4.1</w:t>
            </w:r>
          </w:p>
        </w:tc>
        <w:tc>
          <w:tcPr>
            <w:tcW w:w="8363" w:type="dxa"/>
            <w:tcBorders>
              <w:top w:val="single" w:color="auto" w:sz="2" w:space="0"/>
              <w:left w:val="single" w:color="auto" w:sz="2" w:space="0"/>
              <w:bottom w:val="single" w:color="auto" w:sz="2" w:space="0"/>
              <w:right w:val="single" w:color="auto" w:sz="2" w:space="0"/>
            </w:tcBorders>
            <w:vAlign w:val="center"/>
          </w:tcPr>
          <w:p w14:paraId="025701AC">
            <w:pPr>
              <w:ind w:firstLine="480" w:firstLineChars="200"/>
              <w:rPr>
                <w:rFonts w:ascii="宋体" w:hAnsi="宋体" w:eastAsia="宋体" w:cs="宋体"/>
                <w:bCs/>
                <w:sz w:val="24"/>
                <w:szCs w:val="24"/>
              </w:rPr>
            </w:pPr>
            <w:r>
              <w:rPr>
                <w:rFonts w:hint="eastAsia" w:eastAsia="宋体" w:cs="宋体"/>
                <w:bCs/>
                <w:sz w:val="24"/>
                <w:szCs w:val="24"/>
              </w:rPr>
              <w:t>本项目投标文件分为</w:t>
            </w:r>
            <w:r>
              <w:rPr>
                <w:rFonts w:hint="eastAsia" w:eastAsia="宋体" w:cs="宋体"/>
                <w:b/>
                <w:sz w:val="24"/>
                <w:szCs w:val="24"/>
              </w:rPr>
              <w:t>纸质版</w:t>
            </w:r>
            <w:r>
              <w:rPr>
                <w:rFonts w:hint="eastAsia" w:eastAsia="宋体" w:cs="宋体"/>
                <w:bCs/>
                <w:sz w:val="24"/>
                <w:szCs w:val="24"/>
              </w:rPr>
              <w:t>投标文件和</w:t>
            </w:r>
            <w:r>
              <w:rPr>
                <w:rFonts w:hint="eastAsia" w:eastAsia="宋体" w:cs="宋体"/>
                <w:b/>
                <w:sz w:val="24"/>
                <w:szCs w:val="24"/>
              </w:rPr>
              <w:t>电子版</w:t>
            </w:r>
            <w:r>
              <w:rPr>
                <w:rFonts w:hint="eastAsia" w:eastAsia="宋体" w:cs="宋体"/>
                <w:bCs/>
                <w:sz w:val="24"/>
                <w:szCs w:val="24"/>
              </w:rPr>
              <w:t>投标文件（电子版为纸质盖章版的扫描件），均由</w:t>
            </w:r>
            <w:r>
              <w:rPr>
                <w:rFonts w:hint="eastAsia" w:eastAsia="宋体" w:cs="宋体"/>
                <w:b/>
                <w:sz w:val="24"/>
                <w:szCs w:val="24"/>
              </w:rPr>
              <w:t>《投标文件（资质标）》、《投标文件（技术标）》、《投标文件（商务标）》、《开标一览表》</w:t>
            </w:r>
            <w:r>
              <w:rPr>
                <w:rFonts w:hint="eastAsia" w:eastAsia="宋体" w:cs="宋体"/>
                <w:bCs/>
                <w:sz w:val="24"/>
                <w:szCs w:val="24"/>
              </w:rPr>
              <w:t>文件组成，共计</w:t>
            </w:r>
            <w:r>
              <w:rPr>
                <w:rFonts w:eastAsia="宋体" w:cs="宋体"/>
                <w:bCs/>
                <w:sz w:val="24"/>
                <w:szCs w:val="24"/>
              </w:rPr>
              <w:t>4</w:t>
            </w:r>
            <w:r>
              <w:rPr>
                <w:rFonts w:hint="eastAsia" w:eastAsia="宋体" w:cs="宋体"/>
                <w:bCs/>
                <w:sz w:val="24"/>
                <w:szCs w:val="24"/>
              </w:rPr>
              <w:t>个文件</w:t>
            </w:r>
            <w:r>
              <w:rPr>
                <w:rFonts w:hint="eastAsia" w:ascii="宋体" w:hAnsi="宋体" w:eastAsia="宋体" w:cs="宋体"/>
                <w:bCs/>
                <w:sz w:val="24"/>
                <w:szCs w:val="24"/>
              </w:rPr>
              <w:t>。</w:t>
            </w:r>
          </w:p>
          <w:p w14:paraId="292AF8BD">
            <w:pPr>
              <w:ind w:firstLine="482" w:firstLineChars="200"/>
              <w:rPr>
                <w:rFonts w:ascii="宋体" w:hAnsi="宋体" w:eastAsia="宋体" w:cs="宋体"/>
                <w:bCs/>
                <w:sz w:val="24"/>
                <w:szCs w:val="24"/>
              </w:rPr>
            </w:pPr>
            <w:r>
              <w:rPr>
                <w:rFonts w:hint="eastAsia" w:eastAsia="宋体" w:cs="宋体"/>
                <w:b/>
                <w:sz w:val="24"/>
                <w:szCs w:val="24"/>
              </w:rPr>
              <w:t>《投标文件（资质标）》</w:t>
            </w:r>
            <w:r>
              <w:rPr>
                <w:rFonts w:hint="eastAsia" w:ascii="宋体" w:hAnsi="宋体" w:eastAsia="宋体" w:cs="宋体"/>
                <w:bCs/>
                <w:sz w:val="24"/>
                <w:szCs w:val="24"/>
              </w:rPr>
              <w:t>一个文件（里面是全部资质投标书），</w:t>
            </w:r>
          </w:p>
          <w:p w14:paraId="0A7F52BC">
            <w:pPr>
              <w:ind w:firstLine="482" w:firstLineChars="200"/>
              <w:rPr>
                <w:rFonts w:ascii="宋体" w:hAnsi="宋体" w:eastAsia="宋体" w:cs="宋体"/>
                <w:bCs/>
                <w:sz w:val="24"/>
                <w:szCs w:val="24"/>
              </w:rPr>
            </w:pPr>
            <w:r>
              <w:rPr>
                <w:rFonts w:hint="eastAsia" w:eastAsia="宋体" w:cs="宋体"/>
                <w:b/>
                <w:sz w:val="24"/>
                <w:szCs w:val="24"/>
              </w:rPr>
              <w:t>《投标文件（技术标）》</w:t>
            </w:r>
            <w:r>
              <w:rPr>
                <w:rFonts w:hint="eastAsia" w:ascii="宋体" w:hAnsi="宋体" w:eastAsia="宋体" w:cs="宋体"/>
                <w:bCs/>
                <w:sz w:val="24"/>
                <w:szCs w:val="24"/>
              </w:rPr>
              <w:t>一个文件（里面是全部技术投标书），</w:t>
            </w:r>
          </w:p>
          <w:p w14:paraId="3FA287AE">
            <w:pPr>
              <w:ind w:firstLine="482" w:firstLineChars="200"/>
              <w:rPr>
                <w:rFonts w:ascii="宋体" w:hAnsi="宋体" w:eastAsia="宋体" w:cs="宋体"/>
                <w:bCs/>
                <w:sz w:val="24"/>
                <w:szCs w:val="24"/>
              </w:rPr>
            </w:pPr>
            <w:r>
              <w:rPr>
                <w:rFonts w:hint="eastAsia" w:eastAsia="宋体" w:cs="宋体"/>
                <w:b/>
                <w:sz w:val="24"/>
                <w:szCs w:val="24"/>
              </w:rPr>
              <w:t>《投标文件（商务标）》</w:t>
            </w:r>
            <w:r>
              <w:rPr>
                <w:rFonts w:hint="eastAsia" w:ascii="宋体" w:hAnsi="宋体" w:eastAsia="宋体" w:cs="宋体"/>
                <w:bCs/>
                <w:sz w:val="24"/>
                <w:szCs w:val="24"/>
              </w:rPr>
              <w:t>一个文件（里面是全部商务投标书），</w:t>
            </w:r>
          </w:p>
          <w:p w14:paraId="208F1F44">
            <w:pPr>
              <w:ind w:firstLine="482" w:firstLineChars="200"/>
              <w:rPr>
                <w:rFonts w:ascii="宋体" w:hAnsi="宋体" w:eastAsia="宋体" w:cs="宋体"/>
                <w:b/>
                <w:sz w:val="24"/>
                <w:szCs w:val="24"/>
              </w:rPr>
            </w:pPr>
            <w:r>
              <w:rPr>
                <w:rFonts w:hint="eastAsia" w:eastAsia="宋体" w:cs="宋体"/>
                <w:b/>
                <w:sz w:val="24"/>
                <w:szCs w:val="24"/>
              </w:rPr>
              <w:t>《开标一览表》</w:t>
            </w:r>
            <w:r>
              <w:rPr>
                <w:rFonts w:hint="eastAsia" w:eastAsia="宋体" w:cs="宋体"/>
                <w:sz w:val="24"/>
                <w:szCs w:val="24"/>
              </w:rPr>
              <w:t>一个文件（里面是全部开标一览表）</w:t>
            </w:r>
          </w:p>
          <w:p w14:paraId="14785D7E">
            <w:pPr>
              <w:ind w:firstLine="482" w:firstLineChars="200"/>
              <w:rPr>
                <w:rFonts w:ascii="宋体" w:hAnsi="宋体" w:eastAsia="宋体" w:cs="宋体"/>
                <w:b/>
                <w:sz w:val="24"/>
                <w:szCs w:val="24"/>
              </w:rPr>
            </w:pPr>
            <w:r>
              <w:rPr>
                <w:rFonts w:hint="eastAsia" w:ascii="宋体" w:hAnsi="宋体" w:eastAsia="宋体" w:cs="宋体"/>
                <w:b/>
                <w:sz w:val="24"/>
                <w:szCs w:val="24"/>
              </w:rPr>
              <w:t>具体组成等详细要求见招标文件第三部分投标文件编制第三条。</w:t>
            </w:r>
          </w:p>
          <w:p w14:paraId="0F7F2068">
            <w:pPr>
              <w:ind w:firstLine="482" w:firstLineChars="200"/>
              <w:rPr>
                <w:rFonts w:ascii="宋体" w:hAnsi="宋体" w:eastAsia="宋体" w:cs="宋体"/>
                <w:b/>
                <w:sz w:val="24"/>
                <w:szCs w:val="24"/>
              </w:rPr>
            </w:pPr>
            <w:r>
              <w:rPr>
                <w:rFonts w:hint="eastAsia" w:ascii="宋体" w:hAnsi="宋体" w:eastAsia="宋体" w:cs="宋体"/>
                <w:b/>
                <w:bCs/>
                <w:sz w:val="24"/>
                <w:szCs w:val="24"/>
              </w:rPr>
              <w:t>注意不按此要求提供投标文件的，投标文件做无效标处理。</w:t>
            </w:r>
          </w:p>
        </w:tc>
      </w:tr>
      <w:tr w14:paraId="06A005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595" w:type="dxa"/>
            <w:tcBorders>
              <w:top w:val="single" w:color="auto" w:sz="2" w:space="0"/>
              <w:left w:val="single" w:color="auto" w:sz="2" w:space="0"/>
              <w:bottom w:val="single" w:color="auto" w:sz="2" w:space="0"/>
              <w:right w:val="single" w:color="auto" w:sz="2" w:space="0"/>
            </w:tcBorders>
            <w:vAlign w:val="center"/>
          </w:tcPr>
          <w:p w14:paraId="5D5C4CEE">
            <w:pPr>
              <w:jc w:val="center"/>
              <w:rPr>
                <w:rFonts w:ascii="宋体" w:hAnsi="宋体" w:eastAsia="宋体" w:cs="宋体"/>
                <w:sz w:val="24"/>
                <w:szCs w:val="24"/>
              </w:rPr>
            </w:pPr>
            <w:r>
              <w:rPr>
                <w:rFonts w:hint="eastAsia" w:ascii="宋体" w:hAnsi="宋体" w:eastAsia="宋体" w:cs="宋体"/>
                <w:sz w:val="24"/>
                <w:szCs w:val="24"/>
              </w:rPr>
              <w:t>3.2</w:t>
            </w:r>
          </w:p>
        </w:tc>
        <w:tc>
          <w:tcPr>
            <w:tcW w:w="8363" w:type="dxa"/>
            <w:tcBorders>
              <w:top w:val="single" w:color="auto" w:sz="2" w:space="0"/>
              <w:left w:val="single" w:color="auto" w:sz="2" w:space="0"/>
              <w:bottom w:val="single" w:color="auto" w:sz="2" w:space="0"/>
              <w:right w:val="single" w:color="auto" w:sz="2" w:space="0"/>
            </w:tcBorders>
            <w:vAlign w:val="center"/>
          </w:tcPr>
          <w:p w14:paraId="68C3F9D8">
            <w:pPr>
              <w:ind w:firstLine="482" w:firstLineChars="200"/>
              <w:rPr>
                <w:rFonts w:eastAsia="宋体" w:cs="宋体"/>
                <w:bCs/>
                <w:sz w:val="24"/>
                <w:szCs w:val="24"/>
              </w:rPr>
            </w:pPr>
            <w:r>
              <w:rPr>
                <w:rFonts w:hint="eastAsia" w:eastAsia="宋体" w:cs="宋体"/>
                <w:b/>
                <w:sz w:val="24"/>
                <w:szCs w:val="24"/>
              </w:rPr>
              <w:t>投标方式：在中国重汽e采通平台应标成功后，进入“供应商投标”环节，投递盖章扫描版电子标书（包含资质标书、技术标书、商务标书），</w:t>
            </w:r>
            <w:r>
              <w:rPr>
                <w:rFonts w:ascii="宋体" w:hAnsi="宋体" w:eastAsia="宋体" w:cs="宋体"/>
                <w:sz w:val="24"/>
                <w:szCs w:val="24"/>
              </w:rPr>
              <w:t>若逾期未</w:t>
            </w:r>
            <w:r>
              <w:rPr>
                <w:rFonts w:hint="eastAsia" w:ascii="宋体" w:hAnsi="宋体" w:eastAsia="宋体" w:cs="宋体"/>
                <w:sz w:val="24"/>
                <w:szCs w:val="24"/>
              </w:rPr>
              <w:t>在中国</w:t>
            </w:r>
            <w:r>
              <w:rPr>
                <w:rFonts w:ascii="宋体" w:hAnsi="宋体" w:eastAsia="宋体" w:cs="宋体"/>
                <w:sz w:val="24"/>
                <w:szCs w:val="24"/>
              </w:rPr>
              <w:t>重汽e采通</w:t>
            </w:r>
            <w:r>
              <w:rPr>
                <w:rFonts w:hint="eastAsia" w:ascii="宋体" w:hAnsi="宋体" w:eastAsia="宋体" w:cs="宋体"/>
                <w:sz w:val="24"/>
                <w:szCs w:val="24"/>
              </w:rPr>
              <w:t>平台</w:t>
            </w:r>
            <w:r>
              <w:rPr>
                <w:rFonts w:ascii="宋体" w:hAnsi="宋体" w:eastAsia="宋体" w:cs="宋体"/>
                <w:sz w:val="24"/>
                <w:szCs w:val="24"/>
              </w:rPr>
              <w:t>上传</w:t>
            </w:r>
            <w:r>
              <w:rPr>
                <w:rFonts w:hint="eastAsia" w:ascii="宋体" w:hAnsi="宋体" w:eastAsia="宋体" w:cs="宋体"/>
                <w:sz w:val="24"/>
                <w:szCs w:val="24"/>
              </w:rPr>
              <w:t>电子</w:t>
            </w:r>
            <w:r>
              <w:rPr>
                <w:rFonts w:ascii="宋体" w:hAnsi="宋体" w:eastAsia="宋体" w:cs="宋体"/>
                <w:sz w:val="24"/>
                <w:szCs w:val="24"/>
              </w:rPr>
              <w:t>标书，即便递交了纸版投标文件，一律视为无效投标</w:t>
            </w:r>
            <w:r>
              <w:rPr>
                <w:rFonts w:hint="eastAsia" w:eastAsia="宋体" w:cs="宋体"/>
                <w:b/>
                <w:sz w:val="24"/>
                <w:szCs w:val="24"/>
              </w:rPr>
              <w:t>。</w:t>
            </w:r>
          </w:p>
          <w:p w14:paraId="68350453">
            <w:pPr>
              <w:ind w:firstLine="420" w:firstLineChars="200"/>
              <w:rPr>
                <w:rFonts w:ascii="宋体" w:hAnsi="宋体" w:eastAsia="宋体" w:cs="Times New Roman"/>
                <w:color w:val="000000"/>
                <w:sz w:val="24"/>
                <w:szCs w:val="24"/>
              </w:rPr>
            </w:pPr>
            <w:r>
              <w:rPr>
                <w:rFonts w:hint="eastAsia"/>
                <w:bCs/>
              </w:rPr>
              <w:t xml:space="preserve"> </w:t>
            </w:r>
            <w:r>
              <w:rPr>
                <w:rFonts w:hint="eastAsia" w:eastAsia="宋体" w:cs="宋体"/>
                <w:bCs/>
                <w:sz w:val="24"/>
                <w:szCs w:val="24"/>
              </w:rPr>
              <w:t>纸质版投标文件的份数要求为</w:t>
            </w:r>
            <w:r>
              <w:rPr>
                <w:rFonts w:hint="eastAsia" w:ascii="宋体" w:hAnsi="宋体" w:eastAsia="宋体" w:cs="宋体"/>
                <w:b/>
                <w:sz w:val="24"/>
                <w:szCs w:val="24"/>
              </w:rPr>
              <w:t>正本一份，</w:t>
            </w:r>
            <w:r>
              <w:rPr>
                <w:rFonts w:hint="eastAsia" w:ascii="宋体" w:hAnsi="宋体" w:eastAsia="宋体" w:cs="宋体"/>
                <w:bCs/>
                <w:sz w:val="24"/>
                <w:szCs w:val="24"/>
              </w:rPr>
              <w:t>资质投标书、技术投标书、商务投标书及开标一览表</w:t>
            </w:r>
            <w:r>
              <w:rPr>
                <w:rFonts w:hint="eastAsia" w:ascii="宋体" w:hAnsi="宋体" w:eastAsia="宋体" w:cs="宋体"/>
                <w:b/>
                <w:bCs/>
                <w:sz w:val="24"/>
                <w:szCs w:val="24"/>
              </w:rPr>
              <w:t>分别包封</w:t>
            </w:r>
            <w:r>
              <w:rPr>
                <w:rFonts w:hint="eastAsia" w:eastAsia="宋体" w:cs="宋体"/>
                <w:b/>
                <w:sz w:val="24"/>
                <w:szCs w:val="24"/>
              </w:rPr>
              <w:t>，包封表面按照附件13标注文件信息；共计四个包封</w:t>
            </w:r>
            <w:r>
              <w:rPr>
                <w:rFonts w:hint="eastAsia" w:eastAsia="宋体" w:cs="宋体"/>
                <w:bCs/>
                <w:sz w:val="24"/>
                <w:szCs w:val="24"/>
              </w:rPr>
              <w:t>。</w:t>
            </w:r>
          </w:p>
        </w:tc>
      </w:tr>
      <w:tr w14:paraId="32E301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69" w:hRule="atLeast"/>
        </w:trPr>
        <w:tc>
          <w:tcPr>
            <w:tcW w:w="595" w:type="dxa"/>
            <w:tcBorders>
              <w:top w:val="single" w:color="auto" w:sz="2" w:space="0"/>
              <w:left w:val="single" w:color="auto" w:sz="2" w:space="0"/>
              <w:bottom w:val="single" w:color="auto" w:sz="2" w:space="0"/>
              <w:right w:val="single" w:color="auto" w:sz="2" w:space="0"/>
            </w:tcBorders>
            <w:vAlign w:val="center"/>
          </w:tcPr>
          <w:p w14:paraId="0985FB5C">
            <w:pPr>
              <w:jc w:val="center"/>
              <w:rPr>
                <w:rFonts w:ascii="宋体" w:hAnsi="宋体" w:eastAsia="宋体" w:cs="宋体"/>
                <w:sz w:val="24"/>
                <w:szCs w:val="24"/>
              </w:rPr>
            </w:pPr>
            <w:r>
              <w:rPr>
                <w:rFonts w:hint="eastAsia" w:ascii="宋体" w:hAnsi="宋体" w:eastAsia="宋体" w:cs="宋体"/>
                <w:sz w:val="24"/>
                <w:szCs w:val="24"/>
              </w:rPr>
              <w:t>3.3</w:t>
            </w:r>
          </w:p>
        </w:tc>
        <w:tc>
          <w:tcPr>
            <w:tcW w:w="8363" w:type="dxa"/>
            <w:tcBorders>
              <w:top w:val="single" w:color="auto" w:sz="2" w:space="0"/>
              <w:left w:val="single" w:color="auto" w:sz="2" w:space="0"/>
              <w:bottom w:val="single" w:color="auto" w:sz="2" w:space="0"/>
              <w:right w:val="single" w:color="auto" w:sz="2" w:space="0"/>
            </w:tcBorders>
            <w:vAlign w:val="center"/>
          </w:tcPr>
          <w:p w14:paraId="7D1A263B">
            <w:pPr>
              <w:pStyle w:val="5"/>
              <w:ind w:firstLine="482" w:firstLineChars="200"/>
              <w:rPr>
                <w:rFonts w:hAnsi="宋体" w:eastAsia="宋体" w:cs="宋体"/>
                <w:b/>
                <w:bCs/>
                <w:sz w:val="24"/>
                <w:szCs w:val="24"/>
              </w:rPr>
            </w:pPr>
            <w:r>
              <w:rPr>
                <w:rFonts w:hint="eastAsia" w:hAnsi="宋体" w:eastAsia="宋体" w:cs="宋体"/>
                <w:b/>
                <w:bCs/>
                <w:sz w:val="24"/>
              </w:rPr>
              <w:t>纸质版投标文件和电子版投标文件必须保证内容一致；如确实存在不一致的，以电子标书为准，同时要求投标人对纸版标书做出修正。</w:t>
            </w:r>
          </w:p>
        </w:tc>
      </w:tr>
      <w:tr w14:paraId="43F702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88" w:hRule="atLeast"/>
        </w:trPr>
        <w:tc>
          <w:tcPr>
            <w:tcW w:w="595" w:type="dxa"/>
            <w:tcBorders>
              <w:top w:val="single" w:color="auto" w:sz="2" w:space="0"/>
              <w:left w:val="single" w:color="auto" w:sz="2" w:space="0"/>
              <w:bottom w:val="single" w:color="auto" w:sz="2" w:space="0"/>
              <w:right w:val="single" w:color="auto" w:sz="2" w:space="0"/>
            </w:tcBorders>
            <w:vAlign w:val="center"/>
          </w:tcPr>
          <w:p w14:paraId="0993B78C">
            <w:pPr>
              <w:jc w:val="center"/>
              <w:rPr>
                <w:rFonts w:ascii="宋体" w:hAnsi="宋体" w:eastAsia="宋体" w:cs="宋体"/>
                <w:sz w:val="24"/>
                <w:szCs w:val="24"/>
              </w:rPr>
            </w:pPr>
            <w:r>
              <w:rPr>
                <w:rFonts w:hint="eastAsia" w:ascii="宋体" w:hAnsi="宋体" w:eastAsia="宋体" w:cs="宋体"/>
                <w:sz w:val="24"/>
                <w:szCs w:val="24"/>
              </w:rPr>
              <w:t>3.4</w:t>
            </w:r>
          </w:p>
        </w:tc>
        <w:tc>
          <w:tcPr>
            <w:tcW w:w="8363" w:type="dxa"/>
            <w:tcBorders>
              <w:top w:val="single" w:color="auto" w:sz="2" w:space="0"/>
              <w:left w:val="single" w:color="auto" w:sz="2" w:space="0"/>
              <w:bottom w:val="single" w:color="auto" w:sz="2" w:space="0"/>
              <w:right w:val="single" w:color="auto" w:sz="2" w:space="0"/>
            </w:tcBorders>
            <w:vAlign w:val="center"/>
          </w:tcPr>
          <w:p w14:paraId="5B81592F">
            <w:pPr>
              <w:pStyle w:val="3"/>
              <w:spacing w:before="0" w:after="0" w:afterLines="0" w:line="240" w:lineRule="auto"/>
              <w:ind w:firstLine="482" w:firstLineChars="200"/>
              <w:rPr>
                <w:rFonts w:ascii="宋体" w:hAnsi="宋体" w:eastAsia="宋体" w:cs="宋体"/>
                <w:sz w:val="24"/>
                <w:szCs w:val="24"/>
              </w:rPr>
            </w:pPr>
            <w:r>
              <w:rPr>
                <w:rFonts w:hint="eastAsia" w:ascii="宋体" w:hAnsi="宋体" w:eastAsia="宋体" w:cs="宋体"/>
                <w:b/>
                <w:bCs/>
                <w:sz w:val="24"/>
                <w:szCs w:val="24"/>
              </w:rPr>
              <w:t>投标文件的装订：</w:t>
            </w:r>
            <w:r>
              <w:rPr>
                <w:rFonts w:hint="eastAsia" w:ascii="宋体" w:hAnsi="宋体" w:eastAsia="宋体" w:cs="宋体"/>
                <w:sz w:val="24"/>
                <w:szCs w:val="24"/>
              </w:rPr>
              <w:t>投标人必须将投标文件按照资质标文件1册、技术标文件1册、商务标文件1册</w:t>
            </w:r>
            <w:r>
              <w:rPr>
                <w:rFonts w:hint="eastAsia" w:ascii="宋体" w:hAnsi="宋体" w:eastAsia="宋体" w:cs="宋体"/>
                <w:b/>
                <w:bCs/>
                <w:sz w:val="24"/>
                <w:szCs w:val="24"/>
              </w:rPr>
              <w:t>分别进行</w:t>
            </w:r>
            <w:r>
              <w:rPr>
                <w:rFonts w:hint="eastAsia" w:ascii="宋体" w:hAnsi="宋体" w:eastAsia="宋体" w:cs="宋体"/>
                <w:bCs/>
                <w:sz w:val="24"/>
                <w:szCs w:val="24"/>
              </w:rPr>
              <w:t>胶装</w:t>
            </w:r>
            <w:r>
              <w:rPr>
                <w:rFonts w:hint="eastAsia" w:ascii="宋体" w:hAnsi="宋体" w:eastAsia="宋体" w:cs="宋体"/>
                <w:sz w:val="24"/>
                <w:szCs w:val="24"/>
              </w:rPr>
              <w:t>。</w:t>
            </w:r>
          </w:p>
          <w:p w14:paraId="01C5955D">
            <w:pPr>
              <w:pStyle w:val="5"/>
              <w:rPr>
                <w:rFonts w:eastAsia="宋体" w:cs="宋体" w:asciiTheme="minorHAnsi" w:hAnsiTheme="minorHAnsi"/>
                <w:b/>
                <w:sz w:val="24"/>
                <w:szCs w:val="24"/>
              </w:rPr>
            </w:pPr>
            <w:r>
              <w:rPr>
                <w:rFonts w:hint="eastAsia" w:hAnsi="宋体" w:eastAsia="宋体" w:cs="宋体"/>
                <w:b/>
                <w:bCs/>
                <w:sz w:val="24"/>
                <w:szCs w:val="24"/>
              </w:rPr>
              <w:t>技术标书和商务标书不单独装订的，投标文件做无效标处理。</w:t>
            </w:r>
          </w:p>
        </w:tc>
      </w:tr>
      <w:tr w14:paraId="475B4A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1" w:hRule="atLeast"/>
        </w:trPr>
        <w:tc>
          <w:tcPr>
            <w:tcW w:w="595" w:type="dxa"/>
            <w:tcBorders>
              <w:top w:val="single" w:color="auto" w:sz="2" w:space="0"/>
              <w:left w:val="single" w:color="auto" w:sz="2" w:space="0"/>
              <w:bottom w:val="single" w:color="auto" w:sz="2" w:space="0"/>
              <w:right w:val="single" w:color="auto" w:sz="2" w:space="0"/>
            </w:tcBorders>
            <w:vAlign w:val="center"/>
          </w:tcPr>
          <w:p w14:paraId="2F61F6CD">
            <w:pPr>
              <w:jc w:val="center"/>
              <w:rPr>
                <w:rFonts w:ascii="宋体" w:hAnsi="宋体" w:eastAsia="宋体" w:cs="宋体"/>
                <w:sz w:val="24"/>
                <w:szCs w:val="24"/>
              </w:rPr>
            </w:pPr>
            <w:r>
              <w:rPr>
                <w:rFonts w:hint="eastAsia" w:ascii="宋体" w:hAnsi="宋体" w:eastAsia="宋体" w:cs="宋体"/>
                <w:sz w:val="24"/>
                <w:szCs w:val="24"/>
              </w:rPr>
              <w:t>3.5</w:t>
            </w:r>
          </w:p>
        </w:tc>
        <w:tc>
          <w:tcPr>
            <w:tcW w:w="8363" w:type="dxa"/>
            <w:tcBorders>
              <w:top w:val="single" w:color="auto" w:sz="2" w:space="0"/>
              <w:left w:val="single" w:color="auto" w:sz="2" w:space="0"/>
              <w:bottom w:val="single" w:color="auto" w:sz="2" w:space="0"/>
              <w:right w:val="single" w:color="auto" w:sz="2" w:space="0"/>
            </w:tcBorders>
            <w:vAlign w:val="center"/>
          </w:tcPr>
          <w:p w14:paraId="475C9D1B">
            <w:pPr>
              <w:pStyle w:val="5"/>
              <w:ind w:firstLine="482" w:firstLineChars="200"/>
              <w:rPr>
                <w:rFonts w:hAnsi="宋体" w:eastAsia="宋体" w:cs="宋体"/>
                <w:sz w:val="24"/>
                <w:szCs w:val="24"/>
                <w:highlight w:val="yellow"/>
              </w:rPr>
            </w:pPr>
            <w:r>
              <w:rPr>
                <w:rFonts w:hint="eastAsia" w:hAnsi="宋体" w:eastAsia="宋体" w:cs="宋体"/>
                <w:b/>
                <w:bCs/>
                <w:sz w:val="24"/>
                <w:szCs w:val="24"/>
              </w:rPr>
              <w:t>投标文件递交截止时间：</w:t>
            </w:r>
            <w:r>
              <w:rPr>
                <w:rFonts w:hint="eastAsia" w:hAnsi="宋体" w:eastAsia="宋体" w:cs="宋体"/>
                <w:sz w:val="24"/>
                <w:szCs w:val="24"/>
                <w:highlight w:val="yellow"/>
                <w:u w:val="single"/>
              </w:rPr>
              <w:t>202</w:t>
            </w:r>
            <w:r>
              <w:rPr>
                <w:rFonts w:hAnsi="宋体" w:eastAsia="宋体" w:cs="宋体"/>
                <w:sz w:val="24"/>
                <w:szCs w:val="24"/>
                <w:highlight w:val="yellow"/>
                <w:u w:val="single"/>
              </w:rPr>
              <w:t>6</w:t>
            </w:r>
            <w:r>
              <w:rPr>
                <w:rFonts w:hint="eastAsia" w:hAnsi="宋体" w:eastAsia="宋体" w:cs="宋体"/>
                <w:sz w:val="24"/>
                <w:szCs w:val="24"/>
                <w:highlight w:val="yellow"/>
              </w:rPr>
              <w:t>年</w:t>
            </w:r>
            <w:r>
              <w:rPr>
                <w:rFonts w:hAnsi="宋体" w:eastAsia="宋体" w:cs="宋体"/>
                <w:bCs/>
                <w:sz w:val="24"/>
                <w:szCs w:val="24"/>
                <w:highlight w:val="yellow"/>
                <w:u w:val="single"/>
              </w:rPr>
              <w:t xml:space="preserve"> 8 </w:t>
            </w:r>
            <w:r>
              <w:rPr>
                <w:rFonts w:hint="eastAsia" w:hAnsi="宋体" w:eastAsia="宋体" w:cs="宋体"/>
                <w:sz w:val="24"/>
                <w:szCs w:val="24"/>
                <w:highlight w:val="yellow"/>
              </w:rPr>
              <w:t>月</w:t>
            </w:r>
            <w:r>
              <w:rPr>
                <w:rFonts w:hAnsi="宋体" w:eastAsia="宋体" w:cs="宋体"/>
                <w:bCs/>
                <w:sz w:val="24"/>
                <w:szCs w:val="24"/>
                <w:highlight w:val="yellow"/>
                <w:u w:val="single"/>
              </w:rPr>
              <w:t xml:space="preserve"> 1</w:t>
            </w:r>
            <w:r>
              <w:rPr>
                <w:rFonts w:hint="eastAsia" w:hAnsi="宋体" w:eastAsia="宋体" w:cs="宋体"/>
                <w:bCs/>
                <w:sz w:val="24"/>
                <w:szCs w:val="24"/>
                <w:highlight w:val="yellow"/>
                <w:u w:val="single"/>
              </w:rPr>
              <w:t>7</w:t>
            </w:r>
            <w:r>
              <w:rPr>
                <w:rFonts w:hAnsi="宋体" w:eastAsia="宋体" w:cs="宋体"/>
                <w:bCs/>
                <w:sz w:val="24"/>
                <w:szCs w:val="24"/>
                <w:highlight w:val="yellow"/>
                <w:u w:val="single"/>
              </w:rPr>
              <w:t xml:space="preserve"> </w:t>
            </w:r>
            <w:r>
              <w:rPr>
                <w:rFonts w:hint="eastAsia" w:hAnsi="宋体" w:eastAsia="宋体" w:cs="宋体"/>
                <w:sz w:val="24"/>
                <w:szCs w:val="24"/>
                <w:highlight w:val="yellow"/>
              </w:rPr>
              <w:t>日上午 9:00:00（</w:t>
            </w:r>
            <w:r>
              <w:rPr>
                <w:rFonts w:hint="eastAsia" w:hAnsi="宋体" w:eastAsia="宋体" w:cs="宋体"/>
                <w:sz w:val="24"/>
                <w:szCs w:val="24"/>
              </w:rPr>
              <w:t>北京时间）</w:t>
            </w:r>
          </w:p>
          <w:p w14:paraId="73C34E74">
            <w:pPr>
              <w:pStyle w:val="5"/>
              <w:ind w:firstLine="482" w:firstLineChars="200"/>
              <w:rPr>
                <w:rFonts w:hAnsi="宋体" w:eastAsia="宋体" w:cs="宋体"/>
                <w:sz w:val="24"/>
                <w:szCs w:val="24"/>
                <w:highlight w:val="yellow"/>
              </w:rPr>
            </w:pPr>
            <w:r>
              <w:rPr>
                <w:rFonts w:hint="eastAsia" w:hAnsi="宋体" w:eastAsia="宋体" w:cs="宋体"/>
                <w:b/>
                <w:bCs/>
                <w:sz w:val="24"/>
                <w:szCs w:val="24"/>
              </w:rPr>
              <w:t>注：请务必在投标文件递交截止时间前完成投标操作，截止时间精确到秒，逾期将无法投标。请自行掌握时间，避免无法投标</w:t>
            </w:r>
            <w:r>
              <w:rPr>
                <w:rFonts w:hint="eastAsia" w:eastAsia="宋体" w:cs="宋体"/>
                <w:b/>
                <w:bCs/>
                <w:sz w:val="24"/>
                <w:szCs w:val="28"/>
              </w:rPr>
              <w:t>。</w:t>
            </w:r>
          </w:p>
        </w:tc>
      </w:tr>
      <w:tr w14:paraId="78B907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47" w:hRule="atLeast"/>
        </w:trPr>
        <w:tc>
          <w:tcPr>
            <w:tcW w:w="595" w:type="dxa"/>
            <w:tcBorders>
              <w:top w:val="single" w:color="auto" w:sz="2" w:space="0"/>
              <w:left w:val="single" w:color="auto" w:sz="2" w:space="0"/>
              <w:bottom w:val="single" w:color="auto" w:sz="2" w:space="0"/>
              <w:right w:val="single" w:color="auto" w:sz="2" w:space="0"/>
            </w:tcBorders>
            <w:vAlign w:val="center"/>
          </w:tcPr>
          <w:p w14:paraId="13D40652">
            <w:pPr>
              <w:jc w:val="center"/>
              <w:rPr>
                <w:rFonts w:ascii="宋体" w:hAnsi="宋体" w:eastAsia="宋体" w:cs="宋体"/>
                <w:sz w:val="24"/>
                <w:szCs w:val="24"/>
              </w:rPr>
            </w:pPr>
            <w:r>
              <w:rPr>
                <w:rFonts w:hint="eastAsia" w:ascii="宋体" w:hAnsi="宋体" w:eastAsia="宋体" w:cs="宋体"/>
                <w:sz w:val="24"/>
                <w:szCs w:val="24"/>
              </w:rPr>
              <w:t>3.6</w:t>
            </w:r>
          </w:p>
        </w:tc>
        <w:tc>
          <w:tcPr>
            <w:tcW w:w="8363" w:type="dxa"/>
            <w:tcBorders>
              <w:top w:val="single" w:color="auto" w:sz="2" w:space="0"/>
              <w:left w:val="single" w:color="auto" w:sz="2" w:space="0"/>
              <w:bottom w:val="single" w:color="auto" w:sz="2" w:space="0"/>
              <w:right w:val="single" w:color="auto" w:sz="2" w:space="0"/>
            </w:tcBorders>
            <w:vAlign w:val="center"/>
          </w:tcPr>
          <w:p w14:paraId="43418DED">
            <w:pPr>
              <w:ind w:firstLine="482" w:firstLineChars="200"/>
              <w:rPr>
                <w:rFonts w:ascii="宋体" w:hAnsi="宋体" w:eastAsia="宋体" w:cs="宋体"/>
                <w:sz w:val="24"/>
                <w:szCs w:val="24"/>
              </w:rPr>
            </w:pPr>
            <w:r>
              <w:rPr>
                <w:rFonts w:hint="eastAsia" w:ascii="宋体" w:hAnsi="宋体" w:eastAsia="宋体" w:cs="宋体"/>
                <w:b/>
                <w:bCs/>
                <w:sz w:val="24"/>
                <w:szCs w:val="24"/>
              </w:rPr>
              <w:t>投标文件有效期：</w:t>
            </w:r>
            <w:r>
              <w:rPr>
                <w:rFonts w:hint="eastAsia" w:ascii="宋体" w:hAnsi="宋体" w:eastAsia="宋体" w:cs="宋体"/>
                <w:sz w:val="24"/>
                <w:szCs w:val="24"/>
              </w:rPr>
              <w:t>自开标之日起90个日历日。</w:t>
            </w:r>
          </w:p>
        </w:tc>
      </w:tr>
      <w:tr w14:paraId="1FF765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00B7ABA3">
            <w:pPr>
              <w:jc w:val="center"/>
              <w:rPr>
                <w:rFonts w:ascii="宋体" w:hAnsi="宋体" w:eastAsia="宋体" w:cs="宋体"/>
                <w:b/>
                <w:bCs/>
                <w:sz w:val="24"/>
                <w:szCs w:val="24"/>
              </w:rPr>
            </w:pPr>
            <w:r>
              <w:rPr>
                <w:rFonts w:hint="eastAsia" w:ascii="宋体" w:hAnsi="宋体" w:eastAsia="宋体" w:cs="宋体"/>
                <w:b/>
                <w:bCs/>
                <w:sz w:val="24"/>
                <w:szCs w:val="24"/>
              </w:rPr>
              <w:t>4.投标保证金及投标有效期</w:t>
            </w:r>
          </w:p>
        </w:tc>
      </w:tr>
      <w:tr w14:paraId="178D41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14:paraId="42BD13AD">
            <w:pPr>
              <w:jc w:val="center"/>
              <w:rPr>
                <w:rFonts w:ascii="宋体" w:hAnsi="宋体" w:eastAsia="宋体" w:cs="宋体"/>
                <w:sz w:val="24"/>
                <w:szCs w:val="24"/>
              </w:rPr>
            </w:pPr>
            <w:r>
              <w:rPr>
                <w:rFonts w:hint="eastAsia" w:ascii="宋体" w:hAnsi="宋体" w:eastAsia="宋体" w:cs="宋体"/>
                <w:sz w:val="24"/>
                <w:szCs w:val="24"/>
              </w:rPr>
              <w:t>4.1</w:t>
            </w:r>
          </w:p>
        </w:tc>
        <w:tc>
          <w:tcPr>
            <w:tcW w:w="8363" w:type="dxa"/>
            <w:tcBorders>
              <w:top w:val="single" w:color="auto" w:sz="2" w:space="0"/>
              <w:left w:val="single" w:color="auto" w:sz="2" w:space="0"/>
              <w:bottom w:val="single" w:color="auto" w:sz="2" w:space="0"/>
              <w:right w:val="single" w:color="auto" w:sz="2" w:space="0"/>
            </w:tcBorders>
            <w:vAlign w:val="center"/>
          </w:tcPr>
          <w:p w14:paraId="239F0AF8">
            <w:pPr>
              <w:ind w:firstLine="482" w:firstLineChars="200"/>
              <w:rPr>
                <w:rFonts w:ascii="宋体" w:hAnsi="宋体" w:eastAsia="宋体" w:cs="宋体"/>
                <w:sz w:val="24"/>
                <w:szCs w:val="24"/>
              </w:rPr>
            </w:pPr>
            <w:r>
              <w:rPr>
                <w:rFonts w:hint="eastAsia" w:ascii="宋体" w:hAnsi="宋体" w:eastAsia="宋体" w:cs="宋体"/>
                <w:b/>
                <w:bCs/>
                <w:sz w:val="24"/>
                <w:szCs w:val="24"/>
              </w:rPr>
              <w:t>投标保证金的缴纳形式：</w:t>
            </w:r>
            <w:r>
              <w:rPr>
                <w:rFonts w:hint="eastAsia" w:ascii="宋体" w:hAnsi="宋体" w:eastAsia="宋体" w:cs="宋体"/>
                <w:sz w:val="24"/>
                <w:szCs w:val="24"/>
              </w:rPr>
              <w:t>电汇或网银</w:t>
            </w:r>
          </w:p>
        </w:tc>
      </w:tr>
      <w:tr w14:paraId="6C9374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90" w:hRule="atLeast"/>
        </w:trPr>
        <w:tc>
          <w:tcPr>
            <w:tcW w:w="595" w:type="dxa"/>
            <w:tcBorders>
              <w:top w:val="single" w:color="auto" w:sz="2" w:space="0"/>
              <w:left w:val="single" w:color="auto" w:sz="2" w:space="0"/>
              <w:bottom w:val="single" w:color="auto" w:sz="2" w:space="0"/>
              <w:right w:val="single" w:color="auto" w:sz="2" w:space="0"/>
            </w:tcBorders>
            <w:vAlign w:val="center"/>
          </w:tcPr>
          <w:p w14:paraId="03C4EC68">
            <w:pPr>
              <w:jc w:val="center"/>
              <w:rPr>
                <w:rFonts w:ascii="宋体" w:hAnsi="宋体" w:eastAsia="宋体" w:cs="宋体"/>
                <w:sz w:val="24"/>
                <w:szCs w:val="24"/>
                <w:highlight w:val="cyan"/>
              </w:rPr>
            </w:pPr>
            <w:r>
              <w:rPr>
                <w:rFonts w:hint="eastAsia" w:ascii="宋体" w:hAnsi="宋体" w:eastAsia="宋体" w:cs="宋体"/>
                <w:sz w:val="24"/>
                <w:szCs w:val="24"/>
              </w:rPr>
              <w:t>4.2</w:t>
            </w:r>
          </w:p>
        </w:tc>
        <w:tc>
          <w:tcPr>
            <w:tcW w:w="8363" w:type="dxa"/>
            <w:tcBorders>
              <w:top w:val="single" w:color="auto" w:sz="2" w:space="0"/>
              <w:left w:val="single" w:color="auto" w:sz="2" w:space="0"/>
              <w:bottom w:val="single" w:color="auto" w:sz="2" w:space="0"/>
              <w:right w:val="single" w:color="auto" w:sz="2" w:space="0"/>
            </w:tcBorders>
            <w:vAlign w:val="center"/>
          </w:tcPr>
          <w:p w14:paraId="0650ACF6">
            <w:pPr>
              <w:tabs>
                <w:tab w:val="left" w:pos="932"/>
              </w:tabs>
              <w:ind w:firstLine="482" w:firstLineChars="200"/>
              <w:rPr>
                <w:rFonts w:ascii="宋体" w:hAnsi="宋体" w:eastAsia="宋体" w:cs="宋体"/>
                <w:sz w:val="24"/>
                <w:szCs w:val="24"/>
              </w:rPr>
            </w:pPr>
            <w:r>
              <w:rPr>
                <w:rFonts w:hint="eastAsia" w:ascii="宋体" w:hAnsi="宋体" w:eastAsia="宋体" w:cs="宋体"/>
                <w:b/>
                <w:bCs/>
                <w:sz w:val="24"/>
                <w:szCs w:val="24"/>
              </w:rPr>
              <w:t>投标保证金的金额：</w:t>
            </w:r>
            <w:r>
              <w:rPr>
                <w:rFonts w:hint="eastAsia" w:ascii="宋体" w:hAnsi="宋体" w:eastAsia="宋体" w:cs="宋体"/>
                <w:sz w:val="24"/>
                <w:szCs w:val="24"/>
              </w:rPr>
              <w:t>人民币</w:t>
            </w:r>
            <w:r>
              <w:rPr>
                <w:rFonts w:ascii="宋体" w:hAnsi="宋体" w:eastAsia="宋体" w:cs="宋体"/>
                <w:sz w:val="24"/>
                <w:szCs w:val="24"/>
              </w:rPr>
              <w:t>2</w:t>
            </w:r>
            <w:r>
              <w:rPr>
                <w:rFonts w:hint="eastAsia" w:ascii="宋体" w:hAnsi="宋体" w:eastAsia="宋体" w:cs="宋体"/>
                <w:sz w:val="24"/>
                <w:szCs w:val="24"/>
              </w:rPr>
              <w:t>0000.00元</w:t>
            </w:r>
          </w:p>
          <w:p w14:paraId="764C34D8">
            <w:pPr>
              <w:tabs>
                <w:tab w:val="left" w:pos="932"/>
              </w:tabs>
              <w:ind w:firstLine="482" w:firstLineChars="200"/>
              <w:rPr>
                <w:rFonts w:ascii="宋体" w:hAnsi="宋体" w:eastAsia="宋体" w:cs="宋体"/>
                <w:color w:val="000000"/>
                <w:kern w:val="0"/>
                <w:sz w:val="24"/>
                <w:szCs w:val="24"/>
              </w:rPr>
            </w:pPr>
            <w:r>
              <w:rPr>
                <w:rFonts w:hint="eastAsia" w:ascii="宋体" w:hAnsi="宋体" w:eastAsia="宋体" w:cs="宋体"/>
                <w:b/>
                <w:bCs/>
                <w:color w:val="000000"/>
                <w:kern w:val="0"/>
                <w:sz w:val="24"/>
                <w:szCs w:val="24"/>
              </w:rPr>
              <w:t>开户名称：</w:t>
            </w:r>
            <w:r>
              <w:rPr>
                <w:rFonts w:ascii="Times New Roman" w:hAnsi="Times New Roman"/>
                <w:bCs/>
                <w:szCs w:val="21"/>
              </w:rPr>
              <w:t>中国重汽集团国际有限公司</w:t>
            </w:r>
          </w:p>
          <w:p w14:paraId="4BFD3337">
            <w:pPr>
              <w:tabs>
                <w:tab w:val="left" w:pos="932"/>
              </w:tabs>
              <w:ind w:firstLine="482" w:firstLineChars="200"/>
              <w:rPr>
                <w:rFonts w:ascii="宋体" w:hAnsi="宋体" w:eastAsia="宋体" w:cs="宋体"/>
                <w:color w:val="000000"/>
                <w:kern w:val="0"/>
                <w:sz w:val="24"/>
                <w:szCs w:val="24"/>
              </w:rPr>
            </w:pPr>
            <w:r>
              <w:rPr>
                <w:rFonts w:hint="eastAsia" w:ascii="宋体" w:hAnsi="宋体" w:eastAsia="宋体" w:cs="宋体"/>
                <w:b/>
                <w:bCs/>
                <w:color w:val="000000"/>
                <w:kern w:val="0"/>
                <w:sz w:val="24"/>
                <w:szCs w:val="24"/>
              </w:rPr>
              <w:t>开户银行：</w:t>
            </w:r>
            <w:r>
              <w:rPr>
                <w:rFonts w:ascii="Times New Roman" w:hAnsi="Times New Roman"/>
                <w:bCs/>
                <w:szCs w:val="21"/>
              </w:rPr>
              <w:t>兴业银行济南天桥支行</w:t>
            </w:r>
          </w:p>
          <w:p w14:paraId="4CFB2FCC">
            <w:pPr>
              <w:tabs>
                <w:tab w:val="left" w:pos="932"/>
              </w:tabs>
              <w:ind w:firstLine="482" w:firstLineChars="200"/>
              <w:rPr>
                <w:rFonts w:ascii="宋体" w:hAnsi="宋体" w:eastAsia="宋体" w:cs="宋体"/>
                <w:color w:val="000000"/>
                <w:kern w:val="0"/>
                <w:sz w:val="24"/>
                <w:szCs w:val="24"/>
              </w:rPr>
            </w:pPr>
            <w:r>
              <w:rPr>
                <w:rFonts w:hint="eastAsia" w:ascii="宋体" w:hAnsi="宋体" w:eastAsia="宋体" w:cs="宋体"/>
                <w:b/>
                <w:bCs/>
                <w:color w:val="000000"/>
                <w:kern w:val="0"/>
                <w:sz w:val="24"/>
                <w:szCs w:val="24"/>
              </w:rPr>
              <w:t>银行帐号：</w:t>
            </w:r>
            <w:r>
              <w:rPr>
                <w:rFonts w:ascii="Times New Roman" w:hAnsi="Times New Roman"/>
                <w:bCs/>
                <w:szCs w:val="21"/>
              </w:rPr>
              <w:t>3760 7010 0100 0248 75</w:t>
            </w:r>
          </w:p>
          <w:p w14:paraId="096AB4C5">
            <w:pPr>
              <w:ind w:firstLine="480" w:firstLineChars="200"/>
              <w:rPr>
                <w:rFonts w:ascii="宋体" w:hAnsi="宋体" w:eastAsia="宋体" w:cs="宋体"/>
                <w:sz w:val="24"/>
                <w:szCs w:val="24"/>
              </w:rPr>
            </w:pPr>
            <w:r>
              <w:rPr>
                <w:rFonts w:hint="eastAsia" w:ascii="宋体" w:hAnsi="宋体" w:eastAsia="宋体" w:cs="宋体"/>
                <w:sz w:val="24"/>
                <w:szCs w:val="24"/>
              </w:rPr>
              <w:t>投标保证金应从投标人的基本账户转出至上述账户并到账，否则视为无效投标。</w:t>
            </w:r>
          </w:p>
          <w:p w14:paraId="6C9BD783">
            <w:pPr>
              <w:ind w:firstLine="480" w:firstLineChars="200"/>
              <w:rPr>
                <w:rFonts w:ascii="宋体" w:hAnsi="宋体" w:eastAsia="宋体" w:cs="宋体"/>
                <w:sz w:val="24"/>
                <w:szCs w:val="24"/>
                <w:highlight w:val="cyan"/>
              </w:rPr>
            </w:pPr>
            <w:r>
              <w:rPr>
                <w:rFonts w:hint="eastAsia" w:eastAsia="宋体" w:cs="Times New Roman"/>
                <w:sz w:val="24"/>
                <w:szCs w:val="28"/>
              </w:rPr>
              <w:t>转账附言：公司名称+项目名称+投标保证金。</w:t>
            </w:r>
          </w:p>
        </w:tc>
      </w:tr>
      <w:tr w14:paraId="166DDB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14:paraId="6C1D1347">
            <w:pPr>
              <w:jc w:val="center"/>
              <w:rPr>
                <w:rFonts w:ascii="宋体" w:hAnsi="宋体" w:eastAsia="宋体" w:cs="宋体"/>
                <w:sz w:val="24"/>
                <w:szCs w:val="24"/>
              </w:rPr>
            </w:pPr>
            <w:r>
              <w:rPr>
                <w:rFonts w:hint="eastAsia" w:ascii="宋体" w:hAnsi="宋体" w:eastAsia="宋体" w:cs="宋体"/>
                <w:sz w:val="24"/>
                <w:szCs w:val="24"/>
              </w:rPr>
              <w:t>4.3</w:t>
            </w:r>
          </w:p>
        </w:tc>
        <w:tc>
          <w:tcPr>
            <w:tcW w:w="8363" w:type="dxa"/>
            <w:tcBorders>
              <w:top w:val="single" w:color="auto" w:sz="2" w:space="0"/>
              <w:left w:val="single" w:color="auto" w:sz="2" w:space="0"/>
              <w:bottom w:val="single" w:color="auto" w:sz="2" w:space="0"/>
              <w:right w:val="single" w:color="auto" w:sz="2" w:space="0"/>
            </w:tcBorders>
            <w:vAlign w:val="center"/>
          </w:tcPr>
          <w:p w14:paraId="0FE79E4E">
            <w:pPr>
              <w:pStyle w:val="8"/>
              <w:spacing w:after="0" w:line="240" w:lineRule="auto"/>
              <w:ind w:left="0" w:leftChars="0" w:firstLine="482"/>
              <w:rPr>
                <w:rFonts w:ascii="宋体" w:hAnsi="宋体" w:cs="宋体"/>
                <w:sz w:val="24"/>
                <w:szCs w:val="24"/>
              </w:rPr>
            </w:pPr>
            <w:r>
              <w:rPr>
                <w:rFonts w:hint="eastAsia" w:ascii="宋体" w:hAnsi="宋体" w:cs="宋体"/>
                <w:b/>
                <w:bCs/>
                <w:sz w:val="24"/>
                <w:szCs w:val="24"/>
              </w:rPr>
              <w:t>保证金缴纳截止时间：</w:t>
            </w:r>
            <w:r>
              <w:rPr>
                <w:rFonts w:hint="eastAsia" w:ascii="宋体" w:hAnsi="宋体" w:cs="宋体"/>
                <w:sz w:val="24"/>
                <w:szCs w:val="24"/>
                <w:highlight w:val="yellow"/>
              </w:rPr>
              <w:t>202</w:t>
            </w:r>
            <w:r>
              <w:rPr>
                <w:rFonts w:ascii="宋体" w:hAnsi="宋体" w:cs="宋体"/>
                <w:sz w:val="24"/>
                <w:szCs w:val="24"/>
                <w:highlight w:val="yellow"/>
              </w:rPr>
              <w:t>6</w:t>
            </w:r>
            <w:r>
              <w:rPr>
                <w:rFonts w:hint="eastAsia" w:ascii="宋体" w:hAnsi="宋体" w:cs="宋体"/>
                <w:sz w:val="24"/>
                <w:szCs w:val="24"/>
                <w:highlight w:val="yellow"/>
              </w:rPr>
              <w:t>年</w:t>
            </w:r>
            <w:r>
              <w:rPr>
                <w:rFonts w:ascii="宋体" w:hAnsi="宋体" w:cs="宋体"/>
                <w:bCs/>
                <w:sz w:val="24"/>
                <w:szCs w:val="24"/>
                <w:highlight w:val="yellow"/>
                <w:u w:val="single"/>
              </w:rPr>
              <w:t xml:space="preserve"> 8 </w:t>
            </w:r>
            <w:r>
              <w:rPr>
                <w:rFonts w:hint="eastAsia" w:ascii="宋体" w:hAnsi="宋体" w:cs="宋体"/>
                <w:sz w:val="24"/>
                <w:szCs w:val="24"/>
                <w:highlight w:val="yellow"/>
              </w:rPr>
              <w:t>月</w:t>
            </w:r>
            <w:r>
              <w:rPr>
                <w:rFonts w:ascii="宋体" w:hAnsi="宋体" w:cs="宋体"/>
                <w:bCs/>
                <w:sz w:val="24"/>
                <w:szCs w:val="24"/>
                <w:highlight w:val="yellow"/>
                <w:u w:val="single"/>
              </w:rPr>
              <w:t xml:space="preserve"> </w:t>
            </w:r>
            <w:r>
              <w:rPr>
                <w:rFonts w:hint="eastAsia" w:ascii="宋体" w:hAnsi="宋体" w:cs="宋体"/>
                <w:bCs/>
                <w:sz w:val="24"/>
                <w:szCs w:val="24"/>
                <w:highlight w:val="yellow"/>
                <w:u w:val="single"/>
              </w:rPr>
              <w:t>17</w:t>
            </w:r>
            <w:r>
              <w:rPr>
                <w:rFonts w:ascii="宋体" w:hAnsi="宋体" w:cs="宋体"/>
                <w:bCs/>
                <w:sz w:val="24"/>
                <w:szCs w:val="24"/>
                <w:highlight w:val="yellow"/>
                <w:u w:val="single"/>
              </w:rPr>
              <w:t xml:space="preserve"> </w:t>
            </w:r>
            <w:r>
              <w:rPr>
                <w:rFonts w:hint="eastAsia" w:ascii="宋体" w:hAnsi="宋体" w:cs="宋体"/>
                <w:sz w:val="24"/>
                <w:szCs w:val="24"/>
                <w:highlight w:val="yellow"/>
              </w:rPr>
              <w:t>日</w:t>
            </w:r>
            <w:r>
              <w:rPr>
                <w:rFonts w:hint="eastAsia" w:ascii="宋体" w:hAnsi="宋体" w:cs="宋体"/>
                <w:bCs/>
                <w:sz w:val="24"/>
                <w:szCs w:val="24"/>
                <w:highlight w:val="yellow"/>
              </w:rPr>
              <w:t>09:00:00前</w:t>
            </w:r>
            <w:r>
              <w:rPr>
                <w:rFonts w:hint="eastAsia" w:ascii="宋体" w:hAnsi="宋体" w:cs="宋体"/>
                <w:sz w:val="24"/>
                <w:szCs w:val="24"/>
              </w:rPr>
              <w:t>（同投标截止时间）</w:t>
            </w:r>
          </w:p>
          <w:p w14:paraId="18DFD155">
            <w:pPr>
              <w:pStyle w:val="8"/>
              <w:spacing w:after="0" w:line="240" w:lineRule="auto"/>
              <w:ind w:left="0" w:leftChars="0" w:firstLine="480"/>
              <w:rPr>
                <w:rFonts w:ascii="宋体" w:hAnsi="宋体" w:cs="宋体"/>
                <w:sz w:val="24"/>
                <w:szCs w:val="24"/>
              </w:rPr>
            </w:pPr>
            <w:r>
              <w:rPr>
                <w:rFonts w:hint="eastAsia" w:ascii="宋体" w:hAnsi="宋体" w:cs="宋体"/>
                <w:sz w:val="24"/>
                <w:szCs w:val="24"/>
              </w:rPr>
              <w:t>供应商应充分考虑银行信息交换时间，由此带来的保证金不能按时到帐的责任由供应商自行承担。</w:t>
            </w:r>
          </w:p>
        </w:tc>
      </w:tr>
      <w:tr w14:paraId="01E32E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14:paraId="5B27C392">
            <w:pPr>
              <w:jc w:val="center"/>
              <w:rPr>
                <w:rFonts w:ascii="宋体" w:hAnsi="宋体" w:eastAsia="宋体" w:cs="宋体"/>
                <w:sz w:val="24"/>
                <w:szCs w:val="24"/>
              </w:rPr>
            </w:pPr>
            <w:r>
              <w:rPr>
                <w:rFonts w:hint="eastAsia" w:ascii="宋体" w:hAnsi="宋体" w:eastAsia="宋体" w:cs="宋体"/>
                <w:sz w:val="24"/>
                <w:szCs w:val="24"/>
              </w:rPr>
              <w:t>4.4</w:t>
            </w:r>
          </w:p>
        </w:tc>
        <w:tc>
          <w:tcPr>
            <w:tcW w:w="8363" w:type="dxa"/>
            <w:tcBorders>
              <w:top w:val="single" w:color="auto" w:sz="2" w:space="0"/>
              <w:left w:val="single" w:color="auto" w:sz="2" w:space="0"/>
              <w:bottom w:val="single" w:color="auto" w:sz="2" w:space="0"/>
              <w:right w:val="single" w:color="auto" w:sz="2" w:space="0"/>
            </w:tcBorders>
            <w:vAlign w:val="center"/>
          </w:tcPr>
          <w:p w14:paraId="307AC9A9">
            <w:pPr>
              <w:pStyle w:val="8"/>
              <w:spacing w:after="0" w:line="240" w:lineRule="auto"/>
              <w:ind w:left="0" w:leftChars="0" w:firstLine="480"/>
              <w:rPr>
                <w:rFonts w:ascii="宋体" w:hAnsi="宋体" w:cs="宋体"/>
                <w:sz w:val="24"/>
                <w:szCs w:val="24"/>
              </w:rPr>
            </w:pPr>
            <w:r>
              <w:rPr>
                <w:rFonts w:hint="eastAsia" w:ascii="宋体" w:hAnsi="宋体" w:cs="宋体"/>
                <w:sz w:val="24"/>
                <w:szCs w:val="24"/>
              </w:rPr>
              <w:t>对于没有中标的投标人，投标保证金将于招标人内部完成中标人评审并确认最终中标人后</w:t>
            </w:r>
            <w:r>
              <w:rPr>
                <w:rFonts w:hint="eastAsia" w:hAnsi="黑体" w:cs="黑体"/>
                <w:sz w:val="24"/>
                <w:szCs w:val="24"/>
                <w:u w:val="single"/>
              </w:rPr>
              <w:t>一个付款周期</w:t>
            </w:r>
            <w:r>
              <w:rPr>
                <w:rFonts w:hint="eastAsia" w:ascii="宋体" w:hAnsi="宋体" w:cs="宋体"/>
                <w:sz w:val="24"/>
                <w:szCs w:val="24"/>
              </w:rPr>
              <w:t>予以原路返还（无息）；对于中标方，投标保证金将在签订合同后</w:t>
            </w:r>
            <w:r>
              <w:rPr>
                <w:rFonts w:hint="eastAsia" w:hAnsi="黑体" w:cs="黑体"/>
                <w:sz w:val="24"/>
                <w:szCs w:val="24"/>
                <w:u w:val="single"/>
              </w:rPr>
              <w:t>一个付款周期</w:t>
            </w:r>
            <w:r>
              <w:rPr>
                <w:rFonts w:hint="eastAsia" w:ascii="宋体" w:hAnsi="宋体" w:cs="宋体"/>
                <w:sz w:val="24"/>
                <w:szCs w:val="24"/>
              </w:rPr>
              <w:t>原路返还（无息）。</w:t>
            </w:r>
          </w:p>
        </w:tc>
      </w:tr>
      <w:tr w14:paraId="053F39B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32C2497B">
            <w:pPr>
              <w:jc w:val="center"/>
              <w:rPr>
                <w:rFonts w:ascii="宋体" w:hAnsi="宋体" w:eastAsia="宋体" w:cs="宋体"/>
                <w:b/>
                <w:bCs/>
                <w:sz w:val="24"/>
                <w:szCs w:val="24"/>
              </w:rPr>
            </w:pPr>
            <w:r>
              <w:rPr>
                <w:rFonts w:hint="eastAsia" w:ascii="宋体" w:hAnsi="宋体" w:eastAsia="宋体" w:cs="宋体"/>
                <w:b/>
                <w:bCs/>
                <w:sz w:val="24"/>
                <w:szCs w:val="24"/>
              </w:rPr>
              <w:t>5.开评标</w:t>
            </w:r>
          </w:p>
        </w:tc>
      </w:tr>
      <w:tr w14:paraId="4770B1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53" w:hRule="atLeast"/>
        </w:trPr>
        <w:tc>
          <w:tcPr>
            <w:tcW w:w="595" w:type="dxa"/>
            <w:tcBorders>
              <w:top w:val="single" w:color="auto" w:sz="2" w:space="0"/>
              <w:left w:val="single" w:color="auto" w:sz="2" w:space="0"/>
              <w:bottom w:val="single" w:color="auto" w:sz="2" w:space="0"/>
              <w:right w:val="single" w:color="auto" w:sz="2" w:space="0"/>
            </w:tcBorders>
            <w:vAlign w:val="center"/>
          </w:tcPr>
          <w:p w14:paraId="6E743E10">
            <w:pPr>
              <w:jc w:val="center"/>
              <w:rPr>
                <w:rFonts w:ascii="宋体" w:hAnsi="宋体" w:eastAsia="宋体" w:cs="宋体"/>
                <w:sz w:val="24"/>
                <w:szCs w:val="24"/>
              </w:rPr>
            </w:pPr>
            <w:r>
              <w:rPr>
                <w:rFonts w:hint="eastAsia" w:ascii="宋体" w:hAnsi="宋体" w:eastAsia="宋体" w:cs="宋体"/>
                <w:sz w:val="24"/>
                <w:szCs w:val="24"/>
              </w:rPr>
              <w:t>5.1</w:t>
            </w:r>
          </w:p>
        </w:tc>
        <w:tc>
          <w:tcPr>
            <w:tcW w:w="8363" w:type="dxa"/>
            <w:tcBorders>
              <w:top w:val="single" w:color="auto" w:sz="2" w:space="0"/>
              <w:left w:val="single" w:color="auto" w:sz="2" w:space="0"/>
              <w:bottom w:val="single" w:color="auto" w:sz="2" w:space="0"/>
              <w:right w:val="single" w:color="auto" w:sz="2" w:space="0"/>
            </w:tcBorders>
            <w:vAlign w:val="center"/>
          </w:tcPr>
          <w:p w14:paraId="23A6A142">
            <w:pPr>
              <w:ind w:firstLine="482" w:firstLineChars="200"/>
              <w:rPr>
                <w:rFonts w:ascii="宋体" w:hAnsi="宋体" w:eastAsia="宋体" w:cs="宋体"/>
                <w:sz w:val="24"/>
                <w:szCs w:val="24"/>
              </w:rPr>
            </w:pPr>
            <w:r>
              <w:rPr>
                <w:rFonts w:hint="eastAsia" w:ascii="宋体" w:hAnsi="宋体" w:eastAsia="宋体" w:cs="宋体"/>
                <w:b/>
                <w:bCs/>
                <w:sz w:val="24"/>
                <w:szCs w:val="24"/>
              </w:rPr>
              <w:t>开标时间：</w:t>
            </w:r>
            <w:r>
              <w:rPr>
                <w:rFonts w:hint="eastAsia" w:ascii="宋体" w:hAnsi="宋体" w:cs="宋体"/>
                <w:sz w:val="24"/>
                <w:szCs w:val="24"/>
                <w:highlight w:val="yellow"/>
              </w:rPr>
              <w:t>202</w:t>
            </w:r>
            <w:r>
              <w:rPr>
                <w:rFonts w:ascii="宋体" w:hAnsi="宋体" w:cs="宋体"/>
                <w:sz w:val="24"/>
                <w:szCs w:val="24"/>
                <w:highlight w:val="yellow"/>
              </w:rPr>
              <w:t>6</w:t>
            </w:r>
            <w:r>
              <w:rPr>
                <w:rFonts w:hint="eastAsia" w:ascii="宋体" w:hAnsi="宋体" w:cs="宋体"/>
                <w:sz w:val="24"/>
                <w:szCs w:val="24"/>
                <w:highlight w:val="yellow"/>
              </w:rPr>
              <w:t>年</w:t>
            </w:r>
            <w:r>
              <w:rPr>
                <w:rFonts w:ascii="宋体" w:hAnsi="宋体" w:eastAsia="宋体" w:cs="宋体"/>
                <w:bCs/>
                <w:sz w:val="24"/>
                <w:szCs w:val="24"/>
                <w:highlight w:val="yellow"/>
                <w:u w:val="single"/>
              </w:rPr>
              <w:t xml:space="preserve"> 8 </w:t>
            </w:r>
            <w:r>
              <w:rPr>
                <w:rFonts w:hint="eastAsia" w:ascii="宋体" w:hAnsi="宋体" w:cs="宋体"/>
                <w:sz w:val="24"/>
                <w:szCs w:val="24"/>
                <w:highlight w:val="yellow"/>
              </w:rPr>
              <w:t>月</w:t>
            </w:r>
            <w:r>
              <w:rPr>
                <w:rFonts w:ascii="宋体" w:hAnsi="宋体" w:eastAsia="宋体" w:cs="宋体"/>
                <w:bCs/>
                <w:sz w:val="24"/>
                <w:szCs w:val="24"/>
                <w:highlight w:val="yellow"/>
                <w:u w:val="single"/>
              </w:rPr>
              <w:t>1</w:t>
            </w:r>
            <w:r>
              <w:rPr>
                <w:rFonts w:hint="eastAsia" w:ascii="宋体" w:hAnsi="宋体" w:eastAsia="宋体" w:cs="宋体"/>
                <w:bCs/>
                <w:sz w:val="24"/>
                <w:szCs w:val="24"/>
                <w:highlight w:val="yellow"/>
                <w:u w:val="single"/>
              </w:rPr>
              <w:t>7</w:t>
            </w:r>
            <w:r>
              <w:rPr>
                <w:rFonts w:ascii="宋体" w:hAnsi="宋体" w:eastAsia="宋体" w:cs="宋体"/>
                <w:bCs/>
                <w:sz w:val="24"/>
                <w:szCs w:val="24"/>
                <w:highlight w:val="yellow"/>
                <w:u w:val="single"/>
              </w:rPr>
              <w:t xml:space="preserve"> </w:t>
            </w:r>
            <w:r>
              <w:rPr>
                <w:rFonts w:hint="eastAsia" w:ascii="宋体" w:hAnsi="宋体" w:cs="宋体"/>
                <w:sz w:val="24"/>
                <w:szCs w:val="24"/>
                <w:highlight w:val="yellow"/>
              </w:rPr>
              <w:t>日9:00:01</w:t>
            </w:r>
            <w:r>
              <w:rPr>
                <w:rFonts w:hint="eastAsia" w:ascii="宋体" w:hAnsi="宋体" w:eastAsia="宋体" w:cs="宋体"/>
                <w:kern w:val="0"/>
                <w:sz w:val="24"/>
                <w:szCs w:val="24"/>
                <w:highlight w:val="yellow"/>
              </w:rPr>
              <w:t>。</w:t>
            </w:r>
          </w:p>
          <w:p w14:paraId="2BE62AFA">
            <w:pPr>
              <w:ind w:firstLine="482" w:firstLineChars="200"/>
              <w:rPr>
                <w:rFonts w:ascii="宋体" w:hAnsi="宋体" w:eastAsia="宋体" w:cs="宋体"/>
                <w:sz w:val="24"/>
                <w:szCs w:val="24"/>
              </w:rPr>
            </w:pPr>
            <w:r>
              <w:rPr>
                <w:rFonts w:hint="eastAsia" w:ascii="宋体" w:hAnsi="宋体" w:eastAsia="宋体" w:cs="宋体"/>
                <w:b/>
                <w:bCs/>
                <w:sz w:val="24"/>
                <w:szCs w:val="24"/>
              </w:rPr>
              <w:t>开标地点：</w:t>
            </w:r>
            <w:r>
              <w:rPr>
                <w:rFonts w:hint="eastAsia" w:ascii="宋体" w:hAnsi="宋体" w:eastAsia="宋体" w:cs="宋体"/>
                <w:sz w:val="24"/>
                <w:szCs w:val="24"/>
              </w:rPr>
              <w:t>济南市</w:t>
            </w:r>
            <w:r>
              <w:rPr>
                <w:rFonts w:hint="eastAsia" w:ascii="宋体" w:hAnsi="宋体" w:eastAsia="宋体" w:cs="Times New Roman"/>
                <w:color w:val="000000"/>
                <w:sz w:val="24"/>
                <w:szCs w:val="24"/>
              </w:rPr>
              <w:t>历城区</w:t>
            </w:r>
            <w:r>
              <w:rPr>
                <w:rFonts w:hint="eastAsia" w:ascii="宋体" w:hAnsi="宋体" w:eastAsia="宋体" w:cs="宋体"/>
                <w:sz w:val="24"/>
                <w:szCs w:val="24"/>
              </w:rPr>
              <w:t>华奥路777号重汽科技大厦。</w:t>
            </w:r>
          </w:p>
        </w:tc>
      </w:tr>
      <w:tr w14:paraId="0E6303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07456855">
            <w:pPr>
              <w:jc w:val="center"/>
              <w:rPr>
                <w:rFonts w:ascii="宋体" w:hAnsi="宋体" w:eastAsia="宋体" w:cs="宋体"/>
                <w:sz w:val="24"/>
                <w:szCs w:val="24"/>
              </w:rPr>
            </w:pPr>
            <w:r>
              <w:rPr>
                <w:rFonts w:hint="eastAsia" w:ascii="宋体" w:hAnsi="宋体" w:eastAsia="宋体" w:cs="宋体"/>
                <w:sz w:val="24"/>
                <w:szCs w:val="24"/>
              </w:rPr>
              <w:t>5.2</w:t>
            </w:r>
          </w:p>
        </w:tc>
        <w:tc>
          <w:tcPr>
            <w:tcW w:w="8363" w:type="dxa"/>
            <w:tcBorders>
              <w:top w:val="single" w:color="auto" w:sz="2" w:space="0"/>
              <w:left w:val="single" w:color="auto" w:sz="2" w:space="0"/>
              <w:bottom w:val="single" w:color="auto" w:sz="2" w:space="0"/>
              <w:right w:val="single" w:color="auto" w:sz="2" w:space="0"/>
            </w:tcBorders>
            <w:vAlign w:val="center"/>
          </w:tcPr>
          <w:p w14:paraId="31345959">
            <w:pPr>
              <w:pStyle w:val="2"/>
              <w:ind w:firstLine="482" w:firstLineChars="200"/>
              <w:rPr>
                <w:rFonts w:ascii="宋体" w:hAnsi="宋体" w:eastAsia="宋体" w:cs="宋体"/>
                <w:sz w:val="24"/>
                <w:szCs w:val="24"/>
              </w:rPr>
            </w:pPr>
            <w:r>
              <w:rPr>
                <w:rFonts w:hint="eastAsia" w:ascii="宋体" w:hAnsi="宋体" w:eastAsia="宋体" w:cs="宋体"/>
                <w:b/>
                <w:bCs/>
                <w:sz w:val="24"/>
                <w:szCs w:val="24"/>
              </w:rPr>
              <w:t>评标方法：资质标审核→技术标评审→唱标→商务标评审。</w:t>
            </w:r>
            <w:r>
              <w:rPr>
                <w:rFonts w:hint="eastAsia" w:ascii="宋体" w:hAnsi="宋体" w:eastAsia="宋体" w:cs="宋体"/>
                <w:sz w:val="24"/>
                <w:szCs w:val="24"/>
              </w:rPr>
              <w:t>项目采用综合评分法。具体详见“第二部分投标须知第六条：评标原则”。</w:t>
            </w:r>
          </w:p>
        </w:tc>
      </w:tr>
      <w:tr w14:paraId="561A86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726F29EE">
            <w:pPr>
              <w:jc w:val="center"/>
              <w:rPr>
                <w:rFonts w:ascii="宋体" w:hAnsi="宋体" w:eastAsia="宋体" w:cs="宋体"/>
                <w:sz w:val="24"/>
                <w:szCs w:val="24"/>
              </w:rPr>
            </w:pPr>
            <w:r>
              <w:rPr>
                <w:rFonts w:hint="eastAsia" w:ascii="宋体" w:hAnsi="宋体" w:eastAsia="宋体" w:cs="宋体"/>
                <w:b/>
                <w:bCs/>
                <w:sz w:val="24"/>
                <w:szCs w:val="24"/>
              </w:rPr>
              <w:t>6.合同签订</w:t>
            </w:r>
          </w:p>
        </w:tc>
      </w:tr>
      <w:tr w14:paraId="28CF0A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0AAED61D">
            <w:pPr>
              <w:jc w:val="center"/>
              <w:rPr>
                <w:rFonts w:ascii="宋体" w:hAnsi="宋体" w:eastAsia="宋体" w:cs="宋体"/>
                <w:sz w:val="24"/>
                <w:szCs w:val="24"/>
              </w:rPr>
            </w:pPr>
            <w:r>
              <w:rPr>
                <w:rFonts w:hint="eastAsia" w:ascii="宋体" w:hAnsi="宋体" w:eastAsia="宋体" w:cs="宋体"/>
                <w:sz w:val="24"/>
                <w:szCs w:val="24"/>
              </w:rPr>
              <w:t>6.1</w:t>
            </w:r>
          </w:p>
        </w:tc>
        <w:tc>
          <w:tcPr>
            <w:tcW w:w="8363" w:type="dxa"/>
            <w:tcBorders>
              <w:top w:val="single" w:color="auto" w:sz="2" w:space="0"/>
              <w:left w:val="single" w:color="auto" w:sz="2" w:space="0"/>
              <w:bottom w:val="single" w:color="auto" w:sz="2" w:space="0"/>
              <w:right w:val="single" w:color="auto" w:sz="2" w:space="0"/>
            </w:tcBorders>
            <w:vAlign w:val="center"/>
          </w:tcPr>
          <w:p w14:paraId="0A2D78B2">
            <w:pPr>
              <w:ind w:firstLine="480" w:firstLineChars="200"/>
              <w:rPr>
                <w:rFonts w:ascii="宋体" w:hAnsi="宋体" w:eastAsia="宋体" w:cs="宋体"/>
                <w:sz w:val="24"/>
                <w:szCs w:val="24"/>
              </w:rPr>
            </w:pPr>
            <w:r>
              <w:rPr>
                <w:rFonts w:hint="eastAsia" w:ascii="宋体" w:hAnsi="宋体" w:eastAsia="宋体" w:cs="宋体"/>
                <w:sz w:val="24"/>
                <w:szCs w:val="24"/>
              </w:rPr>
              <w:t>见第二部分投标须知第七条。</w:t>
            </w:r>
          </w:p>
        </w:tc>
      </w:tr>
      <w:tr w14:paraId="0C22D9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54"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6FD19A83">
            <w:pPr>
              <w:jc w:val="center"/>
              <w:rPr>
                <w:rFonts w:ascii="宋体" w:hAnsi="宋体" w:eastAsia="宋体" w:cs="宋体"/>
                <w:b/>
                <w:bCs/>
                <w:sz w:val="24"/>
                <w:szCs w:val="24"/>
              </w:rPr>
            </w:pPr>
            <w:r>
              <w:rPr>
                <w:rFonts w:hint="eastAsia" w:ascii="宋体" w:hAnsi="宋体" w:eastAsia="宋体" w:cs="宋体"/>
                <w:b/>
                <w:bCs/>
                <w:sz w:val="24"/>
                <w:szCs w:val="24"/>
              </w:rPr>
              <w:t>7.交货期及付款方式</w:t>
            </w:r>
          </w:p>
        </w:tc>
      </w:tr>
      <w:tr w14:paraId="5BE3074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28" w:hRule="atLeast"/>
        </w:trPr>
        <w:tc>
          <w:tcPr>
            <w:tcW w:w="595" w:type="dxa"/>
            <w:tcBorders>
              <w:top w:val="single" w:color="auto" w:sz="2" w:space="0"/>
              <w:left w:val="single" w:color="auto" w:sz="2" w:space="0"/>
              <w:bottom w:val="single" w:color="auto" w:sz="2" w:space="0"/>
              <w:right w:val="single" w:color="auto" w:sz="2" w:space="0"/>
            </w:tcBorders>
            <w:vAlign w:val="center"/>
          </w:tcPr>
          <w:p w14:paraId="013E820A">
            <w:pPr>
              <w:jc w:val="center"/>
              <w:rPr>
                <w:rFonts w:ascii="宋体" w:hAnsi="宋体" w:eastAsia="宋体" w:cs="宋体"/>
                <w:sz w:val="24"/>
                <w:szCs w:val="24"/>
              </w:rPr>
            </w:pPr>
            <w:r>
              <w:rPr>
                <w:rFonts w:hint="eastAsia" w:ascii="宋体" w:hAnsi="宋体" w:eastAsia="宋体" w:cs="宋体"/>
                <w:sz w:val="24"/>
                <w:szCs w:val="24"/>
              </w:rPr>
              <w:t>7.1</w:t>
            </w:r>
          </w:p>
        </w:tc>
        <w:tc>
          <w:tcPr>
            <w:tcW w:w="8363" w:type="dxa"/>
            <w:tcBorders>
              <w:top w:val="single" w:color="auto" w:sz="2" w:space="0"/>
              <w:left w:val="single" w:color="auto" w:sz="2" w:space="0"/>
              <w:bottom w:val="single" w:color="auto" w:sz="2" w:space="0"/>
              <w:right w:val="single" w:color="auto" w:sz="2" w:space="0"/>
            </w:tcBorders>
            <w:vAlign w:val="center"/>
          </w:tcPr>
          <w:p w14:paraId="744FFB2A">
            <w:pPr>
              <w:pStyle w:val="5"/>
              <w:ind w:firstLine="482" w:firstLineChars="200"/>
              <w:rPr>
                <w:rFonts w:hAnsi="宋体" w:eastAsia="宋体" w:cs="宋体"/>
                <w:b/>
                <w:bCs/>
                <w:color w:val="000000"/>
                <w:sz w:val="24"/>
                <w:szCs w:val="24"/>
              </w:rPr>
            </w:pPr>
            <w:r>
              <w:rPr>
                <w:rFonts w:hint="eastAsia" w:hAnsi="宋体" w:eastAsia="宋体" w:cs="宋体"/>
                <w:b/>
                <w:bCs/>
                <w:color w:val="000000"/>
                <w:sz w:val="24"/>
                <w:szCs w:val="24"/>
              </w:rPr>
              <w:t>交货期：</w:t>
            </w:r>
          </w:p>
          <w:p w14:paraId="73AFE02E">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1.自中标通知书发出之日起</w:t>
            </w:r>
            <w:r>
              <w:rPr>
                <w:rFonts w:hAnsi="宋体" w:eastAsia="宋体" w:cs="宋体"/>
                <w:color w:val="000000"/>
                <w:sz w:val="24"/>
                <w:szCs w:val="24"/>
              </w:rPr>
              <w:t>50天内在投标方加工厂内提货。</w:t>
            </w:r>
          </w:p>
          <w:p w14:paraId="2F9E47DF">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2.自项目现场开始安装之日起</w:t>
            </w:r>
            <w:r>
              <w:rPr>
                <w:rFonts w:hAnsi="宋体" w:eastAsia="宋体" w:cs="宋体"/>
                <w:color w:val="000000"/>
                <w:sz w:val="24"/>
                <w:szCs w:val="24"/>
              </w:rPr>
              <w:t>45日历日内安装调试完成</w:t>
            </w:r>
            <w:r>
              <w:rPr>
                <w:rFonts w:hint="eastAsia" w:hAnsi="宋体" w:eastAsia="宋体" w:cs="宋体"/>
                <w:color w:val="000000"/>
                <w:sz w:val="24"/>
                <w:szCs w:val="24"/>
              </w:rPr>
              <w:t>。</w:t>
            </w:r>
            <w:r>
              <w:rPr>
                <w:rFonts w:hAnsi="宋体" w:eastAsia="宋体" w:cs="宋体"/>
                <w:color w:val="000000"/>
                <w:sz w:val="24"/>
                <w:szCs w:val="24"/>
              </w:rPr>
              <w:t xml:space="preserve"> </w:t>
            </w:r>
          </w:p>
          <w:p w14:paraId="4858F1AF">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3.</w:t>
            </w:r>
            <w:r>
              <w:rPr>
                <w:rFonts w:hint="eastAsia" w:hAnsi="宋体" w:eastAsia="宋体" w:cs="宋体"/>
                <w:sz w:val="24"/>
                <w:szCs w:val="24"/>
              </w:rPr>
              <w:t>连续10个日历日之内完成终验收</w:t>
            </w:r>
          </w:p>
          <w:p w14:paraId="546A2A10">
            <w:pPr>
              <w:pStyle w:val="5"/>
              <w:ind w:firstLine="480" w:firstLineChars="200"/>
              <w:rPr>
                <w:rFonts w:hAnsi="宋体" w:eastAsia="宋体" w:cs="宋体"/>
                <w:sz w:val="24"/>
                <w:szCs w:val="24"/>
              </w:rPr>
            </w:pPr>
            <w:r>
              <w:rPr>
                <w:rFonts w:hint="eastAsia" w:hAnsi="宋体" w:eastAsia="宋体" w:cs="宋体"/>
                <w:sz w:val="24"/>
                <w:szCs w:val="24"/>
              </w:rPr>
              <w:t>4.连续</w:t>
            </w:r>
            <w:r>
              <w:rPr>
                <w:rFonts w:hAnsi="宋体" w:eastAsia="宋体" w:cs="宋体"/>
                <w:sz w:val="24"/>
                <w:szCs w:val="24"/>
              </w:rPr>
              <w:t>20</w:t>
            </w:r>
            <w:r>
              <w:rPr>
                <w:rFonts w:hint="eastAsia" w:hAnsi="宋体" w:eastAsia="宋体" w:cs="宋体"/>
                <w:sz w:val="24"/>
                <w:szCs w:val="24"/>
              </w:rPr>
              <w:t>个日历日之内完成陪产</w:t>
            </w:r>
          </w:p>
          <w:p w14:paraId="2BBDC32B">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安装调试时间或终验收时间超过规定时间的，投标人应当随标书提供详细的工期计划。</w:t>
            </w:r>
          </w:p>
        </w:tc>
      </w:tr>
      <w:tr w14:paraId="2309DE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6173E29A">
            <w:pPr>
              <w:jc w:val="center"/>
              <w:rPr>
                <w:rFonts w:ascii="宋体" w:hAnsi="宋体" w:eastAsia="宋体" w:cs="宋体"/>
                <w:sz w:val="24"/>
                <w:szCs w:val="24"/>
              </w:rPr>
            </w:pPr>
            <w:r>
              <w:rPr>
                <w:rFonts w:hint="eastAsia" w:ascii="宋体" w:hAnsi="宋体" w:eastAsia="宋体" w:cs="宋体"/>
                <w:sz w:val="24"/>
                <w:szCs w:val="24"/>
              </w:rPr>
              <w:t>7.2</w:t>
            </w:r>
          </w:p>
        </w:tc>
        <w:tc>
          <w:tcPr>
            <w:tcW w:w="8363" w:type="dxa"/>
            <w:tcBorders>
              <w:top w:val="single" w:color="auto" w:sz="2" w:space="0"/>
              <w:left w:val="single" w:color="auto" w:sz="2" w:space="0"/>
              <w:bottom w:val="single" w:color="auto" w:sz="2" w:space="0"/>
              <w:right w:val="single" w:color="auto" w:sz="2" w:space="0"/>
            </w:tcBorders>
            <w:vAlign w:val="center"/>
          </w:tcPr>
          <w:p w14:paraId="2774CF2A">
            <w:pPr>
              <w:pStyle w:val="5"/>
              <w:ind w:firstLine="482" w:firstLineChars="200"/>
              <w:rPr>
                <w:rFonts w:hAnsi="宋体" w:eastAsia="宋体" w:cs="宋体"/>
                <w:color w:val="000000"/>
                <w:sz w:val="24"/>
                <w:szCs w:val="24"/>
              </w:rPr>
            </w:pPr>
            <w:r>
              <w:rPr>
                <w:rFonts w:hint="eastAsia" w:hAnsi="宋体" w:eastAsia="宋体" w:cs="宋体"/>
                <w:b/>
                <w:bCs/>
                <w:color w:val="000000"/>
                <w:sz w:val="24"/>
                <w:szCs w:val="24"/>
              </w:rPr>
              <w:t>交货方式：</w:t>
            </w:r>
            <w:r>
              <w:rPr>
                <w:rFonts w:hint="eastAsia" w:hAnsi="宋体" w:eastAsia="宋体" w:cs="宋体"/>
                <w:color w:val="000000"/>
                <w:sz w:val="24"/>
                <w:szCs w:val="24"/>
              </w:rPr>
              <w:t>交钥匙方式；</w:t>
            </w:r>
          </w:p>
          <w:p w14:paraId="73450226">
            <w:pPr>
              <w:pStyle w:val="5"/>
              <w:ind w:firstLine="482" w:firstLineChars="200"/>
              <w:rPr>
                <w:rFonts w:hAnsi="宋体" w:eastAsia="宋体" w:cs="宋体"/>
                <w:color w:val="000000"/>
                <w:sz w:val="24"/>
                <w:szCs w:val="24"/>
              </w:rPr>
            </w:pPr>
            <w:r>
              <w:rPr>
                <w:rFonts w:hint="eastAsia" w:hAnsi="宋体" w:eastAsia="宋体" w:cs="宋体"/>
                <w:b/>
                <w:bCs/>
                <w:color w:val="000000"/>
                <w:sz w:val="24"/>
                <w:szCs w:val="24"/>
              </w:rPr>
              <w:t>交货地点：</w:t>
            </w:r>
            <w:r>
              <w:rPr>
                <w:rFonts w:hint="eastAsia" w:hAnsi="宋体" w:eastAsia="宋体" w:cs="宋体"/>
                <w:color w:val="000000"/>
                <w:sz w:val="24"/>
                <w:szCs w:val="24"/>
                <w:highlight w:val="yellow"/>
              </w:rPr>
              <w:t>国内交货地点为卖方加工厂；最终交钥匙地点为项目所在地</w:t>
            </w:r>
            <w:r>
              <w:rPr>
                <w:rFonts w:hint="eastAsia" w:hAnsi="宋体" w:eastAsia="宋体" w:cs="宋体"/>
                <w:color w:val="000000"/>
                <w:sz w:val="24"/>
                <w:szCs w:val="24"/>
              </w:rPr>
              <w:t>。</w:t>
            </w:r>
          </w:p>
        </w:tc>
      </w:tr>
      <w:tr w14:paraId="4829DA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trPr>
        <w:tc>
          <w:tcPr>
            <w:tcW w:w="595" w:type="dxa"/>
            <w:tcBorders>
              <w:top w:val="single" w:color="auto" w:sz="2" w:space="0"/>
              <w:left w:val="single" w:color="auto" w:sz="2" w:space="0"/>
              <w:bottom w:val="single" w:color="auto" w:sz="2" w:space="0"/>
              <w:right w:val="single" w:color="auto" w:sz="2" w:space="0"/>
            </w:tcBorders>
            <w:vAlign w:val="center"/>
          </w:tcPr>
          <w:p w14:paraId="671BBDB6">
            <w:pPr>
              <w:jc w:val="center"/>
              <w:rPr>
                <w:rFonts w:ascii="宋体" w:hAnsi="宋体" w:eastAsia="宋体" w:cs="宋体"/>
                <w:sz w:val="24"/>
                <w:szCs w:val="24"/>
              </w:rPr>
            </w:pPr>
            <w:r>
              <w:rPr>
                <w:rFonts w:hint="eastAsia" w:ascii="宋体" w:hAnsi="宋体" w:eastAsia="宋体" w:cs="宋体"/>
                <w:sz w:val="24"/>
                <w:szCs w:val="24"/>
              </w:rPr>
              <w:t>7.3</w:t>
            </w:r>
          </w:p>
        </w:tc>
        <w:tc>
          <w:tcPr>
            <w:tcW w:w="8363" w:type="dxa"/>
            <w:tcBorders>
              <w:top w:val="single" w:color="auto" w:sz="2" w:space="0"/>
              <w:left w:val="single" w:color="auto" w:sz="2" w:space="0"/>
              <w:bottom w:val="single" w:color="auto" w:sz="2" w:space="0"/>
              <w:right w:val="single" w:color="auto" w:sz="2" w:space="0"/>
            </w:tcBorders>
            <w:vAlign w:val="center"/>
          </w:tcPr>
          <w:p w14:paraId="5B7465B2">
            <w:pPr>
              <w:pStyle w:val="2"/>
              <w:ind w:firstLine="482" w:firstLineChars="200"/>
              <w:rPr>
                <w:rFonts w:ascii="宋体" w:hAnsi="宋体" w:eastAsia="宋体" w:cs="宋体"/>
                <w:sz w:val="24"/>
                <w:szCs w:val="24"/>
              </w:rPr>
            </w:pPr>
            <w:r>
              <w:rPr>
                <w:rFonts w:hint="eastAsia" w:ascii="宋体" w:hAnsi="宋体" w:eastAsia="宋体" w:cs="宋体"/>
                <w:b/>
                <w:sz w:val="24"/>
                <w:szCs w:val="24"/>
              </w:rPr>
              <w:t>质保期：</w:t>
            </w:r>
            <w:r>
              <w:rPr>
                <w:rFonts w:ascii="Times New Roman" w:hAnsi="Times New Roman"/>
                <w:sz w:val="24"/>
                <w:szCs w:val="24"/>
              </w:rPr>
              <w:t>全部供货范围内的设备、材料、零配件和工器具等，除合同特别约定外，其质保期均自终验收签字生效之日起不少于</w:t>
            </w:r>
            <w:r>
              <w:rPr>
                <w:rFonts w:hint="eastAsia" w:ascii="Times New Roman" w:hAnsi="Times New Roman"/>
                <w:sz w:val="24"/>
                <w:szCs w:val="24"/>
              </w:rPr>
              <w:t>1</w:t>
            </w:r>
            <w:r>
              <w:rPr>
                <w:rFonts w:ascii="Times New Roman" w:hAnsi="Times New Roman"/>
                <w:sz w:val="24"/>
                <w:szCs w:val="24"/>
              </w:rPr>
              <w:t>2个月或货物到安装现场后24个月，二者以先到者为准。</w:t>
            </w:r>
          </w:p>
        </w:tc>
      </w:tr>
      <w:tr w14:paraId="0F8360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276EE0B8">
            <w:pPr>
              <w:jc w:val="center"/>
              <w:rPr>
                <w:rFonts w:ascii="宋体" w:hAnsi="宋体" w:eastAsia="宋体" w:cs="宋体"/>
                <w:kern w:val="0"/>
                <w:sz w:val="24"/>
                <w:szCs w:val="24"/>
              </w:rPr>
            </w:pPr>
            <w:r>
              <w:rPr>
                <w:rFonts w:hint="eastAsia" w:ascii="宋体" w:hAnsi="宋体" w:eastAsia="宋体" w:cs="宋体"/>
                <w:kern w:val="0"/>
                <w:sz w:val="24"/>
                <w:szCs w:val="24"/>
              </w:rPr>
              <w:t>7.4</w:t>
            </w:r>
          </w:p>
        </w:tc>
        <w:tc>
          <w:tcPr>
            <w:tcW w:w="8363" w:type="dxa"/>
            <w:tcBorders>
              <w:top w:val="single" w:color="auto" w:sz="2" w:space="0"/>
              <w:left w:val="single" w:color="auto" w:sz="4" w:space="0"/>
              <w:bottom w:val="single" w:color="auto" w:sz="2" w:space="0"/>
              <w:right w:val="single" w:color="auto" w:sz="2" w:space="0"/>
            </w:tcBorders>
            <w:vAlign w:val="center"/>
          </w:tcPr>
          <w:p w14:paraId="1FF13946">
            <w:pPr>
              <w:pStyle w:val="5"/>
              <w:ind w:firstLine="482" w:firstLineChars="200"/>
              <w:rPr>
                <w:rFonts w:hAnsi="宋体" w:eastAsia="宋体" w:cs="宋体"/>
                <w:color w:val="000000"/>
                <w:sz w:val="24"/>
                <w:szCs w:val="24"/>
              </w:rPr>
            </w:pPr>
            <w:r>
              <w:rPr>
                <w:rFonts w:hint="eastAsia" w:hAnsi="宋体" w:eastAsia="宋体" w:cs="宋体"/>
                <w:b/>
                <w:bCs/>
                <w:color w:val="000000"/>
                <w:sz w:val="24"/>
                <w:szCs w:val="24"/>
              </w:rPr>
              <w:t>付款方式：半年期商业汇票（包括银行承兑汇票和商业承兑汇票）</w:t>
            </w:r>
          </w:p>
          <w:p w14:paraId="0F5F0DB8">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w:t>
            </w:r>
            <w:r>
              <w:rPr>
                <w:rFonts w:hAnsi="宋体" w:eastAsia="宋体" w:cs="宋体"/>
                <w:color w:val="000000"/>
                <w:sz w:val="24"/>
                <w:szCs w:val="24"/>
              </w:rPr>
              <w:t>1）合同生效后起30日内，买方支付给卖方合同价格20% ，合计</w:t>
            </w:r>
            <w:r>
              <w:rPr>
                <w:rFonts w:hAnsi="宋体" w:eastAsia="宋体" w:cs="宋体"/>
                <w:color w:val="000000"/>
                <w:sz w:val="24"/>
                <w:szCs w:val="24"/>
                <w:u w:val="single"/>
              </w:rPr>
              <w:t xml:space="preserve">     </w:t>
            </w:r>
            <w:r>
              <w:rPr>
                <w:rFonts w:hAnsi="宋体" w:eastAsia="宋体" w:cs="宋体"/>
                <w:color w:val="000000"/>
                <w:sz w:val="24"/>
                <w:szCs w:val="24"/>
              </w:rPr>
              <w:t>万元人民币作为合同的预付款，卖方提供相应金额的收据凭证；</w:t>
            </w:r>
          </w:p>
          <w:p w14:paraId="3E0056B0">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w:t>
            </w:r>
            <w:r>
              <w:rPr>
                <w:rFonts w:hAnsi="宋体" w:eastAsia="宋体" w:cs="宋体"/>
                <w:color w:val="000000"/>
                <w:sz w:val="24"/>
                <w:szCs w:val="24"/>
              </w:rPr>
              <w:t>2）设备制造完成、设计图纸等资料完成，经买方出厂预验收合格，并在买方指定出口港完成报关手续后30日内,买方支付给卖方合同价格40% ，合计      万元人民币，卖方提供相应金额的收据凭证，同时卖方提供以下A、B、C三项文件：</w:t>
            </w:r>
          </w:p>
          <w:p w14:paraId="27FA7243">
            <w:pPr>
              <w:pStyle w:val="5"/>
              <w:ind w:firstLine="480" w:firstLineChars="200"/>
              <w:rPr>
                <w:rFonts w:hAnsi="宋体" w:eastAsia="宋体" w:cs="宋体"/>
                <w:color w:val="000000"/>
                <w:sz w:val="24"/>
                <w:szCs w:val="24"/>
              </w:rPr>
            </w:pPr>
            <w:r>
              <w:rPr>
                <w:rFonts w:hAnsi="宋体" w:eastAsia="宋体" w:cs="宋体"/>
                <w:color w:val="000000"/>
                <w:sz w:val="24"/>
                <w:szCs w:val="24"/>
              </w:rPr>
              <w:t>A 金额为该套合同设备价格100%的增值税发票；</w:t>
            </w:r>
          </w:p>
          <w:p w14:paraId="753AFE31">
            <w:pPr>
              <w:pStyle w:val="5"/>
              <w:ind w:firstLine="480" w:firstLineChars="200"/>
              <w:rPr>
                <w:rFonts w:hAnsi="宋体" w:eastAsia="宋体" w:cs="宋体"/>
                <w:color w:val="000000"/>
                <w:sz w:val="24"/>
                <w:szCs w:val="24"/>
              </w:rPr>
            </w:pPr>
            <w:r>
              <w:rPr>
                <w:rFonts w:hAnsi="宋体" w:eastAsia="宋体" w:cs="宋体"/>
                <w:color w:val="000000"/>
                <w:sz w:val="24"/>
                <w:szCs w:val="24"/>
              </w:rPr>
              <w:t>B 该套合同设备预验收证明的复印件；</w:t>
            </w:r>
          </w:p>
          <w:p w14:paraId="68BBB4C9">
            <w:pPr>
              <w:pStyle w:val="5"/>
              <w:ind w:firstLine="480" w:firstLineChars="200"/>
              <w:rPr>
                <w:rFonts w:hAnsi="宋体" w:eastAsia="宋体" w:cs="宋体"/>
                <w:color w:val="000000"/>
                <w:sz w:val="24"/>
                <w:szCs w:val="24"/>
              </w:rPr>
            </w:pPr>
            <w:r>
              <w:rPr>
                <w:rFonts w:hAnsi="宋体" w:eastAsia="宋体" w:cs="宋体"/>
                <w:color w:val="000000"/>
                <w:sz w:val="24"/>
                <w:szCs w:val="24"/>
              </w:rPr>
              <w:t>C相应金额的收据凭证。</w:t>
            </w:r>
          </w:p>
          <w:p w14:paraId="621277FD">
            <w:pPr>
              <w:pStyle w:val="5"/>
              <w:ind w:firstLine="480" w:firstLineChars="200"/>
              <w:rPr>
                <w:rFonts w:hAnsi="宋体" w:eastAsia="宋体" w:cs="宋体"/>
                <w:color w:val="000000"/>
                <w:sz w:val="24"/>
                <w:szCs w:val="24"/>
              </w:rPr>
            </w:pPr>
            <w:r>
              <w:rPr>
                <w:rFonts w:hint="eastAsia" w:hAnsi="宋体" w:eastAsia="宋体" w:cs="宋体"/>
                <w:color w:val="000000"/>
                <w:sz w:val="24"/>
                <w:szCs w:val="24"/>
              </w:rPr>
              <w:t>（</w:t>
            </w:r>
            <w:r>
              <w:rPr>
                <w:rFonts w:hAnsi="宋体" w:eastAsia="宋体" w:cs="宋体"/>
                <w:color w:val="000000"/>
                <w:sz w:val="24"/>
                <w:szCs w:val="24"/>
              </w:rPr>
              <w:t>3）设备安装调试完成终验收合格后 30 日内, 买方支付给卖方合同价格 30% ，合计</w:t>
            </w:r>
            <w:r>
              <w:rPr>
                <w:rFonts w:hAnsi="宋体" w:eastAsia="宋体" w:cs="宋体"/>
                <w:color w:val="000000"/>
                <w:sz w:val="24"/>
                <w:szCs w:val="24"/>
                <w:u w:val="single"/>
              </w:rPr>
              <w:t xml:space="preserve">      </w:t>
            </w:r>
            <w:r>
              <w:rPr>
                <w:rFonts w:hAnsi="宋体" w:eastAsia="宋体" w:cs="宋体"/>
                <w:color w:val="000000"/>
                <w:sz w:val="24"/>
                <w:szCs w:val="24"/>
              </w:rPr>
              <w:t>万元人民币，同时卖方提供以下A、B二项文件：</w:t>
            </w:r>
          </w:p>
          <w:p w14:paraId="41060AD7">
            <w:pPr>
              <w:pStyle w:val="5"/>
              <w:ind w:firstLine="480" w:firstLineChars="200"/>
              <w:rPr>
                <w:rFonts w:hAnsi="宋体" w:eastAsia="宋体" w:cs="宋体"/>
                <w:color w:val="000000"/>
                <w:sz w:val="24"/>
                <w:szCs w:val="24"/>
              </w:rPr>
            </w:pPr>
            <w:r>
              <w:rPr>
                <w:rFonts w:hAnsi="宋体" w:eastAsia="宋体" w:cs="宋体"/>
                <w:color w:val="000000"/>
                <w:sz w:val="24"/>
                <w:szCs w:val="24"/>
              </w:rPr>
              <w:t>A 该套合同设备终验收证明的复印件；</w:t>
            </w:r>
          </w:p>
          <w:p w14:paraId="3812A047">
            <w:pPr>
              <w:pStyle w:val="5"/>
              <w:ind w:firstLine="480" w:firstLineChars="200"/>
              <w:rPr>
                <w:rFonts w:hAnsi="宋体" w:eastAsia="宋体" w:cs="宋体"/>
                <w:color w:val="000000"/>
                <w:sz w:val="24"/>
                <w:szCs w:val="24"/>
              </w:rPr>
            </w:pPr>
            <w:r>
              <w:rPr>
                <w:rFonts w:hAnsi="宋体" w:eastAsia="宋体" w:cs="宋体"/>
                <w:color w:val="000000"/>
                <w:sz w:val="24"/>
                <w:szCs w:val="24"/>
              </w:rPr>
              <w:t>B相应金额的收据凭证。</w:t>
            </w:r>
          </w:p>
          <w:p w14:paraId="1EAD78C6">
            <w:pPr>
              <w:ind w:firstLine="480" w:firstLineChars="200"/>
              <w:rPr>
                <w:rFonts w:hAnsi="宋体" w:eastAsia="宋体" w:cs="宋体"/>
                <w:color w:val="000000"/>
                <w:sz w:val="24"/>
                <w:szCs w:val="24"/>
              </w:rPr>
            </w:pPr>
            <w:r>
              <w:rPr>
                <w:rFonts w:hint="eastAsia" w:hAnsi="宋体" w:eastAsia="宋体" w:cs="宋体"/>
                <w:color w:val="000000"/>
                <w:sz w:val="24"/>
                <w:szCs w:val="24"/>
              </w:rPr>
              <w:t>（</w:t>
            </w:r>
            <w:r>
              <w:rPr>
                <w:rFonts w:hAnsi="宋体" w:eastAsia="宋体" w:cs="宋体"/>
                <w:color w:val="000000"/>
                <w:sz w:val="24"/>
                <w:szCs w:val="24"/>
              </w:rPr>
              <w:t>4）货物到安装现场12个月后，因招标人原因不具备安装或调试条件，视同验收合格,提供第(3)条款B项文件。待条件具备后，投标方应按招标方要求，无偿履行安装调试及验收义务。完成后提供第(3)条款A项文件。</w:t>
            </w:r>
          </w:p>
          <w:p w14:paraId="03326BE2">
            <w:pPr>
              <w:ind w:firstLine="480" w:firstLineChars="200"/>
              <w:rPr>
                <w:rFonts w:ascii="宋体" w:hAnsi="宋体" w:eastAsia="宋体" w:cs="宋体"/>
                <w:sz w:val="24"/>
                <w:szCs w:val="24"/>
              </w:rPr>
            </w:pPr>
            <w:r>
              <w:rPr>
                <w:rFonts w:hint="eastAsia" w:hAnsi="宋体" w:eastAsia="宋体" w:cs="宋体"/>
                <w:color w:val="000000"/>
                <w:sz w:val="24"/>
                <w:szCs w:val="24"/>
              </w:rPr>
              <w:t>（</w:t>
            </w:r>
            <w:r>
              <w:rPr>
                <w:rFonts w:hAnsi="宋体" w:eastAsia="宋体" w:cs="宋体"/>
                <w:color w:val="000000"/>
                <w:sz w:val="24"/>
                <w:szCs w:val="24"/>
              </w:rPr>
              <w:t>5）合同总价10% ，合计</w:t>
            </w:r>
            <w:r>
              <w:rPr>
                <w:rFonts w:hAnsi="宋体" w:eastAsia="宋体" w:cs="宋体"/>
                <w:color w:val="000000"/>
                <w:sz w:val="24"/>
                <w:szCs w:val="24"/>
                <w:u w:val="single"/>
              </w:rPr>
              <w:t xml:space="preserve">      </w:t>
            </w:r>
            <w:r>
              <w:rPr>
                <w:rFonts w:hAnsi="宋体" w:eastAsia="宋体" w:cs="宋体"/>
                <w:color w:val="000000"/>
                <w:sz w:val="24"/>
                <w:szCs w:val="24"/>
              </w:rPr>
              <w:t>万元 人民币作为本合同约定设备的质量保证金，质量保证金在质量保期内不计利息，经双方共同验收确认合格且符合合同约定的要求，待签署项目整体终验收报告之日起不少于</w:t>
            </w:r>
            <w:r>
              <w:rPr>
                <w:rFonts w:hAnsi="宋体" w:eastAsia="宋体" w:cs="宋体"/>
                <w:b/>
                <w:color w:val="000000"/>
                <w:sz w:val="24"/>
                <w:szCs w:val="24"/>
              </w:rPr>
              <w:t>12个月</w:t>
            </w:r>
            <w:r>
              <w:rPr>
                <w:rFonts w:hAnsi="宋体" w:eastAsia="宋体" w:cs="宋体"/>
                <w:color w:val="000000"/>
                <w:sz w:val="24"/>
                <w:szCs w:val="24"/>
              </w:rPr>
              <w:t>或货物到安装现场后</w:t>
            </w:r>
            <w:r>
              <w:rPr>
                <w:rFonts w:hAnsi="宋体" w:eastAsia="宋体" w:cs="宋体"/>
                <w:b/>
                <w:color w:val="000000"/>
                <w:sz w:val="24"/>
                <w:szCs w:val="24"/>
              </w:rPr>
              <w:t>24个月后</w:t>
            </w:r>
            <w:r>
              <w:rPr>
                <w:rFonts w:hAnsi="宋体" w:eastAsia="宋体" w:cs="宋体"/>
                <w:color w:val="000000"/>
                <w:sz w:val="24"/>
                <w:szCs w:val="24"/>
              </w:rPr>
              <w:t>（二者以先到者为准），买方向卖方支付质量保证金，卖方提供相应金额的收据凭证。</w:t>
            </w:r>
          </w:p>
        </w:tc>
      </w:tr>
      <w:tr w14:paraId="68D70C5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9" w:hRule="atLeast"/>
        </w:trPr>
        <w:tc>
          <w:tcPr>
            <w:tcW w:w="595" w:type="dxa"/>
            <w:tcBorders>
              <w:top w:val="single" w:color="auto" w:sz="2" w:space="0"/>
              <w:left w:val="single" w:color="auto" w:sz="2" w:space="0"/>
              <w:bottom w:val="single" w:color="auto" w:sz="2" w:space="0"/>
              <w:right w:val="single" w:color="auto" w:sz="4" w:space="0"/>
            </w:tcBorders>
            <w:vAlign w:val="center"/>
          </w:tcPr>
          <w:p w14:paraId="4ACD0394">
            <w:pPr>
              <w:jc w:val="center"/>
              <w:rPr>
                <w:rFonts w:ascii="宋体" w:hAnsi="宋体" w:eastAsia="宋体" w:cs="宋体"/>
                <w:kern w:val="0"/>
                <w:sz w:val="24"/>
                <w:szCs w:val="24"/>
              </w:rPr>
            </w:pPr>
            <w:r>
              <w:rPr>
                <w:rFonts w:hint="eastAsia" w:ascii="宋体" w:hAnsi="宋体" w:eastAsia="宋体" w:cs="宋体"/>
                <w:kern w:val="0"/>
                <w:sz w:val="24"/>
                <w:szCs w:val="24"/>
              </w:rPr>
              <w:t>7.5</w:t>
            </w:r>
          </w:p>
        </w:tc>
        <w:tc>
          <w:tcPr>
            <w:tcW w:w="8363" w:type="dxa"/>
            <w:tcBorders>
              <w:top w:val="single" w:color="auto" w:sz="2" w:space="0"/>
              <w:left w:val="single" w:color="auto" w:sz="4" w:space="0"/>
              <w:bottom w:val="single" w:color="auto" w:sz="2" w:space="0"/>
              <w:right w:val="single" w:color="auto" w:sz="2" w:space="0"/>
            </w:tcBorders>
            <w:vAlign w:val="center"/>
          </w:tcPr>
          <w:p w14:paraId="485DE496">
            <w:pPr>
              <w:ind w:firstLine="482" w:firstLineChars="200"/>
              <w:rPr>
                <w:rFonts w:ascii="宋体" w:hAnsi="宋体" w:eastAsia="宋体" w:cs="宋体"/>
                <w:b/>
                <w:color w:val="000000"/>
                <w:sz w:val="24"/>
                <w:szCs w:val="24"/>
              </w:rPr>
            </w:pPr>
            <w:r>
              <w:rPr>
                <w:rFonts w:hint="eastAsia" w:ascii="宋体" w:hAnsi="宋体" w:eastAsia="宋体" w:cs="宋体"/>
                <w:b/>
                <w:color w:val="000000"/>
                <w:sz w:val="24"/>
                <w:szCs w:val="24"/>
              </w:rPr>
              <w:t>增值税专用发票开票信息：</w:t>
            </w:r>
          </w:p>
          <w:p w14:paraId="674A9B0C">
            <w:pPr>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公司名称：</w:t>
            </w:r>
            <w:r>
              <w:rPr>
                <w:rFonts w:ascii="宋体" w:hAnsi="宋体" w:eastAsia="宋体" w:cs="宋体"/>
                <w:color w:val="000000"/>
                <w:sz w:val="24"/>
                <w:szCs w:val="24"/>
              </w:rPr>
              <w:t xml:space="preserve"> </w:t>
            </w:r>
            <w:r>
              <w:rPr>
                <w:rFonts w:hint="eastAsia" w:ascii="宋体" w:hAnsi="宋体" w:eastAsia="宋体" w:cs="宋体"/>
                <w:color w:val="000000"/>
                <w:sz w:val="24"/>
                <w:szCs w:val="24"/>
              </w:rPr>
              <w:t>中国重汽集团国际有限公司</w:t>
            </w:r>
          </w:p>
          <w:p w14:paraId="2A737251">
            <w:pPr>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纳税识别号：</w:t>
            </w:r>
            <w:r>
              <w:rPr>
                <w:rFonts w:ascii="宋体" w:hAnsi="宋体" w:eastAsia="宋体" w:cs="宋体"/>
                <w:color w:val="000000"/>
                <w:sz w:val="24"/>
                <w:szCs w:val="24"/>
              </w:rPr>
              <w:t xml:space="preserve"> 913701007326277570</w:t>
            </w:r>
          </w:p>
          <w:p w14:paraId="7EC65521">
            <w:pPr>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地址</w:t>
            </w:r>
            <w:r>
              <w:rPr>
                <w:rFonts w:ascii="宋体" w:hAnsi="宋体" w:eastAsia="宋体" w:cs="宋体"/>
                <w:color w:val="000000"/>
                <w:sz w:val="24"/>
                <w:szCs w:val="24"/>
              </w:rPr>
              <w:t>:</w:t>
            </w:r>
            <w:r>
              <w:rPr>
                <w:rFonts w:hint="eastAsia" w:ascii="宋体" w:hAnsi="宋体" w:eastAsia="宋体" w:cs="宋体"/>
                <w:color w:val="000000"/>
                <w:sz w:val="24"/>
                <w:szCs w:val="24"/>
              </w:rPr>
              <w:t xml:space="preserve"> 山东省济南市高新区华奥路</w:t>
            </w:r>
            <w:r>
              <w:rPr>
                <w:rFonts w:ascii="宋体" w:hAnsi="宋体" w:eastAsia="宋体" w:cs="宋体"/>
                <w:color w:val="000000"/>
                <w:sz w:val="24"/>
                <w:szCs w:val="24"/>
              </w:rPr>
              <w:t>777号中国重汽科技大厦14层、15层</w:t>
            </w:r>
          </w:p>
          <w:p w14:paraId="0BCA9D4A">
            <w:pPr>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开户行</w:t>
            </w:r>
            <w:r>
              <w:rPr>
                <w:rFonts w:ascii="宋体" w:hAnsi="宋体" w:eastAsia="宋体" w:cs="宋体"/>
                <w:color w:val="000000"/>
                <w:sz w:val="24"/>
                <w:szCs w:val="24"/>
              </w:rPr>
              <w:t xml:space="preserve">: </w:t>
            </w:r>
            <w:r>
              <w:rPr>
                <w:rFonts w:hint="eastAsia" w:ascii="宋体" w:hAnsi="宋体" w:eastAsia="宋体" w:cs="宋体"/>
                <w:color w:val="000000"/>
                <w:sz w:val="24"/>
                <w:szCs w:val="24"/>
              </w:rPr>
              <w:t>兴业银行济南天桥支行</w:t>
            </w:r>
          </w:p>
          <w:p w14:paraId="2EB9A53B">
            <w:pPr>
              <w:ind w:firstLine="480" w:firstLineChars="200"/>
              <w:rPr>
                <w:rFonts w:ascii="宋体" w:hAnsi="宋体" w:eastAsia="宋体" w:cs="宋体"/>
                <w:color w:val="000000"/>
                <w:sz w:val="24"/>
                <w:szCs w:val="24"/>
                <w:highlight w:val="yellow"/>
              </w:rPr>
            </w:pPr>
            <w:r>
              <w:rPr>
                <w:rFonts w:hint="eastAsia" w:ascii="宋体" w:hAnsi="宋体" w:eastAsia="宋体" w:cs="宋体"/>
                <w:color w:val="000000"/>
                <w:sz w:val="24"/>
                <w:szCs w:val="24"/>
              </w:rPr>
              <w:t>帐号：</w:t>
            </w:r>
            <w:r>
              <w:rPr>
                <w:rFonts w:ascii="宋体" w:hAnsi="宋体" w:eastAsia="宋体" w:cs="宋体"/>
                <w:color w:val="000000"/>
                <w:sz w:val="24"/>
                <w:szCs w:val="24"/>
              </w:rPr>
              <w:t xml:space="preserve"> 376070100100024875</w:t>
            </w:r>
          </w:p>
        </w:tc>
      </w:tr>
      <w:tr w14:paraId="609706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6EB54B40">
            <w:pPr>
              <w:pStyle w:val="2"/>
              <w:jc w:val="center"/>
              <w:rPr>
                <w:rFonts w:ascii="宋体" w:hAnsi="宋体" w:eastAsia="宋体" w:cs="宋体"/>
                <w:sz w:val="24"/>
                <w:szCs w:val="24"/>
              </w:rPr>
            </w:pPr>
            <w:r>
              <w:rPr>
                <w:rFonts w:hint="eastAsia" w:ascii="宋体" w:hAnsi="宋体" w:eastAsia="宋体" w:cs="宋体"/>
                <w:b/>
                <w:bCs/>
                <w:sz w:val="24"/>
                <w:szCs w:val="24"/>
              </w:rPr>
              <w:t>8.其它</w:t>
            </w:r>
          </w:p>
        </w:tc>
      </w:tr>
      <w:tr w14:paraId="0C17E2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3B58B738">
            <w:pPr>
              <w:jc w:val="center"/>
              <w:rPr>
                <w:rFonts w:ascii="宋体" w:hAnsi="宋体" w:eastAsia="宋体" w:cs="宋体"/>
                <w:sz w:val="24"/>
                <w:szCs w:val="24"/>
              </w:rPr>
            </w:pPr>
            <w:r>
              <w:rPr>
                <w:rFonts w:hint="eastAsia" w:ascii="宋体" w:hAnsi="宋体" w:eastAsia="宋体" w:cs="宋体"/>
                <w:sz w:val="24"/>
                <w:szCs w:val="24"/>
              </w:rPr>
              <w:t>8.1</w:t>
            </w:r>
          </w:p>
        </w:tc>
        <w:tc>
          <w:tcPr>
            <w:tcW w:w="8363" w:type="dxa"/>
            <w:tcBorders>
              <w:top w:val="single" w:color="auto" w:sz="2" w:space="0"/>
              <w:left w:val="single" w:color="auto" w:sz="4" w:space="0"/>
              <w:bottom w:val="single" w:color="auto" w:sz="2" w:space="0"/>
              <w:right w:val="single" w:color="auto" w:sz="2" w:space="0"/>
            </w:tcBorders>
            <w:vAlign w:val="center"/>
          </w:tcPr>
          <w:p w14:paraId="708891DE">
            <w:pPr>
              <w:pStyle w:val="2"/>
              <w:ind w:firstLine="480" w:firstLineChars="200"/>
              <w:rPr>
                <w:rFonts w:ascii="宋体" w:hAnsi="宋体" w:eastAsia="宋体" w:cs="宋体"/>
                <w:sz w:val="24"/>
                <w:szCs w:val="24"/>
              </w:rPr>
            </w:pPr>
            <w:r>
              <w:rPr>
                <w:rFonts w:hint="eastAsia" w:ascii="宋体" w:hAnsi="宋体" w:eastAsia="宋体" w:cs="宋体"/>
                <w:sz w:val="24"/>
                <w:szCs w:val="24"/>
              </w:rPr>
              <w:t>设备的安装说明（图纸）、操作手册、使用说明、维修指南、服务手册等招标人所需要的、与执行本合同有关的各类资料，中标人提交时须做好备份（复印件或电子扫描件），招标人资料归档后若另需要上述资料，中标人应及时无偿提供。</w:t>
            </w:r>
          </w:p>
        </w:tc>
      </w:tr>
      <w:tr w14:paraId="1ECB83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2C1D3E23">
            <w:pPr>
              <w:jc w:val="center"/>
              <w:rPr>
                <w:rFonts w:ascii="宋体" w:hAnsi="宋体" w:eastAsia="宋体" w:cs="宋体"/>
                <w:sz w:val="24"/>
                <w:szCs w:val="24"/>
              </w:rPr>
            </w:pPr>
            <w:r>
              <w:rPr>
                <w:rFonts w:hint="eastAsia" w:ascii="宋体" w:hAnsi="宋体" w:eastAsia="宋体" w:cs="宋体"/>
                <w:sz w:val="24"/>
                <w:szCs w:val="24"/>
              </w:rPr>
              <w:t>8.2</w:t>
            </w:r>
          </w:p>
        </w:tc>
        <w:tc>
          <w:tcPr>
            <w:tcW w:w="8363" w:type="dxa"/>
            <w:tcBorders>
              <w:top w:val="single" w:color="auto" w:sz="2" w:space="0"/>
              <w:left w:val="single" w:color="auto" w:sz="4" w:space="0"/>
              <w:bottom w:val="single" w:color="auto" w:sz="2" w:space="0"/>
              <w:right w:val="single" w:color="auto" w:sz="2" w:space="0"/>
            </w:tcBorders>
            <w:vAlign w:val="center"/>
          </w:tcPr>
          <w:p w14:paraId="1FEB1838">
            <w:pPr>
              <w:ind w:firstLine="480" w:firstLineChars="200"/>
              <w:rPr>
                <w:rFonts w:ascii="宋体" w:hAnsi="宋体" w:eastAsia="宋体" w:cs="宋体"/>
                <w:sz w:val="24"/>
                <w:szCs w:val="24"/>
              </w:rPr>
            </w:pPr>
            <w:r>
              <w:rPr>
                <w:rFonts w:hint="eastAsia" w:ascii="宋体" w:hAnsi="宋体" w:eastAsia="宋体" w:cs="宋体"/>
                <w:sz w:val="24"/>
                <w:szCs w:val="24"/>
              </w:rPr>
              <w:t>中标人负责为招标人免费培训操作及维修人员，培训内容包括：基本原理、操作使用、安全操作注意事项以及维修保养等内容，直至达到买方使用需求。</w:t>
            </w:r>
          </w:p>
        </w:tc>
      </w:tr>
      <w:tr w14:paraId="11BBB9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2" w:hRule="atLeast"/>
        </w:trPr>
        <w:tc>
          <w:tcPr>
            <w:tcW w:w="595" w:type="dxa"/>
            <w:tcBorders>
              <w:top w:val="single" w:color="auto" w:sz="2" w:space="0"/>
              <w:left w:val="single" w:color="auto" w:sz="2" w:space="0"/>
              <w:bottom w:val="single" w:color="auto" w:sz="2" w:space="0"/>
              <w:right w:val="single" w:color="auto" w:sz="4" w:space="0"/>
            </w:tcBorders>
            <w:vAlign w:val="center"/>
          </w:tcPr>
          <w:p w14:paraId="58C1B903">
            <w:pPr>
              <w:jc w:val="center"/>
              <w:rPr>
                <w:rFonts w:ascii="宋体" w:hAnsi="宋体" w:eastAsia="宋体" w:cs="宋体"/>
                <w:sz w:val="24"/>
                <w:szCs w:val="24"/>
              </w:rPr>
            </w:pPr>
            <w:r>
              <w:rPr>
                <w:rFonts w:hint="eastAsia" w:ascii="宋体" w:hAnsi="宋体" w:eastAsia="宋体" w:cs="宋体"/>
                <w:sz w:val="24"/>
                <w:szCs w:val="24"/>
              </w:rPr>
              <w:t>8.3</w:t>
            </w:r>
          </w:p>
        </w:tc>
        <w:tc>
          <w:tcPr>
            <w:tcW w:w="8363" w:type="dxa"/>
            <w:tcBorders>
              <w:top w:val="single" w:color="auto" w:sz="2" w:space="0"/>
              <w:left w:val="single" w:color="auto" w:sz="4" w:space="0"/>
              <w:bottom w:val="single" w:color="auto" w:sz="2" w:space="0"/>
              <w:right w:val="single" w:color="auto" w:sz="2" w:space="0"/>
            </w:tcBorders>
            <w:vAlign w:val="center"/>
          </w:tcPr>
          <w:p w14:paraId="423FB657">
            <w:pPr>
              <w:pStyle w:val="2"/>
              <w:ind w:firstLine="480" w:firstLineChars="200"/>
              <w:rPr>
                <w:rFonts w:ascii="宋体" w:hAnsi="宋体" w:eastAsia="宋体" w:cs="宋体"/>
                <w:sz w:val="24"/>
                <w:szCs w:val="24"/>
              </w:rPr>
            </w:pPr>
            <w:r>
              <w:rPr>
                <w:rFonts w:hint="eastAsia" w:ascii="宋体" w:hAnsi="宋体" w:eastAsia="宋体" w:cs="宋体"/>
                <w:sz w:val="24"/>
                <w:szCs w:val="24"/>
              </w:rPr>
              <w:t>中标方应在合同签订后规定时间内需根据设计</w:t>
            </w:r>
            <w:r>
              <w:rPr>
                <w:rStyle w:val="11"/>
                <w:rFonts w:hint="eastAsia" w:ascii="宋体" w:hAnsi="宋体" w:eastAsia="宋体" w:cs="宋体"/>
                <w:sz w:val="24"/>
                <w:szCs w:val="24"/>
              </w:rPr>
              <w:t>提资</w:t>
            </w:r>
            <w:r>
              <w:rPr>
                <w:rFonts w:hint="eastAsia" w:ascii="宋体" w:hAnsi="宋体" w:eastAsia="宋体" w:cs="宋体"/>
                <w:sz w:val="24"/>
                <w:szCs w:val="24"/>
              </w:rPr>
              <w:t>要求提供详细的</w:t>
            </w:r>
            <w:r>
              <w:rPr>
                <w:rStyle w:val="11"/>
                <w:rFonts w:hint="eastAsia" w:ascii="宋体" w:hAnsi="宋体" w:eastAsia="宋体" w:cs="宋体"/>
                <w:sz w:val="24"/>
                <w:szCs w:val="24"/>
              </w:rPr>
              <w:t>设备</w:t>
            </w:r>
            <w:r>
              <w:rPr>
                <w:rFonts w:hint="eastAsia" w:ascii="宋体" w:hAnsi="宋体" w:eastAsia="宋体" w:cs="宋体"/>
                <w:sz w:val="24"/>
                <w:szCs w:val="24"/>
              </w:rPr>
              <w:t>图纸等资料,其中包含</w:t>
            </w:r>
            <w:r>
              <w:rPr>
                <w:rStyle w:val="11"/>
                <w:rFonts w:hint="eastAsia" w:ascii="宋体" w:hAnsi="宋体" w:eastAsia="宋体" w:cs="宋体"/>
                <w:sz w:val="24"/>
                <w:szCs w:val="24"/>
              </w:rPr>
              <w:t>设备</w:t>
            </w:r>
            <w:r>
              <w:rPr>
                <w:rFonts w:hint="eastAsia" w:ascii="宋体" w:hAnsi="宋体" w:eastAsia="宋体" w:cs="宋体"/>
                <w:sz w:val="24"/>
                <w:szCs w:val="24"/>
              </w:rPr>
              <w:t>的外形尺寸,运维空间</w:t>
            </w:r>
            <w:r>
              <w:rPr>
                <w:rStyle w:val="11"/>
                <w:rFonts w:hint="eastAsia" w:ascii="宋体" w:hAnsi="宋体" w:eastAsia="宋体" w:cs="宋体"/>
                <w:sz w:val="24"/>
                <w:szCs w:val="24"/>
              </w:rPr>
              <w:t>,设备</w:t>
            </w:r>
            <w:r>
              <w:rPr>
                <w:rFonts w:hint="eastAsia" w:ascii="宋体" w:hAnsi="宋体" w:eastAsia="宋体" w:cs="宋体"/>
                <w:sz w:val="24"/>
                <w:szCs w:val="24"/>
              </w:rPr>
              <w:t>运行参数,材料材质,接口信息,规格,技术需求.等资料，提交给买方，项目设计单位以此补充设计施工图纸，中标人最终审核确认。对于提资不准确不全面、不符合招标文件技术要求、提资变更导致的损失由卖方承担，并承担违约责任。</w:t>
            </w:r>
          </w:p>
        </w:tc>
      </w:tr>
      <w:bookmarkEnd w:id="1"/>
    </w:tbl>
    <w:p w14:paraId="08518399">
      <w:pPr>
        <w:pStyle w:val="5"/>
        <w:numPr>
          <w:ilvl w:val="0"/>
          <w:numId w:val="1"/>
        </w:numPr>
        <w:jc w:val="center"/>
        <w:outlineLvl w:val="0"/>
        <w:rPr>
          <w:rFonts w:ascii="Calibri" w:hAnsi="Calibri" w:eastAsia="宋体" w:cs="Times New Roman"/>
          <w:b/>
          <w:bCs/>
          <w:kern w:val="44"/>
          <w:sz w:val="36"/>
          <w:szCs w:val="44"/>
        </w:rPr>
        <w:sectPr>
          <w:headerReference r:id="rId3" w:type="default"/>
          <w:footerReference r:id="rId4" w:type="default"/>
          <w:pgSz w:w="11907" w:h="16840"/>
          <w:pgMar w:top="1304" w:right="1418" w:bottom="1304" w:left="1418" w:header="724" w:footer="851" w:gutter="0"/>
          <w:cols w:space="720" w:num="1"/>
          <w:docGrid w:linePitch="290" w:charSpace="-3931"/>
        </w:sectPr>
      </w:pPr>
    </w:p>
    <w:p w14:paraId="533D6890">
      <w:pPr>
        <w:pStyle w:val="5"/>
        <w:jc w:val="center"/>
        <w:outlineLvl w:val="0"/>
        <w:rPr>
          <w:rFonts w:ascii="Calibri" w:hAnsi="Calibri" w:eastAsia="宋体" w:cs="Times New Roman"/>
          <w:b/>
          <w:bCs/>
          <w:kern w:val="44"/>
          <w:sz w:val="36"/>
          <w:szCs w:val="44"/>
        </w:rPr>
      </w:pPr>
      <w:bookmarkStart w:id="2" w:name="_Toc15609"/>
      <w:r>
        <w:rPr>
          <w:rFonts w:hint="eastAsia" w:ascii="Calibri" w:hAnsi="Calibri" w:eastAsia="宋体" w:cs="Times New Roman"/>
          <w:b/>
          <w:bCs/>
          <w:kern w:val="44"/>
          <w:sz w:val="36"/>
          <w:szCs w:val="44"/>
        </w:rPr>
        <w:t>第二部分 投标须知</w:t>
      </w:r>
      <w:bookmarkEnd w:id="2"/>
    </w:p>
    <w:p w14:paraId="4F512882">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一、项目名称</w:t>
      </w:r>
    </w:p>
    <w:p w14:paraId="76985980">
      <w:pPr>
        <w:spacing w:line="360" w:lineRule="auto"/>
        <w:ind w:left="1679" w:leftChars="228" w:hanging="1200" w:hangingChars="500"/>
        <w:rPr>
          <w:rFonts w:ascii="宋体" w:hAnsi="宋体" w:eastAsia="宋体" w:cs="宋体"/>
          <w:color w:val="000000"/>
          <w:sz w:val="24"/>
          <w:szCs w:val="24"/>
          <w:u w:val="single"/>
        </w:rPr>
      </w:pPr>
      <w:r>
        <w:rPr>
          <w:rFonts w:hint="eastAsia" w:ascii="宋体" w:hAnsi="宋体" w:eastAsia="宋体" w:cs="宋体"/>
          <w:color w:val="000000"/>
          <w:sz w:val="24"/>
          <w:szCs w:val="24"/>
        </w:rPr>
        <w:t>项目名称：</w:t>
      </w:r>
      <w:bookmarkStart w:id="3" w:name="OLE_LINK1"/>
      <w:r>
        <w:rPr>
          <w:rFonts w:hint="eastAsia" w:ascii="宋体" w:hAnsi="宋体" w:eastAsia="宋体" w:cs="宋体"/>
          <w:color w:val="000000"/>
          <w:sz w:val="24"/>
          <w:szCs w:val="24"/>
        </w:rPr>
        <w:t>见《投标须知前附表》。</w:t>
      </w:r>
    </w:p>
    <w:bookmarkEnd w:id="3"/>
    <w:p w14:paraId="042CFC68">
      <w:pPr>
        <w:keepNext/>
        <w:keepLines/>
        <w:numPr>
          <w:ilvl w:val="0"/>
          <w:numId w:val="2"/>
        </w:numPr>
        <w:spacing w:line="360" w:lineRule="auto"/>
        <w:outlineLvl w:val="1"/>
        <w:rPr>
          <w:rFonts w:ascii="宋体" w:hAnsi="宋体" w:eastAsia="宋体" w:cs="宋体"/>
          <w:b/>
          <w:bCs/>
          <w:sz w:val="24"/>
          <w:szCs w:val="24"/>
        </w:rPr>
      </w:pPr>
      <w:r>
        <w:rPr>
          <w:rFonts w:hint="eastAsia" w:ascii="宋体" w:hAnsi="宋体" w:eastAsia="宋体" w:cs="宋体"/>
          <w:b/>
          <w:bCs/>
          <w:sz w:val="24"/>
          <w:szCs w:val="24"/>
        </w:rPr>
        <w:t>招标内容及形式</w:t>
      </w:r>
    </w:p>
    <w:p w14:paraId="2E987E03">
      <w:pPr>
        <w:pStyle w:val="5"/>
        <w:spacing w:line="360" w:lineRule="auto"/>
        <w:ind w:firstLine="480" w:firstLineChars="200"/>
        <w:rPr>
          <w:rFonts w:hAnsi="宋体" w:eastAsia="宋体" w:cs="宋体"/>
          <w:sz w:val="24"/>
          <w:szCs w:val="24"/>
        </w:rPr>
      </w:pPr>
      <w:r>
        <w:rPr>
          <w:rFonts w:hint="eastAsia" w:hAnsi="宋体" w:eastAsia="宋体" w:cs="宋体"/>
          <w:color w:val="000000"/>
          <w:sz w:val="24"/>
          <w:szCs w:val="24"/>
        </w:rPr>
        <w:t>见《投标须知前附表》。</w:t>
      </w:r>
    </w:p>
    <w:p w14:paraId="6BF9BD02">
      <w:pPr>
        <w:spacing w:line="360" w:lineRule="auto"/>
        <w:ind w:firstLine="482" w:firstLineChars="200"/>
        <w:rPr>
          <w:rFonts w:ascii="宋体" w:hAnsi="宋体" w:eastAsia="宋体" w:cs="宋体"/>
          <w:color w:val="000000"/>
          <w:sz w:val="24"/>
          <w:szCs w:val="24"/>
        </w:rPr>
      </w:pPr>
      <w:r>
        <w:rPr>
          <w:rFonts w:hint="eastAsia" w:ascii="宋体" w:hAnsi="宋体" w:eastAsia="宋体" w:cs="宋体"/>
          <w:b/>
          <w:color w:val="000000"/>
          <w:sz w:val="24"/>
          <w:szCs w:val="24"/>
        </w:rPr>
        <w:t>对于本项目需着重介绍的注意事项已经通过以下带颜色文档进行标记。</w:t>
      </w:r>
    </w:p>
    <w:p w14:paraId="39D1B82D">
      <w:pPr>
        <w:spacing w:line="360" w:lineRule="auto"/>
        <w:ind w:firstLine="482" w:firstLineChars="200"/>
        <w:rPr>
          <w:rFonts w:ascii="宋体" w:hAnsi="宋体" w:eastAsia="宋体" w:cs="宋体"/>
          <w:b/>
          <w:color w:val="000000"/>
          <w:sz w:val="24"/>
          <w:szCs w:val="24"/>
        </w:rPr>
      </w:pPr>
      <w:r>
        <w:rPr>
          <w:rFonts w:hint="eastAsia" w:ascii="宋体" w:hAnsi="宋体" w:eastAsia="宋体" w:cs="宋体"/>
          <w:b/>
          <w:color w:val="000000"/>
          <w:sz w:val="24"/>
          <w:szCs w:val="24"/>
        </w:rPr>
        <w:t>具体要求详见《技术标书》。</w:t>
      </w:r>
    </w:p>
    <w:p w14:paraId="46648635">
      <w:pPr>
        <w:keepNext/>
        <w:keepLines/>
        <w:numPr>
          <w:ilvl w:val="0"/>
          <w:numId w:val="2"/>
        </w:numPr>
        <w:spacing w:line="360" w:lineRule="auto"/>
        <w:outlineLvl w:val="1"/>
        <w:rPr>
          <w:rFonts w:ascii="宋体" w:hAnsi="宋体" w:eastAsia="宋体" w:cs="宋体"/>
          <w:b/>
          <w:bCs/>
          <w:sz w:val="24"/>
          <w:szCs w:val="24"/>
        </w:rPr>
      </w:pPr>
      <w:r>
        <w:rPr>
          <w:rFonts w:hint="eastAsia" w:ascii="宋体" w:hAnsi="宋体" w:eastAsia="宋体" w:cs="宋体"/>
          <w:b/>
          <w:bCs/>
          <w:sz w:val="24"/>
          <w:szCs w:val="24"/>
        </w:rPr>
        <w:t>交货及付款</w:t>
      </w:r>
      <w:r>
        <w:rPr>
          <w:rFonts w:hint="eastAsia" w:ascii="宋体" w:hAnsi="宋体" w:eastAsia="宋体" w:cs="宋体"/>
          <w:b/>
          <w:bCs/>
          <w:sz w:val="24"/>
          <w:szCs w:val="24"/>
        </w:rPr>
        <w:tab/>
      </w:r>
    </w:p>
    <w:p w14:paraId="06184CFE">
      <w:pPr>
        <w:pStyle w:val="5"/>
        <w:spacing w:line="360" w:lineRule="auto"/>
        <w:ind w:firstLine="480" w:firstLineChars="200"/>
        <w:rPr>
          <w:rFonts w:hAnsi="宋体" w:eastAsia="宋体" w:cs="宋体"/>
          <w:sz w:val="24"/>
          <w:szCs w:val="24"/>
        </w:rPr>
      </w:pPr>
      <w:r>
        <w:rPr>
          <w:rFonts w:hint="eastAsia" w:hAnsi="宋体" w:eastAsia="宋体" w:cs="宋体"/>
          <w:color w:val="000000"/>
          <w:sz w:val="24"/>
          <w:szCs w:val="24"/>
        </w:rPr>
        <w:t>交货期、交货地点、交货方式、付款方式及比例见《投标须知前附表》第7条。</w:t>
      </w:r>
    </w:p>
    <w:p w14:paraId="3505B272">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四、投标说明</w:t>
      </w:r>
    </w:p>
    <w:p w14:paraId="6AB46112">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1.报名方式</w:t>
      </w:r>
    </w:p>
    <w:p w14:paraId="0C5281C3">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投标人根据招标人在中国重汽官网等公开媒体上发布的招标信息，在“中国重汽e采通”平台报名。按照中国重汽e采通“SRM非生产供应商注册手册（附件15）”进行注册，</w:t>
      </w:r>
      <w:r>
        <w:rPr>
          <w:rFonts w:hint="eastAsia" w:eastAsia="宋体" w:cs="Times New Roman"/>
          <w:color w:val="000000"/>
          <w:sz w:val="24"/>
          <w:szCs w:val="24"/>
        </w:rPr>
        <w:t>注册完毕后按照</w:t>
      </w:r>
      <w:r>
        <w:rPr>
          <w:rFonts w:hint="eastAsia" w:ascii="宋体" w:hAnsi="宋体" w:eastAsia="宋体" w:cs="宋体"/>
          <w:b/>
          <w:color w:val="000000"/>
          <w:sz w:val="24"/>
          <w:szCs w:val="24"/>
        </w:rPr>
        <w:t>“SRM系统供应商用户手册（附件16）”登录系统，</w:t>
      </w:r>
      <w:r>
        <w:rPr>
          <w:rFonts w:hint="eastAsia" w:ascii="宋体" w:hAnsi="宋体" w:eastAsia="宋体" w:cs="宋体"/>
          <w:color w:val="000000"/>
          <w:sz w:val="24"/>
          <w:szCs w:val="24"/>
        </w:rPr>
        <w:t>进入“供应商应标”，选择对应的项目，点击“应标”后按照招标文件第三部分投标文件组成资格证明文件中的1.1-1.13准备资料并上传，资质审查通过即为报名成功，公示期间请尽快报名。</w:t>
      </w:r>
    </w:p>
    <w:p w14:paraId="7C0E810B">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投标保证金缴纳的时候，</w:t>
      </w:r>
      <w:r>
        <w:rPr>
          <w:rFonts w:hint="eastAsia" w:ascii="宋体" w:hAnsi="宋体" w:eastAsia="宋体" w:cs="宋体"/>
          <w:b/>
          <w:bCs/>
          <w:color w:val="000000"/>
          <w:sz w:val="24"/>
          <w:szCs w:val="24"/>
        </w:rPr>
        <w:t>务必备注所投标的项目名称</w:t>
      </w:r>
      <w:r>
        <w:rPr>
          <w:rFonts w:hint="eastAsia" w:ascii="宋体" w:hAnsi="宋体" w:eastAsia="宋体" w:cs="宋体"/>
          <w:color w:val="000000"/>
          <w:sz w:val="24"/>
          <w:szCs w:val="24"/>
        </w:rPr>
        <w:t>。</w:t>
      </w:r>
    </w:p>
    <w:p w14:paraId="08A2FA1C">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不按要求报名的，或因未提供相关信息导致后期无法退回保证金的，需投标人承担责任。</w:t>
      </w:r>
    </w:p>
    <w:p w14:paraId="3B20B513">
      <w:pPr>
        <w:keepNext/>
        <w:keepLines/>
        <w:numPr>
          <w:ilvl w:val="0"/>
          <w:numId w:val="3"/>
        </w:numPr>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投标条件</w:t>
      </w:r>
    </w:p>
    <w:p w14:paraId="71898F75">
      <w:pPr>
        <w:pStyle w:val="5"/>
        <w:spacing w:line="360" w:lineRule="auto"/>
        <w:ind w:firstLine="480"/>
        <w:rPr>
          <w:rFonts w:hAnsi="宋体" w:eastAsia="宋体" w:cs="宋体"/>
          <w:b/>
          <w:color w:val="000000"/>
          <w:sz w:val="24"/>
          <w:szCs w:val="24"/>
        </w:rPr>
      </w:pPr>
      <w:r>
        <w:rPr>
          <w:rFonts w:hint="eastAsia" w:hAnsi="宋体" w:eastAsia="宋体" w:cs="宋体"/>
          <w:b/>
          <w:bCs/>
          <w:color w:val="000000"/>
          <w:sz w:val="24"/>
          <w:szCs w:val="24"/>
        </w:rPr>
        <w:t>对于中国境内投标人，投标条件详见招标文件“第一部分投标须知前附表1.6”。</w:t>
      </w:r>
    </w:p>
    <w:p w14:paraId="6D86A0CF">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3.报价</w:t>
      </w:r>
    </w:p>
    <w:p w14:paraId="0ED33FC1">
      <w:pPr>
        <w:pStyle w:val="5"/>
        <w:spacing w:line="360" w:lineRule="auto"/>
        <w:ind w:firstLine="480" w:firstLineChars="200"/>
        <w:rPr>
          <w:rFonts w:hAnsi="宋体" w:eastAsia="宋体" w:cs="宋体"/>
          <w:color w:val="000000"/>
          <w:sz w:val="24"/>
          <w:szCs w:val="24"/>
        </w:rPr>
      </w:pPr>
      <w:r>
        <w:rPr>
          <w:rFonts w:hAnsi="宋体" w:eastAsia="宋体" w:cs="宋体"/>
          <w:color w:val="000000"/>
          <w:sz w:val="24"/>
          <w:szCs w:val="24"/>
        </w:rPr>
        <w:t>3</w:t>
      </w:r>
      <w:r>
        <w:rPr>
          <w:rFonts w:hint="eastAsia" w:hAnsi="宋体" w:eastAsia="宋体" w:cs="宋体"/>
          <w:color w:val="000000"/>
          <w:sz w:val="24"/>
          <w:szCs w:val="24"/>
        </w:rPr>
        <w:t>.1</w:t>
      </w:r>
      <w:r>
        <w:rPr>
          <w:rFonts w:hint="eastAsia" w:hAnsi="宋体" w:eastAsia="宋体" w:cs="宋体"/>
          <w:sz w:val="24"/>
          <w:szCs w:val="24"/>
        </w:rPr>
        <w:t>本次招投标为公开</w:t>
      </w:r>
      <w:r>
        <w:rPr>
          <w:rFonts w:hint="eastAsia" w:hAnsi="宋体" w:eastAsia="宋体" w:cs="宋体"/>
          <w:color w:val="000000"/>
          <w:sz w:val="24"/>
          <w:szCs w:val="24"/>
        </w:rPr>
        <w:t>招标</w:t>
      </w:r>
      <w:r>
        <w:rPr>
          <w:rFonts w:hint="eastAsia" w:hAnsi="宋体" w:eastAsia="宋体" w:cs="宋体"/>
          <w:b/>
          <w:sz w:val="24"/>
          <w:szCs w:val="24"/>
        </w:rPr>
        <w:t>；</w:t>
      </w:r>
      <w:r>
        <w:rPr>
          <w:rFonts w:hint="eastAsia" w:hAnsi="宋体" w:eastAsia="宋体" w:cs="宋体"/>
          <w:color w:val="000000"/>
          <w:sz w:val="24"/>
          <w:szCs w:val="24"/>
        </w:rPr>
        <w:t>评标流程以及规则详见本部分第六条评标原则。</w:t>
      </w:r>
    </w:p>
    <w:p w14:paraId="32A35B5E">
      <w:pPr>
        <w:spacing w:line="360" w:lineRule="auto"/>
        <w:ind w:firstLine="235" w:firstLineChars="98"/>
        <w:rPr>
          <w:rFonts w:ascii="宋体" w:hAnsi="宋体" w:eastAsia="宋体" w:cs="宋体"/>
          <w:color w:val="000000"/>
          <w:sz w:val="24"/>
          <w:szCs w:val="24"/>
        </w:rPr>
      </w:pPr>
      <w:r>
        <w:rPr>
          <w:rFonts w:hint="eastAsia" w:ascii="宋体" w:hAnsi="宋体" w:eastAsia="宋体" w:cs="宋体"/>
          <w:color w:val="000000"/>
          <w:sz w:val="24"/>
          <w:szCs w:val="24"/>
        </w:rPr>
        <w:t xml:space="preserve"> 如需要，由投标人自行勘察现场，进行合理报价。投标总报价应包括设备费、原厂服务费及相关配件、随机资料、人身保险、税费、包装、装箱、集装箱偏重配重费用、安装调试</w:t>
      </w:r>
      <w:r>
        <w:rPr>
          <w:rFonts w:ascii="宋体" w:hAnsi="宋体" w:eastAsia="宋体" w:cs="宋体"/>
          <w:color w:val="000000"/>
          <w:sz w:val="24"/>
          <w:szCs w:val="24"/>
        </w:rPr>
        <w:t>(</w:t>
      </w:r>
      <w:r>
        <w:rPr>
          <w:rFonts w:ascii="宋体" w:hAnsi="宋体" w:eastAsia="宋体" w:cs="宋体"/>
          <w:sz w:val="24"/>
          <w:szCs w:val="24"/>
        </w:rPr>
        <w:t>含人员</w:t>
      </w:r>
      <w:r>
        <w:rPr>
          <w:rFonts w:hint="eastAsia" w:ascii="宋体" w:hAnsi="宋体" w:eastAsia="宋体" w:cs="宋体"/>
          <w:sz w:val="24"/>
          <w:szCs w:val="24"/>
        </w:rPr>
        <w:t>过境机票、</w:t>
      </w:r>
      <w:r>
        <w:rPr>
          <w:rFonts w:ascii="宋体" w:hAnsi="宋体" w:eastAsia="宋体" w:cs="宋体"/>
          <w:sz w:val="24"/>
          <w:szCs w:val="24"/>
        </w:rPr>
        <w:t>签证</w:t>
      </w:r>
      <w:r>
        <w:rPr>
          <w:rFonts w:hint="eastAsia" w:ascii="宋体" w:hAnsi="宋体" w:eastAsia="宋体" w:cs="宋体"/>
          <w:sz w:val="24"/>
          <w:szCs w:val="24"/>
        </w:rPr>
        <w:t>、食宿</w:t>
      </w:r>
      <w:r>
        <w:rPr>
          <w:rFonts w:ascii="宋体" w:hAnsi="宋体" w:eastAsia="宋体" w:cs="宋体"/>
          <w:sz w:val="24"/>
          <w:szCs w:val="24"/>
        </w:rPr>
        <w:t>和交通费用</w:t>
      </w:r>
      <w:r>
        <w:rPr>
          <w:rFonts w:hint="eastAsia" w:ascii="宋体" w:hAnsi="宋体" w:eastAsia="宋体" w:cs="宋体"/>
          <w:sz w:val="24"/>
          <w:szCs w:val="24"/>
        </w:rPr>
        <w:t>等</w:t>
      </w:r>
      <w:r>
        <w:rPr>
          <w:rFonts w:ascii="宋体" w:hAnsi="宋体" w:eastAsia="宋体" w:cs="宋体"/>
          <w:color w:val="000000"/>
          <w:sz w:val="24"/>
          <w:szCs w:val="24"/>
        </w:rPr>
        <w:t>)、与其他专业配合、配合办理竣工验收（交钥匙）手续及可预见的风险以及其它不可预见等全部费用。</w:t>
      </w:r>
    </w:p>
    <w:p w14:paraId="6C9C9EDD">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3.2</w:t>
      </w:r>
      <w:r>
        <w:rPr>
          <w:rFonts w:hint="eastAsia" w:ascii="宋体" w:hAnsi="宋体" w:eastAsia="宋体" w:cs="宋体"/>
          <w:b/>
          <w:bCs/>
          <w:color w:val="000000"/>
          <w:sz w:val="24"/>
          <w:szCs w:val="24"/>
        </w:rPr>
        <w:t>所有设备的报价货币单位为：</w:t>
      </w:r>
      <w:r>
        <w:rPr>
          <w:rFonts w:hint="eastAsia" w:ascii="宋体" w:hAnsi="宋体" w:eastAsia="宋体" w:cs="宋体"/>
          <w:b/>
          <w:bCs/>
          <w:color w:val="000000"/>
          <w:sz w:val="24"/>
          <w:szCs w:val="24"/>
          <w:u w:val="single"/>
        </w:rPr>
        <w:t xml:space="preserve">         </w:t>
      </w:r>
      <w:r>
        <w:rPr>
          <w:rFonts w:hint="eastAsia" w:ascii="宋体" w:hAnsi="宋体" w:eastAsia="宋体" w:cs="宋体"/>
          <w:b/>
          <w:bCs/>
          <w:color w:val="000000"/>
          <w:sz w:val="24"/>
          <w:szCs w:val="24"/>
        </w:rPr>
        <w:t>元【人民币（应同时报含税价和不含税价并写明税率）】。</w:t>
      </w:r>
    </w:p>
    <w:p w14:paraId="2461F104">
      <w:pPr>
        <w:keepNext/>
        <w:keepLines/>
        <w:spacing w:line="360" w:lineRule="auto"/>
        <w:ind w:firstLine="482" w:firstLineChars="200"/>
        <w:outlineLvl w:val="2"/>
        <w:rPr>
          <w:rFonts w:ascii="宋体" w:hAnsi="宋体" w:eastAsia="宋体" w:cs="宋体"/>
          <w:sz w:val="24"/>
          <w:szCs w:val="24"/>
        </w:rPr>
      </w:pPr>
      <w:r>
        <w:rPr>
          <w:rFonts w:hint="eastAsia" w:ascii="宋体" w:hAnsi="宋体" w:eastAsia="宋体" w:cs="宋体"/>
          <w:b/>
          <w:bCs/>
          <w:color w:val="000000"/>
          <w:sz w:val="24"/>
          <w:szCs w:val="24"/>
        </w:rPr>
        <w:t>4.设备要求：</w:t>
      </w:r>
    </w:p>
    <w:p w14:paraId="2D87FE99">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4.1投标设备技术参数和总体要求按《技术标书》执行；</w:t>
      </w:r>
    </w:p>
    <w:p w14:paraId="3D9B2DCB">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4.2设备制造完毕经出厂检验合格后方能发货；</w:t>
      </w:r>
    </w:p>
    <w:p w14:paraId="41BC0788">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4.3设备包装参考技术标书中包装要求；</w:t>
      </w:r>
    </w:p>
    <w:p w14:paraId="420AD0C8">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4.4设备交货，招标方安排集装箱到投标方加工厂提货及运输，投标方负责货物包装、集装箱装箱，否则买方有权拒绝接受货物；</w:t>
      </w:r>
    </w:p>
    <w:p w14:paraId="64090E1D">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4.4投标企业按技术规范书提报设备详细技术资料；</w:t>
      </w:r>
    </w:p>
    <w:p w14:paraId="5A6692E7">
      <w:pPr>
        <w:pStyle w:val="5"/>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4.5设备所安装的操作系统及系统开发的软件均为正版，投标人是系统软件的所有权人或已获知识产权所有权人的正式授权，对该系统软件拥有合法的知识产权或具有合法的来源，在有关知识产权中不存在任何侵犯第三方的权益；</w:t>
      </w:r>
    </w:p>
    <w:p w14:paraId="7811137D">
      <w:pPr>
        <w:pStyle w:val="5"/>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4.7设备设施颜色依据招标方要求。</w:t>
      </w:r>
    </w:p>
    <w:p w14:paraId="0DC6BEF5">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5.其他要求</w:t>
      </w:r>
    </w:p>
    <w:p w14:paraId="28B2CD54">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包装、检验、交付、安装、调试、培训、结算、质保及售后服务等，按《技术标书》要求，在标书中列示说明，最终以合同约定为准。</w:t>
      </w:r>
    </w:p>
    <w:p w14:paraId="36C59C6E">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6.询标</w:t>
      </w:r>
    </w:p>
    <w:p w14:paraId="411726FF">
      <w:pPr>
        <w:keepNext/>
        <w:keepLines/>
        <w:spacing w:line="360" w:lineRule="auto"/>
        <w:ind w:firstLine="480" w:firstLineChars="200"/>
        <w:rPr>
          <w:rFonts w:ascii="宋体" w:hAnsi="宋体" w:eastAsia="宋体" w:cs="宋体"/>
          <w:b/>
          <w:bCs/>
          <w:color w:val="000000"/>
          <w:sz w:val="24"/>
          <w:szCs w:val="24"/>
        </w:rPr>
      </w:pPr>
      <w:r>
        <w:rPr>
          <w:rFonts w:hint="eastAsia" w:ascii="宋体" w:hAnsi="宋体" w:eastAsia="宋体" w:cs="宋体"/>
          <w:color w:val="000000"/>
          <w:sz w:val="24"/>
          <w:szCs w:val="24"/>
        </w:rPr>
        <w:t>凡对本次招标提出的询问，均以招标人的书面答复为准。</w:t>
      </w:r>
    </w:p>
    <w:p w14:paraId="4011BA14">
      <w:pPr>
        <w:keepNext/>
        <w:keepLines/>
        <w:spacing w:line="360" w:lineRule="auto"/>
        <w:outlineLvl w:val="1"/>
        <w:rPr>
          <w:rFonts w:ascii="宋体" w:hAnsi="宋体" w:eastAsia="宋体" w:cs="宋体"/>
          <w:b/>
          <w:bCs/>
          <w:color w:val="000000"/>
          <w:sz w:val="24"/>
          <w:szCs w:val="24"/>
        </w:rPr>
      </w:pPr>
      <w:r>
        <w:rPr>
          <w:rFonts w:hint="eastAsia" w:ascii="宋体" w:hAnsi="宋体" w:eastAsia="宋体" w:cs="宋体"/>
          <w:b/>
          <w:bCs/>
          <w:color w:val="000000"/>
          <w:sz w:val="24"/>
          <w:szCs w:val="24"/>
        </w:rPr>
        <w:t>五、议程安排</w:t>
      </w:r>
    </w:p>
    <w:p w14:paraId="511F8955">
      <w:pPr>
        <w:keepNext/>
        <w:keepLines/>
        <w:spacing w:line="360" w:lineRule="auto"/>
        <w:ind w:firstLine="482" w:firstLineChars="200"/>
        <w:outlineLvl w:val="2"/>
        <w:rPr>
          <w:rFonts w:ascii="宋体" w:hAnsi="宋体" w:eastAsia="宋体" w:cs="宋体"/>
          <w:color w:val="000000"/>
          <w:sz w:val="24"/>
          <w:szCs w:val="24"/>
        </w:rPr>
      </w:pPr>
      <w:r>
        <w:rPr>
          <w:rFonts w:hint="eastAsia" w:ascii="宋体" w:hAnsi="宋体" w:eastAsia="宋体" w:cs="宋体"/>
          <w:b/>
          <w:bCs/>
          <w:color w:val="000000"/>
          <w:sz w:val="24"/>
          <w:szCs w:val="24"/>
        </w:rPr>
        <w:t>1.发标时间</w:t>
      </w:r>
    </w:p>
    <w:p w14:paraId="785AE5E5">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见《投标须知前附表》2.1。</w:t>
      </w:r>
    </w:p>
    <w:p w14:paraId="03C7E4C7">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2.发标方式</w:t>
      </w:r>
    </w:p>
    <w:p w14:paraId="2534CE6C">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见《投标须知前附表》2</w:t>
      </w:r>
      <w:r>
        <w:rPr>
          <w:rFonts w:ascii="宋体" w:hAnsi="宋体" w:eastAsia="宋体" w:cs="宋体"/>
          <w:color w:val="000000"/>
          <w:sz w:val="24"/>
          <w:szCs w:val="24"/>
        </w:rPr>
        <w:t>.1</w:t>
      </w:r>
      <w:r>
        <w:rPr>
          <w:rFonts w:hint="eastAsia" w:ascii="宋体" w:hAnsi="宋体" w:eastAsia="宋体" w:cs="宋体"/>
          <w:sz w:val="24"/>
          <w:szCs w:val="24"/>
        </w:rPr>
        <w:t>。</w:t>
      </w:r>
    </w:p>
    <w:p w14:paraId="5BAD8229">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3.答疑</w:t>
      </w:r>
    </w:p>
    <w:p w14:paraId="3B6FB643">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见《投标须知前附表》第二条，逾期不受理。</w:t>
      </w:r>
    </w:p>
    <w:p w14:paraId="6041F0D8">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4.投标报名</w:t>
      </w:r>
    </w:p>
    <w:p w14:paraId="6BE6C827">
      <w:pPr>
        <w:keepNext/>
        <w:keepLines/>
        <w:spacing w:line="360" w:lineRule="auto"/>
        <w:ind w:firstLine="482"/>
        <w:rPr>
          <w:rFonts w:ascii="宋体" w:hAnsi="宋体" w:eastAsia="宋体" w:cs="宋体"/>
          <w:sz w:val="24"/>
          <w:szCs w:val="24"/>
        </w:rPr>
      </w:pPr>
      <w:r>
        <w:rPr>
          <w:rFonts w:hint="eastAsia" w:ascii="宋体" w:hAnsi="宋体" w:eastAsia="宋体" w:cs="宋体"/>
          <w:sz w:val="24"/>
          <w:szCs w:val="24"/>
        </w:rPr>
        <w:t>4.1投标人在报名参与本项目的同时，应提供项目投标保证金。投标保证金应在规定的时间前将投标保证金从投标人单位基本帐户转出并到账，否则按否决投标处理；未按规定提交保证金的投标人，其投标文件按否决投标处理。（保证金具体金额及缴纳截止时间见《投标须知前附表》4.2和4.3）。</w:t>
      </w:r>
    </w:p>
    <w:p w14:paraId="184FE4FA">
      <w:pPr>
        <w:pStyle w:val="13"/>
        <w:ind w:firstLine="480"/>
        <w:rPr>
          <w:rFonts w:eastAsia="宋体" w:cs="宋体"/>
        </w:rPr>
      </w:pPr>
      <w:r>
        <w:rPr>
          <w:rFonts w:hint="eastAsia" w:eastAsia="宋体" w:cs="宋体"/>
        </w:rPr>
        <w:t>4.2招标人银行账户信息如下：见《投标须知前附表》4.2。</w:t>
      </w:r>
    </w:p>
    <w:p w14:paraId="10AE3ED3">
      <w:pPr>
        <w:pStyle w:val="13"/>
        <w:ind w:firstLine="480"/>
        <w:rPr>
          <w:rFonts w:eastAsia="宋体" w:cs="宋体"/>
        </w:rPr>
      </w:pPr>
      <w:r>
        <w:rPr>
          <w:rFonts w:hint="eastAsia" w:eastAsia="宋体" w:cs="宋体"/>
        </w:rPr>
        <w:t>转账附言：公司名称+项目名称+投标保证金；</w:t>
      </w:r>
    </w:p>
    <w:p w14:paraId="08C03F4B">
      <w:pPr>
        <w:pStyle w:val="13"/>
        <w:ind w:firstLine="480"/>
        <w:rPr>
          <w:rFonts w:eastAsia="宋体" w:cs="宋体"/>
        </w:rPr>
      </w:pPr>
      <w:r>
        <w:rPr>
          <w:rFonts w:hint="eastAsia" w:eastAsia="宋体" w:cs="宋体"/>
        </w:rPr>
        <w:t>对于没有中标的投标人，投标保证金将于招标人内部完成中标人评审并确认最终中标人后在30工作日内予以原路返还（无息）；对于中标方，投标保证金将在签订合同后30个工作日内原路返还（无息）；</w:t>
      </w:r>
    </w:p>
    <w:p w14:paraId="212E64D3">
      <w:pPr>
        <w:pStyle w:val="13"/>
        <w:ind w:firstLine="480"/>
        <w:rPr>
          <w:rFonts w:eastAsia="宋体" w:cs="宋体"/>
        </w:rPr>
      </w:pPr>
      <w:r>
        <w:rPr>
          <w:rFonts w:hint="eastAsia" w:eastAsia="宋体" w:cs="宋体"/>
        </w:rPr>
        <w:t>4.3说明</w:t>
      </w:r>
    </w:p>
    <w:p w14:paraId="357EB466">
      <w:pPr>
        <w:pStyle w:val="13"/>
        <w:ind w:firstLine="480"/>
        <w:rPr>
          <w:rFonts w:eastAsia="宋体" w:cs="宋体"/>
        </w:rPr>
      </w:pPr>
      <w:r>
        <w:rPr>
          <w:rFonts w:hint="eastAsia" w:eastAsia="宋体" w:cs="宋体"/>
        </w:rPr>
        <w:t>4.4.1 投标人在向招标人出示《投标保证金缴纳凭证》后方可进行投标；</w:t>
      </w:r>
    </w:p>
    <w:p w14:paraId="2106E711">
      <w:pPr>
        <w:pStyle w:val="13"/>
        <w:ind w:firstLine="480"/>
        <w:rPr>
          <w:rFonts w:eastAsia="宋体" w:cs="宋体"/>
        </w:rPr>
      </w:pPr>
      <w:r>
        <w:rPr>
          <w:rFonts w:hint="eastAsia" w:eastAsia="宋体" w:cs="宋体"/>
        </w:rPr>
        <w:t>4.3.2 发生以下情况时，招标人有权没收保证金：</w:t>
      </w:r>
    </w:p>
    <w:p w14:paraId="1657943A">
      <w:pPr>
        <w:pStyle w:val="13"/>
        <w:ind w:firstLine="480"/>
        <w:rPr>
          <w:rFonts w:eastAsia="宋体" w:cs="宋体"/>
        </w:rPr>
      </w:pPr>
      <w:r>
        <w:rPr>
          <w:rFonts w:hint="eastAsia" w:eastAsia="宋体" w:cs="宋体"/>
        </w:rPr>
        <w:t>4.3.2.1 截至开标前3天，投标人无正当理由且未以书面形式递交说明而在投标截止日不来投标的；</w:t>
      </w:r>
    </w:p>
    <w:p w14:paraId="650BF004">
      <w:pPr>
        <w:pStyle w:val="13"/>
        <w:ind w:firstLine="480"/>
        <w:rPr>
          <w:rFonts w:eastAsia="宋体" w:cs="宋体"/>
        </w:rPr>
      </w:pPr>
      <w:r>
        <w:rPr>
          <w:rFonts w:hint="eastAsia" w:eastAsia="宋体" w:cs="宋体"/>
        </w:rPr>
        <w:t>4.3.2.2 投标人递送投标文件后，无正当理由放弃投标的；</w:t>
      </w:r>
    </w:p>
    <w:p w14:paraId="69BAF0D7">
      <w:pPr>
        <w:pStyle w:val="13"/>
        <w:ind w:firstLine="480"/>
        <w:rPr>
          <w:rFonts w:eastAsia="宋体" w:cs="宋体"/>
        </w:rPr>
      </w:pPr>
      <w:r>
        <w:rPr>
          <w:rFonts w:hint="eastAsia" w:eastAsia="宋体" w:cs="宋体"/>
        </w:rPr>
        <w:t>4.3.2.3若为视频开标，招标过程中澄清函等资料原件未按要求提交的；</w:t>
      </w:r>
    </w:p>
    <w:p w14:paraId="163B2482">
      <w:pPr>
        <w:pStyle w:val="13"/>
        <w:ind w:firstLine="480"/>
        <w:rPr>
          <w:rFonts w:eastAsia="宋体" w:cs="宋体"/>
        </w:rPr>
      </w:pPr>
      <w:r>
        <w:rPr>
          <w:rFonts w:hint="eastAsia" w:eastAsia="宋体" w:cs="宋体"/>
        </w:rPr>
        <w:t>4.3.2.4自中标通知书发出之日起30日内，中标人无正当理由不签订合同的；</w:t>
      </w:r>
    </w:p>
    <w:p w14:paraId="15A6F574">
      <w:pPr>
        <w:pStyle w:val="13"/>
        <w:ind w:firstLine="480"/>
        <w:rPr>
          <w:rFonts w:eastAsia="宋体" w:cs="宋体"/>
        </w:rPr>
      </w:pPr>
      <w:r>
        <w:rPr>
          <w:rFonts w:hint="eastAsia" w:eastAsia="宋体" w:cs="宋体"/>
        </w:rPr>
        <w:t>4.3.2.5投标人在投标过程中被查实有串标、围标、陪标等违规违纪行为的；</w:t>
      </w:r>
    </w:p>
    <w:p w14:paraId="03586F16">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4.3.2.6投标人有违约违规行为或被投诉、举报的，在调查处理期间，保证金暂不退还，待调查处理结束后按有关规定处理。</w:t>
      </w:r>
    </w:p>
    <w:p w14:paraId="1C0CFCDB">
      <w:pPr>
        <w:pStyle w:val="13"/>
        <w:ind w:firstLine="480"/>
        <w:rPr>
          <w:rFonts w:eastAsia="宋体" w:cs="宋体"/>
        </w:rPr>
      </w:pPr>
      <w:r>
        <w:rPr>
          <w:rFonts w:hint="eastAsia" w:eastAsia="宋体" w:cs="宋体"/>
        </w:rPr>
        <w:t>4.4投标报名截止时间</w:t>
      </w:r>
    </w:p>
    <w:p w14:paraId="762F14BE">
      <w:pPr>
        <w:pStyle w:val="13"/>
        <w:ind w:firstLine="480"/>
        <w:rPr>
          <w:rFonts w:eastAsia="宋体" w:cs="宋体"/>
        </w:rPr>
      </w:pPr>
      <w:r>
        <w:rPr>
          <w:rFonts w:hint="eastAsia" w:eastAsia="宋体" w:cs="宋体"/>
        </w:rPr>
        <w:t>报名方式：见《投标须知前附表》2.3。</w:t>
      </w:r>
    </w:p>
    <w:p w14:paraId="2AD32E6A">
      <w:pPr>
        <w:pStyle w:val="13"/>
        <w:ind w:firstLine="480"/>
        <w:rPr>
          <w:rFonts w:eastAsia="宋体" w:cs="宋体"/>
        </w:rPr>
      </w:pPr>
      <w:r>
        <w:rPr>
          <w:rFonts w:hint="eastAsia" w:eastAsia="宋体" w:cs="宋体"/>
        </w:rPr>
        <w:t>报名提交资料：均为盖章电子扫描版，用“公司名称+文件名称”命名。</w:t>
      </w:r>
    </w:p>
    <w:p w14:paraId="0625488E">
      <w:pPr>
        <w:numPr>
          <w:ilvl w:val="0"/>
          <w:numId w:val="4"/>
        </w:numPr>
        <w:spacing w:line="360" w:lineRule="auto"/>
        <w:rPr>
          <w:rFonts w:ascii="宋体" w:hAnsi="宋体" w:eastAsia="宋体" w:cs="宋体"/>
          <w:color w:val="000000"/>
          <w:sz w:val="24"/>
          <w:szCs w:val="24"/>
        </w:rPr>
      </w:pPr>
      <w:r>
        <w:rPr>
          <w:rFonts w:hint="eastAsia" w:ascii="宋体" w:hAnsi="宋体" w:eastAsia="宋体" w:cs="宋体"/>
          <w:b/>
          <w:color w:val="000000"/>
          <w:sz w:val="24"/>
          <w:szCs w:val="24"/>
        </w:rPr>
        <w:t>如果是授权委托人投标，</w:t>
      </w:r>
      <w:r>
        <w:rPr>
          <w:rFonts w:hint="eastAsia" w:ascii="宋体" w:hAnsi="宋体" w:eastAsia="宋体" w:cs="宋体"/>
          <w:color w:val="000000"/>
          <w:sz w:val="24"/>
          <w:szCs w:val="24"/>
        </w:rPr>
        <w:t>要提交营业执照副本、法人授权委托书（含法人及授权人身份信息证明、授权代表联系方式）。</w:t>
      </w:r>
    </w:p>
    <w:p w14:paraId="5275C31C">
      <w:pPr>
        <w:numPr>
          <w:ilvl w:val="0"/>
          <w:numId w:val="4"/>
        </w:numPr>
        <w:spacing w:line="360" w:lineRule="auto"/>
        <w:rPr>
          <w:rFonts w:ascii="宋体" w:hAnsi="宋体" w:eastAsia="宋体" w:cs="宋体"/>
          <w:color w:val="000000"/>
          <w:sz w:val="24"/>
          <w:szCs w:val="24"/>
        </w:rPr>
      </w:pPr>
      <w:r>
        <w:rPr>
          <w:rFonts w:hint="eastAsia" w:ascii="宋体" w:hAnsi="宋体" w:eastAsia="宋体" w:cs="宋体"/>
          <w:b/>
          <w:color w:val="000000"/>
          <w:sz w:val="24"/>
          <w:szCs w:val="24"/>
        </w:rPr>
        <w:t>如果是法人参加投标</w:t>
      </w:r>
      <w:r>
        <w:rPr>
          <w:rFonts w:hint="eastAsia" w:ascii="宋体" w:hAnsi="宋体" w:eastAsia="宋体" w:cs="宋体"/>
          <w:color w:val="000000"/>
          <w:sz w:val="24"/>
          <w:szCs w:val="24"/>
        </w:rPr>
        <w:t>，要提交营业执照副本、法人代表证明文件。</w:t>
      </w:r>
    </w:p>
    <w:p w14:paraId="0E763697">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5.开标时间</w:t>
      </w:r>
    </w:p>
    <w:p w14:paraId="25041AE5">
      <w:pPr>
        <w:keepNext/>
        <w:keepLines/>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见《投标须知前附表》5.1，若有变动另行通知。</w:t>
      </w:r>
    </w:p>
    <w:p w14:paraId="10B2A3D2">
      <w:pPr>
        <w:keepNext/>
        <w:keepLines/>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6.开标方式</w:t>
      </w:r>
    </w:p>
    <w:p w14:paraId="000ED193">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技术标现场参与开标，商务标现场或视频开标。</w:t>
      </w:r>
    </w:p>
    <w:p w14:paraId="7D8BED9F">
      <w:pPr>
        <w:spacing w:line="360" w:lineRule="auto"/>
        <w:jc w:val="left"/>
        <w:outlineLvl w:val="1"/>
        <w:rPr>
          <w:rFonts w:ascii="宋体" w:hAnsi="宋体" w:eastAsia="宋体" w:cs="宋体"/>
          <w:b/>
          <w:sz w:val="24"/>
          <w:szCs w:val="24"/>
        </w:rPr>
      </w:pPr>
      <w:bookmarkStart w:id="4" w:name="_Toc33265653"/>
      <w:bookmarkStart w:id="5" w:name="_Toc33265752"/>
      <w:bookmarkStart w:id="6" w:name="_Toc33285487"/>
      <w:bookmarkStart w:id="7" w:name="_Toc33266950"/>
      <w:bookmarkStart w:id="8" w:name="_Toc33266627"/>
      <w:bookmarkStart w:id="9" w:name="_Toc33267001"/>
      <w:bookmarkStart w:id="10" w:name="_Toc33266914"/>
      <w:r>
        <w:rPr>
          <w:rFonts w:hint="eastAsia" w:ascii="宋体" w:hAnsi="宋体" w:eastAsia="宋体" w:cs="宋体"/>
          <w:b/>
          <w:sz w:val="24"/>
          <w:szCs w:val="24"/>
        </w:rPr>
        <w:t>六、评价原则</w:t>
      </w:r>
      <w:bookmarkEnd w:id="4"/>
      <w:bookmarkEnd w:id="5"/>
      <w:bookmarkEnd w:id="6"/>
      <w:bookmarkEnd w:id="7"/>
      <w:bookmarkEnd w:id="8"/>
      <w:bookmarkEnd w:id="9"/>
      <w:bookmarkEnd w:id="10"/>
      <w:bookmarkStart w:id="11" w:name="_Toc395116633"/>
    </w:p>
    <w:bookmarkEnd w:id="11"/>
    <w:p w14:paraId="6AC457A3">
      <w:pPr>
        <w:spacing w:line="360" w:lineRule="auto"/>
        <w:ind w:firstLine="482" w:firstLineChars="200"/>
        <w:outlineLvl w:val="2"/>
        <w:rPr>
          <w:rFonts w:ascii="宋体" w:hAnsi="宋体" w:eastAsia="宋体" w:cs="宋体"/>
          <w:b/>
          <w:bCs/>
          <w:color w:val="000000"/>
          <w:sz w:val="24"/>
          <w:szCs w:val="24"/>
        </w:rPr>
      </w:pPr>
      <w:r>
        <w:rPr>
          <w:rFonts w:hint="eastAsia" w:ascii="宋体" w:hAnsi="宋体" w:eastAsia="宋体" w:cs="宋体"/>
          <w:b/>
          <w:bCs/>
          <w:color w:val="000000"/>
          <w:sz w:val="24"/>
          <w:szCs w:val="24"/>
        </w:rPr>
        <w:t>1.评标</w:t>
      </w:r>
    </w:p>
    <w:p w14:paraId="721B07F5">
      <w:pPr>
        <w:adjustRightInd w:val="0"/>
        <w:snapToGrid w:val="0"/>
        <w:spacing w:line="360" w:lineRule="auto"/>
        <w:ind w:firstLine="480" w:firstLineChars="200"/>
        <w:rPr>
          <w:rFonts w:ascii="宋体" w:hAnsi="宋体" w:eastAsia="宋体" w:cs="宋体"/>
          <w:sz w:val="24"/>
          <w:szCs w:val="24"/>
          <w:highlight w:val="green"/>
        </w:rPr>
      </w:pPr>
      <w:bookmarkStart w:id="12" w:name="_Toc33267002"/>
      <w:bookmarkStart w:id="13" w:name="_Toc33285489"/>
      <w:bookmarkStart w:id="14" w:name="_Toc395116634"/>
      <w:bookmarkStart w:id="15" w:name="_Toc33265654"/>
      <w:bookmarkStart w:id="16" w:name="_Toc33265753"/>
      <w:bookmarkStart w:id="17" w:name="_Toc33266951"/>
      <w:bookmarkStart w:id="18" w:name="_Toc33266915"/>
      <w:bookmarkStart w:id="19" w:name="_Toc33266628"/>
      <w:r>
        <w:rPr>
          <w:rFonts w:hint="eastAsia" w:ascii="宋体" w:hAnsi="宋体" w:eastAsia="宋体" w:cs="宋体"/>
          <w:sz w:val="24"/>
          <w:szCs w:val="24"/>
        </w:rPr>
        <w:t>本次招标采用</w:t>
      </w:r>
      <w:r>
        <w:rPr>
          <w:rFonts w:hint="eastAsia" w:ascii="宋体" w:hAnsi="宋体" w:eastAsia="宋体" w:cs="宋体"/>
          <w:b/>
          <w:bCs/>
          <w:sz w:val="24"/>
          <w:szCs w:val="24"/>
        </w:rPr>
        <w:t>综合评分法</w:t>
      </w:r>
      <w:r>
        <w:rPr>
          <w:rFonts w:hint="eastAsia" w:ascii="宋体" w:hAnsi="宋体" w:eastAsia="宋体" w:cs="宋体"/>
          <w:sz w:val="24"/>
          <w:szCs w:val="24"/>
        </w:rPr>
        <w:t>（技术标权重</w:t>
      </w:r>
      <w:r>
        <w:rPr>
          <w:rFonts w:ascii="宋体" w:hAnsi="宋体" w:eastAsia="宋体" w:cs="宋体"/>
          <w:sz w:val="24"/>
          <w:szCs w:val="24"/>
        </w:rPr>
        <w:t>4</w:t>
      </w:r>
      <w:r>
        <w:rPr>
          <w:rFonts w:hint="eastAsia" w:ascii="宋体" w:hAnsi="宋体" w:eastAsia="宋体" w:cs="宋体"/>
          <w:sz w:val="24"/>
          <w:szCs w:val="24"/>
        </w:rPr>
        <w:t>0%，商务标权重</w:t>
      </w:r>
      <w:r>
        <w:rPr>
          <w:rFonts w:ascii="宋体" w:hAnsi="宋体" w:eastAsia="宋体" w:cs="宋体"/>
          <w:sz w:val="24"/>
          <w:szCs w:val="24"/>
        </w:rPr>
        <w:t>6</w:t>
      </w:r>
      <w:r>
        <w:rPr>
          <w:rFonts w:hint="eastAsia" w:ascii="宋体" w:hAnsi="宋体" w:eastAsia="宋体" w:cs="宋体"/>
          <w:sz w:val="24"/>
          <w:szCs w:val="24"/>
        </w:rPr>
        <w:t>0%；技术标得分按百分制打分，技术标得分80分及以上入围商务标。商务标得分=当前轮次最低价/供方投标价×</w:t>
      </w:r>
      <w:r>
        <w:rPr>
          <w:rFonts w:ascii="宋体" w:hAnsi="宋体" w:eastAsia="宋体" w:cs="宋体"/>
          <w:sz w:val="24"/>
          <w:szCs w:val="24"/>
        </w:rPr>
        <w:t>60</w:t>
      </w:r>
      <w:r>
        <w:rPr>
          <w:rFonts w:hint="eastAsia" w:ascii="宋体" w:hAnsi="宋体" w:eastAsia="宋体" w:cs="宋体"/>
          <w:sz w:val="24"/>
          <w:szCs w:val="24"/>
        </w:rPr>
        <w:t>；综合评分=技术标得分×</w:t>
      </w:r>
      <w:r>
        <w:rPr>
          <w:rFonts w:ascii="宋体" w:hAnsi="宋体" w:eastAsia="宋体" w:cs="宋体"/>
          <w:sz w:val="24"/>
          <w:szCs w:val="24"/>
        </w:rPr>
        <w:t>4</w:t>
      </w:r>
      <w:r>
        <w:rPr>
          <w:rFonts w:hint="eastAsia" w:ascii="宋体" w:hAnsi="宋体" w:eastAsia="宋体" w:cs="宋体"/>
          <w:sz w:val="24"/>
          <w:szCs w:val="24"/>
        </w:rPr>
        <w:t>0%+商务标得分）。本着公平、公正、公开的原则，在通过技术标综合评审后入围的前提下，选择综合评分最高分确定中标人，对未中标方不做任何解释。</w:t>
      </w:r>
    </w:p>
    <w:bookmarkEnd w:id="12"/>
    <w:bookmarkEnd w:id="13"/>
    <w:bookmarkEnd w:id="14"/>
    <w:bookmarkEnd w:id="15"/>
    <w:bookmarkEnd w:id="16"/>
    <w:bookmarkEnd w:id="17"/>
    <w:bookmarkEnd w:id="18"/>
    <w:bookmarkEnd w:id="19"/>
    <w:p w14:paraId="4E40E79C">
      <w:pPr>
        <w:spacing w:line="360" w:lineRule="auto"/>
        <w:ind w:firstLine="482" w:firstLineChars="200"/>
        <w:rPr>
          <w:rFonts w:ascii="宋体" w:hAnsi="宋体" w:eastAsia="宋体" w:cs="宋体"/>
          <w:b/>
          <w:color w:val="000000"/>
          <w:sz w:val="24"/>
          <w:szCs w:val="24"/>
        </w:rPr>
      </w:pPr>
      <w:r>
        <w:rPr>
          <w:rFonts w:hint="eastAsia" w:ascii="宋体" w:hAnsi="宋体" w:eastAsia="宋体" w:cs="宋体"/>
          <w:b/>
          <w:color w:val="000000"/>
          <w:sz w:val="24"/>
          <w:szCs w:val="24"/>
        </w:rPr>
        <w:t>评标流程：</w:t>
      </w:r>
    </w:p>
    <w:p w14:paraId="450E8943">
      <w:pPr>
        <w:pStyle w:val="5"/>
        <w:spacing w:line="360" w:lineRule="auto"/>
        <w:ind w:firstLine="482" w:firstLineChars="200"/>
        <w:rPr>
          <w:rFonts w:hAnsi="宋体" w:eastAsia="宋体" w:cs="宋体"/>
          <w:sz w:val="24"/>
          <w:szCs w:val="24"/>
        </w:rPr>
      </w:pPr>
      <w:r>
        <w:rPr>
          <w:rFonts w:hint="eastAsia" w:hAnsi="宋体" w:eastAsia="宋体" w:cs="宋体"/>
          <w:b/>
          <w:color w:val="000000"/>
          <w:sz w:val="24"/>
          <w:szCs w:val="24"/>
        </w:rPr>
        <w:t>投标文件包含《投标文件（资质标）》、《投标文件（技术标）》、《投标文件（商务标）》、《开标一览表》，共计四个文件。</w:t>
      </w:r>
    </w:p>
    <w:p w14:paraId="16E3ECB4">
      <w:pPr>
        <w:numPr>
          <w:ilvl w:val="0"/>
          <w:numId w:val="5"/>
        </w:numPr>
        <w:spacing w:line="360" w:lineRule="auto"/>
        <w:rPr>
          <w:rFonts w:ascii="宋体" w:hAnsi="宋体" w:eastAsia="宋体" w:cs="宋体"/>
          <w:b/>
          <w:color w:val="000000"/>
          <w:sz w:val="24"/>
          <w:szCs w:val="24"/>
        </w:rPr>
      </w:pPr>
      <w:r>
        <w:rPr>
          <w:rFonts w:hint="eastAsia" w:ascii="宋体" w:hAnsi="宋体" w:eastAsia="宋体" w:cs="宋体"/>
          <w:b/>
          <w:color w:val="000000"/>
          <w:sz w:val="24"/>
          <w:szCs w:val="24"/>
        </w:rPr>
        <w:t>应标资格审查：在“中国重汽e采通”应标报名时，</w:t>
      </w:r>
      <w:r>
        <w:rPr>
          <w:rFonts w:hint="eastAsia" w:ascii="宋体" w:hAnsi="宋体" w:eastAsia="宋体" w:cs="宋体"/>
          <w:b/>
          <w:bCs/>
          <w:color w:val="000000"/>
          <w:sz w:val="24"/>
          <w:szCs w:val="24"/>
        </w:rPr>
        <w:t>按照第三部分第三条投标文件组成资格证明文件中的1.1-1.12准备资料，上传完毕后，等待审核</w:t>
      </w:r>
      <w:r>
        <w:rPr>
          <w:rFonts w:hint="eastAsia" w:ascii="宋体" w:hAnsi="宋体" w:eastAsia="宋体" w:cs="宋体"/>
          <w:b/>
          <w:color w:val="000000"/>
          <w:sz w:val="24"/>
          <w:szCs w:val="24"/>
        </w:rPr>
        <w:t>；</w:t>
      </w:r>
    </w:p>
    <w:p w14:paraId="1E184E42">
      <w:pPr>
        <w:numPr>
          <w:ilvl w:val="0"/>
          <w:numId w:val="6"/>
        </w:numPr>
        <w:spacing w:line="360" w:lineRule="auto"/>
        <w:rPr>
          <w:rFonts w:ascii="宋体" w:hAnsi="宋体" w:eastAsia="宋体" w:cs="宋体"/>
          <w:b/>
          <w:color w:val="000000"/>
          <w:sz w:val="24"/>
          <w:szCs w:val="24"/>
        </w:rPr>
      </w:pPr>
      <w:r>
        <w:rPr>
          <w:rFonts w:hint="eastAsia" w:ascii="宋体" w:hAnsi="宋体" w:eastAsia="宋体" w:cs="宋体"/>
          <w:b/>
          <w:color w:val="000000"/>
          <w:sz w:val="24"/>
          <w:szCs w:val="24"/>
        </w:rPr>
        <w:t>通过应标资格审查的单位进入投标环节，按照“SRM系统供应商用户手册（附件16）”，在重汽e采通平台投递电子标书（包含资质标、技术标、商务标）；没有通过应标资质审查的单位不能进入投标环节；</w:t>
      </w:r>
    </w:p>
    <w:p w14:paraId="34DD0959">
      <w:pPr>
        <w:numPr>
          <w:ilvl w:val="0"/>
          <w:numId w:val="5"/>
        </w:numPr>
        <w:spacing w:line="360" w:lineRule="auto"/>
        <w:rPr>
          <w:rFonts w:ascii="宋体" w:hAnsi="宋体" w:eastAsia="宋体" w:cs="宋体"/>
          <w:b/>
          <w:color w:val="000000"/>
          <w:sz w:val="24"/>
          <w:szCs w:val="24"/>
        </w:rPr>
      </w:pPr>
      <w:r>
        <w:rPr>
          <w:rFonts w:hint="eastAsia" w:ascii="宋体" w:hAnsi="宋体" w:eastAsia="宋体" w:cs="宋体"/>
          <w:b/>
          <w:sz w:val="24"/>
          <w:szCs w:val="24"/>
        </w:rPr>
        <w:t>资质标评审：资质标审核通过的单位，可以进入</w:t>
      </w:r>
      <w:r>
        <w:rPr>
          <w:rFonts w:hint="eastAsia" w:ascii="宋体" w:hAnsi="宋体" w:eastAsia="宋体" w:cs="宋体"/>
          <w:b/>
          <w:color w:val="000000"/>
          <w:sz w:val="24"/>
          <w:szCs w:val="24"/>
        </w:rPr>
        <w:t>公开唱标环节；</w:t>
      </w:r>
    </w:p>
    <w:p w14:paraId="124DCEF1">
      <w:pPr>
        <w:numPr>
          <w:ilvl w:val="0"/>
          <w:numId w:val="7"/>
        </w:numPr>
        <w:spacing w:line="360" w:lineRule="auto"/>
        <w:rPr>
          <w:rFonts w:ascii="宋体" w:hAnsi="宋体" w:eastAsia="宋体" w:cs="宋体"/>
          <w:b/>
          <w:sz w:val="24"/>
          <w:szCs w:val="24"/>
        </w:rPr>
      </w:pPr>
      <w:r>
        <w:rPr>
          <w:rFonts w:hint="eastAsia" w:ascii="宋体" w:hAnsi="宋体" w:eastAsia="宋体" w:cs="宋体"/>
          <w:b/>
          <w:color w:val="000000"/>
          <w:sz w:val="24"/>
          <w:szCs w:val="24"/>
        </w:rPr>
        <w:t>技术标评审</w:t>
      </w:r>
      <w:r>
        <w:rPr>
          <w:rFonts w:hint="eastAsia" w:ascii="宋体" w:hAnsi="宋体" w:eastAsia="宋体" w:cs="宋体"/>
          <w:b/>
          <w:sz w:val="24"/>
          <w:szCs w:val="24"/>
        </w:rPr>
        <w:t>：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4"/>
          <w:szCs w:val="24"/>
        </w:rPr>
        <w:t>技术标评分标准见附件14；</w:t>
      </w:r>
    </w:p>
    <w:p w14:paraId="4646EF25">
      <w:pPr>
        <w:numPr>
          <w:ilvl w:val="0"/>
          <w:numId w:val="7"/>
        </w:numPr>
        <w:spacing w:line="360" w:lineRule="auto"/>
        <w:rPr>
          <w:rFonts w:ascii="宋体" w:hAnsi="宋体" w:eastAsia="宋体" w:cs="宋体"/>
          <w:b/>
          <w:sz w:val="24"/>
          <w:szCs w:val="24"/>
        </w:rPr>
      </w:pPr>
      <w:r>
        <w:rPr>
          <w:rFonts w:hint="eastAsia" w:ascii="宋体" w:hAnsi="宋体" w:eastAsia="宋体" w:cs="宋体"/>
          <w:b/>
          <w:sz w:val="24"/>
          <w:szCs w:val="24"/>
        </w:rPr>
        <w:t>公开唱标：公示资质标入围单位的开标价格及商务条款响应情况；</w:t>
      </w:r>
    </w:p>
    <w:p w14:paraId="0A29A795">
      <w:pPr>
        <w:numPr>
          <w:ilvl w:val="0"/>
          <w:numId w:val="7"/>
        </w:numPr>
        <w:spacing w:line="420" w:lineRule="exact"/>
        <w:rPr>
          <w:rFonts w:ascii="宋体" w:hAnsi="宋体" w:eastAsia="宋体" w:cs="宋体"/>
          <w:b/>
          <w:sz w:val="24"/>
          <w:szCs w:val="24"/>
        </w:rPr>
      </w:pPr>
      <w:r>
        <w:rPr>
          <w:rFonts w:hint="eastAsia" w:ascii="宋体" w:hAnsi="宋体" w:eastAsia="宋体" w:cs="宋体"/>
          <w:b/>
          <w:sz w:val="24"/>
          <w:szCs w:val="24"/>
        </w:rPr>
        <w:t>商务标评审：商务条款相应确认→价格澄清→商务标评审；评审期间产生的商务价格澄清均由投标人在重汽e采通平台限时内完成提交；</w:t>
      </w:r>
      <w:r>
        <w:rPr>
          <w:rFonts w:hint="eastAsia" w:ascii="宋体" w:hAnsi="宋体" w:eastAsia="宋体" w:cs="宋体"/>
          <w:b/>
          <w:sz w:val="24"/>
          <w:szCs w:val="24"/>
        </w:rPr>
        <w:br w:type="textWrapping"/>
      </w:r>
      <w:r>
        <w:rPr>
          <w:rFonts w:hint="eastAsia" w:ascii="宋体" w:hAnsi="宋体" w:eastAsia="宋体" w:cs="宋体"/>
          <w:b/>
          <w:sz w:val="24"/>
          <w:szCs w:val="24"/>
          <w:highlight w:val="yellow"/>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综合评标法推荐中标人，对未入围候选中标人不做任何解释。</w:t>
      </w:r>
    </w:p>
    <w:p w14:paraId="463A662A">
      <w:pPr>
        <w:pStyle w:val="14"/>
        <w:numPr>
          <w:ilvl w:val="0"/>
          <w:numId w:val="8"/>
        </w:numPr>
        <w:spacing w:line="360" w:lineRule="auto"/>
        <w:ind w:firstLineChars="0"/>
        <w:rPr>
          <w:rFonts w:ascii="宋体" w:hAnsi="宋体" w:eastAsia="宋体" w:cs="宋体"/>
          <w:b/>
          <w:sz w:val="24"/>
          <w:szCs w:val="24"/>
        </w:rPr>
      </w:pPr>
      <w:r>
        <w:rPr>
          <w:rFonts w:hint="eastAsia" w:ascii="宋体" w:hAnsi="宋体" w:eastAsia="宋体" w:cs="宋体"/>
          <w:b/>
          <w:sz w:val="24"/>
          <w:szCs w:val="24"/>
        </w:rPr>
        <w:t>注意：①投标人均需要自带笔记本电脑在重汽e采通进行自主投标和提交澄清函；投标和提交澄清函均有时间限制，超时未提交的按无效处理。</w:t>
      </w:r>
    </w:p>
    <w:p w14:paraId="4F8E518E">
      <w:pPr>
        <w:numPr>
          <w:ilvl w:val="255"/>
          <w:numId w:val="0"/>
        </w:num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highlight w:val="green"/>
        </w:rPr>
        <w:t xml:space="preserve"> ②投标人未按招标人规定的时间、地点及要求派员参加现场开标、踏勘、答疑或其他现场活动的，视为自动放弃本次投标，其投标无效，招标人有权不予受理其投标文件，招标人不再接受其后续任何形式的补充、修改或异议。</w:t>
      </w:r>
    </w:p>
    <w:p w14:paraId="29CA1CF6">
      <w:pPr>
        <w:spacing w:line="360" w:lineRule="auto"/>
        <w:ind w:left="420"/>
        <w:rPr>
          <w:rFonts w:ascii="宋体" w:hAnsi="宋体" w:eastAsia="宋体" w:cs="宋体"/>
          <w:b/>
          <w:sz w:val="24"/>
          <w:szCs w:val="24"/>
          <w:highlight w:val="magenta"/>
        </w:rPr>
      </w:pPr>
      <w:r>
        <w:rPr>
          <w:rFonts w:hint="eastAsia" w:ascii="宋体" w:hAnsi="宋体" w:eastAsia="宋体" w:cs="宋体"/>
          <w:b/>
          <w:sz w:val="24"/>
          <w:szCs w:val="24"/>
        </w:rPr>
        <w:t>中标人确定：技术入围后，综合评分最高分中标。</w:t>
      </w:r>
    </w:p>
    <w:p w14:paraId="565F2ADC">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eastAsia="宋体" w:cs="宋体"/>
          <w:color w:val="000000"/>
          <w:sz w:val="24"/>
          <w:szCs w:val="24"/>
          <w:lang w:bidi="ar"/>
        </w:rPr>
        <w:t>变更意向中标人</w:t>
      </w:r>
      <w:r>
        <w:rPr>
          <w:rFonts w:hint="eastAsia" w:ascii="宋体" w:hAnsi="宋体" w:eastAsia="宋体" w:cs="宋体"/>
          <w:color w:val="000000"/>
          <w:sz w:val="24"/>
          <w:szCs w:val="24"/>
        </w:rPr>
        <w:t>。</w:t>
      </w:r>
    </w:p>
    <w:p w14:paraId="140BC641">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七、合同签订</w:t>
      </w:r>
    </w:p>
    <w:p w14:paraId="7A6345FE">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1.招标人根据评标工作小组的评标结果确定中标人，在重汽e采通平台公布中标结果，并发送中标通知。</w:t>
      </w:r>
    </w:p>
    <w:p w14:paraId="01FD408A">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2.中标人应该在中标通知书规定的时间、地点与招标人签订采购合同，否则按照开标后撤回投标处理。</w:t>
      </w:r>
    </w:p>
    <w:p w14:paraId="09EE7672">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3.中标人应当按照合同约定的履约责任，在保证质量的前提下完成中标项目，不得将中标项目转包或分包给他人，否则视为违约，招标人有权解除合同。</w:t>
      </w:r>
    </w:p>
    <w:p w14:paraId="6E666B0E">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4.中标人由于履行义务的能力或信用有严重缺陷，招标人有权取消其中标资格，招标人将从中标候选单位中依序重新确定中标人，或重新组织招标；</w:t>
      </w:r>
    </w:p>
    <w:p w14:paraId="001DA6AC">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5.</w:t>
      </w:r>
      <w:bookmarkStart w:id="20" w:name="OLE_LINK4"/>
      <w:r>
        <w:rPr>
          <w:rFonts w:hint="eastAsia" w:ascii="宋体" w:hAnsi="宋体" w:eastAsia="宋体" w:cs="宋体"/>
          <w:b/>
          <w:sz w:val="24"/>
          <w:szCs w:val="24"/>
        </w:rPr>
        <w:t xml:space="preserve"> 投标人若未对合同条款进行偏离，后续合同签订视同完全响应，不再对合同条款进行更改！！！合同以双方最终签署的版本为准！！！</w:t>
      </w:r>
      <w:bookmarkEnd w:id="20"/>
    </w:p>
    <w:p w14:paraId="19C1F970">
      <w:pPr>
        <w:keepNext/>
        <w:keepLines/>
        <w:spacing w:line="360" w:lineRule="auto"/>
        <w:outlineLvl w:val="1"/>
        <w:rPr>
          <w:rFonts w:ascii="宋体" w:hAnsi="宋体" w:eastAsia="宋体" w:cs="宋体"/>
          <w:b/>
          <w:bCs/>
          <w:sz w:val="24"/>
          <w:szCs w:val="24"/>
        </w:rPr>
      </w:pPr>
      <w:r>
        <w:rPr>
          <w:rFonts w:hint="eastAsia" w:ascii="宋体" w:hAnsi="宋体" w:eastAsia="宋体" w:cs="宋体"/>
          <w:b/>
          <w:bCs/>
          <w:sz w:val="24"/>
          <w:szCs w:val="24"/>
        </w:rPr>
        <w:t>八、废标及终止招标</w:t>
      </w:r>
    </w:p>
    <w:p w14:paraId="77790650">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1F2B798D">
      <w:pPr>
        <w:spacing w:line="360" w:lineRule="auto"/>
        <w:ind w:right="2"/>
        <w:rPr>
          <w:rFonts w:ascii="宋体" w:hAnsi="宋体" w:eastAsia="宋体" w:cs="宋体"/>
          <w:color w:val="000000"/>
          <w:sz w:val="24"/>
          <w:szCs w:val="24"/>
        </w:rPr>
      </w:pPr>
      <w:r>
        <w:rPr>
          <w:rFonts w:hint="eastAsia" w:ascii="宋体" w:hAnsi="宋体" w:eastAsia="宋体" w:cs="宋体"/>
          <w:color w:val="000000"/>
          <w:sz w:val="24"/>
          <w:szCs w:val="24"/>
        </w:rPr>
        <w:t xml:space="preserve">    （1）投标人提供的有关资格、资质证明文件不合格、不真实或提供虚假投标材料；</w:t>
      </w:r>
    </w:p>
    <w:p w14:paraId="1214D400">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（2）投标人在报价有效期内撤回投标；</w:t>
      </w:r>
    </w:p>
    <w:p w14:paraId="011785C9">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（3）在整个评标过程中，投标人有企图影响评标结果公正性的任何活动；</w:t>
      </w:r>
    </w:p>
    <w:p w14:paraId="4733C752">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（4）投标人以任何方式诋毁其他投标人；</w:t>
      </w:r>
    </w:p>
    <w:p w14:paraId="36ED0262">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（5）投标人串通投标；</w:t>
      </w:r>
    </w:p>
    <w:p w14:paraId="54BFA210">
      <w:pPr>
        <w:pStyle w:val="5"/>
        <w:spacing w:line="360" w:lineRule="auto"/>
        <w:rPr>
          <w:rFonts w:hAnsi="宋体" w:eastAsia="宋体" w:cs="宋体"/>
          <w:sz w:val="24"/>
          <w:szCs w:val="24"/>
        </w:rPr>
      </w:pPr>
      <w:r>
        <w:rPr>
          <w:rFonts w:hint="eastAsia" w:hAnsi="宋体" w:eastAsia="宋体" w:cs="宋体"/>
          <w:color w:val="000000"/>
          <w:sz w:val="24"/>
          <w:szCs w:val="24"/>
        </w:rPr>
        <w:t xml:space="preserve">    （6）投标人被举报、检举，并经招标人查实无误的；</w:t>
      </w:r>
    </w:p>
    <w:p w14:paraId="43047F76">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（7）以他人名义投标或者以其他方式弄虚作假，骗取中标的；</w:t>
      </w:r>
    </w:p>
    <w:p w14:paraId="5112742A">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（8）投标人负责人为同一人或者存在控股、管理关系的不同单位；</w:t>
      </w:r>
    </w:p>
    <w:p w14:paraId="1F1A7A70">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（9）有效投标不足三家；</w:t>
      </w:r>
    </w:p>
    <w:p w14:paraId="1CC55136">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（10）未按要求填报商务报价资料，对招标开展造成较大影响；</w:t>
      </w:r>
    </w:p>
    <w:p w14:paraId="35B2299B">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sz w:val="24"/>
          <w:szCs w:val="24"/>
        </w:rPr>
        <w:t>1）未按照招标人规定的时间内在中国重汽e采通完成投标的；</w:t>
      </w:r>
    </w:p>
    <w:p w14:paraId="1292434D">
      <w:pPr>
        <w:pStyle w:val="5"/>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（12）不同投标人的投标文件异常一致；</w:t>
      </w:r>
    </w:p>
    <w:p w14:paraId="349D164C">
      <w:pPr>
        <w:pStyle w:val="5"/>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（13）投标报价呈规律性差异的；</w:t>
      </w:r>
    </w:p>
    <w:p w14:paraId="3EF9F709">
      <w:pPr>
        <w:pStyle w:val="5"/>
        <w:spacing w:line="360" w:lineRule="auto"/>
        <w:ind w:firstLine="480" w:firstLineChars="200"/>
        <w:rPr>
          <w:rFonts w:hAnsi="宋体" w:eastAsia="宋体" w:cs="宋体"/>
          <w:color w:val="000000"/>
          <w:sz w:val="24"/>
          <w:szCs w:val="24"/>
        </w:rPr>
      </w:pPr>
      <w:r>
        <w:rPr>
          <w:rFonts w:hint="eastAsia" w:hAnsi="宋体" w:eastAsia="宋体" w:cs="宋体"/>
          <w:color w:val="000000"/>
          <w:sz w:val="24"/>
          <w:szCs w:val="24"/>
        </w:rPr>
        <w:t>（14）投标人报价均超过投标限价的；</w:t>
      </w:r>
    </w:p>
    <w:p w14:paraId="2708FF84">
      <w:pPr>
        <w:spacing w:line="360" w:lineRule="auto"/>
        <w:ind w:right="2"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w:t>
      </w:r>
      <w:r>
        <w:rPr>
          <w:rFonts w:hint="eastAsia" w:hAnsi="宋体" w:eastAsia="宋体" w:cs="宋体"/>
          <w:color w:val="000000"/>
          <w:sz w:val="24"/>
          <w:szCs w:val="24"/>
        </w:rPr>
        <w:t>5</w:t>
      </w:r>
      <w:r>
        <w:rPr>
          <w:rFonts w:hint="eastAsia" w:ascii="宋体" w:hAnsi="宋体" w:eastAsia="宋体" w:cs="宋体"/>
          <w:color w:val="000000"/>
          <w:sz w:val="24"/>
          <w:szCs w:val="24"/>
        </w:rPr>
        <w:t>）法律、法规规定的其他情况。</w:t>
      </w:r>
    </w:p>
    <w:p w14:paraId="61457A13">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2.出现下列情形之一，招标人有权否决所有投标人的投标，并终止招标。</w:t>
      </w:r>
    </w:p>
    <w:p w14:paraId="14DDDE33">
      <w:pPr>
        <w:spacing w:line="360" w:lineRule="auto"/>
        <w:ind w:right="2" w:firstLine="480" w:firstLineChars="200"/>
        <w:rPr>
          <w:rFonts w:ascii="宋体" w:hAnsi="宋体" w:eastAsia="宋体" w:cs="宋体"/>
          <w:b/>
          <w:sz w:val="24"/>
          <w:szCs w:val="24"/>
        </w:rPr>
      </w:pPr>
      <w:r>
        <w:rPr>
          <w:rFonts w:hint="eastAsia" w:ascii="宋体" w:hAnsi="宋体" w:eastAsia="宋体" w:cs="宋体"/>
          <w:sz w:val="24"/>
          <w:szCs w:val="24"/>
        </w:rPr>
        <w:t>（1）符合条件的投标人或者对招标文件做实质响应的投标人不足三家的；</w:t>
      </w:r>
    </w:p>
    <w:p w14:paraId="4727181D">
      <w:pPr>
        <w:spacing w:line="360" w:lineRule="auto"/>
        <w:ind w:right="2" w:firstLine="480" w:firstLineChars="200"/>
        <w:rPr>
          <w:rFonts w:ascii="宋体" w:hAnsi="宋体" w:eastAsia="宋体" w:cs="宋体"/>
          <w:sz w:val="24"/>
          <w:szCs w:val="24"/>
        </w:rPr>
      </w:pPr>
      <w:r>
        <w:rPr>
          <w:rFonts w:hint="eastAsia" w:ascii="宋体" w:hAnsi="宋体" w:eastAsia="宋体" w:cs="宋体"/>
          <w:sz w:val="24"/>
          <w:szCs w:val="24"/>
        </w:rPr>
        <w:t>（2）出现影响采购公正的违法、违规行为的；</w:t>
      </w:r>
    </w:p>
    <w:p w14:paraId="7265FEDF">
      <w:pPr>
        <w:spacing w:line="360" w:lineRule="auto"/>
        <w:ind w:right="2" w:firstLine="480" w:firstLineChars="200"/>
        <w:rPr>
          <w:rFonts w:ascii="宋体" w:hAnsi="宋体" w:eastAsia="宋体" w:cs="宋体"/>
          <w:bCs/>
          <w:sz w:val="24"/>
          <w:szCs w:val="24"/>
        </w:rPr>
      </w:pPr>
      <w:r>
        <w:rPr>
          <w:rFonts w:hint="eastAsia" w:ascii="宋体" w:hAnsi="宋体" w:eastAsia="宋体" w:cs="宋体"/>
          <w:bCs/>
          <w:sz w:val="24"/>
          <w:szCs w:val="24"/>
        </w:rPr>
        <w:t>（3）评标委员会经评审，认为所有投标都不符合招标文件要求的；</w:t>
      </w:r>
    </w:p>
    <w:p w14:paraId="4372D569">
      <w:pPr>
        <w:spacing w:line="360" w:lineRule="auto"/>
        <w:ind w:right="2" w:firstLine="480" w:firstLineChars="200"/>
        <w:rPr>
          <w:rFonts w:ascii="宋体" w:hAnsi="宋体" w:eastAsia="宋体" w:cs="宋体"/>
          <w:bCs/>
          <w:sz w:val="24"/>
          <w:szCs w:val="24"/>
        </w:rPr>
      </w:pPr>
      <w:r>
        <w:rPr>
          <w:rFonts w:hint="eastAsia" w:ascii="宋体" w:hAnsi="宋体" w:eastAsia="宋体" w:cs="宋体"/>
          <w:bCs/>
          <w:sz w:val="24"/>
          <w:szCs w:val="24"/>
        </w:rPr>
        <w:t>（4）因重大变故，采购任务取消的</w:t>
      </w:r>
      <w:bookmarkStart w:id="21" w:name="OLE_LINK25"/>
      <w:bookmarkStart w:id="22" w:name="OLE_LINK26"/>
      <w:bookmarkStart w:id="23" w:name="OLE_LINK27"/>
      <w:bookmarkStart w:id="24" w:name="OLE_LINK29"/>
      <w:bookmarkStart w:id="25" w:name="OLE_LINK28"/>
      <w:r>
        <w:rPr>
          <w:rFonts w:hint="eastAsia" w:ascii="宋体" w:hAnsi="宋体" w:eastAsia="宋体" w:cs="宋体"/>
          <w:bCs/>
          <w:sz w:val="24"/>
          <w:szCs w:val="24"/>
        </w:rPr>
        <w:t>；</w:t>
      </w:r>
      <w:bookmarkEnd w:id="21"/>
      <w:bookmarkEnd w:id="22"/>
      <w:bookmarkEnd w:id="23"/>
      <w:bookmarkEnd w:id="24"/>
      <w:bookmarkEnd w:id="25"/>
    </w:p>
    <w:p w14:paraId="1DDDD132">
      <w:pPr>
        <w:spacing w:line="360" w:lineRule="auto"/>
        <w:ind w:right="2" w:firstLine="480" w:firstLineChars="200"/>
        <w:rPr>
          <w:rFonts w:ascii="宋体" w:hAnsi="宋体" w:eastAsia="宋体" w:cs="宋体"/>
          <w:bCs/>
          <w:sz w:val="24"/>
          <w:szCs w:val="24"/>
        </w:rPr>
      </w:pPr>
      <w:r>
        <w:rPr>
          <w:rFonts w:hint="eastAsia" w:ascii="宋体" w:hAnsi="宋体" w:eastAsia="宋体" w:cs="宋体"/>
          <w:bCs/>
          <w:sz w:val="24"/>
          <w:szCs w:val="24"/>
        </w:rPr>
        <w:t>（5）投标人承诺同意由于招标人公司政策变化引起的随时终止项目的要求并承担由此带来的一切损失；</w:t>
      </w:r>
    </w:p>
    <w:p w14:paraId="1631B3D2">
      <w:pPr>
        <w:pStyle w:val="5"/>
        <w:spacing w:line="360" w:lineRule="auto"/>
        <w:ind w:firstLine="480" w:firstLineChars="200"/>
        <w:rPr>
          <w:rFonts w:hAnsi="宋体" w:eastAsia="宋体" w:cs="宋体"/>
          <w:bCs/>
          <w:sz w:val="24"/>
          <w:szCs w:val="24"/>
        </w:rPr>
      </w:pPr>
      <w:r>
        <w:rPr>
          <w:rFonts w:hint="eastAsia" w:hAnsi="宋体" w:eastAsia="宋体" w:cs="宋体"/>
          <w:bCs/>
          <w:sz w:val="24"/>
          <w:szCs w:val="24"/>
        </w:rPr>
        <w:t>（6）招标人认为其他应终止招标的情形。</w:t>
      </w:r>
    </w:p>
    <w:p w14:paraId="24D40A23">
      <w:pPr>
        <w:spacing w:line="360" w:lineRule="auto"/>
        <w:ind w:right="2"/>
        <w:rPr>
          <w:rFonts w:ascii="宋体" w:hAnsi="宋体" w:eastAsia="宋体" w:cs="宋体"/>
          <w:color w:val="000000"/>
          <w:sz w:val="24"/>
          <w:szCs w:val="24"/>
        </w:rPr>
      </w:pPr>
      <w:r>
        <w:rPr>
          <w:rFonts w:hint="eastAsia" w:ascii="宋体" w:hAnsi="宋体" w:eastAsia="宋体" w:cs="宋体"/>
          <w:color w:val="000000"/>
          <w:sz w:val="24"/>
          <w:szCs w:val="24"/>
        </w:rPr>
        <w:t xml:space="preserve">    3.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03532CE0">
      <w:pPr>
        <w:spacing w:line="360" w:lineRule="auto"/>
        <w:ind w:right="2" w:firstLine="482" w:firstLineChars="200"/>
        <w:outlineLvl w:val="1"/>
        <w:rPr>
          <w:rFonts w:ascii="宋体" w:hAnsi="宋体" w:eastAsia="宋体" w:cs="宋体"/>
          <w:b/>
          <w:color w:val="000000"/>
          <w:sz w:val="24"/>
          <w:szCs w:val="24"/>
        </w:rPr>
      </w:pPr>
      <w:r>
        <w:rPr>
          <w:rFonts w:hint="eastAsia" w:ascii="宋体" w:hAnsi="宋体" w:eastAsia="宋体" w:cs="宋体"/>
          <w:b/>
          <w:bCs/>
          <w:sz w:val="24"/>
          <w:szCs w:val="24"/>
        </w:rPr>
        <w:t>九、本次招标最终解释权</w:t>
      </w:r>
      <w:r>
        <w:rPr>
          <w:rFonts w:hint="eastAsia" w:ascii="宋体" w:hAnsi="宋体" w:eastAsia="宋体" w:cs="宋体"/>
          <w:b/>
          <w:color w:val="000000"/>
          <w:sz w:val="24"/>
          <w:szCs w:val="24"/>
        </w:rPr>
        <w:t>归中国重汽集团国际有限公司。</w:t>
      </w:r>
    </w:p>
    <w:p w14:paraId="700891BD">
      <w:pPr>
        <w:pStyle w:val="5"/>
        <w:spacing w:line="360" w:lineRule="auto"/>
        <w:jc w:val="center"/>
        <w:rPr>
          <w:rFonts w:hAnsi="宋体" w:eastAsia="宋体" w:cs="宋体"/>
          <w:b/>
          <w:bCs/>
          <w:kern w:val="44"/>
          <w:sz w:val="24"/>
          <w:szCs w:val="24"/>
        </w:rPr>
        <w:sectPr>
          <w:footerReference r:id="rId5" w:type="default"/>
          <w:pgSz w:w="11907" w:h="16840"/>
          <w:pgMar w:top="1304" w:right="1418" w:bottom="1304" w:left="1418" w:header="724" w:footer="851" w:gutter="0"/>
          <w:cols w:space="720" w:num="1"/>
          <w:docGrid w:linePitch="290" w:charSpace="-3931"/>
        </w:sectPr>
      </w:pPr>
    </w:p>
    <w:p w14:paraId="4F07680E">
      <w:bookmarkStart w:id="26" w:name="_GoBack"/>
      <w:bookmarkEnd w:id="2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52749A">
    <w:pPr>
      <w:pStyle w:val="6"/>
      <w:jc w:val="center"/>
    </w:pPr>
  </w:p>
  <w:p w14:paraId="38B8E7A1">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2B4D5">
    <w:pPr>
      <w:pStyle w:val="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778E3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0778E3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16</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ACA4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849FB6"/>
    <w:multiLevelType w:val="singleLevel"/>
    <w:tmpl w:val="A6849FB6"/>
    <w:lvl w:ilvl="0" w:tentative="0">
      <w:start w:val="2"/>
      <w:numFmt w:val="chineseCounting"/>
      <w:suff w:val="nothing"/>
      <w:lvlText w:val="%1、"/>
      <w:lvlJc w:val="left"/>
      <w:rPr>
        <w:rFonts w:hint="eastAsia"/>
      </w:rPr>
    </w:lvl>
  </w:abstractNum>
  <w:abstractNum w:abstractNumId="1">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2">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3">
    <w:nsid w:val="210163F6"/>
    <w:multiLevelType w:val="multilevel"/>
    <w:tmpl w:val="210163F6"/>
    <w:lvl w:ilvl="0" w:tentative="0">
      <w:start w:val="1"/>
      <w:numFmt w:val="lowerLetter"/>
      <w:lvlText w:val="%1)"/>
      <w:lvlJc w:val="left"/>
      <w:pPr>
        <w:ind w:left="902" w:hanging="420"/>
      </w:pPr>
      <w:rPr>
        <w:rFonts w:cs="Times New Roman"/>
      </w:rPr>
    </w:lvl>
    <w:lvl w:ilvl="1" w:tentative="0">
      <w:start w:val="1"/>
      <w:numFmt w:val="lowerLetter"/>
      <w:lvlText w:val="%2)"/>
      <w:lvlJc w:val="left"/>
      <w:pPr>
        <w:ind w:left="1322" w:hanging="420"/>
      </w:pPr>
      <w:rPr>
        <w:rFonts w:cs="Times New Roman"/>
      </w:rPr>
    </w:lvl>
    <w:lvl w:ilvl="2" w:tentative="0">
      <w:start w:val="1"/>
      <w:numFmt w:val="lowerRoman"/>
      <w:lvlText w:val="%3."/>
      <w:lvlJc w:val="right"/>
      <w:pPr>
        <w:ind w:left="1742" w:hanging="420"/>
      </w:pPr>
      <w:rPr>
        <w:rFonts w:cs="Times New Roman"/>
      </w:rPr>
    </w:lvl>
    <w:lvl w:ilvl="3" w:tentative="0">
      <w:start w:val="1"/>
      <w:numFmt w:val="decimal"/>
      <w:lvlText w:val="%4."/>
      <w:lvlJc w:val="left"/>
      <w:pPr>
        <w:ind w:left="2162" w:hanging="420"/>
      </w:pPr>
      <w:rPr>
        <w:rFonts w:cs="Times New Roman"/>
      </w:rPr>
    </w:lvl>
    <w:lvl w:ilvl="4" w:tentative="0">
      <w:start w:val="1"/>
      <w:numFmt w:val="lowerLetter"/>
      <w:lvlText w:val="%5)"/>
      <w:lvlJc w:val="left"/>
      <w:pPr>
        <w:ind w:left="2582" w:hanging="420"/>
      </w:pPr>
      <w:rPr>
        <w:rFonts w:cs="Times New Roman"/>
      </w:rPr>
    </w:lvl>
    <w:lvl w:ilvl="5" w:tentative="0">
      <w:start w:val="1"/>
      <w:numFmt w:val="lowerRoman"/>
      <w:lvlText w:val="%6."/>
      <w:lvlJc w:val="right"/>
      <w:pPr>
        <w:ind w:left="3002" w:hanging="420"/>
      </w:pPr>
      <w:rPr>
        <w:rFonts w:cs="Times New Roman"/>
      </w:rPr>
    </w:lvl>
    <w:lvl w:ilvl="6" w:tentative="0">
      <w:start w:val="1"/>
      <w:numFmt w:val="decimal"/>
      <w:lvlText w:val="%7."/>
      <w:lvlJc w:val="left"/>
      <w:pPr>
        <w:ind w:left="3422" w:hanging="420"/>
      </w:pPr>
      <w:rPr>
        <w:rFonts w:cs="Times New Roman"/>
      </w:rPr>
    </w:lvl>
    <w:lvl w:ilvl="7" w:tentative="0">
      <w:start w:val="1"/>
      <w:numFmt w:val="lowerLetter"/>
      <w:lvlText w:val="%8)"/>
      <w:lvlJc w:val="left"/>
      <w:pPr>
        <w:ind w:left="3842" w:hanging="420"/>
      </w:pPr>
      <w:rPr>
        <w:rFonts w:cs="Times New Roman"/>
      </w:rPr>
    </w:lvl>
    <w:lvl w:ilvl="8" w:tentative="0">
      <w:start w:val="1"/>
      <w:numFmt w:val="lowerRoman"/>
      <w:lvlText w:val="%9."/>
      <w:lvlJc w:val="right"/>
      <w:pPr>
        <w:ind w:left="4262" w:hanging="420"/>
      </w:pPr>
      <w:rPr>
        <w:rFonts w:cs="Times New Roman"/>
      </w:rPr>
    </w:lvl>
  </w:abstractNum>
  <w:abstractNum w:abstractNumId="4">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5">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6">
    <w:nsid w:val="6E8C6948"/>
    <w:multiLevelType w:val="singleLevel"/>
    <w:tmpl w:val="6E8C6948"/>
    <w:lvl w:ilvl="0" w:tentative="0">
      <w:start w:val="1"/>
      <w:numFmt w:val="chineseCounting"/>
      <w:suff w:val="space"/>
      <w:lvlText w:val="第%1部分"/>
      <w:lvlJc w:val="left"/>
      <w:rPr>
        <w:rFonts w:hint="eastAsia"/>
      </w:rPr>
    </w:lvl>
  </w:abstractNum>
  <w:abstractNum w:abstractNumId="7">
    <w:nsid w:val="7A612DE2"/>
    <w:multiLevelType w:val="singleLevel"/>
    <w:tmpl w:val="7A612DE2"/>
    <w:lvl w:ilvl="0" w:tentative="0">
      <w:start w:val="2"/>
      <w:numFmt w:val="decimal"/>
      <w:lvlText w:val="%1."/>
      <w:lvlJc w:val="left"/>
      <w:pPr>
        <w:tabs>
          <w:tab w:val="left" w:pos="312"/>
        </w:tabs>
      </w:pPr>
    </w:lvl>
  </w:abstractNum>
  <w:num w:numId="1">
    <w:abstractNumId w:val="6"/>
  </w:num>
  <w:num w:numId="2">
    <w:abstractNumId w:val="0"/>
  </w:num>
  <w:num w:numId="3">
    <w:abstractNumId w:val="7"/>
  </w:num>
  <w:num w:numId="4">
    <w:abstractNumId w:val="3"/>
  </w:num>
  <w:num w:numId="5">
    <w:abstractNumId w:val="2"/>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9F0EC1"/>
    <w:rsid w:val="309F0E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99"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99"/>
    <w:pPr>
      <w:jc w:val="left"/>
    </w:pPr>
  </w:style>
  <w:style w:type="paragraph" w:styleId="3">
    <w:name w:val="Body Text"/>
    <w:basedOn w:val="1"/>
    <w:qFormat/>
    <w:uiPriority w:val="99"/>
    <w:pPr>
      <w:adjustRightInd w:val="0"/>
      <w:spacing w:before="120" w:after="120" w:afterLines="50" w:line="280" w:lineRule="atLeast"/>
      <w:textAlignment w:val="baseline"/>
    </w:pPr>
    <w:rPr>
      <w:rFonts w:ascii="Calibri" w:hAnsi="Calibri" w:eastAsia="新宋体" w:cs="Times New Roman"/>
      <w:szCs w:val="21"/>
    </w:rPr>
  </w:style>
  <w:style w:type="paragraph" w:styleId="4">
    <w:name w:val="Body Text Indent"/>
    <w:basedOn w:val="1"/>
    <w:qFormat/>
    <w:uiPriority w:val="99"/>
    <w:pPr>
      <w:spacing w:after="120"/>
      <w:ind w:left="420" w:leftChars="200"/>
    </w:pPr>
    <w:rPr>
      <w:rFonts w:ascii="Calibri" w:hAnsi="Calibri" w:eastAsia="宋体" w:cs="Times New Roman"/>
      <w:szCs w:val="20"/>
    </w:rPr>
  </w:style>
  <w:style w:type="paragraph" w:styleId="5">
    <w:name w:val="Plain Text"/>
    <w:basedOn w:val="1"/>
    <w:qFormat/>
    <w:uiPriority w:val="0"/>
    <w:rPr>
      <w:rFonts w:ascii="宋体" w:hAnsi="Courier New"/>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rPr>
  </w:style>
  <w:style w:type="paragraph" w:styleId="8">
    <w:name w:val="Body Text First Indent 2"/>
    <w:basedOn w:val="4"/>
    <w:semiHidden/>
    <w:qFormat/>
    <w:uiPriority w:val="99"/>
    <w:pPr>
      <w:spacing w:line="276" w:lineRule="auto"/>
      <w:ind w:firstLine="420" w:firstLineChars="200"/>
      <w:jc w:val="left"/>
    </w:pPr>
  </w:style>
  <w:style w:type="character" w:styleId="11">
    <w:name w:val="Emphasis"/>
    <w:qFormat/>
    <w:uiPriority w:val="99"/>
    <w:rPr>
      <w:rFonts w:cs="Times New Roman"/>
      <w:color w:val="auto"/>
    </w:rPr>
  </w:style>
  <w:style w:type="character" w:customStyle="1" w:styleId="12">
    <w:name w:val="NormalCharacter"/>
    <w:qFormat/>
    <w:uiPriority w:val="0"/>
  </w:style>
  <w:style w:type="paragraph" w:customStyle="1" w:styleId="13">
    <w:name w:val="标书正文格式"/>
    <w:basedOn w:val="5"/>
    <w:qFormat/>
    <w:uiPriority w:val="0"/>
    <w:pPr>
      <w:spacing w:line="360" w:lineRule="auto"/>
      <w:ind w:firstLine="200" w:firstLineChars="200"/>
    </w:pPr>
    <w:rPr>
      <w:rFonts w:hAnsi="宋体"/>
      <w:color w:val="000000"/>
      <w:sz w:val="24"/>
      <w:szCs w:val="24"/>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2026-08-05T05:35:00Z</dcterms:created>
  <dc:creator>郭磊鑫</dc:creator>
  <cp:lastModifiedBy>郭磊鑫</cp:lastModifiedBy>
  <dcterms:modified xsi:type="dcterms:W3CDTF">2026-08-05T05:35:40Z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8C709230E0144BC48823A56BBA62556A_11</vt:lpwstr>
  </property>
  <property fmtid="{D5CDD505-2E9C-101B-9397-08002B2CF9AE}" pid="4" name="KSOTemplateDocerSaveRecord">
    <vt:lpwstr>eyJoZGlkIjoiZmQ0ZmFlZTBhYjIzMjkwZGM4YWQxMGZiZGEzMTQ3YTkiLCJ1c2VySWQiOiIxNjIwMzEyNDc4In0=</vt:lpwstr>
  </property>
</Properties>
</file>