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5"/>
      </w:pPr>
      <w:r>
        <w:rPr>
          <w:sz w:val="48"/>
          <w:szCs w:val="48"/>
        </w:rPr>
        <w:drawing>
          <wp:anchor distT="0" distB="0" distL="114300" distR="114300" simplePos="0" relativeHeight="251660288"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612663B5">
      <w:pPr>
        <w:ind w:right="280"/>
        <w:jc w:val="center"/>
        <w:rPr>
          <w:sz w:val="28"/>
          <w:szCs w:val="28"/>
          <w:highlight w:val="none"/>
        </w:rPr>
      </w:pPr>
      <w:r>
        <w:rPr>
          <w:rFonts w:hint="eastAsia" w:ascii="楷体_GB2312" w:hAnsi="宋体" w:eastAsia="楷体_GB2312"/>
          <w:sz w:val="52"/>
          <w:szCs w:val="52"/>
          <w:highlight w:val="none"/>
          <w:lang w:val="en-US" w:eastAsia="zh-CN"/>
        </w:rPr>
        <w:t>中国重汽集团济南汽车部件有限公司</w:t>
      </w:r>
      <w:r>
        <w:rPr>
          <w:rFonts w:hint="eastAsia" w:ascii="楷体_GB2312" w:hAnsi="宋体" w:eastAsia="楷体_GB2312"/>
          <w:sz w:val="52"/>
          <w:szCs w:val="52"/>
          <w:highlight w:val="none"/>
        </w:rPr>
        <w:t>2026年度危险废物处置项目</w:t>
      </w:r>
    </w:p>
    <w:p w14:paraId="18CBF8EA">
      <w:pPr>
        <w:ind w:right="280"/>
        <w:jc w:val="center"/>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63FA33C5">
      <w:pPr>
        <w:widowControl/>
        <w:spacing w:line="360" w:lineRule="auto"/>
        <w:jc w:val="center"/>
        <w:rPr>
          <w:rFonts w:ascii="宋体" w:hAnsi="宋体" w:cs="宋体"/>
          <w:b/>
          <w:bCs/>
          <w:kern w:val="0"/>
          <w:sz w:val="32"/>
          <w:szCs w:val="32"/>
          <w:highlight w:val="none"/>
          <w:u w:val="single"/>
        </w:rPr>
      </w:pPr>
      <w:r>
        <w:rPr>
          <w:rFonts w:hint="eastAsia" w:ascii="宋体" w:hAnsi="宋体" w:cs="宋体"/>
          <w:b/>
          <w:bCs/>
          <w:kern w:val="0"/>
          <w:sz w:val="32"/>
          <w:szCs w:val="32"/>
          <w:highlight w:val="none"/>
        </w:rPr>
        <w:t>项目编号：ZBGL2026060306</w:t>
      </w:r>
    </w:p>
    <w:p w14:paraId="10A10BCC">
      <w:pPr>
        <w:jc w:val="center"/>
        <w:rPr>
          <w:rFonts w:ascii="宋体" w:hAnsi="宋体"/>
          <w:sz w:val="48"/>
          <w:szCs w:val="48"/>
          <w:highlight w:val="none"/>
        </w:rPr>
      </w:pPr>
    </w:p>
    <w:p w14:paraId="0D4E54EC">
      <w:pPr>
        <w:jc w:val="center"/>
        <w:rPr>
          <w:rFonts w:ascii="宋体" w:hAnsi="宋体"/>
          <w:sz w:val="48"/>
          <w:szCs w:val="48"/>
          <w:highlight w:val="none"/>
        </w:rPr>
      </w:pPr>
    </w:p>
    <w:p w14:paraId="111CA3F9">
      <w:pPr>
        <w:jc w:val="center"/>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人：中国重汽集团济南汽车部件有限公司</w:t>
      </w:r>
    </w:p>
    <w:p w14:paraId="0D8A0D9A">
      <w:pPr>
        <w:jc w:val="center"/>
        <w:rPr>
          <w:rFonts w:ascii="宋体" w:hAnsi="宋体"/>
          <w:sz w:val="28"/>
          <w:szCs w:val="28"/>
          <w:highlight w:val="none"/>
        </w:rPr>
      </w:pPr>
    </w:p>
    <w:p w14:paraId="0438957B">
      <w:pPr>
        <w:jc w:val="center"/>
        <w:rPr>
          <w:rFonts w:ascii="宋体" w:hAnsi="宋体"/>
          <w:sz w:val="28"/>
          <w:szCs w:val="28"/>
          <w:highlight w:val="none"/>
          <w:u w:val="single"/>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7</w:t>
      </w:r>
      <w:r>
        <w:rPr>
          <w:rFonts w:hint="eastAsia" w:ascii="宋体" w:hAnsi="宋体"/>
          <w:sz w:val="28"/>
          <w:szCs w:val="28"/>
          <w:highlight w:val="none"/>
          <w:u w:val="single"/>
        </w:rPr>
        <w:t>月</w:t>
      </w:r>
    </w:p>
    <w:p w14:paraId="0548D2A3">
      <w:pPr>
        <w:spacing w:line="480" w:lineRule="auto"/>
        <w:jc w:val="both"/>
        <w:rPr>
          <w:rFonts w:ascii="宋体" w:hAnsi="宋体"/>
          <w:b/>
          <w:bCs/>
          <w:sz w:val="48"/>
          <w:szCs w:val="48"/>
          <w:highlight w:val="none"/>
        </w:rPr>
        <w:sectPr>
          <w:footerReference r:id="rId5" w:type="first"/>
          <w:footerReference r:id="rId3" w:type="default"/>
          <w:footerReference r:id="rId4" w:type="even"/>
          <w:pgSz w:w="11906" w:h="16838"/>
          <w:pgMar w:top="1701" w:right="1418" w:bottom="1134" w:left="1418" w:header="851" w:footer="992" w:gutter="0"/>
          <w:pgNumType w:fmt="decimal" w:start="1"/>
          <w:cols w:space="720" w:num="1"/>
          <w:titlePg/>
          <w:docGrid w:type="lines" w:linePitch="312" w:charSpace="0"/>
        </w:sectPr>
      </w:pPr>
    </w:p>
    <w:sdt>
      <w:sdtPr>
        <w:rPr>
          <w:rFonts w:ascii="Times New Roman" w:hAnsi="Times New Roman" w:eastAsia="宋体" w:cs="Times New Roman"/>
          <w:color w:val="auto"/>
          <w:kern w:val="2"/>
          <w:sz w:val="21"/>
          <w:szCs w:val="20"/>
          <w:highlight w:val="none"/>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highlight w:val="none"/>
          <w:lang w:val="zh-CN"/>
        </w:rPr>
      </w:sdtEndPr>
      <w:sdtContent>
        <w:p w14:paraId="176426B1">
          <w:pPr>
            <w:pStyle w:val="69"/>
            <w:jc w:val="center"/>
            <w:rPr>
              <w:rFonts w:ascii="黑体" w:hAnsi="黑体" w:eastAsia="黑体"/>
              <w:b/>
              <w:color w:val="auto"/>
              <w:sz w:val="44"/>
              <w:szCs w:val="44"/>
              <w:highlight w:val="none"/>
              <w:lang w:val="zh-CN"/>
            </w:rPr>
          </w:pPr>
          <w:r>
            <w:rPr>
              <w:rFonts w:ascii="黑体" w:hAnsi="黑体" w:eastAsia="黑体"/>
              <w:b/>
              <w:color w:val="auto"/>
              <w:sz w:val="44"/>
              <w:szCs w:val="44"/>
              <w:highlight w:val="none"/>
              <w:lang w:val="zh-CN"/>
            </w:rPr>
            <w:t>目</w:t>
          </w:r>
          <w:r>
            <w:rPr>
              <w:rFonts w:hint="eastAsia" w:ascii="黑体" w:hAnsi="黑体" w:eastAsia="黑体"/>
              <w:b/>
              <w:color w:val="auto"/>
              <w:sz w:val="44"/>
              <w:szCs w:val="44"/>
              <w:highlight w:val="none"/>
              <w:lang w:val="zh-CN"/>
            </w:rPr>
            <w:t xml:space="preserve"> </w:t>
          </w:r>
          <w:r>
            <w:rPr>
              <w:rFonts w:ascii="黑体" w:hAnsi="黑体" w:eastAsia="黑体"/>
              <w:b/>
              <w:color w:val="auto"/>
              <w:sz w:val="44"/>
              <w:szCs w:val="44"/>
              <w:highlight w:val="none"/>
              <w:lang w:val="zh-CN"/>
            </w:rPr>
            <w:t xml:space="preserve">    录</w:t>
          </w:r>
        </w:p>
        <w:p w14:paraId="46B5AC1E">
          <w:pPr>
            <w:pStyle w:val="21"/>
            <w:tabs>
              <w:tab w:val="right" w:leader="middleDot" w:pos="9070"/>
              <w:tab w:val="clear" w:pos="8729"/>
            </w:tabs>
            <w:rPr>
              <w:highlight w:val="none"/>
            </w:rPr>
          </w:pPr>
          <w:r>
            <w:rPr>
              <w:rFonts w:hint="eastAsia" w:ascii="Calibri" w:hAnsi="Calibri"/>
              <w:bCs/>
              <w:kern w:val="44"/>
              <w:sz w:val="36"/>
              <w:szCs w:val="44"/>
              <w:highlight w:val="none"/>
            </w:rPr>
            <w:fldChar w:fldCharType="begin"/>
          </w:r>
          <w:r>
            <w:rPr>
              <w:rFonts w:hint="eastAsia" w:ascii="Calibri" w:hAnsi="Calibri"/>
              <w:bCs/>
              <w:kern w:val="44"/>
              <w:sz w:val="36"/>
              <w:szCs w:val="44"/>
              <w:highlight w:val="none"/>
            </w:rPr>
            <w:instrText xml:space="preserve">TOC \o "1-1" \h \u </w:instrText>
          </w:r>
          <w:r>
            <w:rPr>
              <w:rFonts w:hint="eastAsia" w:ascii="Calibri" w:hAnsi="Calibri"/>
              <w:bCs/>
              <w:kern w:val="44"/>
              <w:sz w:val="36"/>
              <w:szCs w:val="44"/>
              <w:highlight w:val="none"/>
            </w:rPr>
            <w:fldChar w:fldCharType="separate"/>
          </w:r>
          <w:r>
            <w:rPr>
              <w:rFonts w:hint="eastAsia" w:ascii="Calibri" w:hAnsi="Calibri"/>
              <w:bCs/>
              <w:kern w:val="44"/>
              <w:szCs w:val="44"/>
              <w:highlight w:val="none"/>
            </w:rPr>
            <w:fldChar w:fldCharType="begin"/>
          </w:r>
          <w:r>
            <w:rPr>
              <w:rFonts w:hint="eastAsia" w:ascii="Calibri" w:hAnsi="Calibri"/>
              <w:bCs/>
              <w:kern w:val="44"/>
              <w:szCs w:val="44"/>
              <w:highlight w:val="none"/>
            </w:rPr>
            <w:instrText xml:space="preserve"> HYPERLINK \l _Toc7104 </w:instrText>
          </w:r>
          <w:r>
            <w:rPr>
              <w:rFonts w:hint="eastAsia" w:ascii="Calibri" w:hAnsi="Calibri"/>
              <w:bCs/>
              <w:kern w:val="44"/>
              <w:szCs w:val="44"/>
              <w:highlight w:val="none"/>
            </w:rPr>
            <w:fldChar w:fldCharType="separate"/>
          </w:r>
          <w:r>
            <w:rPr>
              <w:rFonts w:hint="eastAsia"/>
              <w:highlight w:val="none"/>
            </w:rPr>
            <w:t>招标公告</w:t>
          </w:r>
          <w:r>
            <w:rPr>
              <w:highlight w:val="none"/>
            </w:rPr>
            <w:tab/>
          </w:r>
          <w:r>
            <w:rPr>
              <w:highlight w:val="none"/>
            </w:rPr>
            <w:fldChar w:fldCharType="begin"/>
          </w:r>
          <w:r>
            <w:rPr>
              <w:highlight w:val="none"/>
            </w:rPr>
            <w:instrText xml:space="preserve"> PAGEREF _Toc7104 \h </w:instrText>
          </w:r>
          <w:r>
            <w:rPr>
              <w:highlight w:val="none"/>
            </w:rPr>
            <w:fldChar w:fldCharType="separate"/>
          </w:r>
          <w:r>
            <w:rPr>
              <w:highlight w:val="none"/>
            </w:rPr>
            <w:t>3</w:t>
          </w:r>
          <w:r>
            <w:rPr>
              <w:highlight w:val="none"/>
            </w:rPr>
            <w:fldChar w:fldCharType="end"/>
          </w:r>
          <w:r>
            <w:rPr>
              <w:rFonts w:hint="eastAsia" w:ascii="Calibri" w:hAnsi="Calibri"/>
              <w:bCs/>
              <w:kern w:val="44"/>
              <w:szCs w:val="44"/>
              <w:highlight w:val="none"/>
            </w:rPr>
            <w:fldChar w:fldCharType="end"/>
          </w:r>
        </w:p>
        <w:p w14:paraId="3718B9B5">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_Toc7753 </w:instrText>
          </w:r>
          <w:r>
            <w:rPr>
              <w:rFonts w:hint="eastAsia" w:ascii="Calibri" w:hAnsi="Calibri" w:eastAsia="宋体" w:cs="Times New Roman"/>
              <w:bCs/>
              <w:kern w:val="44"/>
              <w:szCs w:val="44"/>
              <w:highlight w:val="none"/>
            </w:rPr>
            <w:fldChar w:fldCharType="separate"/>
          </w:r>
          <w:r>
            <w:rPr>
              <w:rFonts w:hint="eastAsia"/>
              <w:highlight w:val="none"/>
            </w:rPr>
            <w:t>第一部分  投标人须知</w:t>
          </w:r>
          <w:r>
            <w:rPr>
              <w:highlight w:val="none"/>
            </w:rPr>
            <w:tab/>
          </w:r>
          <w:r>
            <w:rPr>
              <w:highlight w:val="none"/>
            </w:rPr>
            <w:fldChar w:fldCharType="begin"/>
          </w:r>
          <w:r>
            <w:rPr>
              <w:highlight w:val="none"/>
            </w:rPr>
            <w:instrText xml:space="preserve"> PAGEREF _Toc7753 \h </w:instrText>
          </w:r>
          <w:r>
            <w:rPr>
              <w:highlight w:val="none"/>
            </w:rPr>
            <w:fldChar w:fldCharType="separate"/>
          </w:r>
          <w:r>
            <w:rPr>
              <w:highlight w:val="none"/>
            </w:rPr>
            <w:t>4</w:t>
          </w:r>
          <w:r>
            <w:rPr>
              <w:highlight w:val="none"/>
            </w:rPr>
            <w:fldChar w:fldCharType="end"/>
          </w:r>
          <w:r>
            <w:rPr>
              <w:rFonts w:hint="eastAsia" w:ascii="Calibri" w:hAnsi="Calibri" w:eastAsia="宋体" w:cs="Times New Roman"/>
              <w:bCs/>
              <w:kern w:val="44"/>
              <w:szCs w:val="44"/>
              <w:highlight w:val="none"/>
            </w:rPr>
            <w:fldChar w:fldCharType="end"/>
          </w:r>
        </w:p>
        <w:p w14:paraId="4D6E9C52">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_Toc1910 </w:instrText>
          </w:r>
          <w:r>
            <w:rPr>
              <w:rFonts w:hint="eastAsia" w:ascii="Calibri" w:hAnsi="Calibri" w:eastAsia="宋体" w:cs="Times New Roman"/>
              <w:bCs/>
              <w:kern w:val="44"/>
              <w:szCs w:val="44"/>
              <w:highlight w:val="none"/>
            </w:rPr>
            <w:fldChar w:fldCharType="separate"/>
          </w:r>
          <w:r>
            <w:rPr>
              <w:rFonts w:hint="eastAsia"/>
              <w:highlight w:val="none"/>
            </w:rPr>
            <w:t>第二部分</w:t>
          </w:r>
          <w:r>
            <w:rPr>
              <w:rFonts w:hint="eastAsia"/>
              <w:highlight w:val="none"/>
              <w:lang w:val="en-US" w:eastAsia="zh-CN"/>
            </w:rPr>
            <w:t xml:space="preserve">  技术标书</w:t>
          </w:r>
          <w:r>
            <w:rPr>
              <w:highlight w:val="none"/>
            </w:rPr>
            <w:tab/>
          </w:r>
          <w:r>
            <w:rPr>
              <w:highlight w:val="none"/>
            </w:rPr>
            <w:fldChar w:fldCharType="begin"/>
          </w:r>
          <w:r>
            <w:rPr>
              <w:highlight w:val="none"/>
            </w:rPr>
            <w:instrText xml:space="preserve"> PAGEREF _Toc1910 \h </w:instrText>
          </w:r>
          <w:r>
            <w:rPr>
              <w:highlight w:val="none"/>
            </w:rPr>
            <w:fldChar w:fldCharType="separate"/>
          </w:r>
          <w:r>
            <w:rPr>
              <w:highlight w:val="none"/>
            </w:rPr>
            <w:t>12</w:t>
          </w:r>
          <w:r>
            <w:rPr>
              <w:highlight w:val="none"/>
            </w:rPr>
            <w:fldChar w:fldCharType="end"/>
          </w:r>
          <w:r>
            <w:rPr>
              <w:rFonts w:hint="eastAsia" w:ascii="Calibri" w:hAnsi="Calibri" w:eastAsia="宋体" w:cs="Times New Roman"/>
              <w:bCs/>
              <w:kern w:val="44"/>
              <w:szCs w:val="44"/>
              <w:highlight w:val="none"/>
            </w:rPr>
            <w:fldChar w:fldCharType="end"/>
          </w:r>
        </w:p>
        <w:p w14:paraId="5D6BEB3E">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_Toc20595 </w:instrText>
          </w:r>
          <w:r>
            <w:rPr>
              <w:rFonts w:hint="eastAsia" w:ascii="Calibri" w:hAnsi="Calibri" w:eastAsia="宋体" w:cs="Times New Roman"/>
              <w:bCs/>
              <w:kern w:val="44"/>
              <w:szCs w:val="44"/>
              <w:highlight w:val="none"/>
            </w:rPr>
            <w:fldChar w:fldCharType="separate"/>
          </w:r>
          <w:r>
            <w:rPr>
              <w:rFonts w:hint="eastAsia"/>
              <w:highlight w:val="none"/>
            </w:rPr>
            <w:t>第三部分</w:t>
          </w:r>
          <w:r>
            <w:rPr>
              <w:rFonts w:hint="eastAsia"/>
              <w:highlight w:val="none"/>
              <w:lang w:val="en-US" w:eastAsia="zh-CN"/>
            </w:rPr>
            <w:t xml:space="preserve">  </w:t>
          </w:r>
          <w:r>
            <w:rPr>
              <w:rFonts w:hint="eastAsia"/>
            </w:rPr>
            <w:t>合同</w:t>
          </w:r>
          <w:r>
            <w:rPr>
              <w:rFonts w:hint="eastAsia"/>
              <w:lang w:val="en-US" w:eastAsia="zh-CN"/>
            </w:rPr>
            <w:t>主要条款</w:t>
          </w:r>
          <w:r>
            <w:rPr>
              <w:highlight w:val="none"/>
            </w:rPr>
            <w:tab/>
          </w:r>
          <w:r>
            <w:rPr>
              <w:highlight w:val="none"/>
            </w:rPr>
            <w:fldChar w:fldCharType="begin"/>
          </w:r>
          <w:r>
            <w:rPr>
              <w:highlight w:val="none"/>
            </w:rPr>
            <w:instrText xml:space="preserve"> PAGEREF _Toc20595 \h </w:instrText>
          </w:r>
          <w:r>
            <w:rPr>
              <w:highlight w:val="none"/>
            </w:rPr>
            <w:fldChar w:fldCharType="separate"/>
          </w:r>
          <w:r>
            <w:rPr>
              <w:highlight w:val="none"/>
            </w:rPr>
            <w:t>18</w:t>
          </w:r>
          <w:r>
            <w:rPr>
              <w:highlight w:val="none"/>
            </w:rPr>
            <w:fldChar w:fldCharType="end"/>
          </w:r>
          <w:r>
            <w:rPr>
              <w:rFonts w:hint="eastAsia" w:ascii="Calibri" w:hAnsi="Calibri" w:eastAsia="宋体" w:cs="Times New Roman"/>
              <w:bCs/>
              <w:kern w:val="44"/>
              <w:szCs w:val="44"/>
              <w:highlight w:val="none"/>
            </w:rPr>
            <w:fldChar w:fldCharType="end"/>
          </w:r>
        </w:p>
        <w:p w14:paraId="7691DBF9">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_Toc5925 </w:instrText>
          </w:r>
          <w:r>
            <w:rPr>
              <w:rFonts w:hint="eastAsia" w:ascii="Calibri" w:hAnsi="Calibri" w:eastAsia="宋体" w:cs="Times New Roman"/>
              <w:bCs/>
              <w:kern w:val="44"/>
              <w:szCs w:val="44"/>
              <w:highlight w:val="none"/>
            </w:rPr>
            <w:fldChar w:fldCharType="separate"/>
          </w:r>
          <w:r>
            <w:rPr>
              <w:rFonts w:hint="eastAsia"/>
              <w:highlight w:val="none"/>
            </w:rPr>
            <w:t>第四部分</w:t>
          </w:r>
          <w:r>
            <w:rPr>
              <w:rFonts w:hint="eastAsia"/>
              <w:highlight w:val="none"/>
              <w:lang w:val="en-US" w:eastAsia="zh-CN"/>
            </w:rPr>
            <w:t xml:space="preserve">  投标文件附件</w:t>
          </w:r>
          <w:r>
            <w:rPr>
              <w:highlight w:val="none"/>
            </w:rPr>
            <w:tab/>
          </w:r>
          <w:r>
            <w:rPr>
              <w:highlight w:val="none"/>
            </w:rPr>
            <w:fldChar w:fldCharType="begin"/>
          </w:r>
          <w:r>
            <w:rPr>
              <w:highlight w:val="none"/>
            </w:rPr>
            <w:instrText xml:space="preserve"> PAGEREF _Toc5925 \h </w:instrText>
          </w:r>
          <w:r>
            <w:rPr>
              <w:highlight w:val="none"/>
            </w:rPr>
            <w:fldChar w:fldCharType="separate"/>
          </w:r>
          <w:r>
            <w:rPr>
              <w:highlight w:val="none"/>
            </w:rPr>
            <w:t>19</w:t>
          </w:r>
          <w:r>
            <w:rPr>
              <w:highlight w:val="none"/>
            </w:rPr>
            <w:fldChar w:fldCharType="end"/>
          </w:r>
          <w:r>
            <w:rPr>
              <w:rFonts w:hint="eastAsia" w:ascii="Calibri" w:hAnsi="Calibri" w:eastAsia="宋体" w:cs="Times New Roman"/>
              <w:bCs/>
              <w:kern w:val="44"/>
              <w:szCs w:val="44"/>
              <w:highlight w:val="none"/>
            </w:rPr>
            <w:fldChar w:fldCharType="end"/>
          </w:r>
        </w:p>
        <w:p w14:paraId="6617A57C">
          <w:pPr>
            <w:pStyle w:val="21"/>
            <w:rPr>
              <w:highlight w:val="none"/>
            </w:rPr>
          </w:pPr>
          <w:r>
            <w:rPr>
              <w:rFonts w:hint="eastAsia" w:ascii="Calibri" w:hAnsi="Calibri" w:eastAsia="宋体" w:cs="Times New Roman"/>
              <w:bCs/>
              <w:kern w:val="44"/>
              <w:szCs w:val="44"/>
              <w:highlight w:val="none"/>
            </w:rPr>
            <w:fldChar w:fldCharType="end"/>
          </w:r>
        </w:p>
      </w:sdtContent>
    </w:sdt>
    <w:p w14:paraId="582BF911">
      <w:pPr>
        <w:pStyle w:val="15"/>
        <w:tabs>
          <w:tab w:val="left" w:pos="2940"/>
        </w:tabs>
        <w:spacing w:line="360" w:lineRule="auto"/>
        <w:rPr>
          <w:highlight w:val="none"/>
        </w:rPr>
      </w:pPr>
      <w:r>
        <w:rPr>
          <w:highlight w:val="none"/>
        </w:rPr>
        <w:tab/>
      </w:r>
    </w:p>
    <w:p w14:paraId="29FEE1FC">
      <w:pPr>
        <w:pStyle w:val="15"/>
        <w:spacing w:line="360" w:lineRule="auto"/>
        <w:jc w:val="center"/>
        <w:rPr>
          <w:highlight w:val="none"/>
        </w:rPr>
      </w:pPr>
    </w:p>
    <w:p w14:paraId="453A274D">
      <w:pPr>
        <w:pStyle w:val="15"/>
        <w:spacing w:line="360" w:lineRule="auto"/>
        <w:jc w:val="center"/>
        <w:rPr>
          <w:highlight w:val="none"/>
        </w:rPr>
        <w:sectPr>
          <w:pgSz w:w="11906" w:h="16838"/>
          <w:pgMar w:top="1701" w:right="1418" w:bottom="1134" w:left="1418" w:header="851" w:footer="992" w:gutter="0"/>
          <w:pgNumType w:fmt="decimal"/>
          <w:cols w:space="720" w:num="1"/>
          <w:titlePg/>
          <w:docGrid w:type="lines" w:linePitch="312" w:charSpace="0"/>
        </w:sectPr>
      </w:pPr>
    </w:p>
    <w:p w14:paraId="0230EEDA">
      <w:pPr>
        <w:pStyle w:val="72"/>
        <w:rPr>
          <w:highlight w:val="none"/>
        </w:rPr>
      </w:pPr>
      <w:bookmarkStart w:id="0" w:name="_Toc7104"/>
      <w:bookmarkStart w:id="1" w:name="_Toc47976587"/>
      <w:r>
        <w:rPr>
          <w:rFonts w:hint="eastAsia"/>
          <w:highlight w:val="none"/>
        </w:rPr>
        <w:t>招标公告</w:t>
      </w:r>
      <w:bookmarkEnd w:id="0"/>
      <w:bookmarkEnd w:id="1"/>
    </w:p>
    <w:p w14:paraId="3B867C39">
      <w:pPr>
        <w:pStyle w:val="72"/>
        <w:rPr>
          <w:rFonts w:hint="eastAsia"/>
          <w:highlight w:val="none"/>
        </w:rPr>
      </w:pPr>
      <w:bookmarkStart w:id="2" w:name="_Toc32474"/>
      <w:r>
        <w:rPr>
          <w:rFonts w:hint="eastAsia"/>
          <w:sz w:val="28"/>
          <w:highlight w:val="none"/>
          <w:lang w:eastAsia="zh-CN"/>
        </w:rPr>
        <w:t>中国重汽集团济南汽车部件</w:t>
      </w:r>
      <w:r>
        <w:rPr>
          <w:rFonts w:hint="eastAsia"/>
          <w:sz w:val="28"/>
          <w:highlight w:val="none"/>
        </w:rPr>
        <w:t>有限公司2026年度危险废物处置项目招标公告</w:t>
      </w:r>
      <w:bookmarkEnd w:id="2"/>
    </w:p>
    <w:p w14:paraId="2A47C58A">
      <w:pPr>
        <w:pStyle w:val="73"/>
        <w:rPr>
          <w:highlight w:val="none"/>
        </w:rPr>
      </w:pPr>
      <w:bookmarkStart w:id="3" w:name="_Toc47976588"/>
      <w:r>
        <w:rPr>
          <w:rFonts w:hint="eastAsia"/>
          <w:highlight w:val="none"/>
        </w:rPr>
        <w:t>项目名称及项目编号</w:t>
      </w:r>
      <w:bookmarkEnd w:id="3"/>
    </w:p>
    <w:p w14:paraId="1E71F649">
      <w:pPr>
        <w:pStyle w:val="74"/>
        <w:rPr>
          <w:highlight w:val="none"/>
        </w:rPr>
      </w:pPr>
      <w:r>
        <w:rPr>
          <w:rFonts w:hint="eastAsia"/>
          <w:highlight w:val="none"/>
        </w:rPr>
        <w:t>项目名称：</w:t>
      </w:r>
      <w:r>
        <w:rPr>
          <w:rFonts w:hint="eastAsia"/>
          <w:highlight w:val="none"/>
          <w:lang w:eastAsia="zh-CN"/>
        </w:rPr>
        <w:t>中国重汽集团济南汽车部件</w:t>
      </w:r>
      <w:r>
        <w:rPr>
          <w:rFonts w:hint="eastAsia"/>
          <w:highlight w:val="none"/>
        </w:rPr>
        <w:t>有限公司2026年度危险废物处置项目</w:t>
      </w:r>
    </w:p>
    <w:p w14:paraId="15020D03">
      <w:pPr>
        <w:pStyle w:val="74"/>
        <w:rPr>
          <w:rFonts w:hint="eastAsia"/>
          <w:highlight w:val="none"/>
          <w:lang w:eastAsia="zh-CN"/>
        </w:rPr>
      </w:pPr>
      <w:r>
        <w:rPr>
          <w:rFonts w:hint="eastAsia"/>
          <w:highlight w:val="none"/>
        </w:rPr>
        <w:t>项目编号：</w:t>
      </w:r>
      <w:r>
        <w:rPr>
          <w:rFonts w:hint="eastAsia"/>
          <w:highlight w:val="none"/>
          <w:lang w:eastAsia="zh-CN"/>
        </w:rPr>
        <w:t>ZBGL2026060306</w:t>
      </w:r>
    </w:p>
    <w:p w14:paraId="0AB9F24D">
      <w:pPr>
        <w:pStyle w:val="73"/>
        <w:rPr>
          <w:highlight w:val="none"/>
        </w:rPr>
      </w:pPr>
      <w:bookmarkStart w:id="4" w:name="_Toc47976589"/>
      <w:r>
        <w:rPr>
          <w:rFonts w:hint="eastAsia"/>
          <w:highlight w:val="none"/>
          <w:lang w:val="en-US" w:eastAsia="zh-CN"/>
        </w:rPr>
        <w:t>项目概况</w:t>
      </w:r>
      <w:r>
        <w:rPr>
          <w:rFonts w:hint="eastAsia"/>
          <w:highlight w:val="none"/>
        </w:rPr>
        <w:t>及招标形式</w:t>
      </w:r>
      <w:bookmarkEnd w:id="4"/>
    </w:p>
    <w:p w14:paraId="1A912F05">
      <w:pPr>
        <w:pStyle w:val="74"/>
        <w:numPr>
          <w:ilvl w:val="0"/>
          <w:numId w:val="9"/>
        </w:numPr>
        <w:rPr>
          <w:highlight w:val="none"/>
        </w:rPr>
      </w:pPr>
      <w:r>
        <w:rPr>
          <w:rFonts w:hint="eastAsia"/>
          <w:highlight w:val="none"/>
        </w:rPr>
        <w:t>招标内容：</w:t>
      </w:r>
      <w:r>
        <w:rPr>
          <w:rFonts w:hint="eastAsia"/>
          <w:highlight w:val="none"/>
          <w:lang w:eastAsia="zh-CN"/>
        </w:rPr>
        <w:t>中国重汽集团济南汽车部件</w:t>
      </w:r>
      <w:r>
        <w:rPr>
          <w:rFonts w:hint="eastAsia"/>
          <w:highlight w:val="none"/>
        </w:rPr>
        <w:t>有限公司2026年度危险废物处置项目</w:t>
      </w:r>
    </w:p>
    <w:p w14:paraId="4EC58B63">
      <w:pPr>
        <w:pStyle w:val="74"/>
        <w:rPr>
          <w:highlight w:val="none"/>
        </w:rPr>
      </w:pPr>
      <w:r>
        <w:rPr>
          <w:rFonts w:hint="eastAsia"/>
          <w:highlight w:val="none"/>
        </w:rPr>
        <w:t>招标形式：</w:t>
      </w:r>
      <w:r>
        <w:rPr>
          <w:rFonts w:hint="eastAsia"/>
          <w:highlight w:val="none"/>
          <w:lang w:val="en-US" w:eastAsia="zh-CN"/>
        </w:rPr>
        <w:t>公开</w:t>
      </w:r>
      <w:r>
        <w:rPr>
          <w:rFonts w:hint="eastAsia"/>
          <w:highlight w:val="none"/>
        </w:rPr>
        <w:t>招标</w:t>
      </w:r>
      <w:r>
        <w:rPr>
          <w:rStyle w:val="98"/>
          <w:rFonts w:hint="eastAsia"/>
          <w:b w:val="0"/>
          <w:highlight w:val="none"/>
        </w:rPr>
        <w:t>。</w:t>
      </w:r>
    </w:p>
    <w:p w14:paraId="76B97D53">
      <w:pPr>
        <w:pStyle w:val="73"/>
        <w:rPr>
          <w:highlight w:val="none"/>
        </w:rPr>
      </w:pPr>
      <w:bookmarkStart w:id="5" w:name="_Toc47976591"/>
      <w:r>
        <w:rPr>
          <w:rFonts w:hint="eastAsia"/>
          <w:highlight w:val="none"/>
        </w:rPr>
        <w:t>报名及招标文件的获取</w:t>
      </w:r>
      <w:bookmarkEnd w:id="5"/>
    </w:p>
    <w:p w14:paraId="0E06EF19">
      <w:pPr>
        <w:pStyle w:val="15"/>
        <w:numPr>
          <w:ilvl w:val="0"/>
          <w:numId w:val="0"/>
        </w:numPr>
        <w:spacing w:line="360" w:lineRule="auto"/>
        <w:ind w:firstLine="422" w:firstLineChars="200"/>
        <w:rPr>
          <w:rFonts w:hAnsi="宋体" w:cs="宋体"/>
          <w:color w:val="FF0000"/>
          <w:szCs w:val="21"/>
          <w:highlight w:val="none"/>
        </w:rPr>
      </w:pPr>
      <w:r>
        <w:rPr>
          <w:rFonts w:hint="eastAsia" w:hAnsi="宋体" w:cs="宋体"/>
          <w:b/>
          <w:bCs/>
          <w:szCs w:val="21"/>
          <w:highlight w:val="none"/>
          <w:lang w:val="en-US" w:eastAsia="zh-CN"/>
        </w:rPr>
        <w:t>1.</w:t>
      </w:r>
      <w:r>
        <w:rPr>
          <w:rFonts w:hint="eastAsia" w:hAnsi="宋体" w:cs="宋体"/>
          <w:b/>
          <w:bCs/>
          <w:szCs w:val="21"/>
          <w:highlight w:val="none"/>
        </w:rPr>
        <w:t>报名截止时间：</w:t>
      </w:r>
      <w:r>
        <w:rPr>
          <w:rFonts w:hint="eastAsia" w:hAnsi="宋体" w:cs="宋体"/>
          <w:b/>
          <w:bCs/>
          <w:color w:val="FF0000"/>
          <w:szCs w:val="21"/>
          <w:highlight w:val="none"/>
        </w:rPr>
        <w:t>202</w:t>
      </w:r>
      <w:r>
        <w:rPr>
          <w:rFonts w:hint="eastAsia" w:hAnsi="宋体" w:cs="宋体"/>
          <w:b/>
          <w:bCs/>
          <w:color w:val="FF0000"/>
          <w:szCs w:val="21"/>
          <w:highlight w:val="none"/>
          <w:lang w:val="en-US" w:eastAsia="zh-CN"/>
        </w:rPr>
        <w:t>6</w:t>
      </w:r>
      <w:r>
        <w:rPr>
          <w:rFonts w:hint="eastAsia" w:hAnsi="宋体" w:cs="宋体"/>
          <w:b/>
          <w:bCs/>
          <w:color w:val="FF0000"/>
          <w:szCs w:val="21"/>
          <w:highlight w:val="none"/>
        </w:rPr>
        <w:t>年</w:t>
      </w:r>
      <w:r>
        <w:rPr>
          <w:rFonts w:hint="eastAsia" w:hAnsi="宋体" w:cs="宋体"/>
          <w:b/>
          <w:bCs/>
          <w:color w:val="FF0000"/>
          <w:szCs w:val="21"/>
          <w:highlight w:val="none"/>
          <w:lang w:val="en-US" w:eastAsia="zh-CN"/>
        </w:rPr>
        <w:t>7</w:t>
      </w:r>
      <w:r>
        <w:rPr>
          <w:rFonts w:hint="eastAsia" w:hAnsi="宋体" w:cs="宋体"/>
          <w:b/>
          <w:bCs/>
          <w:color w:val="FF0000"/>
          <w:szCs w:val="21"/>
          <w:highlight w:val="none"/>
        </w:rPr>
        <w:t>月</w:t>
      </w:r>
      <w:r>
        <w:rPr>
          <w:rFonts w:hint="eastAsia" w:hAnsi="宋体" w:cs="宋体"/>
          <w:b/>
          <w:bCs/>
          <w:color w:val="FF0000"/>
          <w:szCs w:val="21"/>
          <w:highlight w:val="none"/>
          <w:lang w:val="en-US" w:eastAsia="zh-CN"/>
        </w:rPr>
        <w:t>14</w:t>
      </w:r>
      <w:r>
        <w:rPr>
          <w:rFonts w:hint="eastAsia" w:hAnsi="宋体" w:cs="宋体"/>
          <w:b/>
          <w:bCs/>
          <w:color w:val="FF0000"/>
          <w:szCs w:val="21"/>
          <w:highlight w:val="none"/>
        </w:rPr>
        <w:t>日17:00:00（北京时间）</w:t>
      </w:r>
    </w:p>
    <w:p w14:paraId="6BBCD822">
      <w:pPr>
        <w:pStyle w:val="15"/>
        <w:numPr>
          <w:ilvl w:val="0"/>
          <w:numId w:val="0"/>
        </w:numPr>
        <w:spacing w:line="240" w:lineRule="auto"/>
        <w:ind w:firstLine="422" w:firstLineChars="200"/>
        <w:rPr>
          <w:rFonts w:hAnsi="宋体" w:cs="宋体"/>
          <w:szCs w:val="21"/>
          <w:highlight w:val="none"/>
        </w:rPr>
      </w:pPr>
      <w:r>
        <w:rPr>
          <w:rFonts w:hint="eastAsia" w:hAnsi="宋体" w:cs="宋体"/>
          <w:b/>
          <w:bCs/>
          <w:szCs w:val="21"/>
          <w:highlight w:val="none"/>
          <w:lang w:val="en-US" w:eastAsia="zh-CN"/>
        </w:rPr>
        <w:t>2.</w:t>
      </w:r>
      <w:r>
        <w:rPr>
          <w:rFonts w:hint="eastAsia" w:hAnsi="宋体" w:cs="宋体"/>
          <w:b/>
          <w:bCs/>
          <w:szCs w:val="21"/>
          <w:highlight w:val="none"/>
        </w:rPr>
        <w:t>招标文件获取方式：投标人在上述时间范围内，在中国重汽e采通平台上获取招标文件</w:t>
      </w:r>
    </w:p>
    <w:p w14:paraId="7A0927CB">
      <w:pPr>
        <w:pStyle w:val="73"/>
        <w:numPr>
          <w:ilvl w:val="0"/>
          <w:numId w:val="0"/>
        </w:numPr>
        <w:spacing w:line="240" w:lineRule="auto"/>
        <w:ind w:leftChars="0"/>
        <w:rPr>
          <w:highlight w:val="none"/>
        </w:rPr>
      </w:pPr>
      <w:r>
        <w:rPr>
          <w:rFonts w:hint="eastAsia" w:ascii="宋体" w:hAnsi="宋体" w:eastAsia="宋体" w:cs="宋体"/>
          <w:sz w:val="21"/>
          <w:szCs w:val="21"/>
          <w:highlight w:val="none"/>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点击“应标”后按照招标文件</w:t>
      </w:r>
      <w:r>
        <w:rPr>
          <w:rFonts w:hint="eastAsia" w:ascii="宋体" w:hAnsi="宋体" w:eastAsia="宋体" w:cs="宋体"/>
          <w:sz w:val="21"/>
          <w:szCs w:val="21"/>
          <w:highlight w:val="none"/>
          <w:lang w:val="en-US" w:eastAsia="zh-CN"/>
        </w:rPr>
        <w:t>中的</w:t>
      </w:r>
      <w:r>
        <w:rPr>
          <w:rFonts w:hint="eastAsia" w:ascii="宋体" w:hAnsi="宋体" w:eastAsia="宋体" w:cs="宋体"/>
          <w:sz w:val="21"/>
          <w:szCs w:val="21"/>
          <w:highlight w:val="none"/>
        </w:rPr>
        <w:t>投标文件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资质标书》</w:t>
      </w:r>
      <w:r>
        <w:rPr>
          <w:rFonts w:hint="eastAsia" w:ascii="宋体" w:hAnsi="宋体" w:eastAsia="宋体" w:cs="宋体"/>
          <w:sz w:val="21"/>
          <w:szCs w:val="21"/>
          <w:highlight w:val="none"/>
        </w:rPr>
        <w:t>准备资料并上传，资质审查通过即为报名成功；公示期间请尽快报名。</w:t>
      </w:r>
    </w:p>
    <w:p w14:paraId="654E7574">
      <w:pPr>
        <w:pStyle w:val="73"/>
        <w:rPr>
          <w:highlight w:val="none"/>
        </w:rPr>
      </w:pPr>
      <w:r>
        <w:rPr>
          <w:rFonts w:hint="eastAsia"/>
          <w:highlight w:val="none"/>
        </w:rPr>
        <w:t>投标文件的递交</w:t>
      </w:r>
    </w:p>
    <w:p w14:paraId="3AE4448B">
      <w:pPr>
        <w:pStyle w:val="73"/>
        <w:numPr>
          <w:ilvl w:val="0"/>
          <w:numId w:val="0"/>
        </w:numPr>
        <w:spacing w:line="240" w:lineRule="auto"/>
        <w:ind w:leftChars="0"/>
        <w:rPr>
          <w:rFonts w:hint="eastAsia" w:ascii="宋体" w:hAnsi="宋体" w:eastAsia="宋体" w:cs="宋体"/>
          <w:color w:val="FF0000"/>
          <w:sz w:val="21"/>
          <w:szCs w:val="21"/>
          <w:highlight w:val="none"/>
          <w:lang w:val="en-US" w:eastAsia="zh-CN"/>
        </w:rPr>
      </w:pPr>
      <w:r>
        <w:rPr>
          <w:rFonts w:hint="eastAsia" w:ascii="宋体" w:hAnsi="宋体" w:eastAsia="宋体" w:cs="宋体"/>
          <w:sz w:val="21"/>
          <w:szCs w:val="21"/>
          <w:highlight w:val="none"/>
        </w:rPr>
        <w:t>投标方式：在中国重汽e采通平台应标成功后，进入“供应商投标”环节，投递盖章扫描版电子标书（包含资质标书、技术标书、商务标书），若逾期未在中国重汽e采通平台上传电子标书，一律视为无效投标</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截止时间：</w:t>
      </w:r>
      <w:r>
        <w:rPr>
          <w:rFonts w:hint="eastAsia" w:ascii="宋体" w:hAnsi="宋体" w:eastAsia="宋体" w:cs="宋体"/>
          <w:color w:val="FF0000"/>
          <w:sz w:val="21"/>
          <w:szCs w:val="21"/>
          <w:highlight w:val="none"/>
          <w:lang w:val="en-US" w:eastAsia="zh-CN"/>
        </w:rPr>
        <w:t>2026年7月16日17:00:00（北京时间）</w:t>
      </w:r>
    </w:p>
    <w:p w14:paraId="075301CC">
      <w:pPr>
        <w:pStyle w:val="73"/>
        <w:numPr>
          <w:ilvl w:val="0"/>
          <w:numId w:val="0"/>
        </w:numPr>
        <w:spacing w:line="240" w:lineRule="auto"/>
        <w:ind w:leftChars="0"/>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纸质版投标文件（一正两副）需在2026年7月16日17:00:00前邮寄至招标方</w:t>
      </w:r>
    </w:p>
    <w:p w14:paraId="509381FC">
      <w:pPr>
        <w:pStyle w:val="73"/>
        <w:numPr>
          <w:ilvl w:val="0"/>
          <w:numId w:val="0"/>
        </w:numPr>
        <w:spacing w:line="240" w:lineRule="auto"/>
        <w:ind w:leftChars="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邮寄地址：济南市章丘区圣经街道潘王路西重汽工业园北三厂</w:t>
      </w:r>
    </w:p>
    <w:p w14:paraId="50EAF386">
      <w:pPr>
        <w:pStyle w:val="73"/>
        <w:numPr>
          <w:ilvl w:val="0"/>
          <w:numId w:val="0"/>
        </w:numPr>
        <w:spacing w:line="240" w:lineRule="auto"/>
        <w:ind w:leftChars="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收件人：朱春晓  15665735206</w:t>
      </w:r>
    </w:p>
    <w:p w14:paraId="4FB336BE">
      <w:pPr>
        <w:pStyle w:val="73"/>
        <w:spacing w:line="240" w:lineRule="auto"/>
        <w:rPr>
          <w:highlight w:val="none"/>
        </w:rPr>
      </w:pPr>
      <w:r>
        <w:rPr>
          <w:rFonts w:hint="eastAsia"/>
          <w:highlight w:val="none"/>
          <w:lang w:val="en-US" w:eastAsia="zh-CN"/>
        </w:rPr>
        <w:t>开标时间和地点</w:t>
      </w:r>
    </w:p>
    <w:p w14:paraId="08ED514D">
      <w:pPr>
        <w:pStyle w:val="73"/>
        <w:numPr>
          <w:ilvl w:val="0"/>
          <w:numId w:val="10"/>
        </w:numPr>
        <w:spacing w:line="240" w:lineRule="auto"/>
        <w:ind w:left="840"/>
        <w:rPr>
          <w:highlight w:val="none"/>
        </w:rPr>
      </w:pPr>
      <w:r>
        <w:rPr>
          <w:rFonts w:hint="eastAsia" w:ascii="宋体" w:hAnsi="宋体" w:eastAsia="宋体" w:cs="宋体"/>
          <w:sz w:val="21"/>
          <w:szCs w:val="21"/>
          <w:highlight w:val="none"/>
        </w:rPr>
        <w:t>时间：</w:t>
      </w:r>
      <w:r>
        <w:rPr>
          <w:rFonts w:hint="eastAsia" w:ascii="宋体" w:hAnsi="宋体" w:eastAsia="宋体" w:cs="宋体"/>
          <w:color w:val="FF0000"/>
          <w:sz w:val="21"/>
          <w:szCs w:val="21"/>
          <w:highlight w:val="none"/>
          <w:lang w:val="en-US" w:eastAsia="zh-CN"/>
        </w:rPr>
        <w:t>2026</w:t>
      </w:r>
      <w:r>
        <w:rPr>
          <w:rFonts w:hint="eastAsia" w:ascii="宋体" w:hAnsi="宋体" w:eastAsia="宋体" w:cs="宋体"/>
          <w:color w:val="FF0000"/>
          <w:sz w:val="21"/>
          <w:szCs w:val="21"/>
          <w:highlight w:val="none"/>
        </w:rPr>
        <w:t>年</w:t>
      </w:r>
      <w:r>
        <w:rPr>
          <w:rFonts w:hint="eastAsia" w:ascii="宋体" w:hAnsi="宋体" w:eastAsia="宋体" w:cs="宋体"/>
          <w:color w:val="FF0000"/>
          <w:sz w:val="21"/>
          <w:szCs w:val="21"/>
          <w:highlight w:val="none"/>
          <w:lang w:val="en-US" w:eastAsia="zh-CN"/>
        </w:rPr>
        <w:t>7</w:t>
      </w:r>
      <w:r>
        <w:rPr>
          <w:rFonts w:hint="eastAsia" w:ascii="宋体" w:hAnsi="宋体" w:eastAsia="宋体" w:cs="宋体"/>
          <w:color w:val="FF0000"/>
          <w:sz w:val="21"/>
          <w:szCs w:val="21"/>
          <w:highlight w:val="none"/>
        </w:rPr>
        <w:t>月</w:t>
      </w:r>
      <w:r>
        <w:rPr>
          <w:rFonts w:hint="eastAsia" w:ascii="宋体" w:hAnsi="宋体" w:eastAsia="宋体" w:cs="宋体"/>
          <w:color w:val="FF0000"/>
          <w:sz w:val="21"/>
          <w:szCs w:val="21"/>
          <w:highlight w:val="none"/>
          <w:lang w:val="en-US" w:eastAsia="zh-CN"/>
        </w:rPr>
        <w:t>17</w:t>
      </w:r>
      <w:r>
        <w:rPr>
          <w:rFonts w:hint="eastAsia" w:ascii="宋体" w:hAnsi="宋体" w:eastAsia="宋体" w:cs="宋体"/>
          <w:color w:val="FF0000"/>
          <w:sz w:val="21"/>
          <w:szCs w:val="21"/>
          <w:highlight w:val="none"/>
        </w:rPr>
        <w:t>日9:00:00</w:t>
      </w:r>
      <w:r>
        <w:rPr>
          <w:rFonts w:hint="eastAsia" w:ascii="宋体" w:hAnsi="宋体" w:eastAsia="宋体" w:cs="宋体"/>
          <w:color w:val="FF0000"/>
          <w:sz w:val="21"/>
          <w:szCs w:val="21"/>
          <w:highlight w:val="none"/>
          <w:lang w:eastAsia="zh-CN"/>
        </w:rPr>
        <w:t>（</w:t>
      </w:r>
      <w:r>
        <w:rPr>
          <w:rFonts w:hint="eastAsia" w:ascii="宋体" w:hAnsi="宋体" w:eastAsia="宋体" w:cs="宋体"/>
          <w:color w:val="FF0000"/>
          <w:sz w:val="21"/>
          <w:szCs w:val="21"/>
          <w:highlight w:val="none"/>
          <w:lang w:val="en-US" w:eastAsia="zh-CN"/>
        </w:rPr>
        <w:t>若有变动另行通知</w:t>
      </w:r>
      <w:r>
        <w:rPr>
          <w:rFonts w:hint="eastAsia" w:ascii="宋体" w:hAnsi="宋体" w:eastAsia="宋体" w:cs="宋体"/>
          <w:color w:val="FF0000"/>
          <w:sz w:val="21"/>
          <w:szCs w:val="21"/>
          <w:highlight w:val="none"/>
          <w:lang w:eastAsia="zh-CN"/>
        </w:rPr>
        <w:t>）</w:t>
      </w:r>
    </w:p>
    <w:p w14:paraId="15ABDA21">
      <w:pPr>
        <w:pStyle w:val="73"/>
        <w:numPr>
          <w:ilvl w:val="0"/>
          <w:numId w:val="10"/>
        </w:numPr>
        <w:spacing w:line="240" w:lineRule="auto"/>
        <w:ind w:left="840"/>
        <w:rPr>
          <w:highlight w:val="none"/>
        </w:rPr>
      </w:pPr>
      <w:r>
        <w:rPr>
          <w:rFonts w:hint="eastAsia" w:ascii="宋体" w:hAnsi="宋体" w:eastAsia="宋体" w:cs="宋体"/>
          <w:sz w:val="21"/>
          <w:szCs w:val="21"/>
          <w:highlight w:val="none"/>
        </w:rPr>
        <w:t>地点：济南市</w:t>
      </w:r>
      <w:r>
        <w:rPr>
          <w:rFonts w:hint="eastAsia" w:ascii="宋体" w:hAnsi="宋体" w:eastAsia="宋体" w:cs="宋体"/>
          <w:sz w:val="21"/>
          <w:szCs w:val="21"/>
          <w:highlight w:val="none"/>
          <w:lang w:val="en-US" w:eastAsia="zh-CN"/>
        </w:rPr>
        <w:t>章丘区圣井街道潘王路西重汽工业园北三厂</w:t>
      </w:r>
    </w:p>
    <w:p w14:paraId="7D20EAC6">
      <w:pPr>
        <w:pStyle w:val="73"/>
        <w:spacing w:line="240" w:lineRule="auto"/>
        <w:rPr>
          <w:highlight w:val="none"/>
        </w:rPr>
      </w:pPr>
      <w:r>
        <w:rPr>
          <w:rFonts w:hint="eastAsia"/>
          <w:highlight w:val="none"/>
        </w:rPr>
        <w:t>联系方式</w:t>
      </w:r>
    </w:p>
    <w:p w14:paraId="32DD4A06">
      <w:pPr>
        <w:spacing w:line="240" w:lineRule="auto"/>
        <w:ind w:firstLine="422" w:firstLineChars="200"/>
        <w:rPr>
          <w:rFonts w:ascii="宋体" w:hAnsi="宋体" w:cs="宋体"/>
          <w:b/>
          <w:snapToGrid w:val="0"/>
          <w:kern w:val="0"/>
          <w:szCs w:val="21"/>
          <w:highlight w:val="none"/>
        </w:rPr>
      </w:pPr>
      <w:r>
        <w:rPr>
          <w:rFonts w:hint="eastAsia" w:ascii="宋体" w:hAnsi="宋体" w:cs="宋体"/>
          <w:b/>
          <w:snapToGrid w:val="0"/>
          <w:kern w:val="0"/>
          <w:szCs w:val="21"/>
          <w:highlight w:val="none"/>
        </w:rPr>
        <w:t>招标人名称：</w:t>
      </w:r>
      <w:r>
        <w:rPr>
          <w:rFonts w:hint="eastAsia" w:ascii="宋体" w:hAnsi="宋体" w:cs="宋体"/>
          <w:b/>
          <w:snapToGrid w:val="0"/>
          <w:kern w:val="0"/>
          <w:szCs w:val="21"/>
          <w:highlight w:val="none"/>
          <w:lang w:eastAsia="zh-CN"/>
        </w:rPr>
        <w:t>中国重汽集团济南汽车部件</w:t>
      </w:r>
      <w:r>
        <w:rPr>
          <w:rFonts w:hint="eastAsia" w:ascii="宋体" w:hAnsi="宋体" w:cs="宋体"/>
          <w:b/>
          <w:snapToGrid w:val="0"/>
          <w:kern w:val="0"/>
          <w:szCs w:val="21"/>
          <w:highlight w:val="none"/>
        </w:rPr>
        <w:t>有限公司</w:t>
      </w:r>
    </w:p>
    <w:p w14:paraId="3794D399">
      <w:pPr>
        <w:pStyle w:val="73"/>
        <w:numPr>
          <w:ilvl w:val="0"/>
          <w:numId w:val="0"/>
        </w:numPr>
        <w:spacing w:line="240" w:lineRule="auto"/>
        <w:ind w:firstLine="422" w:firstLineChars="200"/>
        <w:rPr>
          <w:rFonts w:hint="eastAsia" w:ascii="宋体" w:hAnsi="宋体" w:eastAsia="宋体" w:cs="宋体"/>
          <w:bCs w:val="0"/>
          <w:sz w:val="21"/>
          <w:szCs w:val="21"/>
          <w:highlight w:val="none"/>
          <w:lang w:eastAsia="zh-CN"/>
        </w:rPr>
      </w:pPr>
      <w:r>
        <w:rPr>
          <w:rFonts w:hint="eastAsia" w:ascii="宋体" w:hAnsi="宋体" w:eastAsia="宋体" w:cs="宋体"/>
          <w:bCs w:val="0"/>
          <w:sz w:val="21"/>
          <w:szCs w:val="21"/>
          <w:highlight w:val="none"/>
        </w:rPr>
        <w:t>联系人：</w:t>
      </w:r>
      <w:r>
        <w:rPr>
          <w:rFonts w:hint="eastAsia" w:ascii="宋体" w:hAnsi="宋体" w:eastAsia="宋体" w:cs="宋体"/>
          <w:bCs w:val="0"/>
          <w:sz w:val="21"/>
          <w:szCs w:val="21"/>
          <w:highlight w:val="none"/>
          <w:lang w:val="en-US" w:eastAsia="zh-CN"/>
        </w:rPr>
        <w:t>朱春晓</w:t>
      </w:r>
    </w:p>
    <w:p w14:paraId="70DECEA2">
      <w:pPr>
        <w:pStyle w:val="73"/>
        <w:numPr>
          <w:ilvl w:val="0"/>
          <w:numId w:val="0"/>
        </w:numPr>
        <w:spacing w:line="240" w:lineRule="auto"/>
        <w:ind w:firstLine="422" w:firstLineChars="200"/>
        <w:rPr>
          <w:rFonts w:hint="default" w:ascii="宋体" w:hAnsi="宋体" w:eastAsia="宋体" w:cs="宋体"/>
          <w:bCs w:val="0"/>
          <w:sz w:val="21"/>
          <w:szCs w:val="21"/>
          <w:highlight w:val="none"/>
          <w:lang w:val="en-US" w:eastAsia="zh-CN"/>
        </w:rPr>
      </w:pPr>
      <w:r>
        <w:rPr>
          <w:rFonts w:hint="eastAsia" w:ascii="宋体" w:hAnsi="宋体" w:eastAsia="宋体" w:cs="宋体"/>
          <w:bCs w:val="0"/>
          <w:sz w:val="21"/>
          <w:szCs w:val="21"/>
          <w:highlight w:val="none"/>
        </w:rPr>
        <w:t>电话：</w:t>
      </w:r>
      <w:r>
        <w:rPr>
          <w:rFonts w:hint="eastAsia" w:ascii="宋体" w:hAnsi="宋体" w:eastAsia="宋体" w:cs="宋体"/>
          <w:bCs w:val="0"/>
          <w:sz w:val="21"/>
          <w:szCs w:val="21"/>
          <w:highlight w:val="none"/>
          <w:lang w:val="en-US" w:eastAsia="zh-CN"/>
        </w:rPr>
        <w:t>15665735206</w:t>
      </w:r>
    </w:p>
    <w:p w14:paraId="30718E39">
      <w:pPr>
        <w:pStyle w:val="73"/>
        <w:numPr>
          <w:ilvl w:val="0"/>
          <w:numId w:val="0"/>
        </w:numPr>
        <w:spacing w:line="240" w:lineRule="auto"/>
        <w:ind w:firstLine="422" w:firstLineChars="200"/>
        <w:rPr>
          <w:rFonts w:ascii="宋体" w:hAnsi="宋体" w:eastAsia="宋体" w:cs="宋体"/>
          <w:bCs w:val="0"/>
          <w:sz w:val="21"/>
          <w:szCs w:val="21"/>
          <w:highlight w:val="none"/>
        </w:rPr>
      </w:pPr>
      <w:r>
        <w:rPr>
          <w:rFonts w:hint="eastAsia" w:ascii="宋体" w:hAnsi="宋体" w:eastAsia="宋体" w:cs="宋体"/>
          <w:bCs w:val="0"/>
          <w:sz w:val="21"/>
          <w:szCs w:val="21"/>
          <w:highlight w:val="none"/>
        </w:rPr>
        <w:t>邮箱：</w:t>
      </w:r>
      <w:r>
        <w:rPr>
          <w:rFonts w:hint="eastAsia" w:ascii="宋体" w:hAnsi="宋体" w:eastAsia="宋体" w:cs="宋体"/>
          <w:bCs w:val="0"/>
          <w:sz w:val="21"/>
          <w:szCs w:val="21"/>
          <w:highlight w:val="none"/>
          <w:lang w:val="en-US" w:eastAsia="zh-CN"/>
        </w:rPr>
        <w:t>15665735206@163.com</w:t>
      </w:r>
    </w:p>
    <w:p w14:paraId="5F538BD8">
      <w:pPr>
        <w:pStyle w:val="77"/>
        <w:rPr>
          <w:highlight w:val="none"/>
        </w:rPr>
      </w:pPr>
    </w:p>
    <w:p w14:paraId="410F58AB">
      <w:pPr>
        <w:pStyle w:val="77"/>
        <w:ind w:firstLine="7350" w:firstLineChars="3500"/>
        <w:jc w:val="both"/>
        <w:rPr>
          <w:color w:val="auto"/>
          <w:highlight w:val="none"/>
        </w:rPr>
      </w:pPr>
      <w:r>
        <w:rPr>
          <w:rFonts w:hint="eastAsia"/>
          <w:color w:val="auto"/>
          <w:highlight w:val="none"/>
          <w:u w:val="none"/>
          <w:lang w:val="en-US" w:eastAsia="zh-CN"/>
        </w:rPr>
        <w:t>2026</w:t>
      </w:r>
      <w:r>
        <w:rPr>
          <w:rFonts w:hint="eastAsia"/>
          <w:color w:val="auto"/>
          <w:highlight w:val="none"/>
        </w:rPr>
        <w:t>年</w:t>
      </w:r>
      <w:r>
        <w:rPr>
          <w:rFonts w:hint="eastAsia"/>
          <w:color w:val="auto"/>
          <w:highlight w:val="none"/>
          <w:lang w:val="en-US" w:eastAsia="zh-CN"/>
        </w:rPr>
        <w:t>7</w:t>
      </w:r>
      <w:r>
        <w:rPr>
          <w:rFonts w:hint="eastAsia"/>
          <w:color w:val="auto"/>
          <w:highlight w:val="none"/>
        </w:rPr>
        <w:t>月</w:t>
      </w:r>
      <w:r>
        <w:rPr>
          <w:rFonts w:hint="eastAsia"/>
          <w:color w:val="auto"/>
          <w:highlight w:val="none"/>
          <w:lang w:val="en-US" w:eastAsia="zh-CN"/>
        </w:rPr>
        <w:t>8</w:t>
      </w:r>
      <w:r>
        <w:rPr>
          <w:rFonts w:hint="eastAsia"/>
          <w:color w:val="auto"/>
          <w:highlight w:val="none"/>
        </w:rPr>
        <w:t>日</w:t>
      </w:r>
    </w:p>
    <w:p w14:paraId="04C96706">
      <w:pPr>
        <w:pStyle w:val="77"/>
        <w:rPr>
          <w:highlight w:val="none"/>
        </w:rPr>
      </w:pPr>
    </w:p>
    <w:p w14:paraId="3D820EEC">
      <w:pPr>
        <w:pStyle w:val="72"/>
        <w:rPr>
          <w:highlight w:val="none"/>
        </w:rPr>
      </w:pPr>
      <w:bookmarkStart w:id="6" w:name="_Toc47976595"/>
      <w:bookmarkStart w:id="7" w:name="_Toc7753"/>
      <w:r>
        <w:rPr>
          <w:rFonts w:hint="eastAsia"/>
          <w:highlight w:val="none"/>
        </w:rPr>
        <w:t>第一部分  投标人须知</w:t>
      </w:r>
      <w:bookmarkEnd w:id="6"/>
      <w:bookmarkEnd w:id="7"/>
    </w:p>
    <w:p w14:paraId="418340FC">
      <w:pPr>
        <w:pStyle w:val="73"/>
        <w:numPr>
          <w:ilvl w:val="0"/>
          <w:numId w:val="11"/>
        </w:numPr>
        <w:ind w:left="420"/>
        <w:jc w:val="left"/>
        <w:rPr>
          <w:highlight w:val="none"/>
        </w:rPr>
      </w:pPr>
      <w:bookmarkStart w:id="8" w:name="_Toc47976596"/>
      <w:r>
        <w:rPr>
          <w:rFonts w:hint="eastAsia"/>
          <w:highlight w:val="none"/>
        </w:rPr>
        <w:t>项目介绍</w:t>
      </w:r>
      <w:bookmarkEnd w:id="8"/>
    </w:p>
    <w:p w14:paraId="56A7C4EB">
      <w:pPr>
        <w:pStyle w:val="77"/>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highlight w:val="none"/>
        </w:rPr>
      </w:pPr>
      <w:bookmarkStart w:id="9" w:name="_Toc47112482"/>
      <w:r>
        <w:rPr>
          <w:rFonts w:hint="eastAsia"/>
          <w:highlight w:val="none"/>
          <w:lang w:val="en-US" w:eastAsia="zh-CN"/>
        </w:rPr>
        <w:t>项目概况：</w:t>
      </w:r>
      <w:r>
        <w:rPr>
          <w:rFonts w:hint="eastAsia"/>
          <w:highlight w:val="none"/>
          <w:lang w:eastAsia="zh-CN"/>
        </w:rPr>
        <w:t>中国重汽集团济南汽车部件有限公司产生的磨床废弃物HW</w:t>
      </w:r>
      <w:r>
        <w:rPr>
          <w:rFonts w:hint="eastAsia"/>
          <w:highlight w:val="none"/>
          <w:lang w:val="en-US" w:eastAsia="zh-CN"/>
        </w:rPr>
        <w:t>08</w:t>
      </w:r>
      <w:r>
        <w:rPr>
          <w:rFonts w:hint="eastAsia"/>
          <w:highlight w:val="none"/>
          <w:lang w:eastAsia="zh-CN"/>
        </w:rPr>
        <w:t>（900-200-08）交由有经营资质的危险废物处置单位进行合规处置</w:t>
      </w:r>
      <w:r>
        <w:rPr>
          <w:rFonts w:hint="eastAsia"/>
          <w:highlight w:val="none"/>
          <w:lang w:val="en-US" w:eastAsia="zh-CN"/>
        </w:rPr>
        <w:t>。</w:t>
      </w:r>
    </w:p>
    <w:p w14:paraId="151561C8">
      <w:pPr>
        <w:pStyle w:val="77"/>
        <w:numPr>
          <w:ilvl w:val="0"/>
          <w:numId w:val="12"/>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10BC6F77">
      <w:pPr>
        <w:pStyle w:val="77"/>
        <w:numPr>
          <w:ilvl w:val="0"/>
          <w:numId w:val="12"/>
        </w:numPr>
        <w:ind w:left="425" w:leftChars="0" w:hanging="425" w:firstLineChars="0"/>
        <w:rPr>
          <w:rFonts w:hint="default" w:cs="Times New Roman"/>
          <w:highlight w:val="none"/>
          <w:u w:val="none"/>
          <w:lang w:val="en-US" w:eastAsia="zh-CN"/>
        </w:rPr>
      </w:pPr>
      <w:r>
        <w:rPr>
          <w:rFonts w:hint="eastAsia"/>
          <w:highlight w:val="none"/>
          <w:lang w:val="en-US" w:eastAsia="zh-CN"/>
        </w:rPr>
        <w:t>报价：</w:t>
      </w:r>
    </w:p>
    <w:p w14:paraId="0E0B46BF">
      <w:pPr>
        <w:pStyle w:val="77"/>
        <w:numPr>
          <w:ilvl w:val="0"/>
          <w:numId w:val="0"/>
        </w:numPr>
        <w:rPr>
          <w:rFonts w:hint="default" w:cs="Times New Roman"/>
          <w:highlight w:val="none"/>
          <w:u w:val="none"/>
          <w:lang w:val="en-US" w:eastAsia="zh-CN"/>
        </w:rPr>
      </w:pPr>
      <w:r>
        <w:rPr>
          <w:rFonts w:hint="eastAsia" w:cs="Times New Roman"/>
          <w:highlight w:val="none"/>
          <w:u w:val="none"/>
          <w:lang w:val="en-US" w:eastAsia="zh-CN"/>
        </w:rPr>
        <w:t>（1）</w:t>
      </w:r>
      <w:r>
        <w:rPr>
          <w:rFonts w:hint="default" w:cs="Times New Roman"/>
          <w:highlight w:val="none"/>
          <w:u w:val="none"/>
          <w:lang w:val="en-US" w:eastAsia="zh-CN"/>
        </w:rPr>
        <w:t>原则上招标人将与中标人签订为期</w:t>
      </w:r>
      <w:r>
        <w:rPr>
          <w:rFonts w:hint="eastAsia" w:cs="Times New Roman"/>
          <w:highlight w:val="none"/>
          <w:u w:val="none"/>
          <w:lang w:val="en-US" w:eastAsia="zh-CN"/>
        </w:rPr>
        <w:t>一年</w:t>
      </w:r>
      <w:r>
        <w:rPr>
          <w:rFonts w:hint="default" w:cs="Times New Roman"/>
          <w:highlight w:val="none"/>
          <w:u w:val="none"/>
          <w:lang w:val="en-US" w:eastAsia="zh-CN"/>
        </w:rPr>
        <w:t>的危险废物处置协议。鉴于此，投标人应根据招标人提供的开标一览表（见附件）；酌情考虑总体的处置量，本着诚信合作的态度，向招标人提供真实、合理的投标报价。</w:t>
      </w:r>
    </w:p>
    <w:p w14:paraId="5BECBCD0">
      <w:pPr>
        <w:pStyle w:val="77"/>
        <w:numPr>
          <w:ilvl w:val="0"/>
          <w:numId w:val="0"/>
        </w:numPr>
        <w:rPr>
          <w:rFonts w:hint="default" w:cs="Times New Roman"/>
          <w:highlight w:val="none"/>
          <w:u w:val="none"/>
          <w:lang w:val="en-US" w:eastAsia="zh-CN"/>
        </w:rPr>
      </w:pPr>
      <w:r>
        <w:rPr>
          <w:rFonts w:hint="eastAsia" w:cs="Times New Roman"/>
          <w:highlight w:val="none"/>
          <w:u w:val="none"/>
          <w:lang w:val="en-US" w:eastAsia="zh-CN"/>
        </w:rPr>
        <w:t>（2）</w:t>
      </w:r>
      <w:r>
        <w:rPr>
          <w:rFonts w:hint="default" w:cs="Times New Roman"/>
          <w:highlight w:val="none"/>
          <w:u w:val="none"/>
          <w:lang w:val="en-US" w:eastAsia="zh-CN"/>
        </w:rPr>
        <w:t>投标价格含合同签订的危险废物处置过程中所产生的一切费用，包括处置费、运输费及相关服务等所有费用。评标小组有权根据报价情况要求所有投标人进行澄清。</w:t>
      </w:r>
    </w:p>
    <w:p w14:paraId="206F4026">
      <w:pPr>
        <w:pStyle w:val="77"/>
        <w:numPr>
          <w:ilvl w:val="0"/>
          <w:numId w:val="0"/>
        </w:numPr>
        <w:rPr>
          <w:rFonts w:hint="default" w:cs="Times New Roman"/>
          <w:highlight w:val="none"/>
          <w:u w:val="none"/>
          <w:lang w:val="en-US" w:eastAsia="zh-CN"/>
        </w:rPr>
      </w:pPr>
      <w:r>
        <w:rPr>
          <w:rFonts w:hint="eastAsia" w:cs="Times New Roman"/>
          <w:highlight w:val="none"/>
          <w:u w:val="none"/>
          <w:lang w:val="en-US" w:eastAsia="zh-CN"/>
        </w:rPr>
        <w:t>（3）</w:t>
      </w:r>
      <w:r>
        <w:rPr>
          <w:rFonts w:hint="default" w:cs="Times New Roman"/>
          <w:highlight w:val="none"/>
          <w:u w:val="none"/>
          <w:lang w:val="en-US" w:eastAsia="zh-CN"/>
        </w:rPr>
        <w:t>所有报价货币单位为：元（人民币,包括含税价、不含税价及税率）。</w:t>
      </w:r>
    </w:p>
    <w:bookmarkEnd w:id="9"/>
    <w:p w14:paraId="50DC6C75">
      <w:pPr>
        <w:pStyle w:val="73"/>
        <w:rPr>
          <w:highlight w:val="none"/>
        </w:rPr>
      </w:pPr>
      <w:bookmarkStart w:id="10" w:name="_Toc47976598"/>
      <w:r>
        <w:rPr>
          <w:rFonts w:hint="eastAsia"/>
          <w:highlight w:val="none"/>
        </w:rPr>
        <w:t>合格的投标人</w:t>
      </w:r>
      <w:bookmarkEnd w:id="10"/>
    </w:p>
    <w:p w14:paraId="0A443062">
      <w:pPr>
        <w:pStyle w:val="73"/>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1、投标人须遵守《中华人民共和国招标投标法》、《中华人民共和国民法典》及其它有关的法律和法规，为中华人民共和国境内注册的独立法人机构，具有独立承担民事责任能力；</w:t>
      </w:r>
    </w:p>
    <w:p w14:paraId="24C47BC5">
      <w:pPr>
        <w:pStyle w:val="73"/>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2、持有当地生态环境局(厅)核发的正式危险废物经营许可证（需涵盖HW08类（900-200-08）</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增项、变更、换证除外），且危险废物经营许可证有效期涵盖整个合同期（含2026年危险废物经营许可证到期更换情况）；</w:t>
      </w:r>
    </w:p>
    <w:p w14:paraId="4076CC4A">
      <w:pPr>
        <w:pStyle w:val="73"/>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3、公司成立两年及以上</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取得相应资质（以生态环境部门颁发危险废物许可证或生态环境部门批复准予经营的文件为准）；注册资金不少于</w:t>
      </w:r>
      <w:r>
        <w:rPr>
          <w:rFonts w:hint="eastAsia" w:ascii="宋体" w:hAnsi="宋体" w:eastAsia="宋体" w:cs="宋体"/>
          <w:sz w:val="21"/>
          <w:szCs w:val="21"/>
          <w:highlight w:val="none"/>
          <w:lang w:val="en-US" w:eastAsia="zh-CN"/>
        </w:rPr>
        <w:t>500</w:t>
      </w:r>
      <w:r>
        <w:rPr>
          <w:rFonts w:hint="eastAsia" w:ascii="宋体" w:hAnsi="宋体" w:eastAsia="宋体" w:cs="宋体"/>
          <w:sz w:val="21"/>
          <w:szCs w:val="21"/>
          <w:highlight w:val="none"/>
        </w:rPr>
        <w:t>万元人民币；经营范围满足招标项目需求，并在人员、设备、资金等方面具有承担本项目的能力；</w:t>
      </w:r>
    </w:p>
    <w:p w14:paraId="60967FE1">
      <w:pPr>
        <w:pStyle w:val="73"/>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4、在“国家企业信用信息公示系统”、“中国执行信息公开网”、“信用中国”、“天眼查”“裁判文书网”等信息平台中，无行政处罚、失信记录等信息；无招标违规、谎报年度报告信息、提供虚假资质资料等行为或其他行政处罚记录； </w:t>
      </w:r>
    </w:p>
    <w:p w14:paraId="0CB18289">
      <w:pPr>
        <w:pStyle w:val="73"/>
        <w:numPr>
          <w:ilvl w:val="0"/>
          <w:numId w:val="0"/>
        </w:numPr>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5.具有健全的财务会计制度，有依法缴纳税收的良好记录</w:t>
      </w:r>
      <w:r>
        <w:rPr>
          <w:rFonts w:hint="eastAsia" w:ascii="宋体" w:hAnsi="宋体" w:eastAsia="宋体" w:cs="宋体"/>
          <w:sz w:val="21"/>
          <w:szCs w:val="21"/>
          <w:highlight w:val="none"/>
          <w:lang w:eastAsia="zh-CN"/>
        </w:rPr>
        <w:t>；</w:t>
      </w:r>
    </w:p>
    <w:p w14:paraId="00919964">
      <w:pPr>
        <w:pStyle w:val="73"/>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6.在危险废物处置场地、人员、设备、资金、服务、处置范围和能力方面，具备承担本项目的能力；</w:t>
      </w:r>
    </w:p>
    <w:p w14:paraId="6BFE9BCB">
      <w:pPr>
        <w:pStyle w:val="73"/>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7.投标人没有被列入招标人《黑名单》（《黑名单》指投标人与招标人在以往或正在进行的合作中，存在招标人认为的违反合同约定或违反法律法规等的失信行为）的；</w:t>
      </w:r>
    </w:p>
    <w:p w14:paraId="3CE8BE94">
      <w:pPr>
        <w:pStyle w:val="73"/>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.投标人必须是最终中标并签订合同的单位，不得以任何理由将已中标项目以任何形式转包给其他单位；</w:t>
      </w:r>
    </w:p>
    <w:p w14:paraId="15F34078">
      <w:pPr>
        <w:pStyle w:val="73"/>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.本次招标项目不接受联合体投标。</w:t>
      </w:r>
    </w:p>
    <w:p w14:paraId="31CA8C38">
      <w:pPr>
        <w:pStyle w:val="73"/>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E89FE8">
      <w:pPr>
        <w:pStyle w:val="77"/>
        <w:numPr>
          <w:ilvl w:val="0"/>
          <w:numId w:val="0"/>
        </w:numPr>
        <w:ind w:leftChars="0"/>
        <w:jc w:val="both"/>
        <w:rPr>
          <w:rFonts w:hint="eastAsia" w:ascii="宋体" w:hAnsi="Courier New" w:eastAsia="宋体" w:cs="Times New Roman"/>
          <w:color w:val="FF0000"/>
          <w:highlight w:val="none"/>
          <w:lang w:val="en-US" w:eastAsia="zh-CN"/>
        </w:rPr>
      </w:pPr>
      <w:r>
        <w:rPr>
          <w:rFonts w:hint="eastAsia" w:cs="Times New Roman"/>
          <w:highlight w:val="none"/>
          <w:lang w:val="en-US" w:eastAsia="zh-CN"/>
        </w:rPr>
        <w:t>1.</w:t>
      </w:r>
      <w:r>
        <w:rPr>
          <w:rFonts w:hint="eastAsia" w:ascii="宋体" w:hAnsi="Courier New" w:eastAsia="宋体" w:cs="Times New Roman"/>
          <w:highlight w:val="none"/>
          <w:lang w:val="en-US" w:eastAsia="zh-CN"/>
        </w:rPr>
        <w:t>发标时间：</w:t>
      </w:r>
      <w:r>
        <w:rPr>
          <w:rFonts w:hint="eastAsia" w:cs="Times New Roman"/>
          <w:color w:val="auto"/>
          <w:highlight w:val="none"/>
          <w:lang w:val="en-US" w:eastAsia="zh-CN"/>
        </w:rPr>
        <w:t>2026</w:t>
      </w:r>
      <w:r>
        <w:rPr>
          <w:rFonts w:hint="eastAsia" w:ascii="宋体" w:hAnsi="Courier New" w:eastAsia="宋体" w:cs="Times New Roman"/>
          <w:color w:val="auto"/>
          <w:highlight w:val="none"/>
          <w:lang w:val="en-US" w:eastAsia="zh-CN"/>
        </w:rPr>
        <w:t>年</w:t>
      </w:r>
      <w:r>
        <w:rPr>
          <w:rFonts w:hint="eastAsia" w:cs="Times New Roman"/>
          <w:color w:val="auto"/>
          <w:highlight w:val="none"/>
          <w:lang w:val="en-US" w:eastAsia="zh-CN"/>
        </w:rPr>
        <w:t>7</w:t>
      </w:r>
      <w:r>
        <w:rPr>
          <w:rFonts w:hint="eastAsia" w:ascii="宋体" w:hAnsi="Courier New" w:eastAsia="宋体" w:cs="Times New Roman"/>
          <w:color w:val="auto"/>
          <w:highlight w:val="none"/>
          <w:lang w:val="en-US" w:eastAsia="zh-CN"/>
        </w:rPr>
        <w:t>月</w:t>
      </w:r>
      <w:r>
        <w:rPr>
          <w:rFonts w:hint="eastAsia" w:cs="Times New Roman"/>
          <w:color w:val="auto"/>
          <w:highlight w:val="none"/>
          <w:lang w:val="en-US" w:eastAsia="zh-CN"/>
        </w:rPr>
        <w:t>8</w:t>
      </w:r>
      <w:r>
        <w:rPr>
          <w:rFonts w:hint="eastAsia" w:ascii="宋体" w:hAnsi="Courier New" w:eastAsia="宋体" w:cs="Times New Roman"/>
          <w:color w:val="auto"/>
          <w:highlight w:val="none"/>
          <w:lang w:val="en-US" w:eastAsia="zh-CN"/>
        </w:rPr>
        <w:t>日</w:t>
      </w:r>
    </w:p>
    <w:p w14:paraId="39B4A55D">
      <w:pPr>
        <w:pStyle w:val="77"/>
        <w:numPr>
          <w:ilvl w:val="0"/>
          <w:numId w:val="0"/>
        </w:numPr>
        <w:ind w:leftChars="0"/>
        <w:jc w:val="both"/>
        <w:rPr>
          <w:highlight w:val="none"/>
        </w:rPr>
      </w:pPr>
      <w:r>
        <w:rPr>
          <w:rFonts w:hint="eastAsia"/>
          <w:highlight w:val="none"/>
          <w:lang w:val="en-US" w:eastAsia="zh-CN"/>
        </w:rPr>
        <w:t>2.</w:t>
      </w:r>
      <w:r>
        <w:rPr>
          <w:rFonts w:hint="eastAsia"/>
          <w:highlight w:val="none"/>
        </w:rPr>
        <w:t>招标文件领取方式：线上</w:t>
      </w:r>
    </w:p>
    <w:p w14:paraId="341AF0FF">
      <w:pPr>
        <w:pStyle w:val="77"/>
        <w:ind w:firstLine="210" w:firstLineChars="100"/>
        <w:jc w:val="both"/>
        <w:rPr>
          <w:highlight w:val="none"/>
        </w:rPr>
      </w:pPr>
      <w:r>
        <w:rPr>
          <w:rFonts w:hint="eastAsia"/>
          <w:highlight w:val="none"/>
        </w:rPr>
        <w:t>地点：中国重汽e采通平台</w:t>
      </w:r>
    </w:p>
    <w:p w14:paraId="7B36AD99">
      <w:pPr>
        <w:pStyle w:val="77"/>
        <w:ind w:firstLine="210" w:firstLineChars="100"/>
        <w:jc w:val="both"/>
        <w:rPr>
          <w:rFonts w:hint="default" w:eastAsia="宋体"/>
          <w:color w:val="FF0000"/>
          <w:highlight w:val="none"/>
          <w:lang w:val="en-US" w:eastAsia="zh-CN"/>
        </w:rPr>
      </w:pPr>
      <w:r>
        <w:rPr>
          <w:rFonts w:hint="eastAsia"/>
          <w:highlight w:val="none"/>
        </w:rPr>
        <w:t>领取截止时间：</w:t>
      </w:r>
      <w:r>
        <w:rPr>
          <w:rFonts w:hint="eastAsia"/>
          <w:color w:val="FF0000"/>
          <w:highlight w:val="none"/>
          <w:lang w:val="en-US" w:eastAsia="zh-CN"/>
        </w:rPr>
        <w:t>2026</w:t>
      </w:r>
      <w:r>
        <w:rPr>
          <w:rFonts w:hint="eastAsia"/>
          <w:color w:val="FF0000"/>
          <w:highlight w:val="none"/>
        </w:rPr>
        <w:t>年</w:t>
      </w:r>
      <w:r>
        <w:rPr>
          <w:rFonts w:hint="eastAsia"/>
          <w:color w:val="FF0000"/>
          <w:highlight w:val="none"/>
          <w:lang w:val="en-US" w:eastAsia="zh-CN"/>
        </w:rPr>
        <w:t>7</w:t>
      </w:r>
      <w:r>
        <w:rPr>
          <w:rFonts w:hint="eastAsia"/>
          <w:color w:val="FF0000"/>
          <w:highlight w:val="none"/>
        </w:rPr>
        <w:t>月</w:t>
      </w:r>
      <w:r>
        <w:rPr>
          <w:rFonts w:hint="eastAsia"/>
          <w:color w:val="FF0000"/>
          <w:highlight w:val="none"/>
          <w:lang w:val="en-US" w:eastAsia="zh-CN"/>
        </w:rPr>
        <w:t>16</w:t>
      </w:r>
      <w:r>
        <w:rPr>
          <w:rFonts w:hint="eastAsia"/>
          <w:color w:val="FF0000"/>
          <w:highlight w:val="none"/>
        </w:rPr>
        <w:t>日</w:t>
      </w:r>
      <w:r>
        <w:rPr>
          <w:rFonts w:hint="eastAsia"/>
          <w:color w:val="FF0000"/>
          <w:highlight w:val="none"/>
          <w:lang w:val="en-US" w:eastAsia="zh-CN"/>
        </w:rPr>
        <w:t>17:00:00（北京时间）</w:t>
      </w:r>
    </w:p>
    <w:p w14:paraId="40FAA4B7">
      <w:pPr>
        <w:pStyle w:val="77"/>
        <w:numPr>
          <w:ilvl w:val="0"/>
          <w:numId w:val="0"/>
        </w:numPr>
        <w:ind w:leftChars="0"/>
        <w:jc w:val="both"/>
        <w:rPr>
          <w:rFonts w:hint="eastAsia" w:ascii="宋体" w:hAnsi="Courier New" w:eastAsia="宋体" w:cs="Times New Roman"/>
          <w:color w:val="FF0000"/>
          <w:highlight w:val="none"/>
          <w:lang w:val="en-US" w:eastAsia="zh-CN"/>
        </w:rPr>
      </w:pPr>
      <w:r>
        <w:rPr>
          <w:rFonts w:hint="eastAsia"/>
          <w:color w:val="auto"/>
          <w:highlight w:val="none"/>
          <w:lang w:val="en-US" w:eastAsia="zh-CN"/>
        </w:rPr>
        <w:t>3.</w:t>
      </w:r>
      <w:r>
        <w:rPr>
          <w:rFonts w:hint="eastAsia"/>
          <w:color w:val="auto"/>
          <w:highlight w:val="none"/>
        </w:rPr>
        <w:t>答疑时间：</w:t>
      </w:r>
      <w:r>
        <w:rPr>
          <w:rFonts w:hint="eastAsia"/>
          <w:color w:val="FF0000"/>
          <w:highlight w:val="none"/>
          <w:lang w:val="en-US" w:eastAsia="zh-CN"/>
        </w:rPr>
        <w:t>2026</w:t>
      </w:r>
      <w:r>
        <w:rPr>
          <w:rFonts w:hint="eastAsia"/>
          <w:color w:val="FF0000"/>
          <w:highlight w:val="none"/>
        </w:rPr>
        <w:t>年</w:t>
      </w:r>
      <w:r>
        <w:rPr>
          <w:rFonts w:hint="eastAsia"/>
          <w:color w:val="FF0000"/>
          <w:highlight w:val="none"/>
          <w:lang w:val="en-US" w:eastAsia="zh-CN"/>
        </w:rPr>
        <w:t>7</w:t>
      </w:r>
      <w:r>
        <w:rPr>
          <w:rFonts w:hint="eastAsia"/>
          <w:color w:val="FF0000"/>
          <w:highlight w:val="none"/>
        </w:rPr>
        <w:t>月</w:t>
      </w:r>
      <w:r>
        <w:rPr>
          <w:rFonts w:hint="eastAsia"/>
          <w:color w:val="FF0000"/>
          <w:highlight w:val="none"/>
          <w:lang w:val="en-US" w:eastAsia="zh-CN"/>
        </w:rPr>
        <w:t>16</w:t>
      </w:r>
      <w:r>
        <w:rPr>
          <w:rFonts w:hint="eastAsia"/>
          <w:color w:val="FF0000"/>
          <w:highlight w:val="none"/>
        </w:rPr>
        <w:t>日</w:t>
      </w:r>
      <w:r>
        <w:rPr>
          <w:rFonts w:hint="eastAsia" w:hAnsi="宋体" w:cs="宋体"/>
          <w:bCs/>
          <w:color w:val="FF0000"/>
          <w:szCs w:val="21"/>
          <w:highlight w:val="none"/>
          <w:lang w:val="en-US" w:eastAsia="zh-CN"/>
        </w:rPr>
        <w:t>12</w:t>
      </w:r>
      <w:r>
        <w:rPr>
          <w:rFonts w:hint="eastAsia" w:hAnsi="宋体" w:cs="宋体"/>
          <w:bCs/>
          <w:color w:val="FF0000"/>
          <w:szCs w:val="21"/>
          <w:highlight w:val="none"/>
        </w:rPr>
        <w:t>:00:00</w:t>
      </w:r>
      <w:r>
        <w:rPr>
          <w:rFonts w:hint="eastAsia"/>
          <w:color w:val="FF0000"/>
          <w:highlight w:val="none"/>
        </w:rPr>
        <w:t>前</w:t>
      </w:r>
    </w:p>
    <w:p w14:paraId="03B57AB4">
      <w:pPr>
        <w:pStyle w:val="77"/>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rPr>
          <w:rFonts w:hint="eastAsia" w:cs="Times New Roman"/>
          <w:b w:val="0"/>
          <w:bCs w:val="0"/>
          <w:highlight w:val="none"/>
          <w:lang w:val="en-US" w:eastAsia="zh-CN"/>
        </w:rPr>
      </w:pPr>
      <w:r>
        <w:rPr>
          <w:rFonts w:hint="eastAsia" w:cs="Times New Roman"/>
          <w:highlight w:val="none"/>
          <w:lang w:val="en-US" w:eastAsia="zh-CN"/>
        </w:rPr>
        <w:t>4.提交疑问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val="0"/>
          <w:bCs w:val="0"/>
          <w:highlight w:val="none"/>
          <w:lang w:val="en-US" w:eastAsia="zh-CN"/>
        </w:rPr>
        <w:t>邮件名格式为：XXX公司XX项目答疑文件。同时必须在邮件中以文字方式提供投标人全称、投标授权人姓名、联系方式（固定电话、手机、电子邮箱），并提供附件2法定代表人授权委托书。</w:t>
      </w:r>
    </w:p>
    <w:p w14:paraId="5A0E4F2B">
      <w:pPr>
        <w:pStyle w:val="77"/>
        <w:numPr>
          <w:ilvl w:val="0"/>
          <w:numId w:val="0"/>
        </w:numPr>
        <w:ind w:leftChars="0"/>
        <w:jc w:val="both"/>
        <w:rPr>
          <w:rFonts w:hint="eastAsia" w:ascii="宋体" w:hAnsi="Courier New" w:eastAsia="宋体" w:cs="Times New Roman"/>
          <w:color w:val="FF0000"/>
          <w:highlight w:val="none"/>
          <w:lang w:val="en-US" w:eastAsia="zh-CN"/>
        </w:rPr>
      </w:pPr>
      <w:r>
        <w:rPr>
          <w:rFonts w:hint="eastAsia" w:cs="Times New Roman"/>
          <w:highlight w:val="none"/>
          <w:lang w:val="en-US" w:eastAsia="zh-CN"/>
        </w:rPr>
        <w:t>5.</w:t>
      </w:r>
      <w:r>
        <w:rPr>
          <w:rFonts w:hint="eastAsia" w:ascii="宋体" w:hAnsi="Courier New" w:eastAsia="宋体" w:cs="Times New Roman"/>
          <w:highlight w:val="none"/>
          <w:lang w:val="en-US" w:eastAsia="zh-CN"/>
        </w:rPr>
        <w:t>领取答疑、澄清和修改文件时间：</w:t>
      </w:r>
      <w:r>
        <w:rPr>
          <w:rFonts w:hint="eastAsia"/>
          <w:color w:val="FF0000"/>
          <w:highlight w:val="none"/>
          <w:lang w:val="en-US" w:eastAsia="zh-CN"/>
        </w:rPr>
        <w:t>2026</w:t>
      </w:r>
      <w:r>
        <w:rPr>
          <w:rFonts w:hint="eastAsia"/>
          <w:color w:val="FF0000"/>
          <w:highlight w:val="none"/>
        </w:rPr>
        <w:t>年</w:t>
      </w:r>
      <w:r>
        <w:rPr>
          <w:rFonts w:hint="eastAsia"/>
          <w:color w:val="FF0000"/>
          <w:highlight w:val="none"/>
          <w:lang w:val="en-US" w:eastAsia="zh-CN"/>
        </w:rPr>
        <w:t>7</w:t>
      </w:r>
      <w:r>
        <w:rPr>
          <w:rFonts w:hint="eastAsia"/>
          <w:color w:val="FF0000"/>
          <w:highlight w:val="none"/>
        </w:rPr>
        <w:t>月</w:t>
      </w:r>
      <w:r>
        <w:rPr>
          <w:rFonts w:hint="eastAsia"/>
          <w:color w:val="FF0000"/>
          <w:highlight w:val="none"/>
          <w:lang w:val="en-US" w:eastAsia="zh-CN"/>
        </w:rPr>
        <w:t>16</w:t>
      </w:r>
      <w:r>
        <w:rPr>
          <w:rFonts w:hint="eastAsia"/>
          <w:color w:val="FF0000"/>
          <w:highlight w:val="none"/>
        </w:rPr>
        <w:t>日</w:t>
      </w:r>
      <w:r>
        <w:rPr>
          <w:rFonts w:hint="eastAsia" w:hAnsi="宋体" w:cs="宋体"/>
          <w:bCs/>
          <w:color w:val="FF0000"/>
          <w:szCs w:val="21"/>
          <w:highlight w:val="none"/>
        </w:rPr>
        <w:t>1</w:t>
      </w:r>
      <w:r>
        <w:rPr>
          <w:rFonts w:hint="eastAsia" w:hAnsi="宋体" w:cs="宋体"/>
          <w:bCs/>
          <w:color w:val="FF0000"/>
          <w:szCs w:val="21"/>
          <w:highlight w:val="none"/>
          <w:lang w:val="en-US" w:eastAsia="zh-CN"/>
        </w:rPr>
        <w:t>7</w:t>
      </w:r>
      <w:r>
        <w:rPr>
          <w:rFonts w:hint="eastAsia" w:hAnsi="宋体" w:cs="宋体"/>
          <w:bCs/>
          <w:color w:val="FF0000"/>
          <w:szCs w:val="21"/>
          <w:highlight w:val="none"/>
        </w:rPr>
        <w:t>:00:00</w:t>
      </w:r>
      <w:r>
        <w:rPr>
          <w:rFonts w:hint="eastAsia"/>
          <w:color w:val="FF0000"/>
          <w:highlight w:val="none"/>
        </w:rPr>
        <w:t>前</w:t>
      </w:r>
    </w:p>
    <w:p w14:paraId="56BA0758">
      <w:pPr>
        <w:pStyle w:val="77"/>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rPr>
          <w:rFonts w:hint="eastAsia" w:ascii="宋体" w:hAnsi="Courier New" w:eastAsia="宋体" w:cs="Times New Roman"/>
          <w:highlight w:val="none"/>
          <w:lang w:val="en-US" w:eastAsia="zh-CN"/>
        </w:rPr>
      </w:pPr>
      <w:r>
        <w:rPr>
          <w:rFonts w:hint="eastAsia" w:cs="Times New Roman"/>
          <w:highlight w:val="none"/>
          <w:lang w:val="en-US" w:eastAsia="zh-CN"/>
        </w:rPr>
        <w:t>6.</w:t>
      </w: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0418F5CA">
      <w:pPr>
        <w:pStyle w:val="77"/>
        <w:numPr>
          <w:ilvl w:val="0"/>
          <w:numId w:val="0"/>
        </w:numPr>
        <w:ind w:leftChars="0"/>
        <w:jc w:val="both"/>
        <w:rPr>
          <w:highlight w:val="none"/>
        </w:rPr>
      </w:pPr>
      <w:r>
        <w:rPr>
          <w:rFonts w:hint="eastAsia"/>
          <w:highlight w:val="none"/>
          <w:lang w:val="en-US" w:eastAsia="zh-CN"/>
        </w:rPr>
        <w:t>7.</w:t>
      </w:r>
      <w:r>
        <w:rPr>
          <w:rFonts w:hint="eastAsia"/>
          <w:highlight w:val="none"/>
        </w:rPr>
        <w:t>报名方式：在“中国重汽e采通”平台报名</w:t>
      </w:r>
    </w:p>
    <w:p w14:paraId="72AB6313">
      <w:pPr>
        <w:pStyle w:val="77"/>
        <w:numPr>
          <w:ilvl w:val="0"/>
          <w:numId w:val="0"/>
        </w:numPr>
        <w:ind w:leftChars="0"/>
        <w:jc w:val="both"/>
        <w:rPr>
          <w:rFonts w:hint="eastAsia" w:ascii="宋体" w:hAnsi="Courier New" w:eastAsia="宋体" w:cs="Times New Roman"/>
          <w:b/>
          <w:bCs/>
          <w:color w:val="FF0000"/>
          <w:highlight w:val="none"/>
          <w:lang w:val="en-US" w:eastAsia="zh-CN"/>
        </w:rPr>
      </w:pPr>
      <w:r>
        <w:rPr>
          <w:rFonts w:hint="eastAsia"/>
          <w:b/>
          <w:bCs/>
          <w:color w:val="auto"/>
          <w:highlight w:val="none"/>
          <w:lang w:val="en-US" w:eastAsia="zh-CN"/>
        </w:rPr>
        <w:t>8.</w:t>
      </w:r>
      <w:r>
        <w:rPr>
          <w:rFonts w:hint="eastAsia"/>
          <w:b/>
          <w:bCs/>
          <w:color w:val="auto"/>
          <w:highlight w:val="none"/>
        </w:rPr>
        <w:t>应标截止时间：</w:t>
      </w:r>
      <w:r>
        <w:rPr>
          <w:rFonts w:hint="eastAsia"/>
          <w:b/>
          <w:bCs/>
          <w:color w:val="FF0000"/>
          <w:highlight w:val="none"/>
          <w:lang w:val="en-US" w:eastAsia="zh-CN"/>
        </w:rPr>
        <w:t>2026年7月14日17:00:00前</w:t>
      </w:r>
    </w:p>
    <w:p w14:paraId="0C785EC5">
      <w:pPr>
        <w:pStyle w:val="73"/>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highlight w:val="none"/>
        </w:rPr>
      </w:pPr>
      <w:r>
        <w:rPr>
          <w:rFonts w:hint="eastAsia"/>
          <w:b w:val="0"/>
          <w:highlight w:val="none"/>
          <w:lang w:val="en-US" w:eastAsia="zh-CN"/>
        </w:rPr>
        <w:t>投标文件的组成</w:t>
      </w:r>
    </w:p>
    <w:p w14:paraId="5EA04826">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none"/>
          <w:u w:val="single"/>
          <w:lang w:val="en-US" w:eastAsia="zh-CN"/>
        </w:rPr>
        <w:t xml:space="preserve"> </w:t>
      </w:r>
      <w:r>
        <w:rPr>
          <w:rFonts w:hint="eastAsia" w:cs="Times New Roman"/>
          <w:b w:val="0"/>
          <w:bCs/>
          <w:highlight w:val="none"/>
          <w:u w:val="single"/>
          <w:lang w:val="en-US" w:eastAsia="zh-CN"/>
        </w:rPr>
        <w:t>3</w:t>
      </w:r>
      <w:r>
        <w:rPr>
          <w:rFonts w:hint="eastAsia" w:ascii="宋体" w:hAnsi="Courier New" w:eastAsia="宋体" w:cs="Times New Roman"/>
          <w:b w:val="0"/>
          <w:bCs/>
          <w:highlight w:val="none"/>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5"/>
        <w:numPr>
          <w:ilvl w:val="0"/>
          <w:numId w:val="14"/>
        </w:numPr>
        <w:ind w:left="425" w:leftChars="0" w:hanging="425" w:firstLineChars="0"/>
        <w:rPr>
          <w:b w:val="0"/>
          <w:bCs/>
          <w:highlight w:val="none"/>
        </w:rPr>
      </w:pPr>
      <w:r>
        <w:rPr>
          <w:rFonts w:hint="eastAsia"/>
          <w:b w:val="0"/>
          <w:bCs/>
          <w:highlight w:val="none"/>
        </w:rPr>
        <w:t>资质文件：</w:t>
      </w:r>
    </w:p>
    <w:p w14:paraId="13BAC003">
      <w:pPr>
        <w:pStyle w:val="76"/>
        <w:numPr>
          <w:ilvl w:val="0"/>
          <w:numId w:val="15"/>
        </w:numPr>
        <w:ind w:left="425" w:leftChars="0" w:hanging="425" w:firstLineChars="0"/>
        <w:rPr>
          <w:b w:val="0"/>
          <w:bCs/>
          <w:highlight w:val="none"/>
        </w:rPr>
      </w:pPr>
      <w:r>
        <w:rPr>
          <w:rFonts w:hint="eastAsia"/>
          <w:b w:val="0"/>
          <w:bCs/>
          <w:highlight w:val="none"/>
        </w:rPr>
        <w:t>法定代表人身份证明；</w:t>
      </w:r>
    </w:p>
    <w:p w14:paraId="4DBDF119">
      <w:pPr>
        <w:pStyle w:val="76"/>
        <w:numPr>
          <w:ilvl w:val="0"/>
          <w:numId w:val="15"/>
        </w:numPr>
        <w:ind w:left="425" w:leftChars="0" w:hanging="425" w:firstLineChars="0"/>
        <w:rPr>
          <w:b w:val="0"/>
          <w:bCs/>
          <w:highlight w:val="none"/>
        </w:rPr>
      </w:pPr>
      <w:r>
        <w:rPr>
          <w:rFonts w:hint="eastAsia"/>
          <w:b w:val="0"/>
          <w:bCs/>
          <w:highlight w:val="none"/>
        </w:rPr>
        <w:t>法定代表人授权委托书；</w:t>
      </w:r>
    </w:p>
    <w:p w14:paraId="73FE5F95">
      <w:pPr>
        <w:pStyle w:val="76"/>
        <w:numPr>
          <w:ilvl w:val="0"/>
          <w:numId w:val="15"/>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7F20C89F">
      <w:pPr>
        <w:pStyle w:val="76"/>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w:t>
      </w:r>
      <w:r>
        <w:rPr>
          <w:rFonts w:ascii="宋体" w:hAnsi="宋体" w:eastAsia="宋体" w:cs="宋体"/>
          <w:sz w:val="21"/>
          <w:szCs w:val="21"/>
          <w:highlight w:val="none"/>
        </w:rPr>
        <w:t>处置资质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并提供相关证明文件；</w:t>
      </w:r>
    </w:p>
    <w:p w14:paraId="6A7B69C9">
      <w:pPr>
        <w:pStyle w:val="76"/>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6"/>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w:t>
      </w:r>
      <w:r>
        <w:rPr>
          <w:rFonts w:hint="eastAsia"/>
          <w:b w:val="0"/>
          <w:bCs/>
          <w:highlight w:val="none"/>
          <w:lang w:val="en-US" w:eastAsia="zh-CN"/>
        </w:rPr>
        <w:t>两</w:t>
      </w:r>
      <w:r>
        <w:rPr>
          <w:rFonts w:hint="eastAsia" w:hAnsi="Courier New"/>
          <w:b w:val="0"/>
          <w:bCs/>
          <w:highlight w:val="none"/>
        </w:rPr>
        <w:t>年的财务审计报告原件，并加盖公章，包括但不限于报告页、经审计的资产负债表、利润表、现金流量表及报表附注。如投标人公司没有经审计的财务报告，可提供加盖公章的近</w:t>
      </w:r>
      <w:r>
        <w:rPr>
          <w:rFonts w:hint="eastAsia"/>
          <w:b w:val="0"/>
          <w:bCs/>
          <w:highlight w:val="none"/>
          <w:lang w:val="en-US" w:eastAsia="zh-CN"/>
        </w:rPr>
        <w:t>两</w:t>
      </w:r>
      <w:r>
        <w:rPr>
          <w:rFonts w:hint="eastAsia" w:hAnsi="Courier New"/>
          <w:b w:val="0"/>
          <w:bCs/>
          <w:highlight w:val="none"/>
        </w:rPr>
        <w:t>年财务报表，包括但不限于资产负债表、利润表、现金流量表。应提供中文版本的审计报告或财务报表；</w:t>
      </w:r>
    </w:p>
    <w:p w14:paraId="7CB7B902">
      <w:pPr>
        <w:pStyle w:val="76"/>
        <w:numPr>
          <w:ilvl w:val="0"/>
          <w:numId w:val="15"/>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6"/>
        <w:numPr>
          <w:ilvl w:val="0"/>
          <w:numId w:val="15"/>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6"/>
        <w:numPr>
          <w:ilvl w:val="0"/>
          <w:numId w:val="15"/>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6"/>
        <w:numPr>
          <w:ilvl w:val="0"/>
          <w:numId w:val="15"/>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6"/>
        <w:numPr>
          <w:ilvl w:val="0"/>
          <w:numId w:val="15"/>
        </w:numPr>
        <w:ind w:left="425" w:leftChars="0" w:hanging="425" w:firstLineChars="0"/>
        <w:rPr>
          <w:b w:val="0"/>
          <w:bCs/>
          <w:highlight w:val="none"/>
        </w:rPr>
      </w:pPr>
      <w:r>
        <w:rPr>
          <w:rFonts w:hint="eastAsia" w:ascii="宋体" w:hAnsi="宋体" w:cs="宋体"/>
          <w:kern w:val="2"/>
          <w:sz w:val="21"/>
          <w:szCs w:val="21"/>
          <w:highlight w:val="none"/>
          <w:lang w:bidi="ar"/>
        </w:rPr>
        <w:t>投标保证金银行转账凭证</w:t>
      </w:r>
      <w:r>
        <w:rPr>
          <w:rFonts w:hint="eastAsia" w:hAnsi="宋体" w:cs="宋体"/>
          <w:kern w:val="2"/>
          <w:sz w:val="21"/>
          <w:szCs w:val="21"/>
          <w:highlight w:val="none"/>
          <w:lang w:eastAsia="zh-CN" w:bidi="ar"/>
        </w:rPr>
        <w:t>（</w:t>
      </w:r>
      <w:r>
        <w:rPr>
          <w:rFonts w:hint="eastAsia" w:hAnsi="宋体" w:cs="宋体"/>
          <w:kern w:val="2"/>
          <w:sz w:val="21"/>
          <w:szCs w:val="21"/>
          <w:highlight w:val="none"/>
          <w:lang w:val="en-US" w:eastAsia="zh-CN" w:bidi="ar"/>
        </w:rPr>
        <w:t>应标时可不提供）</w:t>
      </w:r>
      <w:r>
        <w:rPr>
          <w:rFonts w:hint="eastAsia" w:ascii="宋体" w:hAnsi="宋体" w:cs="宋体"/>
          <w:kern w:val="2"/>
          <w:sz w:val="21"/>
          <w:szCs w:val="21"/>
          <w:highlight w:val="none"/>
          <w:lang w:eastAsia="zh-CN" w:bidi="ar"/>
        </w:rPr>
        <w:t>；</w:t>
      </w:r>
    </w:p>
    <w:p w14:paraId="08F8AAFD">
      <w:pPr>
        <w:pStyle w:val="76"/>
        <w:numPr>
          <w:ilvl w:val="0"/>
          <w:numId w:val="15"/>
        </w:numPr>
        <w:ind w:left="425" w:leftChars="0" w:hanging="425" w:firstLineChars="0"/>
        <w:rPr>
          <w:b w:val="0"/>
          <w:bCs/>
          <w:highlight w:val="none"/>
        </w:rPr>
      </w:pPr>
      <w:r>
        <w:rPr>
          <w:rFonts w:hint="eastAsia"/>
          <w:b w:val="0"/>
          <w:bCs/>
          <w:highlight w:val="none"/>
        </w:rPr>
        <w:t>招标文件中要求的其它资格证明文件。</w:t>
      </w:r>
    </w:p>
    <w:p w14:paraId="0FCAA68A">
      <w:pPr>
        <w:pStyle w:val="76"/>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35D922EF">
      <w:pPr>
        <w:pStyle w:val="75"/>
        <w:numPr>
          <w:ilvl w:val="0"/>
          <w:numId w:val="14"/>
        </w:numPr>
        <w:ind w:left="425" w:leftChars="0" w:hanging="425" w:firstLineChars="0"/>
        <w:rPr>
          <w:rFonts w:hint="eastAsia" w:cs="Times New Roman"/>
          <w:b w:val="0"/>
          <w:bCs/>
          <w:highlight w:val="none"/>
        </w:rPr>
      </w:pPr>
      <w:r>
        <w:rPr>
          <w:rFonts w:hint="eastAsia" w:cs="Times New Roman"/>
          <w:b w:val="0"/>
          <w:bCs/>
          <w:highlight w:val="none"/>
        </w:rPr>
        <w:t>技术标：</w:t>
      </w:r>
    </w:p>
    <w:p w14:paraId="330DE8E8">
      <w:pPr>
        <w:pStyle w:val="75"/>
        <w:numPr>
          <w:ilvl w:val="0"/>
          <w:numId w:val="0"/>
        </w:numPr>
        <w:ind w:leftChars="0"/>
        <w:rPr>
          <w:rFonts w:hint="default" w:eastAsia="宋体" w:cs="Times New Roman"/>
          <w:b w:val="0"/>
          <w:bCs/>
          <w:highlight w:val="none"/>
          <w:lang w:val="en-US" w:eastAsia="zh-CN"/>
        </w:rPr>
      </w:pPr>
      <w:r>
        <w:rPr>
          <w:rFonts w:hint="eastAsia" w:cs="Times New Roman"/>
          <w:b w:val="0"/>
          <w:bCs/>
          <w:highlight w:val="none"/>
          <w:lang w:val="en-US" w:eastAsia="zh-CN"/>
        </w:rPr>
        <w:t>根据技术要求和技术文件附件编制技术标书</w:t>
      </w:r>
    </w:p>
    <w:p w14:paraId="47175D6D">
      <w:pPr>
        <w:pStyle w:val="75"/>
        <w:numPr>
          <w:ilvl w:val="0"/>
          <w:numId w:val="14"/>
        </w:numPr>
        <w:ind w:left="425" w:leftChars="0" w:hanging="425" w:firstLineChars="0"/>
        <w:rPr>
          <w:rFonts w:hint="eastAsia" w:cs="Times New Roman"/>
          <w:b w:val="0"/>
          <w:bCs/>
          <w:highlight w:val="none"/>
        </w:rPr>
      </w:pPr>
      <w:r>
        <w:rPr>
          <w:rFonts w:hint="eastAsia" w:cs="Times New Roman"/>
          <w:b w:val="0"/>
          <w:bCs/>
          <w:highlight w:val="none"/>
        </w:rPr>
        <w:t>商务标：</w:t>
      </w:r>
    </w:p>
    <w:p w14:paraId="1FEC8CF2">
      <w:pPr>
        <w:pStyle w:val="76"/>
        <w:keepNext w:val="0"/>
        <w:keepLines w:val="0"/>
        <w:pageBreakBefore w:val="0"/>
        <w:widowControl w:val="0"/>
        <w:numPr>
          <w:ilvl w:val="0"/>
          <w:numId w:val="17"/>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0DFA5CBE">
      <w:pPr>
        <w:pStyle w:val="76"/>
        <w:numPr>
          <w:ilvl w:val="0"/>
          <w:numId w:val="17"/>
        </w:numPr>
        <w:ind w:left="425" w:leftChars="0" w:hanging="425" w:firstLineChars="0"/>
        <w:rPr>
          <w:b w:val="0"/>
          <w:bCs/>
          <w:highlight w:val="none"/>
        </w:rPr>
      </w:pPr>
      <w:r>
        <w:rPr>
          <w:rFonts w:hint="eastAsia"/>
          <w:b w:val="0"/>
          <w:bCs/>
          <w:highlight w:val="none"/>
        </w:rPr>
        <w:t>投标函（格式见附件）;</w:t>
      </w:r>
    </w:p>
    <w:p w14:paraId="5C36F232">
      <w:pPr>
        <w:pStyle w:val="76"/>
        <w:numPr>
          <w:ilvl w:val="0"/>
          <w:numId w:val="17"/>
        </w:numPr>
        <w:ind w:left="425" w:leftChars="0" w:hanging="425" w:firstLineChars="0"/>
        <w:rPr>
          <w:b w:val="0"/>
          <w:bCs/>
          <w:highlight w:val="none"/>
        </w:rPr>
      </w:pPr>
      <w:r>
        <w:rPr>
          <w:rFonts w:hint="eastAsia"/>
          <w:b w:val="0"/>
          <w:bCs/>
          <w:highlight w:val="none"/>
        </w:rPr>
        <w:t>商务条款偏离表；</w:t>
      </w:r>
    </w:p>
    <w:p w14:paraId="110B2C29">
      <w:pPr>
        <w:pStyle w:val="76"/>
        <w:numPr>
          <w:ilvl w:val="0"/>
          <w:numId w:val="17"/>
        </w:numPr>
        <w:ind w:left="425" w:leftChars="0" w:hanging="425" w:firstLineChars="0"/>
        <w:rPr>
          <w:b w:val="0"/>
          <w:bCs/>
          <w:highlight w:val="none"/>
        </w:rPr>
      </w:pPr>
      <w:r>
        <w:rPr>
          <w:rFonts w:hint="eastAsia"/>
          <w:b w:val="0"/>
          <w:bCs/>
          <w:highlight w:val="none"/>
        </w:rPr>
        <w:t>投标货物分项报价表；</w:t>
      </w:r>
    </w:p>
    <w:p w14:paraId="53DECED4">
      <w:pPr>
        <w:pStyle w:val="76"/>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eastAsia" w:cs="Times New Roman"/>
          <w:b w:val="0"/>
          <w:bCs/>
          <w:highlight w:val="none"/>
          <w:lang w:val="en-US" w:eastAsia="zh-CN"/>
        </w:rPr>
        <w:t>商务报价注意内容：</w:t>
      </w:r>
      <w:r>
        <w:rPr>
          <w:rFonts w:hint="eastAsia" w:cs="Times New Roman"/>
          <w:b w:val="0"/>
          <w:bCs/>
          <w:highlight w:val="none"/>
        </w:rPr>
        <w:t>最高投标限价（招标控制价）：</w:t>
      </w:r>
      <w:r>
        <w:rPr>
          <w:rFonts w:hint="eastAsia" w:cs="Times New Roman"/>
          <w:b w:val="0"/>
          <w:bCs/>
          <w:color w:val="FF0000"/>
          <w:highlight w:val="none"/>
        </w:rPr>
        <w:t>人民币</w:t>
      </w:r>
      <w:r>
        <w:rPr>
          <w:rFonts w:hint="eastAsia" w:cs="Times New Roman"/>
          <w:b w:val="0"/>
          <w:bCs/>
          <w:color w:val="FF0000"/>
          <w:highlight w:val="none"/>
          <w:u w:val="single"/>
          <w:lang w:val="en-US" w:eastAsia="zh-CN"/>
        </w:rPr>
        <w:t xml:space="preserve"> 18.921 </w:t>
      </w:r>
      <w:r>
        <w:rPr>
          <w:rFonts w:hint="eastAsia" w:cs="Times New Roman"/>
          <w:b w:val="0"/>
          <w:bCs/>
          <w:color w:val="FF0000"/>
          <w:highlight w:val="none"/>
        </w:rPr>
        <w:t>万元</w:t>
      </w:r>
      <w:r>
        <w:rPr>
          <w:rFonts w:hint="eastAsia" w:cs="Times New Roman"/>
          <w:b w:val="0"/>
          <w:bCs/>
          <w:color w:val="FF0000"/>
          <w:highlight w:val="none"/>
          <w:lang w:eastAsia="zh-CN"/>
        </w:rPr>
        <w:t>（</w:t>
      </w:r>
      <w:r>
        <w:rPr>
          <w:rFonts w:hint="eastAsia" w:cs="Times New Roman"/>
          <w:b w:val="0"/>
          <w:bCs/>
          <w:color w:val="FF0000"/>
          <w:highlight w:val="none"/>
          <w:lang w:val="en-US" w:eastAsia="zh-CN"/>
        </w:rPr>
        <w:t>含税</w:t>
      </w:r>
      <w:r>
        <w:rPr>
          <w:rFonts w:hint="eastAsia" w:cs="Times New Roman"/>
          <w:b w:val="0"/>
          <w:bCs/>
          <w:color w:val="FF0000"/>
          <w:highlight w:val="none"/>
          <w:lang w:eastAsia="zh-CN"/>
        </w:rPr>
        <w:t>）</w:t>
      </w:r>
      <w:r>
        <w:rPr>
          <w:rFonts w:hint="eastAsia" w:cs="Times New Roman"/>
          <w:b w:val="0"/>
          <w:bCs/>
          <w:highlight w:val="none"/>
        </w:rPr>
        <w:t>，超过投标限价无法投标。</w:t>
      </w:r>
    </w:p>
    <w:p w14:paraId="0481EBC6">
      <w:pPr>
        <w:pStyle w:val="76"/>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default" w:cs="Times New Roman"/>
          <w:b w:val="0"/>
          <w:bCs/>
          <w:highlight w:val="none"/>
          <w:lang w:val="en-US" w:eastAsia="zh-CN"/>
        </w:rPr>
        <w:t xml:space="preserve"> 招标文件所列年产废数量为预估量，实际数量将随招标方生产经营实际状况发生变化，招标方不对预估量的准确性承担责任。</w:t>
      </w:r>
    </w:p>
    <w:p w14:paraId="77DC4CD7">
      <w:pPr>
        <w:pStyle w:val="76"/>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default" w:cs="Times New Roman"/>
          <w:b w:val="0"/>
          <w:bCs/>
          <w:highlight w:val="none"/>
          <w:lang w:val="en-US" w:eastAsia="zh-CN"/>
        </w:rPr>
        <w:t>原则上招标人将与中标人签订为期</w:t>
      </w:r>
      <w:r>
        <w:rPr>
          <w:rFonts w:hint="eastAsia" w:cs="Times New Roman"/>
          <w:b w:val="0"/>
          <w:bCs/>
          <w:highlight w:val="none"/>
          <w:lang w:val="en-US" w:eastAsia="zh-CN"/>
        </w:rPr>
        <w:t>一年</w:t>
      </w:r>
      <w:r>
        <w:rPr>
          <w:rFonts w:hint="default" w:cs="Times New Roman"/>
          <w:b w:val="0"/>
          <w:bCs/>
          <w:highlight w:val="none"/>
          <w:lang w:val="en-US" w:eastAsia="zh-CN"/>
        </w:rPr>
        <w:t>的危险废物处置协议。鉴于此，投标人应根据招标人提供的开标一览表（见附件）；本着诚信合作的态度，向招标人提供真实、合理的投标报价。</w:t>
      </w:r>
    </w:p>
    <w:p w14:paraId="2CBA6747">
      <w:pPr>
        <w:pStyle w:val="76"/>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default" w:cs="Times New Roman"/>
          <w:b w:val="0"/>
          <w:bCs/>
          <w:highlight w:val="none"/>
          <w:lang w:val="en-US" w:eastAsia="zh-CN"/>
        </w:rPr>
        <w:t>投标价格含合同签订的危险废物处置过程中所产生的一切费用，包括处置费、运输费及相关服务等所有费用。评标小组有权根据报价情况要求所有投标人进行澄清。</w:t>
      </w:r>
    </w:p>
    <w:p w14:paraId="70E2A45F">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cs="Times New Roman"/>
          <w:b w:val="0"/>
          <w:highlight w:val="none"/>
          <w:lang w:val="en-US" w:eastAsia="zh-CN"/>
        </w:rPr>
      </w:pPr>
      <w:r>
        <w:rPr>
          <w:rFonts w:hint="eastAsia" w:cs="Times New Roman"/>
          <w:b w:val="0"/>
          <w:highlight w:val="none"/>
          <w:lang w:val="en-US" w:eastAsia="zh-CN"/>
        </w:rPr>
        <w:t>投标文件的投递</w:t>
      </w:r>
    </w:p>
    <w:p w14:paraId="608868D9">
      <w:pPr>
        <w:pStyle w:val="76"/>
        <w:numPr>
          <w:ilvl w:val="0"/>
          <w:numId w:val="18"/>
        </w:numPr>
        <w:rPr>
          <w:bCs/>
          <w:highlight w:val="none"/>
        </w:rPr>
      </w:pPr>
      <w:r>
        <w:rPr>
          <w:rFonts w:hint="eastAsia"/>
          <w:bCs/>
          <w:highlight w:val="none"/>
        </w:rPr>
        <w:t>投标方式：</w:t>
      </w:r>
      <w:r>
        <w:rPr>
          <w:rFonts w:hint="eastAsia"/>
          <w:highlight w:val="none"/>
        </w:rPr>
        <w:t>在“中国重汽e采通”平台</w:t>
      </w:r>
      <w:r>
        <w:rPr>
          <w:rFonts w:hint="eastAsia"/>
          <w:bCs/>
          <w:highlight w:val="none"/>
        </w:rPr>
        <w:t>线上投标</w:t>
      </w:r>
    </w:p>
    <w:p w14:paraId="4D5A4EFB">
      <w:pPr>
        <w:pStyle w:val="76"/>
        <w:numPr>
          <w:ilvl w:val="0"/>
          <w:numId w:val="18"/>
        </w:numPr>
        <w:ind w:left="425" w:leftChars="0" w:hanging="425" w:firstLineChars="0"/>
        <w:rPr>
          <w:rFonts w:hint="eastAsia" w:ascii="宋体" w:hAnsi="Courier New" w:eastAsia="宋体" w:cs="Times New Roman"/>
          <w:b w:val="0"/>
          <w:bCs/>
          <w:highlight w:val="none"/>
          <w:lang w:val="en-US" w:eastAsia="zh-CN"/>
        </w:rPr>
      </w:pPr>
      <w:r>
        <w:rPr>
          <w:rFonts w:hint="eastAsia"/>
          <w:bCs/>
          <w:highlight w:val="none"/>
        </w:rPr>
        <w:t>联系人及联系方式：</w:t>
      </w:r>
      <w:r>
        <w:rPr>
          <w:rFonts w:hint="eastAsia"/>
          <w:bCs/>
          <w:highlight w:val="none"/>
          <w:lang w:val="en-US" w:eastAsia="zh-CN"/>
        </w:rPr>
        <w:t>朱春晓15665735206</w:t>
      </w:r>
    </w:p>
    <w:p w14:paraId="28F9F16C">
      <w:pPr>
        <w:pStyle w:val="76"/>
        <w:numPr>
          <w:ilvl w:val="0"/>
          <w:numId w:val="18"/>
        </w:numPr>
        <w:ind w:left="425" w:leftChars="0" w:hanging="425" w:firstLineChars="0"/>
        <w:rPr>
          <w:rFonts w:hint="eastAsia" w:ascii="宋体" w:hAnsi="Courier New" w:eastAsia="宋体" w:cs="Times New Roman"/>
          <w:b/>
          <w:bCs w:val="0"/>
          <w:color w:val="FF0000"/>
          <w:highlight w:val="none"/>
          <w:lang w:val="en-US" w:eastAsia="zh-CN"/>
        </w:rPr>
      </w:pPr>
      <w:r>
        <w:rPr>
          <w:rFonts w:hint="eastAsia"/>
          <w:b/>
          <w:bCs w:val="0"/>
          <w:color w:val="FF0000"/>
          <w:highlight w:val="none"/>
        </w:rPr>
        <w:t>投标文件递交截止时间：</w:t>
      </w:r>
      <w:r>
        <w:rPr>
          <w:rFonts w:hint="eastAsia"/>
          <w:b/>
          <w:bCs w:val="0"/>
          <w:color w:val="FF0000"/>
          <w:highlight w:val="none"/>
          <w:lang w:val="en-US" w:eastAsia="zh-CN"/>
        </w:rPr>
        <w:t>2026</w:t>
      </w:r>
      <w:r>
        <w:rPr>
          <w:rFonts w:hint="eastAsia"/>
          <w:b/>
          <w:bCs w:val="0"/>
          <w:color w:val="FF0000"/>
          <w:highlight w:val="none"/>
        </w:rPr>
        <w:t>年</w:t>
      </w:r>
      <w:r>
        <w:rPr>
          <w:rFonts w:hint="eastAsia"/>
          <w:b/>
          <w:bCs w:val="0"/>
          <w:color w:val="FF0000"/>
          <w:highlight w:val="none"/>
          <w:lang w:val="en-US" w:eastAsia="zh-CN"/>
        </w:rPr>
        <w:t>7</w:t>
      </w:r>
      <w:r>
        <w:rPr>
          <w:rFonts w:hint="eastAsia"/>
          <w:b/>
          <w:bCs w:val="0"/>
          <w:color w:val="FF0000"/>
          <w:highlight w:val="none"/>
        </w:rPr>
        <w:t>月</w:t>
      </w:r>
      <w:r>
        <w:rPr>
          <w:rFonts w:hint="eastAsia"/>
          <w:b/>
          <w:bCs w:val="0"/>
          <w:color w:val="FF0000"/>
          <w:highlight w:val="none"/>
          <w:lang w:val="en-US" w:eastAsia="zh-CN"/>
        </w:rPr>
        <w:t>16</w:t>
      </w:r>
      <w:r>
        <w:rPr>
          <w:rFonts w:hint="eastAsia"/>
          <w:b/>
          <w:bCs w:val="0"/>
          <w:color w:val="FF0000"/>
          <w:highlight w:val="none"/>
        </w:rPr>
        <w:t>日</w:t>
      </w:r>
      <w:r>
        <w:rPr>
          <w:rFonts w:hint="eastAsia"/>
          <w:b/>
          <w:bCs w:val="0"/>
          <w:color w:val="FF0000"/>
          <w:highlight w:val="none"/>
          <w:lang w:val="en-US" w:eastAsia="zh-CN"/>
        </w:rPr>
        <w:t>17</w:t>
      </w:r>
      <w:r>
        <w:rPr>
          <w:rFonts w:hint="eastAsia"/>
          <w:b/>
          <w:bCs w:val="0"/>
          <w:color w:val="FF0000"/>
          <w:highlight w:val="none"/>
        </w:rPr>
        <w:t>:00:00</w:t>
      </w:r>
    </w:p>
    <w:p w14:paraId="623B6261">
      <w:pPr>
        <w:pStyle w:val="76"/>
        <w:numPr>
          <w:ilvl w:val="0"/>
          <w:numId w:val="0"/>
        </w:numPr>
        <w:ind w:leftChars="0"/>
        <w:rPr>
          <w:rFonts w:hint="eastAsia" w:ascii="宋体" w:hAnsi="Courier New" w:eastAsia="宋体" w:cs="Times New Roman"/>
          <w:b/>
          <w:bCs w:val="0"/>
          <w:color w:val="FF0000"/>
          <w:highlight w:val="none"/>
          <w:lang w:val="en-US" w:eastAsia="zh-CN"/>
        </w:rPr>
      </w:pPr>
    </w:p>
    <w:p w14:paraId="7135ACE7">
      <w:pPr>
        <w:pStyle w:val="76"/>
        <w:numPr>
          <w:ilvl w:val="0"/>
          <w:numId w:val="0"/>
        </w:numPr>
        <w:ind w:leftChars="0"/>
        <w:rPr>
          <w:rFonts w:hint="eastAsia" w:ascii="宋体" w:hAnsi="Courier New" w:eastAsia="宋体" w:cs="Times New Roman"/>
          <w:b/>
          <w:bCs w:val="0"/>
          <w:color w:val="FF0000"/>
          <w:highlight w:val="none"/>
          <w:lang w:val="en-US" w:eastAsia="zh-CN"/>
        </w:rPr>
      </w:pPr>
    </w:p>
    <w:p w14:paraId="25974AAC">
      <w:pPr>
        <w:pStyle w:val="73"/>
        <w:rPr>
          <w:rFonts w:hint="eastAsia" w:hAnsi="Courier New" w:cs="Times New Roman"/>
          <w:highlight w:val="none"/>
        </w:rPr>
      </w:pPr>
      <w:bookmarkStart w:id="11"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3"/>
        <w:numPr>
          <w:ilvl w:val="0"/>
          <w:numId w:val="0"/>
        </w:numPr>
        <w:ind w:left="420" w:leftChars="0" w:hanging="420" w:firstLineChars="0"/>
        <w:rPr>
          <w:rFonts w:hint="eastAsia" w:ascii="宋体" w:hAnsi="宋体" w:eastAsia="宋体" w:cs="宋体"/>
          <w:b w:val="0"/>
          <w:bCs w:val="0"/>
          <w:sz w:val="21"/>
          <w:szCs w:val="21"/>
          <w:highlight w:val="none"/>
          <w:u w:val="single"/>
          <w:lang w:val="en-US" w:eastAsia="zh-CN"/>
        </w:rPr>
      </w:pPr>
      <w:r>
        <w:rPr>
          <w:rFonts w:hint="default" w:ascii="宋体" w:hAnsi="宋体" w:eastAsia="宋体" w:cs="宋体"/>
          <w:b w:val="0"/>
          <w:bCs w:val="0"/>
          <w:kern w:val="2"/>
          <w:sz w:val="21"/>
          <w:szCs w:val="21"/>
          <w:lang w:val="en-US" w:eastAsia="zh-CN" w:bidi="ar-SA"/>
        </w:rPr>
        <w:t>1.</w:t>
      </w:r>
      <w:r>
        <w:rPr>
          <w:rFonts w:hint="eastAsia" w:ascii="宋体" w:hAnsi="宋体" w:eastAsia="宋体" w:cs="宋体"/>
          <w:b w:val="0"/>
          <w:bCs w:val="0"/>
          <w:sz w:val="21"/>
          <w:szCs w:val="21"/>
          <w:highlight w:val="none"/>
        </w:rPr>
        <w:t>投标保证金的缴纳</w:t>
      </w:r>
    </w:p>
    <w:p w14:paraId="021ADBC0">
      <w:pPr>
        <w:pStyle w:val="73"/>
        <w:numPr>
          <w:ilvl w:val="0"/>
          <w:numId w:val="19"/>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sz w:val="24"/>
          <w:szCs w:val="24"/>
          <w:highlight w:val="none"/>
        </w:rPr>
        <w:t>电汇或网银</w:t>
      </w:r>
    </w:p>
    <w:p w14:paraId="04CD311F">
      <w:pPr>
        <w:pStyle w:val="73"/>
        <w:numPr>
          <w:ilvl w:val="0"/>
          <w:numId w:val="19"/>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none"/>
          <w:u w:val="single"/>
          <w:lang w:val="en-US" w:eastAsia="zh-CN"/>
        </w:rPr>
        <w:t xml:space="preserve"> 5000 </w:t>
      </w:r>
      <w:r>
        <w:rPr>
          <w:rFonts w:hint="eastAsia" w:ascii="宋体" w:hAnsi="宋体" w:eastAsia="宋体" w:cs="宋体"/>
          <w:b w:val="0"/>
          <w:bCs w:val="0"/>
          <w:sz w:val="21"/>
          <w:szCs w:val="21"/>
          <w:highlight w:val="none"/>
        </w:rPr>
        <w:t>元</w:t>
      </w:r>
    </w:p>
    <w:p w14:paraId="599BBB88">
      <w:pPr>
        <w:tabs>
          <w:tab w:val="left" w:pos="932"/>
        </w:tabs>
        <w:spacing w:line="360" w:lineRule="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开户名称：中国重汽集团济南汽车部件有限公司</w:t>
      </w:r>
    </w:p>
    <w:p w14:paraId="43A175B8">
      <w:pPr>
        <w:tabs>
          <w:tab w:val="left" w:pos="932"/>
        </w:tabs>
        <w:spacing w:line="360" w:lineRule="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开户银行：北京银行股份有限公司济南分行营业部</w:t>
      </w:r>
    </w:p>
    <w:p w14:paraId="066DC8D5">
      <w:pPr>
        <w:tabs>
          <w:tab w:val="left" w:pos="932"/>
        </w:tabs>
        <w:spacing w:line="360" w:lineRule="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银行帐号：20000042845000032899980</w:t>
      </w:r>
    </w:p>
    <w:p w14:paraId="76FD9135">
      <w:pPr>
        <w:pStyle w:val="73"/>
        <w:numPr>
          <w:ilvl w:val="0"/>
          <w:numId w:val="0"/>
        </w:numPr>
        <w:spacing w:line="360" w:lineRule="auto"/>
        <w:ind w:leftChars="0"/>
        <w:rPr>
          <w:rFonts w:hint="eastAsia" w:ascii="宋体" w:hAnsi="宋体" w:eastAsia="宋体" w:cs="宋体"/>
          <w:b w:val="0"/>
          <w:bCs w:val="0"/>
          <w:sz w:val="21"/>
          <w:szCs w:val="21"/>
          <w:highlight w:val="none"/>
          <w:u w:val="single"/>
          <w:lang w:val="en-US" w:eastAsia="zh-CN"/>
        </w:rPr>
      </w:pPr>
      <w:r>
        <w:rPr>
          <w:rFonts w:ascii="宋体" w:hAnsi="宋体" w:eastAsia="宋体" w:cs="宋体"/>
          <w:sz w:val="24"/>
          <w:szCs w:val="24"/>
          <w:highlight w:val="none"/>
        </w:rPr>
        <w:t>联行号：313451001843</w:t>
      </w:r>
    </w:p>
    <w:p w14:paraId="1591D62C">
      <w:pPr>
        <w:pStyle w:val="76"/>
        <w:keepNext w:val="0"/>
        <w:keepLines w:val="0"/>
        <w:pageBreakBefore w:val="0"/>
        <w:widowControl w:val="0"/>
        <w:numPr>
          <w:ilvl w:val="0"/>
          <w:numId w:val="0"/>
        </w:numPr>
        <w:kinsoku/>
        <w:wordWrap/>
        <w:overflowPunct/>
        <w:topLinePunct w:val="0"/>
        <w:autoSpaceDE/>
        <w:autoSpaceDN/>
        <w:bidi w:val="0"/>
        <w:adjustRightInd/>
        <w:snapToGrid/>
        <w:ind w:left="10" w:leftChars="0"/>
        <w:textAlignment w:val="auto"/>
        <w:rPr>
          <w:rFonts w:hint="eastAsia" w:cs="Times New Roman"/>
          <w:b w:val="0"/>
          <w:bCs/>
          <w:highlight w:val="none"/>
          <w:lang w:val="en-US" w:eastAsia="zh-CN"/>
        </w:rPr>
      </w:pPr>
      <w:r>
        <w:rPr>
          <w:rFonts w:hint="eastAsia" w:cs="Times New Roman"/>
          <w:b w:val="0"/>
          <w:bCs/>
          <w:highlight w:val="none"/>
          <w:lang w:val="en-US" w:eastAsia="zh-CN"/>
        </w:rPr>
        <w:t>(3)转账附言：公司名称+项目名称+投标保证金。</w:t>
      </w:r>
    </w:p>
    <w:p w14:paraId="5568414C">
      <w:pPr>
        <w:pStyle w:val="73"/>
        <w:numPr>
          <w:ilvl w:val="0"/>
          <w:numId w:val="0"/>
        </w:numPr>
        <w:ind w:left="425" w:leftChars="0" w:hanging="425" w:firstLineChars="0"/>
        <w:rPr>
          <w:rFonts w:hint="eastAsia" w:ascii="宋体" w:hAnsi="宋体" w:eastAsia="宋体" w:cs="宋体"/>
          <w:b w:val="0"/>
          <w:bCs w:val="0"/>
          <w:color w:val="FF0000"/>
          <w:sz w:val="21"/>
          <w:szCs w:val="21"/>
          <w:highlight w:val="none"/>
        </w:rPr>
      </w:pPr>
      <w:r>
        <w:rPr>
          <w:rFonts w:hint="default" w:ascii="宋体" w:hAnsi="宋体" w:eastAsia="宋体" w:cs="宋体"/>
          <w:b w:val="0"/>
          <w:bCs w:val="0"/>
          <w:kern w:val="2"/>
          <w:sz w:val="21"/>
          <w:szCs w:val="21"/>
          <w:highlight w:val="none"/>
          <w:lang w:val="en-US" w:eastAsia="zh-CN" w:bidi="ar-SA"/>
        </w:rPr>
        <w:t>(</w:t>
      </w:r>
      <w:r>
        <w:rPr>
          <w:rFonts w:hint="eastAsia" w:ascii="宋体" w:hAnsi="宋体" w:eastAsia="宋体" w:cs="宋体"/>
          <w:b w:val="0"/>
          <w:bCs w:val="0"/>
          <w:kern w:val="2"/>
          <w:sz w:val="21"/>
          <w:szCs w:val="21"/>
          <w:highlight w:val="none"/>
          <w:lang w:val="en-US" w:eastAsia="zh-CN" w:bidi="ar-SA"/>
        </w:rPr>
        <w:t>4</w:t>
      </w:r>
      <w:r>
        <w:rPr>
          <w:rFonts w:hint="default" w:ascii="宋体" w:hAnsi="宋体" w:eastAsia="宋体" w:cs="宋体"/>
          <w:b w:val="0"/>
          <w:bCs w:val="0"/>
          <w:kern w:val="2"/>
          <w:sz w:val="21"/>
          <w:szCs w:val="21"/>
          <w:highlight w:val="none"/>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color w:val="FF0000"/>
          <w:sz w:val="21"/>
          <w:szCs w:val="21"/>
          <w:highlight w:val="none"/>
          <w:lang w:val="en-US" w:eastAsia="zh-CN"/>
        </w:rPr>
        <w:t>2026</w:t>
      </w:r>
      <w:r>
        <w:rPr>
          <w:rFonts w:hint="eastAsia" w:ascii="宋体" w:hAnsi="宋体" w:eastAsia="宋体" w:cs="宋体"/>
          <w:b w:val="0"/>
          <w:bCs w:val="0"/>
          <w:color w:val="FF0000"/>
          <w:sz w:val="21"/>
          <w:szCs w:val="21"/>
          <w:highlight w:val="none"/>
        </w:rPr>
        <w:t>年</w:t>
      </w:r>
      <w:r>
        <w:rPr>
          <w:rFonts w:hint="eastAsia" w:ascii="宋体" w:hAnsi="宋体" w:eastAsia="宋体" w:cs="宋体"/>
          <w:b w:val="0"/>
          <w:bCs w:val="0"/>
          <w:color w:val="FF0000"/>
          <w:sz w:val="21"/>
          <w:szCs w:val="21"/>
          <w:highlight w:val="none"/>
          <w:lang w:val="en-US" w:eastAsia="zh-CN"/>
        </w:rPr>
        <w:t>7</w:t>
      </w:r>
      <w:r>
        <w:rPr>
          <w:rFonts w:hint="eastAsia" w:ascii="宋体" w:hAnsi="宋体" w:eastAsia="宋体" w:cs="宋体"/>
          <w:b w:val="0"/>
          <w:bCs w:val="0"/>
          <w:color w:val="FF0000"/>
          <w:sz w:val="21"/>
          <w:szCs w:val="21"/>
          <w:highlight w:val="none"/>
        </w:rPr>
        <w:t>月</w:t>
      </w:r>
      <w:r>
        <w:rPr>
          <w:rFonts w:hint="eastAsia" w:ascii="宋体" w:hAnsi="宋体" w:eastAsia="宋体" w:cs="宋体"/>
          <w:b w:val="0"/>
          <w:bCs w:val="0"/>
          <w:color w:val="FF0000"/>
          <w:sz w:val="21"/>
          <w:szCs w:val="21"/>
          <w:highlight w:val="none"/>
          <w:lang w:val="en-US" w:eastAsia="zh-CN"/>
        </w:rPr>
        <w:t>16</w:t>
      </w:r>
      <w:r>
        <w:rPr>
          <w:rFonts w:hint="eastAsia" w:ascii="宋体" w:hAnsi="宋体" w:eastAsia="宋体" w:cs="宋体"/>
          <w:b w:val="0"/>
          <w:bCs w:val="0"/>
          <w:color w:val="FF0000"/>
          <w:sz w:val="21"/>
          <w:szCs w:val="21"/>
          <w:highlight w:val="none"/>
        </w:rPr>
        <w:t>日</w:t>
      </w:r>
      <w:r>
        <w:rPr>
          <w:rFonts w:hint="eastAsia" w:ascii="宋体" w:hAnsi="宋体" w:eastAsia="宋体" w:cs="宋体"/>
          <w:b w:val="0"/>
          <w:bCs w:val="0"/>
          <w:color w:val="FF0000"/>
          <w:sz w:val="21"/>
          <w:szCs w:val="21"/>
          <w:highlight w:val="none"/>
          <w:lang w:val="en-US" w:eastAsia="zh-CN"/>
        </w:rPr>
        <w:t>17:</w:t>
      </w:r>
      <w:r>
        <w:rPr>
          <w:rFonts w:hint="eastAsia" w:ascii="宋体" w:hAnsi="宋体" w:eastAsia="宋体" w:cs="宋体"/>
          <w:b w:val="0"/>
          <w:bCs w:val="0"/>
          <w:color w:val="FF0000"/>
          <w:sz w:val="21"/>
          <w:szCs w:val="21"/>
          <w:highlight w:val="none"/>
        </w:rPr>
        <w:t>00</w:t>
      </w:r>
      <w:r>
        <w:rPr>
          <w:rFonts w:hint="eastAsia" w:ascii="宋体" w:hAnsi="宋体" w:eastAsia="宋体" w:cs="宋体"/>
          <w:b w:val="0"/>
          <w:bCs w:val="0"/>
          <w:color w:val="FF0000"/>
          <w:sz w:val="21"/>
          <w:szCs w:val="21"/>
          <w:highlight w:val="none"/>
          <w:lang w:val="en-US" w:eastAsia="zh-CN"/>
        </w:rPr>
        <w:t>:00</w:t>
      </w:r>
      <w:r>
        <w:rPr>
          <w:rFonts w:hint="eastAsia" w:ascii="宋体" w:hAnsi="宋体" w:eastAsia="宋体" w:cs="宋体"/>
          <w:b w:val="0"/>
          <w:bCs w:val="0"/>
          <w:color w:val="FF0000"/>
          <w:sz w:val="21"/>
          <w:szCs w:val="21"/>
          <w:highlight w:val="none"/>
        </w:rPr>
        <w:t>前</w:t>
      </w:r>
    </w:p>
    <w:p w14:paraId="4C2C93DA">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default" w:ascii="宋体" w:hAnsi="宋体" w:eastAsia="宋体" w:cs="宋体"/>
          <w:b w:val="0"/>
          <w:bCs w:val="0"/>
          <w:kern w:val="2"/>
          <w:sz w:val="21"/>
          <w:szCs w:val="21"/>
          <w:lang w:val="en-US" w:eastAsia="zh-CN" w:bidi="ar-SA"/>
        </w:rPr>
        <w:t>2.</w:t>
      </w: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default" w:ascii="宋体" w:hAnsi="宋体" w:eastAsia="宋体" w:cs="宋体"/>
          <w:b w:val="0"/>
          <w:bCs w:val="0"/>
          <w:kern w:val="2"/>
          <w:sz w:val="21"/>
          <w:szCs w:val="21"/>
          <w:lang w:val="en-US" w:eastAsia="zh-CN" w:bidi="ar-SA"/>
        </w:rPr>
        <w:t>3.</w:t>
      </w: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w:t>
      </w:r>
      <w:r>
        <w:rPr>
          <w:rFonts w:hint="eastAsia" w:ascii="宋体" w:hAnsi="宋体" w:eastAsia="宋体" w:cs="宋体"/>
          <w:b w:val="0"/>
          <w:bCs w:val="0"/>
          <w:sz w:val="21"/>
          <w:szCs w:val="21"/>
          <w:highlight w:val="none"/>
          <w:lang w:val="en-US" w:eastAsia="zh-CN"/>
        </w:rPr>
        <w:t>并到账，否则视为无效投标；未按规定提交保证金的拟投标人，其投标文件视为无效投标。拟投标人应充分考虑银行信息交换时间，由此带来的保证金不能按时到帐的责任由拟投标人自行承担。</w:t>
      </w:r>
    </w:p>
    <w:p w14:paraId="6E8C3B7F">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color w:val="FF0000"/>
          <w:sz w:val="24"/>
          <w:szCs w:val="24"/>
          <w:highlight w:val="none"/>
          <w:lang w:val="en-US" w:eastAsia="zh-CN"/>
        </w:rPr>
      </w:pPr>
      <w:r>
        <w:rPr>
          <w:rFonts w:hint="eastAsia" w:ascii="宋体" w:hAnsi="宋体" w:eastAsia="宋体" w:cs="宋体"/>
          <w:b w:val="0"/>
          <w:bCs w:val="0"/>
          <w:sz w:val="21"/>
          <w:szCs w:val="21"/>
          <w:highlight w:val="none"/>
          <w:lang w:val="en-US" w:eastAsia="zh-CN"/>
        </w:rPr>
        <w:t>4.对于没有中标的投标人，投标保证金将于招标人内部完成中标人评审并确认最终中标人后在一个付款周期内予以原路返还（</w:t>
      </w:r>
      <w:r>
        <w:rPr>
          <w:rFonts w:hint="eastAsia" w:ascii="宋体" w:hAnsi="宋体" w:eastAsia="宋体" w:cs="宋体"/>
          <w:b w:val="0"/>
          <w:bCs w:val="0"/>
          <w:sz w:val="21"/>
          <w:szCs w:val="21"/>
          <w:highlight w:val="none"/>
        </w:rPr>
        <w:t>无息）；</w:t>
      </w:r>
      <w:r>
        <w:rPr>
          <w:rFonts w:hint="eastAsia" w:ascii="宋体" w:hAnsi="宋体" w:eastAsia="宋体" w:cs="宋体"/>
          <w:b w:val="0"/>
          <w:bCs w:val="0"/>
          <w:color w:val="FF0000"/>
          <w:sz w:val="21"/>
          <w:szCs w:val="21"/>
          <w:highlight w:val="none"/>
        </w:rPr>
        <w:t>对于中标方，投标保证金</w:t>
      </w:r>
      <w:r>
        <w:rPr>
          <w:rFonts w:hint="eastAsia" w:ascii="宋体" w:hAnsi="宋体" w:eastAsia="宋体" w:cs="宋体"/>
          <w:b w:val="0"/>
          <w:bCs w:val="0"/>
          <w:color w:val="FF0000"/>
          <w:sz w:val="21"/>
          <w:szCs w:val="21"/>
          <w:highlight w:val="none"/>
          <w:lang w:val="en-US" w:eastAsia="zh-CN"/>
        </w:rPr>
        <w:t>转作为履约保证金，履约保证金相关事宜在合同内另行约定。</w:t>
      </w:r>
    </w:p>
    <w:p w14:paraId="271EC8CF">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default" w:ascii="宋体" w:hAnsi="宋体" w:eastAsia="宋体" w:cs="宋体"/>
          <w:b w:val="0"/>
          <w:bCs w:val="0"/>
          <w:kern w:val="2"/>
          <w:sz w:val="21"/>
          <w:szCs w:val="21"/>
          <w:lang w:val="en-US" w:eastAsia="zh-CN" w:bidi="ar-SA"/>
        </w:rPr>
        <w:t>5.</w:t>
      </w: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1"/>
    <w:p w14:paraId="368B6990">
      <w:pPr>
        <w:pStyle w:val="73"/>
        <w:rPr>
          <w:highlight w:val="none"/>
        </w:rPr>
      </w:pPr>
      <w:r>
        <w:rPr>
          <w:rFonts w:hint="eastAsia"/>
          <w:highlight w:val="none"/>
          <w:lang w:val="en-US" w:eastAsia="zh-CN"/>
        </w:rPr>
        <w:t>开评标</w:t>
      </w:r>
    </w:p>
    <w:p w14:paraId="7D70F083">
      <w:pPr>
        <w:pStyle w:val="73"/>
        <w:numPr>
          <w:ilvl w:val="0"/>
          <w:numId w:val="20"/>
        </w:numPr>
        <w:ind w:firstLine="0"/>
        <w:rPr>
          <w:rFonts w:ascii="宋体" w:hAnsi="宋体" w:eastAsia="宋体" w:cs="宋体"/>
          <w:b/>
          <w:bCs/>
          <w:color w:val="FF0000"/>
          <w:sz w:val="21"/>
          <w:szCs w:val="21"/>
          <w:highlight w:val="none"/>
        </w:rPr>
      </w:pPr>
      <w:r>
        <w:rPr>
          <w:rFonts w:hint="eastAsia" w:ascii="宋体" w:hAnsi="宋体" w:eastAsia="宋体" w:cs="宋体"/>
          <w:b/>
          <w:bCs/>
          <w:color w:val="FF0000"/>
          <w:sz w:val="21"/>
          <w:szCs w:val="21"/>
          <w:highlight w:val="none"/>
        </w:rPr>
        <w:t>开标时间：</w:t>
      </w:r>
      <w:r>
        <w:rPr>
          <w:rFonts w:hint="eastAsia" w:ascii="宋体" w:hAnsi="宋体" w:eastAsia="宋体" w:cs="宋体"/>
          <w:b/>
          <w:bCs/>
          <w:color w:val="FF0000"/>
          <w:sz w:val="21"/>
          <w:szCs w:val="21"/>
          <w:highlight w:val="none"/>
          <w:lang w:val="en-US" w:eastAsia="zh-CN"/>
        </w:rPr>
        <w:t>2026</w:t>
      </w:r>
      <w:r>
        <w:rPr>
          <w:rFonts w:hint="eastAsia" w:ascii="宋体" w:hAnsi="宋体" w:eastAsia="宋体" w:cs="宋体"/>
          <w:b/>
          <w:bCs/>
          <w:color w:val="FF0000"/>
          <w:sz w:val="21"/>
          <w:szCs w:val="21"/>
          <w:highlight w:val="none"/>
        </w:rPr>
        <w:t>年</w:t>
      </w:r>
      <w:r>
        <w:rPr>
          <w:rFonts w:hint="eastAsia" w:ascii="宋体" w:hAnsi="宋体" w:eastAsia="宋体" w:cs="宋体"/>
          <w:b/>
          <w:bCs/>
          <w:color w:val="FF0000"/>
          <w:sz w:val="21"/>
          <w:szCs w:val="21"/>
          <w:highlight w:val="none"/>
          <w:lang w:val="en-US" w:eastAsia="zh-CN"/>
        </w:rPr>
        <w:t>7</w:t>
      </w:r>
      <w:r>
        <w:rPr>
          <w:rFonts w:hint="eastAsia" w:ascii="宋体" w:hAnsi="宋体" w:eastAsia="宋体" w:cs="宋体"/>
          <w:b/>
          <w:bCs/>
          <w:color w:val="FF0000"/>
          <w:sz w:val="21"/>
          <w:szCs w:val="21"/>
          <w:highlight w:val="none"/>
        </w:rPr>
        <w:t>月</w:t>
      </w:r>
      <w:r>
        <w:rPr>
          <w:rFonts w:hint="eastAsia" w:ascii="宋体" w:hAnsi="宋体" w:eastAsia="宋体" w:cs="宋体"/>
          <w:b/>
          <w:bCs/>
          <w:color w:val="FF0000"/>
          <w:sz w:val="21"/>
          <w:szCs w:val="21"/>
          <w:highlight w:val="none"/>
          <w:lang w:val="en-US" w:eastAsia="zh-CN"/>
        </w:rPr>
        <w:t>17</w:t>
      </w:r>
      <w:bookmarkStart w:id="29" w:name="_GoBack"/>
      <w:bookmarkEnd w:id="29"/>
      <w:r>
        <w:rPr>
          <w:rFonts w:hint="eastAsia" w:ascii="宋体" w:hAnsi="宋体" w:eastAsia="宋体" w:cs="宋体"/>
          <w:b/>
          <w:bCs/>
          <w:color w:val="FF0000"/>
          <w:sz w:val="21"/>
          <w:szCs w:val="21"/>
          <w:highlight w:val="none"/>
        </w:rPr>
        <w:t>日9:00:00</w:t>
      </w:r>
      <w:r>
        <w:rPr>
          <w:rFonts w:hint="eastAsia" w:ascii="宋体" w:hAnsi="宋体" w:eastAsia="宋体" w:cs="宋体"/>
          <w:color w:val="FF0000"/>
          <w:sz w:val="21"/>
          <w:szCs w:val="21"/>
          <w:highlight w:val="none"/>
          <w:lang w:eastAsia="zh-CN"/>
        </w:rPr>
        <w:t>（</w:t>
      </w:r>
      <w:r>
        <w:rPr>
          <w:rFonts w:hint="eastAsia" w:ascii="宋体" w:hAnsi="宋体" w:eastAsia="宋体" w:cs="宋体"/>
          <w:color w:val="FF0000"/>
          <w:sz w:val="21"/>
          <w:szCs w:val="21"/>
          <w:highlight w:val="none"/>
          <w:lang w:val="en-US" w:eastAsia="zh-CN"/>
        </w:rPr>
        <w:t>若有变动另行通知</w:t>
      </w:r>
      <w:r>
        <w:rPr>
          <w:rFonts w:hint="eastAsia" w:ascii="宋体" w:hAnsi="宋体" w:eastAsia="宋体" w:cs="宋体"/>
          <w:color w:val="FF0000"/>
          <w:sz w:val="21"/>
          <w:szCs w:val="21"/>
          <w:highlight w:val="none"/>
          <w:lang w:eastAsia="zh-CN"/>
        </w:rPr>
        <w:t>）</w:t>
      </w:r>
    </w:p>
    <w:p w14:paraId="3672B386">
      <w:pPr>
        <w:pStyle w:val="73"/>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开标地点：济南市章丘区圣井街道潘王路西重汽工业园北三厂</w:t>
      </w:r>
    </w:p>
    <w:p w14:paraId="3EF8D0F8">
      <w:pPr>
        <w:pStyle w:val="73"/>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开标方式：线上招标，由招标人创建</w:t>
      </w:r>
      <w:r>
        <w:rPr>
          <w:rFonts w:hint="eastAsia" w:ascii="宋体" w:hAnsi="宋体" w:eastAsia="宋体" w:cs="宋体"/>
          <w:b w:val="0"/>
          <w:bCs w:val="0"/>
          <w:sz w:val="21"/>
          <w:szCs w:val="21"/>
          <w:highlight w:val="none"/>
        </w:rPr>
        <w:t>视频链接</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并</w:t>
      </w:r>
      <w:r>
        <w:rPr>
          <w:rFonts w:hint="eastAsia" w:ascii="宋体" w:hAnsi="宋体" w:eastAsia="宋体" w:cs="宋体"/>
          <w:b w:val="0"/>
          <w:bCs w:val="0"/>
          <w:sz w:val="21"/>
          <w:szCs w:val="21"/>
          <w:highlight w:val="none"/>
        </w:rPr>
        <w:t>在报名</w:t>
      </w:r>
      <w:r>
        <w:rPr>
          <w:rFonts w:hint="eastAsia" w:ascii="宋体" w:hAnsi="宋体" w:eastAsia="宋体" w:cs="宋体"/>
          <w:b w:val="0"/>
          <w:bCs w:val="0"/>
          <w:sz w:val="21"/>
          <w:szCs w:val="21"/>
          <w:highlight w:val="none"/>
          <w:lang w:val="en-US" w:eastAsia="zh-CN"/>
        </w:rPr>
        <w:t>结束</w:t>
      </w:r>
      <w:r>
        <w:rPr>
          <w:rFonts w:hint="eastAsia" w:ascii="宋体" w:hAnsi="宋体" w:eastAsia="宋体" w:cs="宋体"/>
          <w:b w:val="0"/>
          <w:bCs w:val="0"/>
          <w:sz w:val="21"/>
          <w:szCs w:val="21"/>
          <w:highlight w:val="none"/>
        </w:rPr>
        <w:t>后统一</w:t>
      </w:r>
      <w:r>
        <w:rPr>
          <w:rFonts w:hint="eastAsia" w:ascii="宋体" w:hAnsi="宋体" w:eastAsia="宋体" w:cs="宋体"/>
          <w:b w:val="0"/>
          <w:bCs w:val="0"/>
          <w:sz w:val="21"/>
          <w:szCs w:val="21"/>
          <w:highlight w:val="none"/>
          <w:lang w:val="en-US" w:eastAsia="zh-CN"/>
        </w:rPr>
        <w:t>通知</w:t>
      </w:r>
      <w:r>
        <w:rPr>
          <w:rFonts w:hint="eastAsia" w:ascii="宋体" w:hAnsi="宋体" w:eastAsia="宋体" w:cs="宋体"/>
          <w:b w:val="0"/>
          <w:bCs w:val="0"/>
          <w:sz w:val="21"/>
          <w:szCs w:val="21"/>
          <w:highlight w:val="none"/>
        </w:rPr>
        <w:t>。</w:t>
      </w:r>
    </w:p>
    <w:p w14:paraId="2C652027">
      <w:pPr>
        <w:pStyle w:val="73"/>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45816947">
      <w:pPr>
        <w:pStyle w:val="73"/>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评标方法</w:t>
      </w:r>
    </w:p>
    <w:p w14:paraId="4A534397">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sz w:val="24"/>
          <w:szCs w:val="24"/>
          <w:highlight w:val="none"/>
        </w:rPr>
        <w:t>本次招标采用</w:t>
      </w:r>
      <w:r>
        <w:rPr>
          <w:rFonts w:hint="eastAsia" w:ascii="宋体" w:hAnsi="宋体" w:eastAsia="宋体" w:cs="宋体"/>
          <w:b/>
          <w:bCs/>
          <w:sz w:val="24"/>
          <w:szCs w:val="24"/>
          <w:highlight w:val="none"/>
          <w:lang w:val="en-US" w:eastAsia="zh-CN"/>
        </w:rPr>
        <w:t>技术标入围后，</w:t>
      </w:r>
      <w:r>
        <w:rPr>
          <w:rFonts w:hint="eastAsia" w:ascii="宋体" w:hAnsi="宋体" w:eastAsia="宋体" w:cs="Times New Roman"/>
          <w:b/>
          <w:bCs/>
          <w:sz w:val="24"/>
          <w:szCs w:val="24"/>
          <w:highlight w:val="none"/>
        </w:rPr>
        <w:t>原则上</w:t>
      </w:r>
      <w:r>
        <w:rPr>
          <w:rFonts w:hint="eastAsia" w:ascii="宋体" w:hAnsi="宋体" w:eastAsia="宋体" w:cs="宋体"/>
          <w:b/>
          <w:bCs/>
          <w:sz w:val="24"/>
          <w:szCs w:val="24"/>
          <w:highlight w:val="none"/>
          <w:lang w:val="en-US" w:eastAsia="zh-CN"/>
        </w:rPr>
        <w:t>合理最低价中标</w:t>
      </w:r>
      <w:r>
        <w:rPr>
          <w:rFonts w:hint="eastAsia" w:ascii="宋体" w:hAnsi="宋体" w:eastAsia="宋体" w:cs="宋体"/>
          <w:sz w:val="24"/>
          <w:szCs w:val="24"/>
          <w:highlight w:val="none"/>
          <w:lang w:val="en-US" w:eastAsia="zh-CN"/>
        </w:rPr>
        <w:t>。</w:t>
      </w:r>
      <w:r>
        <w:rPr>
          <w:rFonts w:hint="eastAsia" w:ascii="宋体" w:hAnsi="宋体" w:eastAsia="宋体" w:cs="宋体"/>
          <w:color w:val="000000"/>
          <w:sz w:val="24"/>
          <w:szCs w:val="24"/>
          <w:highlight w:val="none"/>
        </w:rPr>
        <w:t>本着公平、公正、公开的原则，在</w:t>
      </w:r>
      <w:r>
        <w:rPr>
          <w:rFonts w:hint="eastAsia" w:ascii="宋体" w:hAnsi="宋体" w:eastAsia="宋体" w:cs="宋体"/>
          <w:color w:val="000000"/>
          <w:sz w:val="24"/>
          <w:szCs w:val="24"/>
          <w:highlight w:val="none"/>
          <w:lang w:val="en-US" w:eastAsia="zh-CN"/>
        </w:rPr>
        <w:t>通过技术标</w:t>
      </w:r>
      <w:r>
        <w:rPr>
          <w:rFonts w:hint="eastAsia" w:ascii="宋体" w:hAnsi="宋体" w:eastAsia="宋体" w:cs="宋体"/>
          <w:color w:val="000000"/>
          <w:sz w:val="24"/>
          <w:szCs w:val="24"/>
          <w:highlight w:val="none"/>
        </w:rPr>
        <w:t>综合评审</w:t>
      </w:r>
      <w:r>
        <w:rPr>
          <w:rFonts w:hint="eastAsia" w:ascii="宋体" w:hAnsi="宋体" w:eastAsia="宋体" w:cs="宋体"/>
          <w:color w:val="000000"/>
          <w:sz w:val="24"/>
          <w:szCs w:val="24"/>
          <w:highlight w:val="none"/>
          <w:lang w:val="en-US" w:eastAsia="zh-CN"/>
        </w:rPr>
        <w:t>后入围</w:t>
      </w:r>
      <w:r>
        <w:rPr>
          <w:rFonts w:hint="eastAsia" w:ascii="宋体" w:hAnsi="宋体" w:eastAsia="宋体" w:cs="宋体"/>
          <w:color w:val="000000"/>
          <w:sz w:val="24"/>
          <w:szCs w:val="24"/>
          <w:highlight w:val="none"/>
        </w:rPr>
        <w:t>的前提下，</w:t>
      </w:r>
      <w:r>
        <w:rPr>
          <w:rFonts w:hint="eastAsia" w:ascii="宋体" w:hAnsi="宋体" w:eastAsia="宋体" w:cs="宋体"/>
          <w:color w:val="000000"/>
          <w:sz w:val="24"/>
          <w:szCs w:val="24"/>
          <w:highlight w:val="none"/>
          <w:lang w:val="en-US" w:eastAsia="zh-CN"/>
        </w:rPr>
        <w:t>选择合理最低价</w:t>
      </w:r>
      <w:r>
        <w:rPr>
          <w:rFonts w:hint="eastAsia" w:ascii="宋体" w:hAnsi="宋体" w:eastAsia="宋体" w:cs="宋体"/>
          <w:color w:val="000000"/>
          <w:sz w:val="24"/>
          <w:szCs w:val="24"/>
          <w:highlight w:val="none"/>
        </w:rPr>
        <w:t>确定中标人</w:t>
      </w:r>
      <w:r>
        <w:rPr>
          <w:rFonts w:hint="eastAsia" w:ascii="宋体" w:hAnsi="宋体" w:eastAsia="宋体" w:cs="宋体"/>
          <w:b/>
          <w:color w:val="000000"/>
          <w:sz w:val="24"/>
          <w:szCs w:val="24"/>
          <w:highlight w:val="none"/>
        </w:rPr>
        <w:t>，对未中标单位不做任何解释。</w:t>
      </w:r>
    </w:p>
    <w:p w14:paraId="0B2A8F6D">
      <w:pPr>
        <w:pStyle w:val="73"/>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w:t>
      </w:r>
      <w:r>
        <w:rPr>
          <w:rFonts w:hint="eastAsia" w:ascii="宋体" w:hAnsi="宋体" w:cs="宋体"/>
          <w:b/>
          <w:color w:val="000000"/>
          <w:sz w:val="21"/>
          <w:szCs w:val="21"/>
          <w:highlight w:val="none"/>
          <w:lang w:eastAsia="zh-CN"/>
        </w:rPr>
        <w:t>（https://ecaitong.sinotruk.com:8012/#/login）</w:t>
      </w:r>
      <w:r>
        <w:rPr>
          <w:rFonts w:hint="eastAsia" w:ascii="宋体" w:hAnsi="宋体" w:eastAsia="宋体" w:cs="宋体"/>
          <w:b/>
          <w:color w:val="000000"/>
          <w:sz w:val="21"/>
          <w:szCs w:val="21"/>
          <w:highlight w:val="none"/>
        </w:rPr>
        <w:t>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925B8AD">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7E63C2E8">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17C23BBD">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148C0E04">
      <w:pPr>
        <w:pStyle w:val="76"/>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cs="Times New Roman"/>
          <w:b/>
          <w:bCs w:val="0"/>
          <w:color w:val="FF0000"/>
          <w:highlight w:val="none"/>
        </w:rPr>
      </w:pPr>
      <w:r>
        <w:rPr>
          <w:rFonts w:hint="eastAsia" w:cs="Times New Roman"/>
          <w:b/>
          <w:bCs w:val="0"/>
          <w:color w:val="FF0000"/>
          <w:highlight w:val="none"/>
        </w:rPr>
        <w:t>注意：投标人均需要在重汽e采通进行自主投标和提交澄清函；投标和提交澄清函均有时间限制，超时未提交的按无效处理。</w:t>
      </w:r>
    </w:p>
    <w:p w14:paraId="6970A44F">
      <w:pPr>
        <w:pStyle w:val="73"/>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评分标准</w:t>
      </w:r>
    </w:p>
    <w:tbl>
      <w:tblPr>
        <w:tblStyle w:val="31"/>
        <w:tblpPr w:leftFromText="181" w:rightFromText="181" w:vertAnchor="text" w:horzAnchor="margin" w:tblpXSpec="center" w:tblpY="285"/>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695"/>
        <w:gridCol w:w="4820"/>
        <w:gridCol w:w="2097"/>
      </w:tblGrid>
      <w:tr w14:paraId="7379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135" w:type="dxa"/>
            <w:vAlign w:val="center"/>
          </w:tcPr>
          <w:p w14:paraId="661E1D07">
            <w:pPr>
              <w:pStyle w:val="15"/>
              <w:snapToGrid w:val="0"/>
              <w:jc w:val="center"/>
              <w:rPr>
                <w:rFonts w:hint="eastAsia" w:ascii="仿宋_GB2312" w:hAnsi="宋体" w:eastAsia="仿宋_GB2312"/>
                <w:b/>
                <w:sz w:val="24"/>
                <w:szCs w:val="24"/>
              </w:rPr>
            </w:pPr>
            <w:r>
              <w:rPr>
                <w:rFonts w:hint="eastAsia" w:ascii="仿宋_GB2312" w:hAnsi="宋体" w:eastAsia="仿宋_GB2312"/>
                <w:b/>
                <w:sz w:val="24"/>
                <w:szCs w:val="24"/>
              </w:rPr>
              <w:t>评审</w:t>
            </w:r>
          </w:p>
          <w:p w14:paraId="298534FD">
            <w:pPr>
              <w:pStyle w:val="15"/>
              <w:snapToGrid w:val="0"/>
              <w:jc w:val="center"/>
              <w:rPr>
                <w:rFonts w:hint="eastAsia" w:ascii="仿宋_GB2312" w:hAnsi="宋体" w:eastAsia="仿宋_GB2312"/>
                <w:b/>
                <w:sz w:val="24"/>
                <w:szCs w:val="24"/>
              </w:rPr>
            </w:pPr>
            <w:r>
              <w:rPr>
                <w:rFonts w:hint="eastAsia" w:ascii="仿宋_GB2312" w:hAnsi="宋体" w:eastAsia="仿宋_GB2312"/>
                <w:b/>
                <w:sz w:val="24"/>
                <w:szCs w:val="24"/>
              </w:rPr>
              <w:t>要素</w:t>
            </w:r>
          </w:p>
        </w:tc>
        <w:tc>
          <w:tcPr>
            <w:tcW w:w="1695" w:type="dxa"/>
            <w:vAlign w:val="center"/>
          </w:tcPr>
          <w:p w14:paraId="764EA2E0">
            <w:pPr>
              <w:pStyle w:val="15"/>
              <w:snapToGrid w:val="0"/>
              <w:jc w:val="center"/>
              <w:rPr>
                <w:rFonts w:hint="eastAsia" w:ascii="仿宋_GB2312" w:hAnsi="宋体" w:eastAsia="仿宋_GB2312"/>
                <w:b/>
                <w:sz w:val="24"/>
                <w:szCs w:val="24"/>
              </w:rPr>
            </w:pPr>
            <w:r>
              <w:rPr>
                <w:rFonts w:hint="eastAsia" w:ascii="仿宋_GB2312" w:hAnsi="宋体" w:eastAsia="仿宋_GB2312"/>
                <w:b/>
                <w:sz w:val="24"/>
                <w:szCs w:val="24"/>
              </w:rPr>
              <w:t>具体项目</w:t>
            </w:r>
          </w:p>
        </w:tc>
        <w:tc>
          <w:tcPr>
            <w:tcW w:w="4820" w:type="dxa"/>
            <w:vAlign w:val="center"/>
          </w:tcPr>
          <w:p w14:paraId="41CB6AD4">
            <w:pPr>
              <w:pStyle w:val="15"/>
              <w:snapToGrid w:val="0"/>
              <w:jc w:val="center"/>
              <w:rPr>
                <w:rFonts w:hint="eastAsia" w:ascii="仿宋_GB2312" w:hAnsi="宋体" w:eastAsia="仿宋_GB2312"/>
                <w:b/>
                <w:sz w:val="24"/>
                <w:szCs w:val="24"/>
              </w:rPr>
            </w:pPr>
            <w:r>
              <w:rPr>
                <w:rFonts w:hint="eastAsia" w:ascii="仿宋_GB2312" w:hAnsi="宋体" w:eastAsia="仿宋_GB2312"/>
                <w:b/>
                <w:sz w:val="24"/>
                <w:szCs w:val="24"/>
              </w:rPr>
              <w:t>评分依据</w:t>
            </w:r>
          </w:p>
        </w:tc>
        <w:tc>
          <w:tcPr>
            <w:tcW w:w="2097" w:type="dxa"/>
          </w:tcPr>
          <w:p w14:paraId="33CE1FCF">
            <w:pPr>
              <w:pStyle w:val="15"/>
              <w:snapToGrid w:val="0"/>
              <w:jc w:val="center"/>
              <w:rPr>
                <w:rFonts w:hint="eastAsia" w:ascii="仿宋_GB2312" w:hAnsi="宋体" w:eastAsia="仿宋_GB2312"/>
                <w:b/>
                <w:sz w:val="24"/>
                <w:szCs w:val="24"/>
              </w:rPr>
            </w:pPr>
            <w:r>
              <w:rPr>
                <w:rFonts w:hint="eastAsia" w:ascii="仿宋_GB2312" w:hAnsi="宋体" w:eastAsia="仿宋_GB2312"/>
                <w:b/>
                <w:sz w:val="24"/>
                <w:szCs w:val="24"/>
              </w:rPr>
              <w:t>技术满分</w:t>
            </w:r>
          </w:p>
          <w:p w14:paraId="05A7050B">
            <w:pPr>
              <w:pStyle w:val="15"/>
              <w:snapToGrid w:val="0"/>
              <w:jc w:val="center"/>
              <w:rPr>
                <w:rFonts w:hint="eastAsia" w:ascii="仿宋_GB2312" w:hAnsi="宋体" w:eastAsia="仿宋_GB2312"/>
                <w:b/>
                <w:sz w:val="24"/>
                <w:szCs w:val="24"/>
              </w:rPr>
            </w:pPr>
            <w:r>
              <w:rPr>
                <w:rFonts w:hint="eastAsia" w:ascii="仿宋_GB2312" w:hAnsi="宋体" w:eastAsia="仿宋_GB2312"/>
                <w:b/>
                <w:sz w:val="24"/>
                <w:szCs w:val="24"/>
              </w:rPr>
              <w:t>(100分)</w:t>
            </w:r>
          </w:p>
        </w:tc>
      </w:tr>
      <w:tr w14:paraId="72A4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vAlign w:val="center"/>
          </w:tcPr>
          <w:p w14:paraId="5DA3AEFA">
            <w:pPr>
              <w:pStyle w:val="15"/>
              <w:snapToGrid w:val="0"/>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技术</w:t>
            </w:r>
          </w:p>
        </w:tc>
        <w:tc>
          <w:tcPr>
            <w:tcW w:w="1695" w:type="dxa"/>
            <w:vAlign w:val="center"/>
          </w:tcPr>
          <w:p w14:paraId="6B7CA17B">
            <w:pPr>
              <w:pStyle w:val="15"/>
              <w:snapToGrid w:val="0"/>
              <w:jc w:val="center"/>
              <w:rPr>
                <w:rFonts w:hint="eastAsia" w:ascii="仿宋_GB2312" w:hAnsi="宋体" w:eastAsia="仿宋_GB2312"/>
                <w:sz w:val="24"/>
                <w:szCs w:val="24"/>
              </w:rPr>
            </w:pPr>
            <w:r>
              <w:rPr>
                <w:rFonts w:hint="eastAsia" w:ascii="仿宋_GB2312" w:hAnsi="宋体" w:eastAsia="仿宋_GB2312"/>
                <w:sz w:val="24"/>
                <w:szCs w:val="24"/>
              </w:rPr>
              <w:t>处置规范性评价</w:t>
            </w:r>
          </w:p>
          <w:p w14:paraId="274BE4C5">
            <w:pPr>
              <w:pStyle w:val="15"/>
              <w:snapToGrid w:val="0"/>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25</w:t>
            </w:r>
            <w:r>
              <w:rPr>
                <w:rFonts w:hint="eastAsia" w:ascii="仿宋_GB2312" w:hAnsi="宋体" w:eastAsia="仿宋_GB2312"/>
                <w:sz w:val="24"/>
                <w:szCs w:val="24"/>
              </w:rPr>
              <w:t>分）</w:t>
            </w:r>
          </w:p>
        </w:tc>
        <w:tc>
          <w:tcPr>
            <w:tcW w:w="4820" w:type="dxa"/>
          </w:tcPr>
          <w:p w14:paraId="5F3315D4">
            <w:pPr>
              <w:pStyle w:val="15"/>
              <w:snapToGrid w:val="0"/>
              <w:rPr>
                <w:rFonts w:hint="eastAsia" w:ascii="仿宋_GB2312" w:eastAsia="仿宋_GB2312"/>
                <w:b w:val="0"/>
                <w:bCs/>
                <w:sz w:val="24"/>
                <w:szCs w:val="24"/>
                <w:lang w:val="en-US" w:eastAsia="zh-CN"/>
              </w:rPr>
            </w:pPr>
            <w:r>
              <w:rPr>
                <w:rFonts w:hint="eastAsia" w:ascii="仿宋_GB2312" w:eastAsia="仿宋_GB2312"/>
                <w:b w:val="0"/>
                <w:bCs/>
                <w:sz w:val="24"/>
                <w:szCs w:val="24"/>
                <w:lang w:val="en-US" w:eastAsia="zh-CN"/>
              </w:rPr>
              <w:t>1.</w:t>
            </w:r>
            <w:r>
              <w:rPr>
                <w:rFonts w:hint="eastAsia" w:ascii="仿宋_GB2312" w:hAnsi="宋体" w:eastAsia="仿宋_GB2312"/>
                <w:b w:val="0"/>
                <w:bCs/>
                <w:sz w:val="24"/>
                <w:szCs w:val="24"/>
              </w:rPr>
              <w:t>近三年以来</w:t>
            </w:r>
            <w:r>
              <w:rPr>
                <w:rFonts w:hint="eastAsia" w:ascii="仿宋_GB2312" w:hAnsi="宋体" w:eastAsia="仿宋_GB2312"/>
                <w:b w:val="0"/>
                <w:bCs/>
                <w:sz w:val="24"/>
                <w:szCs w:val="24"/>
                <w:lang w:val="en-US" w:eastAsia="zh-CN"/>
              </w:rPr>
              <w:t>具体</w:t>
            </w:r>
            <w:r>
              <w:rPr>
                <w:rFonts w:hint="eastAsia" w:ascii="仿宋_GB2312" w:hAnsi="宋体" w:eastAsia="仿宋_GB2312"/>
                <w:b w:val="0"/>
                <w:bCs/>
                <w:sz w:val="24"/>
                <w:szCs w:val="24"/>
              </w:rPr>
              <w:t>同类项目处置</w:t>
            </w:r>
            <w:r>
              <w:rPr>
                <w:rFonts w:hint="eastAsia" w:ascii="仿宋_GB2312" w:hAnsi="宋体" w:eastAsia="仿宋_GB2312"/>
                <w:b w:val="0"/>
                <w:bCs/>
                <w:sz w:val="24"/>
                <w:szCs w:val="24"/>
                <w:lang w:val="en-US" w:eastAsia="zh-CN"/>
              </w:rPr>
              <w:t>履历。</w:t>
            </w:r>
          </w:p>
          <w:p w14:paraId="3ED30D7E">
            <w:pPr>
              <w:pStyle w:val="15"/>
              <w:snapToGrid w:val="0"/>
              <w:rPr>
                <w:rFonts w:hint="eastAsia" w:ascii="仿宋_GB2312" w:hAnsi="宋体" w:eastAsia="仿宋_GB2312"/>
                <w:b w:val="0"/>
                <w:bCs/>
                <w:sz w:val="24"/>
                <w:szCs w:val="24"/>
                <w:highlight w:val="none"/>
                <w:lang w:eastAsia="zh-CN"/>
              </w:rPr>
            </w:pPr>
            <w:r>
              <w:rPr>
                <w:rFonts w:hint="eastAsia" w:ascii="仿宋_GB2312" w:eastAsia="仿宋_GB2312"/>
                <w:b w:val="0"/>
                <w:bCs/>
                <w:sz w:val="24"/>
                <w:szCs w:val="24"/>
                <w:highlight w:val="none"/>
                <w:lang w:val="en-US" w:eastAsia="zh-CN"/>
              </w:rPr>
              <w:t>2.具有正式</w:t>
            </w:r>
            <w:r>
              <w:rPr>
                <w:rFonts w:hint="eastAsia" w:ascii="仿宋_GB2312" w:eastAsia="仿宋_GB2312"/>
                <w:b w:val="0"/>
                <w:bCs/>
                <w:sz w:val="24"/>
                <w:szCs w:val="24"/>
                <w:highlight w:val="none"/>
              </w:rPr>
              <w:t>危险废物</w:t>
            </w:r>
            <w:r>
              <w:rPr>
                <w:rFonts w:hint="eastAsia" w:ascii="仿宋_GB2312" w:eastAsia="仿宋_GB2312"/>
                <w:b w:val="0"/>
                <w:bCs/>
                <w:sz w:val="24"/>
                <w:szCs w:val="24"/>
                <w:highlight w:val="none"/>
                <w:lang w:val="en-US" w:eastAsia="zh-CN"/>
              </w:rPr>
              <w:t>经营</w:t>
            </w:r>
            <w:r>
              <w:rPr>
                <w:rFonts w:hint="eastAsia" w:ascii="仿宋_GB2312" w:eastAsia="仿宋_GB2312"/>
                <w:b w:val="0"/>
                <w:bCs/>
                <w:sz w:val="24"/>
                <w:szCs w:val="24"/>
                <w:highlight w:val="none"/>
              </w:rPr>
              <w:t>许可证</w:t>
            </w:r>
            <w:r>
              <w:rPr>
                <w:rFonts w:hint="eastAsia" w:ascii="仿宋_GB2312" w:eastAsia="仿宋_GB2312"/>
                <w:b w:val="0"/>
                <w:bCs/>
                <w:sz w:val="24"/>
                <w:szCs w:val="24"/>
                <w:highlight w:val="none"/>
                <w:lang w:eastAsia="zh-CN"/>
              </w:rPr>
              <w:t>，</w:t>
            </w:r>
            <w:r>
              <w:rPr>
                <w:rFonts w:hint="eastAsia" w:ascii="仿宋_GB2312" w:eastAsia="仿宋_GB2312"/>
                <w:b w:val="0"/>
                <w:bCs/>
                <w:sz w:val="24"/>
                <w:szCs w:val="24"/>
                <w:highlight w:val="none"/>
                <w:lang w:val="en-US" w:eastAsia="zh-CN"/>
              </w:rPr>
              <w:t>或具有</w:t>
            </w:r>
            <w:r>
              <w:rPr>
                <w:rFonts w:hint="eastAsia" w:ascii="仿宋_GB2312" w:eastAsia="仿宋_GB2312"/>
                <w:b w:val="0"/>
                <w:bCs/>
                <w:sz w:val="24"/>
                <w:szCs w:val="24"/>
                <w:highlight w:val="none"/>
              </w:rPr>
              <w:t>批复函、临时危险废物经营许可证</w:t>
            </w:r>
            <w:r>
              <w:rPr>
                <w:rFonts w:hint="eastAsia" w:ascii="仿宋_GB2312" w:eastAsia="仿宋_GB2312"/>
                <w:b w:val="0"/>
                <w:bCs/>
                <w:sz w:val="24"/>
                <w:szCs w:val="24"/>
                <w:highlight w:val="none"/>
                <w:lang w:eastAsia="zh-CN"/>
              </w:rPr>
              <w:t>。</w:t>
            </w:r>
          </w:p>
          <w:p w14:paraId="4182E886">
            <w:pPr>
              <w:pStyle w:val="15"/>
              <w:snapToGrid w:val="0"/>
              <w:rPr>
                <w:rFonts w:hint="eastAsia" w:ascii="仿宋_GB2312" w:hAnsi="宋体" w:eastAsia="仿宋_GB2312"/>
                <w:b w:val="0"/>
                <w:bCs/>
                <w:sz w:val="24"/>
                <w:szCs w:val="24"/>
                <w:lang w:val="en-US" w:eastAsia="zh-CN"/>
              </w:rPr>
            </w:pPr>
            <w:r>
              <w:rPr>
                <w:rFonts w:hint="eastAsia" w:ascii="仿宋_GB2312" w:hAnsi="宋体" w:eastAsia="仿宋_GB2312"/>
                <w:b w:val="0"/>
                <w:bCs/>
                <w:sz w:val="24"/>
                <w:szCs w:val="24"/>
                <w:lang w:val="en-US" w:eastAsia="zh-CN"/>
              </w:rPr>
              <w:t>3.</w:t>
            </w:r>
            <w:r>
              <w:rPr>
                <w:rFonts w:hint="eastAsia" w:ascii="仿宋_GB2312" w:hAnsi="宋体" w:eastAsia="仿宋_GB2312"/>
                <w:b w:val="0"/>
                <w:bCs/>
                <w:sz w:val="24"/>
                <w:szCs w:val="24"/>
              </w:rPr>
              <w:t>具备</w:t>
            </w:r>
            <w:r>
              <w:rPr>
                <w:rFonts w:hint="eastAsia" w:ascii="仿宋_GB2312" w:hAnsi="宋体" w:eastAsia="仿宋_GB2312"/>
                <w:b w:val="0"/>
                <w:bCs/>
                <w:sz w:val="24"/>
                <w:szCs w:val="24"/>
                <w:lang w:val="en-US" w:eastAsia="zh-CN"/>
              </w:rPr>
              <w:t>HW08类（900-200-08）合规处置资质。</w:t>
            </w:r>
          </w:p>
          <w:p w14:paraId="1937360C">
            <w:pPr>
              <w:pStyle w:val="15"/>
              <w:snapToGrid w:val="0"/>
              <w:rPr>
                <w:rFonts w:hint="eastAsia" w:ascii="仿宋_GB2312" w:hAnsi="宋体" w:eastAsia="仿宋_GB2312"/>
                <w:b w:val="0"/>
                <w:bCs/>
                <w:sz w:val="24"/>
                <w:szCs w:val="24"/>
              </w:rPr>
            </w:pPr>
            <w:r>
              <w:rPr>
                <w:rFonts w:hint="eastAsia" w:ascii="仿宋_GB2312" w:hAnsi="宋体" w:eastAsia="仿宋_GB2312"/>
                <w:b w:val="0"/>
                <w:bCs/>
                <w:sz w:val="24"/>
                <w:szCs w:val="24"/>
                <w:lang w:val="en-US" w:eastAsia="zh-CN"/>
              </w:rPr>
              <w:t>4.</w:t>
            </w:r>
            <w:r>
              <w:rPr>
                <w:rFonts w:hint="eastAsia" w:ascii="仿宋_GB2312" w:hAnsi="宋体" w:eastAsia="仿宋_GB2312"/>
                <w:b w:val="0"/>
                <w:bCs/>
                <w:sz w:val="24"/>
                <w:szCs w:val="24"/>
              </w:rPr>
              <w:t>企业规模（注册资金，技术人员等）</w:t>
            </w:r>
          </w:p>
          <w:p w14:paraId="3B27E17E">
            <w:pPr>
              <w:pStyle w:val="15"/>
              <w:snapToGrid w:val="0"/>
              <w:rPr>
                <w:rFonts w:hint="default" w:ascii="仿宋_GB2312" w:hAnsi="宋体" w:eastAsia="仿宋_GB2312"/>
                <w:b w:val="0"/>
                <w:bCs/>
                <w:sz w:val="24"/>
                <w:szCs w:val="24"/>
                <w:lang w:val="en-US" w:eastAsia="zh-CN"/>
              </w:rPr>
            </w:pPr>
            <w:r>
              <w:rPr>
                <w:rFonts w:hint="eastAsia" w:ascii="仿宋_GB2312" w:hAnsi="宋体" w:eastAsia="仿宋_GB2312"/>
                <w:b w:val="0"/>
                <w:bCs/>
                <w:sz w:val="24"/>
                <w:szCs w:val="24"/>
                <w:lang w:val="en-US" w:eastAsia="zh-CN"/>
              </w:rPr>
              <w:t>此项满分25分。</w:t>
            </w:r>
          </w:p>
        </w:tc>
        <w:tc>
          <w:tcPr>
            <w:tcW w:w="2097" w:type="dxa"/>
            <w:vAlign w:val="center"/>
          </w:tcPr>
          <w:p w14:paraId="762132BD">
            <w:pPr>
              <w:pStyle w:val="15"/>
              <w:snapToGrid w:val="0"/>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25</w:t>
            </w:r>
          </w:p>
        </w:tc>
      </w:tr>
      <w:tr w14:paraId="309E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vAlign w:val="center"/>
          </w:tcPr>
          <w:p w14:paraId="29FC9BA8">
            <w:pPr>
              <w:pStyle w:val="15"/>
              <w:snapToGrid w:val="0"/>
              <w:jc w:val="center"/>
              <w:rPr>
                <w:rFonts w:hint="eastAsia" w:ascii="仿宋_GB2312" w:hAnsi="宋体" w:eastAsia="仿宋_GB2312"/>
                <w:sz w:val="24"/>
                <w:szCs w:val="24"/>
              </w:rPr>
            </w:pPr>
          </w:p>
        </w:tc>
        <w:tc>
          <w:tcPr>
            <w:tcW w:w="1695" w:type="dxa"/>
            <w:vAlign w:val="center"/>
          </w:tcPr>
          <w:p w14:paraId="5AEC3773">
            <w:pPr>
              <w:pStyle w:val="15"/>
              <w:snapToGrid w:val="0"/>
              <w:jc w:val="center"/>
              <w:rPr>
                <w:rFonts w:ascii="仿宋_GB2312" w:eastAsia="仿宋_GB2312"/>
                <w:sz w:val="24"/>
                <w:szCs w:val="24"/>
              </w:rPr>
            </w:pPr>
            <w:r>
              <w:rPr>
                <w:rFonts w:hint="eastAsia" w:ascii="仿宋_GB2312" w:eastAsia="仿宋_GB2312"/>
                <w:sz w:val="24"/>
                <w:szCs w:val="24"/>
              </w:rPr>
              <w:t>转移及时性</w:t>
            </w:r>
          </w:p>
          <w:p w14:paraId="33181231">
            <w:pPr>
              <w:pStyle w:val="15"/>
              <w:snapToGrid w:val="0"/>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50</w:t>
            </w:r>
            <w:r>
              <w:rPr>
                <w:rFonts w:hint="eastAsia" w:ascii="仿宋_GB2312" w:hAnsi="宋体" w:eastAsia="仿宋_GB2312"/>
                <w:sz w:val="24"/>
                <w:szCs w:val="24"/>
              </w:rPr>
              <w:t>分）</w:t>
            </w:r>
          </w:p>
        </w:tc>
        <w:tc>
          <w:tcPr>
            <w:tcW w:w="4820" w:type="dxa"/>
          </w:tcPr>
          <w:p w14:paraId="575575A5">
            <w:pPr>
              <w:pStyle w:val="15"/>
              <w:numPr>
                <w:ilvl w:val="0"/>
                <w:numId w:val="23"/>
              </w:numPr>
              <w:snapToGrid w:val="0"/>
              <w:rPr>
                <w:rFonts w:hint="eastAsia" w:ascii="仿宋_GB2312" w:hAnsi="宋体" w:eastAsia="仿宋_GB2312"/>
                <w:sz w:val="24"/>
                <w:szCs w:val="24"/>
                <w:lang w:eastAsia="zh-CN"/>
              </w:rPr>
            </w:pPr>
            <w:r>
              <w:rPr>
                <w:rFonts w:hint="eastAsia" w:ascii="仿宋_GB2312" w:hAnsi="宋体" w:eastAsia="仿宋_GB2312"/>
                <w:sz w:val="24"/>
                <w:szCs w:val="24"/>
                <w:lang w:val="en-US" w:eastAsia="zh-CN"/>
              </w:rPr>
              <w:t>完全</w:t>
            </w:r>
            <w:r>
              <w:rPr>
                <w:rFonts w:hint="eastAsia" w:ascii="仿宋_GB2312" w:hAnsi="宋体" w:eastAsia="仿宋_GB2312"/>
                <w:sz w:val="24"/>
                <w:szCs w:val="24"/>
              </w:rPr>
              <w:t>满足招标文件要求</w:t>
            </w:r>
            <w:r>
              <w:rPr>
                <w:rFonts w:hint="eastAsia" w:ascii="仿宋_GB2312" w:hAnsi="宋体" w:eastAsia="仿宋_GB2312"/>
                <w:sz w:val="24"/>
                <w:szCs w:val="24"/>
                <w:lang w:eastAsia="zh-CN"/>
              </w:rPr>
              <w:t>。</w:t>
            </w:r>
          </w:p>
          <w:p w14:paraId="692BE612">
            <w:pPr>
              <w:pStyle w:val="15"/>
              <w:numPr>
                <w:ilvl w:val="0"/>
                <w:numId w:val="0"/>
              </w:numPr>
              <w:snapToGrid w:val="0"/>
              <w:rPr>
                <w:rFonts w:hint="eastAsia" w:ascii="仿宋_GB2312" w:hAnsi="宋体" w:eastAsia="仿宋_GB2312"/>
                <w:sz w:val="24"/>
                <w:szCs w:val="24"/>
              </w:rPr>
            </w:pPr>
            <w:r>
              <w:rPr>
                <w:rFonts w:hint="eastAsia" w:ascii="仿宋_GB2312" w:eastAsia="仿宋_GB2312"/>
                <w:sz w:val="24"/>
                <w:szCs w:val="24"/>
                <w:lang w:val="en-US" w:eastAsia="zh-CN"/>
              </w:rPr>
              <w:t>2.</w:t>
            </w:r>
            <w:r>
              <w:rPr>
                <w:rFonts w:hint="eastAsia" w:ascii="仿宋_GB2312" w:eastAsia="仿宋_GB2312"/>
                <w:sz w:val="24"/>
                <w:szCs w:val="24"/>
              </w:rPr>
              <w:t>产生单位电话或书面通知处置单位后</w:t>
            </w:r>
            <w:r>
              <w:rPr>
                <w:rFonts w:hint="eastAsia" w:ascii="仿宋_GB2312" w:eastAsia="仿宋_GB2312"/>
                <w:sz w:val="24"/>
                <w:szCs w:val="24"/>
                <w:lang w:val="en-US" w:eastAsia="zh-CN"/>
              </w:rPr>
              <w:t>3</w:t>
            </w:r>
            <w:r>
              <w:rPr>
                <w:rFonts w:hint="eastAsia" w:ascii="仿宋_GB2312" w:eastAsia="仿宋_GB2312"/>
                <w:sz w:val="24"/>
                <w:szCs w:val="24"/>
              </w:rPr>
              <w:t>日内予以转移处置</w:t>
            </w:r>
            <w:r>
              <w:rPr>
                <w:rFonts w:hint="eastAsia" w:ascii="仿宋_GB2312" w:eastAsia="仿宋_GB2312"/>
                <w:sz w:val="24"/>
                <w:szCs w:val="24"/>
                <w:lang w:eastAsia="zh-CN"/>
              </w:rPr>
              <w:t>。</w:t>
            </w:r>
          </w:p>
          <w:p w14:paraId="3FA6EEA2">
            <w:pPr>
              <w:pStyle w:val="15"/>
              <w:numPr>
                <w:ilvl w:val="0"/>
                <w:numId w:val="0"/>
              </w:numPr>
              <w:snapToGrid w:val="0"/>
              <w:rPr>
                <w:rFonts w:hint="eastAsia" w:ascii="仿宋_GB2312" w:hAnsi="宋体" w:eastAsia="仿宋_GB2312"/>
                <w:sz w:val="24"/>
                <w:szCs w:val="24"/>
              </w:rPr>
            </w:pPr>
            <w:r>
              <w:rPr>
                <w:rFonts w:hint="eastAsia" w:ascii="仿宋_GB2312" w:hAnsi="宋体" w:eastAsia="仿宋_GB2312"/>
                <w:sz w:val="24"/>
                <w:szCs w:val="24"/>
                <w:lang w:val="en-US" w:eastAsia="zh-CN"/>
              </w:rPr>
              <w:t>3.</w:t>
            </w:r>
            <w:r>
              <w:rPr>
                <w:rFonts w:hint="eastAsia" w:ascii="仿宋_GB2312" w:hAnsi="宋体" w:eastAsia="仿宋_GB2312"/>
                <w:sz w:val="24"/>
                <w:szCs w:val="24"/>
              </w:rPr>
              <w:t>遇紧急情况能及时安排车辆</w:t>
            </w:r>
            <w:r>
              <w:rPr>
                <w:rFonts w:hint="eastAsia" w:ascii="仿宋_GB2312" w:hAnsi="宋体" w:eastAsia="仿宋_GB2312"/>
                <w:sz w:val="24"/>
                <w:szCs w:val="24"/>
                <w:lang w:val="en-US" w:eastAsia="zh-CN"/>
              </w:rPr>
              <w:t>3</w:t>
            </w:r>
            <w:r>
              <w:rPr>
                <w:rFonts w:hint="eastAsia" w:ascii="仿宋_GB2312" w:hAnsi="宋体" w:eastAsia="仿宋_GB2312"/>
                <w:sz w:val="24"/>
                <w:szCs w:val="24"/>
              </w:rPr>
              <w:t>小时到达，</w:t>
            </w:r>
          </w:p>
          <w:p w14:paraId="021D92F3">
            <w:pPr>
              <w:pStyle w:val="15"/>
              <w:snapToGrid w:val="0"/>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此项满分50分。</w:t>
            </w:r>
          </w:p>
        </w:tc>
        <w:tc>
          <w:tcPr>
            <w:tcW w:w="2097" w:type="dxa"/>
            <w:vAlign w:val="center"/>
          </w:tcPr>
          <w:p w14:paraId="439B1C70">
            <w:pPr>
              <w:pStyle w:val="15"/>
              <w:snapToGrid w:val="0"/>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50</w:t>
            </w:r>
          </w:p>
        </w:tc>
      </w:tr>
      <w:tr w14:paraId="5A76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135" w:type="dxa"/>
            <w:vMerge w:val="continue"/>
            <w:vAlign w:val="center"/>
          </w:tcPr>
          <w:p w14:paraId="5976E1EC">
            <w:pPr>
              <w:pStyle w:val="15"/>
              <w:snapToGrid w:val="0"/>
              <w:jc w:val="center"/>
              <w:rPr>
                <w:rFonts w:hint="eastAsia" w:ascii="仿宋_GB2312" w:hAnsi="宋体" w:eastAsia="仿宋_GB2312"/>
                <w:sz w:val="24"/>
                <w:szCs w:val="24"/>
              </w:rPr>
            </w:pPr>
          </w:p>
        </w:tc>
        <w:tc>
          <w:tcPr>
            <w:tcW w:w="1695" w:type="dxa"/>
            <w:vAlign w:val="center"/>
          </w:tcPr>
          <w:p w14:paraId="40C5F40D">
            <w:pPr>
              <w:pStyle w:val="15"/>
              <w:snapToGrid w:val="0"/>
              <w:jc w:val="center"/>
              <w:rPr>
                <w:rFonts w:hint="eastAsia" w:ascii="仿宋_GB2312" w:hAnsi="宋体" w:eastAsia="仿宋_GB2312"/>
                <w:sz w:val="24"/>
                <w:szCs w:val="24"/>
              </w:rPr>
            </w:pPr>
            <w:r>
              <w:rPr>
                <w:rFonts w:hint="eastAsia" w:ascii="仿宋_GB2312" w:hAnsi="宋体" w:eastAsia="仿宋_GB2312"/>
                <w:sz w:val="24"/>
                <w:szCs w:val="24"/>
              </w:rPr>
              <w:t>服务措施</w:t>
            </w:r>
          </w:p>
          <w:p w14:paraId="05305DFC">
            <w:pPr>
              <w:pStyle w:val="15"/>
              <w:snapToGrid w:val="0"/>
              <w:jc w:val="center"/>
              <w:rPr>
                <w:rFonts w:hint="eastAsia" w:ascii="仿宋_GB2312" w:hAnsi="宋体" w:eastAsia="仿宋_GB2312"/>
                <w:sz w:val="24"/>
                <w:szCs w:val="24"/>
              </w:rPr>
            </w:pPr>
            <w:r>
              <w:rPr>
                <w:rFonts w:hint="eastAsia" w:ascii="仿宋_GB2312" w:hAnsi="宋体" w:eastAsia="仿宋_GB2312"/>
                <w:sz w:val="24"/>
                <w:szCs w:val="24"/>
              </w:rPr>
              <w:t>（25分）</w:t>
            </w:r>
          </w:p>
        </w:tc>
        <w:tc>
          <w:tcPr>
            <w:tcW w:w="4820" w:type="dxa"/>
          </w:tcPr>
          <w:p w14:paraId="204E8461">
            <w:pPr>
              <w:pStyle w:val="15"/>
              <w:snapToGrid w:val="0"/>
              <w:rPr>
                <w:rFonts w:hint="eastAsia" w:ascii="仿宋_GB2312" w:hAnsi="宋体" w:eastAsia="仿宋_GB2312"/>
                <w:color w:val="000000" w:themeColor="text1"/>
                <w:sz w:val="24"/>
                <w:szCs w:val="24"/>
                <w:lang w:eastAsia="zh-CN"/>
                <w14:textFill>
                  <w14:solidFill>
                    <w14:schemeClr w14:val="tx1"/>
                  </w14:solidFill>
                </w14:textFill>
              </w:rPr>
            </w:pPr>
            <w:r>
              <w:rPr>
                <w:rFonts w:hint="eastAsia" w:ascii="仿宋_GB2312" w:hAnsi="宋体" w:eastAsia="仿宋_GB2312"/>
                <w:sz w:val="24"/>
                <w:szCs w:val="24"/>
                <w:lang w:val="en-US" w:eastAsia="zh-CN"/>
              </w:rPr>
              <w:t>1.</w:t>
            </w:r>
            <w:r>
              <w:rPr>
                <w:rFonts w:hint="eastAsia" w:ascii="仿宋_GB2312" w:hAnsi="宋体" w:eastAsia="仿宋_GB2312"/>
                <w:sz w:val="24"/>
                <w:szCs w:val="24"/>
              </w:rPr>
              <w:t>有过既往合</w:t>
            </w:r>
            <w:r>
              <w:rPr>
                <w:rFonts w:hint="eastAsia" w:ascii="仿宋_GB2312" w:hAnsi="宋体" w:eastAsia="仿宋_GB2312"/>
                <w:color w:val="000000" w:themeColor="text1"/>
                <w:sz w:val="24"/>
                <w:szCs w:val="24"/>
                <w14:textFill>
                  <w14:solidFill>
                    <w14:schemeClr w14:val="tx1"/>
                  </w14:solidFill>
                </w14:textFill>
              </w:rPr>
              <w:t>作历史、服务过程中无相关投诉的</w:t>
            </w:r>
            <w:r>
              <w:rPr>
                <w:rFonts w:hint="eastAsia" w:ascii="仿宋_GB2312" w:hAnsi="宋体" w:eastAsia="仿宋_GB2312"/>
                <w:color w:val="000000" w:themeColor="text1"/>
                <w:sz w:val="24"/>
                <w:szCs w:val="24"/>
                <w:lang w:eastAsia="zh-CN"/>
                <w14:textFill>
                  <w14:solidFill>
                    <w14:schemeClr w14:val="tx1"/>
                  </w14:solidFill>
                </w14:textFill>
              </w:rPr>
              <w:t>。</w:t>
            </w:r>
          </w:p>
          <w:p w14:paraId="2CAD1985">
            <w:pPr>
              <w:pStyle w:val="15"/>
              <w:snapToGrid w:val="0"/>
              <w:rPr>
                <w:rFonts w:hint="eastAsia" w:ascii="仿宋_GB2312" w:hAnsi="宋体" w:eastAsia="仿宋_GB2312"/>
                <w:color w:val="000000" w:themeColor="text1"/>
                <w:sz w:val="24"/>
                <w:szCs w:val="24"/>
                <w:lang w:eastAsia="zh-CN"/>
                <w14:textFill>
                  <w14:solidFill>
                    <w14:schemeClr w14:val="tx1"/>
                  </w14:solidFill>
                </w14:textFill>
              </w:rPr>
            </w:pPr>
            <w:r>
              <w:rPr>
                <w:rFonts w:hint="eastAsia" w:ascii="仿宋_GB2312" w:hAnsi="宋体" w:eastAsia="仿宋_GB2312"/>
                <w:color w:val="000000" w:themeColor="text1"/>
                <w:sz w:val="24"/>
                <w:szCs w:val="24"/>
                <w:lang w:val="en-US" w:eastAsia="zh-CN"/>
                <w14:textFill>
                  <w14:solidFill>
                    <w14:schemeClr w14:val="tx1"/>
                  </w14:solidFill>
                </w14:textFill>
              </w:rPr>
              <w:t>2.</w:t>
            </w:r>
            <w:r>
              <w:rPr>
                <w:rFonts w:hint="eastAsia" w:ascii="仿宋_GB2312" w:hAnsi="宋体" w:eastAsia="仿宋_GB2312"/>
                <w:color w:val="000000" w:themeColor="text1"/>
                <w:sz w:val="24"/>
                <w:szCs w:val="24"/>
                <w14:textFill>
                  <w14:solidFill>
                    <w14:schemeClr w14:val="tx1"/>
                  </w14:solidFill>
                </w14:textFill>
              </w:rPr>
              <w:t>无既往合作历史但能够提供</w:t>
            </w:r>
            <w:r>
              <w:rPr>
                <w:rFonts w:hint="eastAsia" w:ascii="仿宋_GB2312" w:hAnsi="宋体" w:eastAsia="仿宋_GB2312"/>
                <w:color w:val="000000" w:themeColor="text1"/>
                <w:sz w:val="24"/>
                <w:szCs w:val="24"/>
                <w:lang w:val="en-US" w:eastAsia="zh-CN"/>
                <w14:textFill>
                  <w14:solidFill>
                    <w14:schemeClr w14:val="tx1"/>
                  </w14:solidFill>
                </w14:textFill>
              </w:rPr>
              <w:t>额外相关</w:t>
            </w:r>
            <w:r>
              <w:rPr>
                <w:rFonts w:hint="eastAsia" w:ascii="仿宋_GB2312" w:hAnsi="宋体" w:eastAsia="仿宋_GB2312"/>
                <w:color w:val="000000" w:themeColor="text1"/>
                <w:sz w:val="24"/>
                <w:szCs w:val="24"/>
                <w14:textFill>
                  <w14:solidFill>
                    <w14:schemeClr w14:val="tx1"/>
                  </w14:solidFill>
                </w14:textFill>
              </w:rPr>
              <w:t>服务的：</w:t>
            </w:r>
            <w:r>
              <w:rPr>
                <w:rFonts w:hint="eastAsia" w:ascii="仿宋_GB2312" w:hAnsi="宋体" w:eastAsia="仿宋_GB2312"/>
                <w:color w:val="000000" w:themeColor="text1"/>
                <w:sz w:val="24"/>
                <w:szCs w:val="24"/>
                <w:lang w:val="en-US" w:eastAsia="zh-CN"/>
                <w14:textFill>
                  <w14:solidFill>
                    <w14:schemeClr w14:val="tx1"/>
                  </w14:solidFill>
                </w14:textFill>
              </w:rPr>
              <w:t>如</w:t>
            </w:r>
            <w:r>
              <w:rPr>
                <w:rFonts w:hint="eastAsia" w:ascii="仿宋_GB2312" w:hAnsi="宋体" w:eastAsia="仿宋_GB2312"/>
                <w:color w:val="000000" w:themeColor="text1"/>
                <w:sz w:val="24"/>
                <w:szCs w:val="24"/>
                <w14:textFill>
                  <w14:solidFill>
                    <w14:schemeClr w14:val="tx1"/>
                  </w14:solidFill>
                </w14:textFill>
              </w:rPr>
              <w:t>危险货物自主装卸等</w:t>
            </w:r>
            <w:r>
              <w:rPr>
                <w:rFonts w:hint="eastAsia" w:ascii="仿宋_GB2312" w:hAnsi="宋体" w:eastAsia="仿宋_GB2312"/>
                <w:color w:val="000000" w:themeColor="text1"/>
                <w:sz w:val="24"/>
                <w:szCs w:val="24"/>
                <w:lang w:eastAsia="zh-CN"/>
                <w14:textFill>
                  <w14:solidFill>
                    <w14:schemeClr w14:val="tx1"/>
                  </w14:solidFill>
                </w14:textFill>
              </w:rPr>
              <w:t>。</w:t>
            </w:r>
          </w:p>
          <w:p w14:paraId="0EC70E4D">
            <w:pPr>
              <w:pStyle w:val="15"/>
              <w:snapToGrid w:val="0"/>
              <w:rPr>
                <w:rFonts w:hint="default" w:ascii="仿宋_GB2312" w:hAnsi="宋体" w:eastAsia="仿宋_GB2312"/>
                <w:color w:val="000000" w:themeColor="text1"/>
                <w:sz w:val="24"/>
                <w:szCs w:val="24"/>
                <w:lang w:val="en-US" w:eastAsia="zh-CN"/>
                <w14:textFill>
                  <w14:solidFill>
                    <w14:schemeClr w14:val="tx1"/>
                  </w14:solidFill>
                </w14:textFill>
              </w:rPr>
            </w:pPr>
            <w:r>
              <w:rPr>
                <w:rFonts w:hint="eastAsia" w:ascii="仿宋_GB2312" w:hAnsi="宋体" w:eastAsia="仿宋_GB2312"/>
                <w:color w:val="000000" w:themeColor="text1"/>
                <w:sz w:val="24"/>
                <w:szCs w:val="24"/>
                <w:lang w:val="en-US" w:eastAsia="zh-CN"/>
                <w14:textFill>
                  <w14:solidFill>
                    <w14:schemeClr w14:val="tx1"/>
                  </w14:solidFill>
                </w14:textFill>
              </w:rPr>
              <w:t>3.根据实际产量，具备超出预估产废量处置能力的。</w:t>
            </w:r>
          </w:p>
          <w:p w14:paraId="316F90D4">
            <w:pPr>
              <w:pStyle w:val="15"/>
              <w:snapToGrid w:val="0"/>
              <w:rPr>
                <w:rFonts w:hint="default" w:ascii="仿宋_GB2312" w:hAnsi="宋体" w:eastAsia="仿宋_GB2312"/>
                <w:color w:val="000000" w:themeColor="text1"/>
                <w:sz w:val="24"/>
                <w:szCs w:val="24"/>
                <w:lang w:val="en-US" w:eastAsia="zh-CN"/>
                <w14:textFill>
                  <w14:solidFill>
                    <w14:schemeClr w14:val="tx1"/>
                  </w14:solidFill>
                </w14:textFill>
              </w:rPr>
            </w:pPr>
            <w:r>
              <w:rPr>
                <w:rFonts w:hint="eastAsia" w:ascii="仿宋_GB2312" w:hAnsi="宋体" w:eastAsia="仿宋_GB2312"/>
                <w:color w:val="000000" w:themeColor="text1"/>
                <w:sz w:val="24"/>
                <w:szCs w:val="24"/>
                <w:lang w:val="en-US" w:eastAsia="zh-CN"/>
                <w14:textFill>
                  <w14:solidFill>
                    <w14:schemeClr w14:val="tx1"/>
                  </w14:solidFill>
                </w14:textFill>
              </w:rPr>
              <w:t>此项满分25分。</w:t>
            </w:r>
          </w:p>
        </w:tc>
        <w:tc>
          <w:tcPr>
            <w:tcW w:w="2097" w:type="dxa"/>
            <w:vAlign w:val="center"/>
          </w:tcPr>
          <w:p w14:paraId="07B8E002">
            <w:pPr>
              <w:pStyle w:val="18"/>
              <w:snapToGrid w:val="0"/>
              <w:jc w:val="center"/>
              <w:rPr>
                <w:rFonts w:hint="eastAsia" w:ascii="仿宋_GB2312" w:hAnsi="宋体" w:eastAsia="仿宋_GB2312"/>
                <w:sz w:val="24"/>
                <w:szCs w:val="24"/>
              </w:rPr>
            </w:pPr>
            <w:r>
              <w:rPr>
                <w:rFonts w:hint="eastAsia" w:ascii="仿宋_GB2312" w:hAnsi="宋体" w:eastAsia="仿宋_GB2312"/>
                <w:sz w:val="24"/>
                <w:szCs w:val="24"/>
              </w:rPr>
              <w:t>25</w:t>
            </w:r>
          </w:p>
        </w:tc>
      </w:tr>
    </w:tbl>
    <w:p w14:paraId="6754D211">
      <w:pPr>
        <w:pStyle w:val="73"/>
        <w:numPr>
          <w:ilvl w:val="0"/>
          <w:numId w:val="0"/>
        </w:numPr>
        <w:rPr>
          <w:rFonts w:hint="default" w:ascii="宋体" w:hAnsi="宋体" w:eastAsia="宋体" w:cs="宋体"/>
          <w:b w:val="0"/>
          <w:bCs w:val="0"/>
          <w:sz w:val="24"/>
          <w:szCs w:val="24"/>
          <w:highlight w:val="none"/>
          <w:lang w:val="en-US" w:eastAsia="zh-CN"/>
        </w:rPr>
      </w:pPr>
    </w:p>
    <w:p w14:paraId="1B87EA27">
      <w:pPr>
        <w:pStyle w:val="73"/>
      </w:pPr>
      <w:r>
        <w:rPr>
          <w:rFonts w:hint="eastAsia"/>
          <w:lang w:val="en-US" w:eastAsia="zh-CN"/>
        </w:rPr>
        <w:t>定标</w:t>
      </w:r>
    </w:p>
    <w:p w14:paraId="7C0A112D">
      <w:pPr>
        <w:pStyle w:val="73"/>
        <w:numPr>
          <w:ilvl w:val="0"/>
          <w:numId w:val="0"/>
        </w:numPr>
        <w:ind w:leftChars="0"/>
      </w:pPr>
      <w:r>
        <w:rPr>
          <w:rFonts w:hint="eastAsia" w:ascii="宋体" w:hAnsi="宋体" w:eastAsia="宋体" w:cs="宋体"/>
          <w:b/>
          <w:color w:val="auto"/>
          <w:sz w:val="24"/>
          <w:szCs w:val="24"/>
          <w:lang w:val="en-US" w:eastAsia="zh-CN"/>
        </w:rPr>
        <w:t>技术标入围后，原则上</w:t>
      </w:r>
      <w:r>
        <w:rPr>
          <w:rFonts w:hint="eastAsia" w:ascii="宋体" w:hAnsi="宋体" w:eastAsia="宋体" w:cs="宋体"/>
          <w:b/>
          <w:bCs/>
          <w:color w:val="auto"/>
          <w:sz w:val="24"/>
          <w:szCs w:val="24"/>
          <w:lang w:val="en-US" w:eastAsia="zh-CN"/>
        </w:rPr>
        <w:t>合理最低价</w:t>
      </w:r>
      <w:r>
        <w:rPr>
          <w:rFonts w:hint="eastAsia" w:ascii="宋体" w:hAnsi="宋体" w:eastAsia="宋体" w:cs="宋体"/>
          <w:b/>
          <w:color w:val="auto"/>
          <w:sz w:val="24"/>
          <w:szCs w:val="24"/>
          <w:lang w:val="en-US" w:eastAsia="zh-CN"/>
        </w:rPr>
        <w:t>中标</w:t>
      </w:r>
      <w:r>
        <w:rPr>
          <w:rFonts w:hint="eastAsia" w:ascii="宋体" w:hAnsi="宋体" w:eastAsia="宋体" w:cs="宋体"/>
          <w:b/>
          <w:color w:val="auto"/>
          <w:sz w:val="24"/>
          <w:szCs w:val="24"/>
        </w:rPr>
        <w:t>。</w:t>
      </w:r>
    </w:p>
    <w:p w14:paraId="6B705137">
      <w:pPr>
        <w:pStyle w:val="73"/>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本项目只产生一个中标人。中标人签订合同前须进行最终审查。最终审查的对象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62C1FD49">
      <w:pPr>
        <w:pStyle w:val="73"/>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服务过程中招标人有危废拉运需求时将遵循以下原则：中标单位收到拉运需求后在承诺时间内</w:t>
      </w:r>
      <w:r>
        <w:rPr>
          <w:rFonts w:hint="eastAsia" w:ascii="宋体" w:hAnsi="宋体" w:eastAsia="宋体" w:cs="宋体"/>
          <w:b w:val="0"/>
          <w:bCs w:val="0"/>
          <w:sz w:val="21"/>
          <w:szCs w:val="21"/>
          <w:highlight w:val="none"/>
          <w:lang w:val="en-US" w:eastAsia="zh-CN"/>
        </w:rPr>
        <w:t>完成拉运</w:t>
      </w:r>
      <w:r>
        <w:rPr>
          <w:rFonts w:hint="eastAsia" w:ascii="宋体" w:hAnsi="宋体" w:eastAsia="宋体" w:cs="宋体"/>
          <w:b w:val="0"/>
          <w:bCs w:val="0"/>
          <w:sz w:val="21"/>
          <w:szCs w:val="21"/>
          <w:highlight w:val="none"/>
          <w:lang w:eastAsia="zh-CN"/>
        </w:rPr>
        <w:t>（以报价时承诺的转移时间为准，最长</w:t>
      </w: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lang w:eastAsia="zh-CN"/>
        </w:rPr>
        <w:t>个日历日）</w:t>
      </w:r>
    </w:p>
    <w:p w14:paraId="434A2260">
      <w:pPr>
        <w:pStyle w:val="73"/>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highlight w:val="none"/>
          <w:lang w:val="en-US" w:eastAsia="zh-CN" w:bidi="ar-SA"/>
        </w:rPr>
        <w:t>1</w:t>
      </w:r>
      <w:r>
        <w:rPr>
          <w:rFonts w:hint="default"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2" w:name="OLE_LINK28"/>
      <w:bookmarkStart w:id="13" w:name="OLE_LINK25"/>
      <w:bookmarkStart w:id="14" w:name="OLE_LINK26"/>
      <w:bookmarkStart w:id="15" w:name="OLE_LINK29"/>
      <w:bookmarkStart w:id="16" w:name="OLE_LINK27"/>
      <w:r>
        <w:rPr>
          <w:rFonts w:hint="eastAsia" w:ascii="宋体" w:hAnsi="宋体" w:eastAsia="宋体" w:cs="宋体"/>
          <w:bCs/>
          <w:sz w:val="21"/>
          <w:szCs w:val="21"/>
          <w:highlight w:val="none"/>
        </w:rPr>
        <w:t>；</w:t>
      </w:r>
      <w:bookmarkEnd w:id="12"/>
      <w:bookmarkEnd w:id="13"/>
      <w:bookmarkEnd w:id="14"/>
      <w:bookmarkEnd w:id="15"/>
      <w:bookmarkEnd w:id="16"/>
    </w:p>
    <w:p w14:paraId="5CD1D199">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3"/>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w:t>
      </w:r>
      <w:r>
        <w:rPr>
          <w:rFonts w:hint="eastAsia" w:ascii="宋体" w:hAnsi="宋体" w:cs="宋体"/>
          <w:color w:val="000000"/>
          <w:sz w:val="21"/>
          <w:szCs w:val="21"/>
          <w:lang w:val="en-US" w:eastAsia="zh-CN"/>
        </w:rPr>
        <w:t>危废处置</w:t>
      </w:r>
      <w:r>
        <w:rPr>
          <w:rFonts w:hint="eastAsia" w:ascii="宋体" w:hAnsi="宋体" w:cs="宋体"/>
          <w:color w:val="000000"/>
          <w:sz w:val="21"/>
          <w:szCs w:val="21"/>
        </w:rPr>
        <w:t>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3"/>
        <w:rPr>
          <w:highlight w:val="none"/>
        </w:rPr>
      </w:pPr>
      <w:r>
        <w:rPr>
          <w:rFonts w:hint="eastAsia"/>
          <w:highlight w:val="none"/>
          <w:lang w:val="en-US" w:eastAsia="zh-CN"/>
        </w:rPr>
        <w:t>交货及付款</w:t>
      </w:r>
    </w:p>
    <w:p w14:paraId="1494B402">
      <w:pPr>
        <w:pStyle w:val="73"/>
        <w:numPr>
          <w:ilvl w:val="0"/>
          <w:numId w:val="24"/>
        </w:numPr>
        <w:ind w:left="425" w:leftChars="0" w:hanging="425" w:firstLineChars="0"/>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付款方式</w:t>
      </w:r>
      <w:r>
        <w:rPr>
          <w:rFonts w:hint="eastAsia" w:ascii="宋体" w:hAnsi="宋体" w:eastAsia="宋体" w:cs="宋体"/>
          <w:b w:val="0"/>
          <w:bCs w:val="0"/>
          <w:sz w:val="21"/>
          <w:szCs w:val="21"/>
          <w:highlight w:val="none"/>
          <w:lang w:eastAsia="zh-CN"/>
        </w:rPr>
        <w:t>：</w:t>
      </w:r>
    </w:p>
    <w:p w14:paraId="517A66BC">
      <w:pPr>
        <w:pStyle w:val="73"/>
        <w:numPr>
          <w:ilvl w:val="0"/>
          <w:numId w:val="0"/>
        </w:numPr>
        <w:ind w:left="59" w:leftChars="0"/>
        <w:rPr>
          <w:rFonts w:hint="eastAsia" w:ascii="宋体" w:hAnsi="宋体" w:eastAsia="宋体" w:cs="宋体"/>
          <w:b/>
          <w:bCs/>
          <w:color w:val="FF0000"/>
          <w:sz w:val="21"/>
          <w:szCs w:val="21"/>
          <w:highlight w:val="none"/>
          <w:lang w:val="en-US" w:eastAsia="zh-CN"/>
        </w:rPr>
      </w:pPr>
      <w:r>
        <w:rPr>
          <w:rFonts w:hint="eastAsia" w:ascii="宋体" w:hAnsi="宋体" w:eastAsia="宋体" w:cs="宋体"/>
          <w:b w:val="0"/>
          <w:bCs w:val="0"/>
          <w:sz w:val="21"/>
          <w:szCs w:val="21"/>
          <w:highlight w:val="none"/>
          <w:lang w:eastAsia="zh-CN"/>
        </w:rPr>
        <w:t>半年期商业汇票（包括银行承兑汇票和商业承兑汇票）；</w:t>
      </w:r>
    </w:p>
    <w:p w14:paraId="691542A2">
      <w:pPr>
        <w:pStyle w:val="73"/>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2</w:t>
      </w:r>
      <w:r>
        <w:rPr>
          <w:rFonts w:hint="default" w:ascii="宋体" w:hAnsi="宋体" w:eastAsia="宋体" w:cs="宋体"/>
          <w:b w:val="0"/>
          <w:bCs w:val="0"/>
          <w:kern w:val="2"/>
          <w:sz w:val="21"/>
          <w:szCs w:val="21"/>
          <w:highlight w:val="none"/>
          <w:lang w:val="en-US" w:eastAsia="zh-CN" w:bidi="ar-SA"/>
        </w:rPr>
        <w:t>.</w:t>
      </w:r>
      <w:r>
        <w:rPr>
          <w:rFonts w:hint="eastAsia" w:ascii="宋体" w:hAnsi="宋体" w:eastAsia="宋体" w:cs="宋体"/>
          <w:b w:val="0"/>
          <w:bCs w:val="0"/>
          <w:sz w:val="21"/>
          <w:szCs w:val="21"/>
          <w:highlight w:val="none"/>
          <w:lang w:val="en-US" w:eastAsia="zh-CN"/>
        </w:rPr>
        <w:t>付款节点：</w:t>
      </w:r>
    </w:p>
    <w:p w14:paraId="142DB7A2">
      <w:pPr>
        <w:pStyle w:val="63"/>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100%：乙方完成甲方的需求，乙方开具合同价款100%的收据并增值税专用发票，经甲方核对无误后支付。</w:t>
      </w:r>
    </w:p>
    <w:p w14:paraId="011E213D">
      <w:pPr>
        <w:pStyle w:val="63"/>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76070DD5">
      <w:pPr>
        <w:pStyle w:val="63"/>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（1）如投标人不认可、不接受使用半年期商业汇票支付用于费用结算，则须在附件“开标一览表”中注明，招标人将视之为主动弃标。</w:t>
      </w:r>
    </w:p>
    <w:p w14:paraId="1CDF3683">
      <w:pPr>
        <w:pStyle w:val="63"/>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（2）投标人应对项目内招标的全部内容进行报价，不允许挑项报价、空项报价，否则视为主动弃标。</w:t>
      </w:r>
    </w:p>
    <w:p w14:paraId="09E67618">
      <w:pPr>
        <w:pStyle w:val="63"/>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（3）有商务条款偏离的要在附件中注明。</w:t>
      </w:r>
    </w:p>
    <w:p w14:paraId="6E0D7439">
      <w:pPr>
        <w:pStyle w:val="73"/>
        <w:rPr>
          <w:rFonts w:hint="eastAsia"/>
          <w:lang w:val="en-US" w:eastAsia="zh-CN"/>
        </w:rPr>
      </w:pPr>
      <w:r>
        <w:rPr>
          <w:rFonts w:hint="eastAsia"/>
          <w:lang w:val="en-US" w:eastAsia="zh-CN"/>
        </w:rPr>
        <w:t>本次招标最终解释权归中国重汽集团济南汽车部件有限公司。</w:t>
      </w:r>
    </w:p>
    <w:p w14:paraId="66BCACD8">
      <w:pPr>
        <w:pStyle w:val="77"/>
      </w:pPr>
    </w:p>
    <w:p w14:paraId="243FF35F">
      <w:pPr>
        <w:rPr>
          <w:rFonts w:hint="eastAsia"/>
        </w:rPr>
      </w:pPr>
      <w:bookmarkStart w:id="17" w:name="_Toc47976607"/>
      <w:r>
        <w:rPr>
          <w:rFonts w:hint="eastAsia"/>
        </w:rPr>
        <w:br w:type="page"/>
      </w:r>
    </w:p>
    <w:p w14:paraId="1FB6CA61">
      <w:pPr>
        <w:pStyle w:val="72"/>
        <w:jc w:val="center"/>
        <w:rPr>
          <w:rFonts w:hint="default" w:eastAsia="黑体"/>
          <w:lang w:val="en-US" w:eastAsia="zh-CN"/>
        </w:rPr>
      </w:pPr>
      <w:bookmarkStart w:id="18" w:name="_Toc1910"/>
      <w:r>
        <w:rPr>
          <w:rFonts w:hint="eastAsia"/>
        </w:rPr>
        <w:t>第二部分</w:t>
      </w:r>
      <w:bookmarkEnd w:id="17"/>
      <w:r>
        <w:rPr>
          <w:rFonts w:hint="eastAsia"/>
          <w:lang w:val="en-US" w:eastAsia="zh-CN"/>
        </w:rPr>
        <w:t xml:space="preserve">  技术标书</w:t>
      </w:r>
      <w:bookmarkEnd w:id="18"/>
    </w:p>
    <w:p w14:paraId="659CEFF1">
      <w:pPr>
        <w:pStyle w:val="15"/>
        <w:spacing w:line="360" w:lineRule="auto"/>
        <w:rPr>
          <w:rFonts w:hint="eastAsia" w:ascii="仿宋_GB2312" w:hAnsi="Microsoft YaHei UI Light" w:eastAsia="仿宋_GB2312"/>
          <w:sz w:val="28"/>
          <w:szCs w:val="28"/>
        </w:rPr>
      </w:pPr>
      <w:r>
        <w:rPr>
          <w:rFonts w:hint="eastAsia" w:ascii="仿宋_GB2312" w:hAnsi="Microsoft YaHei UI Light" w:eastAsia="仿宋_GB2312"/>
          <w:b/>
          <w:bCs/>
          <w:sz w:val="28"/>
          <w:szCs w:val="28"/>
        </w:rPr>
        <w:t>一、项目名称</w:t>
      </w:r>
      <w:r>
        <w:rPr>
          <w:rFonts w:hint="eastAsia" w:ascii="仿宋_GB2312" w:hAnsi="Microsoft YaHei UI Light" w:eastAsia="仿宋_GB2312"/>
          <w:sz w:val="28"/>
          <w:szCs w:val="28"/>
        </w:rPr>
        <w:t>：</w:t>
      </w:r>
      <w:r>
        <w:rPr>
          <w:rFonts w:hint="eastAsia" w:ascii="仿宋_GB2312" w:hAnsi="Microsoft YaHei UI Light" w:eastAsia="仿宋_GB2312"/>
          <w:sz w:val="28"/>
          <w:szCs w:val="28"/>
          <w:lang w:val="en-US" w:eastAsia="zh-CN"/>
        </w:rPr>
        <w:t>中国重汽集团济南汽车部件有限公司2026年度危险废物处置项目</w:t>
      </w:r>
    </w:p>
    <w:p w14:paraId="775AC0A0">
      <w:pPr>
        <w:pStyle w:val="15"/>
        <w:spacing w:line="360" w:lineRule="auto"/>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rPr>
        <w:t>二、项目内容</w:t>
      </w:r>
    </w:p>
    <w:p w14:paraId="014489D5">
      <w:pPr>
        <w:pStyle w:val="15"/>
        <w:spacing w:line="360" w:lineRule="auto"/>
        <w:ind w:firstLine="560" w:firstLineChars="200"/>
        <w:rPr>
          <w:rFonts w:hint="eastAsia" w:ascii="仿宋_GB2312" w:hAnsi="Microsoft YaHei UI Light" w:eastAsia="仿宋_GB2312"/>
          <w:sz w:val="28"/>
          <w:szCs w:val="28"/>
        </w:rPr>
      </w:pPr>
      <w:r>
        <w:rPr>
          <w:rFonts w:hint="eastAsia" w:ascii="仿宋_GB2312" w:hAnsi="Microsoft YaHei UI Light" w:eastAsia="仿宋_GB2312"/>
          <w:sz w:val="28"/>
          <w:szCs w:val="28"/>
        </w:rPr>
        <w:t>中国重汽集团济南汽车部件有限公司产生的磨床废弃物HW</w:t>
      </w:r>
      <w:r>
        <w:rPr>
          <w:rFonts w:hint="eastAsia" w:ascii="仿宋_GB2312" w:hAnsi="Microsoft YaHei UI Light" w:eastAsia="仿宋_GB2312"/>
          <w:sz w:val="28"/>
          <w:szCs w:val="28"/>
          <w:lang w:val="en-US" w:eastAsia="zh-CN"/>
        </w:rPr>
        <w:t>08</w:t>
      </w:r>
      <w:r>
        <w:rPr>
          <w:rFonts w:hint="eastAsia" w:ascii="仿宋_GB2312" w:hAnsi="Microsoft YaHei UI Light" w:eastAsia="仿宋_GB2312"/>
          <w:sz w:val="28"/>
          <w:szCs w:val="28"/>
        </w:rPr>
        <w:t>（900-200-08）交由有经营资质的危险废物处置单位进行合规处置。</w:t>
      </w:r>
    </w:p>
    <w:p w14:paraId="0342C537">
      <w:pPr>
        <w:pStyle w:val="15"/>
        <w:spacing w:line="360" w:lineRule="auto"/>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rPr>
        <w:t>三、技术要求</w:t>
      </w:r>
    </w:p>
    <w:p w14:paraId="0CBBB339">
      <w:pPr>
        <w:pStyle w:val="15"/>
        <w:spacing w:line="360" w:lineRule="auto"/>
        <w:ind w:firstLine="562" w:firstLineChars="200"/>
        <w:rPr>
          <w:rFonts w:hint="eastAsia" w:ascii="仿宋_GB2312" w:hAnsi="Microsoft YaHei UI Light" w:eastAsia="仿宋_GB2312"/>
          <w:b/>
          <w:sz w:val="28"/>
          <w:szCs w:val="28"/>
        </w:rPr>
      </w:pPr>
      <w:r>
        <w:rPr>
          <w:rFonts w:hint="eastAsia" w:ascii="仿宋_GB2312" w:hAnsi="Microsoft YaHei UI Light" w:eastAsia="仿宋_GB2312"/>
          <w:b/>
          <w:sz w:val="28"/>
          <w:szCs w:val="28"/>
        </w:rPr>
        <w:t>1.资质要求</w:t>
      </w:r>
    </w:p>
    <w:p w14:paraId="520F31CA">
      <w:pPr>
        <w:pStyle w:val="15"/>
        <w:spacing w:line="360" w:lineRule="auto"/>
        <w:ind w:firstLine="560" w:firstLineChars="200"/>
        <w:rPr>
          <w:rFonts w:hint="eastAsia" w:ascii="仿宋_GB2312" w:hAnsi="Microsoft YaHei UI Light" w:eastAsia="仿宋_GB2312"/>
          <w:color w:val="FF0000"/>
          <w:sz w:val="28"/>
          <w:szCs w:val="28"/>
          <w:lang w:eastAsia="zh-CN"/>
        </w:rPr>
      </w:pPr>
      <w:r>
        <w:rPr>
          <w:rFonts w:hint="eastAsia" w:ascii="仿宋_GB2312" w:hAnsi="Microsoft YaHei UI Light" w:eastAsia="仿宋_GB2312"/>
          <w:sz w:val="28"/>
          <w:szCs w:val="28"/>
        </w:rPr>
        <w:t>中标方持有当地生态环境局(厅)核发的正式危险废物经营许可证</w:t>
      </w:r>
      <w:bookmarkStart w:id="19" w:name="_Hlk213940017"/>
      <w:r>
        <w:rPr>
          <w:rFonts w:hint="eastAsia" w:ascii="仿宋_GB2312" w:hAnsi="Microsoft YaHei UI Light" w:eastAsia="仿宋_GB2312"/>
          <w:sz w:val="28"/>
          <w:szCs w:val="28"/>
        </w:rPr>
        <w:t>（需涵盖HW08类（900-200-08）</w:t>
      </w:r>
      <w:r>
        <w:rPr>
          <w:rFonts w:hint="eastAsia" w:ascii="仿宋_GB2312" w:hAnsi="Microsoft YaHei UI Light" w:eastAsia="仿宋_GB2312"/>
          <w:sz w:val="28"/>
          <w:szCs w:val="28"/>
          <w:lang w:eastAsia="zh-CN"/>
        </w:rPr>
        <w:t>，</w:t>
      </w:r>
      <w:r>
        <w:rPr>
          <w:rFonts w:hint="eastAsia" w:ascii="仿宋_GB2312" w:hAnsi="Microsoft YaHei UI Light" w:eastAsia="仿宋_GB2312"/>
          <w:sz w:val="28"/>
          <w:szCs w:val="28"/>
        </w:rPr>
        <w:t>增项、变更、换证除外）</w:t>
      </w:r>
      <w:bookmarkEnd w:id="19"/>
      <w:r>
        <w:rPr>
          <w:rFonts w:hint="eastAsia" w:ascii="仿宋_GB2312" w:hAnsi="Microsoft YaHei UI Light" w:eastAsia="仿宋_GB2312"/>
          <w:sz w:val="28"/>
          <w:szCs w:val="28"/>
        </w:rPr>
        <w:t>，并严格按照危险废物经营许可证所批准的经营危险废物类别及规模范围进行危险废物转移运输及处置。</w:t>
      </w:r>
    </w:p>
    <w:p w14:paraId="16EC5A43">
      <w:pPr>
        <w:pStyle w:val="15"/>
        <w:spacing w:line="360" w:lineRule="auto"/>
        <w:ind w:firstLine="562" w:firstLineChars="200"/>
        <w:rPr>
          <w:rFonts w:hint="eastAsia" w:ascii="仿宋_GB2312" w:hAnsi="Microsoft YaHei UI Light" w:eastAsia="仿宋_GB2312"/>
          <w:b/>
          <w:sz w:val="28"/>
          <w:szCs w:val="28"/>
        </w:rPr>
      </w:pPr>
      <w:r>
        <w:rPr>
          <w:rFonts w:hint="eastAsia" w:ascii="仿宋_GB2312" w:hAnsi="Microsoft YaHei UI Light" w:eastAsia="仿宋_GB2312"/>
          <w:b/>
          <w:sz w:val="28"/>
          <w:szCs w:val="28"/>
        </w:rPr>
        <w:t>2.装卸</w:t>
      </w:r>
    </w:p>
    <w:p w14:paraId="674B04C6">
      <w:pPr>
        <w:autoSpaceDE w:val="0"/>
        <w:autoSpaceDN w:val="0"/>
        <w:adjustRightInd w:val="0"/>
        <w:spacing w:line="360" w:lineRule="auto"/>
        <w:ind w:firstLine="560" w:firstLineChars="200"/>
        <w:jc w:val="left"/>
        <w:rPr>
          <w:rFonts w:hint="eastAsia" w:ascii="仿宋_GB2312" w:hAnsi="Microsoft YaHei UI Light" w:eastAsia="仿宋_GB2312"/>
          <w:sz w:val="28"/>
          <w:szCs w:val="28"/>
        </w:rPr>
      </w:pPr>
      <w:r>
        <w:rPr>
          <w:rFonts w:hint="eastAsia" w:ascii="仿宋_GB2312" w:hAnsi="Microsoft YaHei UI Light" w:eastAsia="仿宋_GB2312"/>
          <w:sz w:val="28"/>
          <w:szCs w:val="28"/>
        </w:rPr>
        <w:t>中标方负责危险废物转移运输期间的装卸车活动（招标方负责提供叉车、行车等机械设备并配备叉车司机及行车操作人员）。</w:t>
      </w:r>
    </w:p>
    <w:p w14:paraId="676C8569">
      <w:pPr>
        <w:autoSpaceDE w:val="0"/>
        <w:autoSpaceDN w:val="0"/>
        <w:adjustRightInd w:val="0"/>
        <w:spacing w:line="360" w:lineRule="auto"/>
        <w:ind w:firstLine="562" w:firstLineChars="200"/>
        <w:jc w:val="left"/>
        <w:rPr>
          <w:rFonts w:hint="eastAsia" w:ascii="仿宋_GB2312" w:hAnsi="Microsoft YaHei UI Light" w:eastAsia="仿宋_GB2312"/>
          <w:b/>
          <w:sz w:val="28"/>
          <w:szCs w:val="28"/>
        </w:rPr>
      </w:pPr>
      <w:r>
        <w:rPr>
          <w:rFonts w:hint="eastAsia" w:ascii="仿宋_GB2312" w:hAnsi="Microsoft YaHei UI Light" w:eastAsia="仿宋_GB2312"/>
          <w:b/>
          <w:sz w:val="28"/>
          <w:szCs w:val="28"/>
        </w:rPr>
        <w:t>3.运输</w:t>
      </w:r>
    </w:p>
    <w:p w14:paraId="2E7D6CDF">
      <w:pPr>
        <w:autoSpaceDE w:val="0"/>
        <w:autoSpaceDN w:val="0"/>
        <w:adjustRightInd w:val="0"/>
        <w:spacing w:line="360" w:lineRule="auto"/>
        <w:ind w:firstLine="560" w:firstLineChars="200"/>
        <w:jc w:val="left"/>
        <w:rPr>
          <w:rFonts w:hint="eastAsia" w:ascii="仿宋_GB2312" w:hAnsi="Microsoft YaHei UI Light" w:eastAsia="仿宋_GB2312"/>
          <w:sz w:val="28"/>
          <w:szCs w:val="28"/>
        </w:rPr>
      </w:pPr>
      <w:r>
        <w:rPr>
          <w:rFonts w:hint="eastAsia" w:ascii="仿宋_GB2312" w:hAnsi="Microsoft YaHei UI Light" w:eastAsia="仿宋_GB2312"/>
          <w:sz w:val="28"/>
          <w:szCs w:val="28"/>
        </w:rPr>
        <w:t>（1）中标方可自行运输或委托有危险废物道路运输资质的公司负责运输危险废物，运输车辆驶出招标方厂区的所发生的任何运输风险由中标方承担；</w:t>
      </w:r>
    </w:p>
    <w:p w14:paraId="4CE495A0">
      <w:pPr>
        <w:autoSpaceDE w:val="0"/>
        <w:autoSpaceDN w:val="0"/>
        <w:adjustRightInd w:val="0"/>
        <w:spacing w:line="360" w:lineRule="auto"/>
        <w:ind w:firstLine="560" w:firstLineChars="200"/>
        <w:jc w:val="left"/>
        <w:rPr>
          <w:rFonts w:hint="eastAsia" w:ascii="仿宋_GB2312" w:hAnsi="Microsoft YaHei UI Light" w:eastAsia="仿宋_GB2312"/>
          <w:sz w:val="28"/>
          <w:szCs w:val="28"/>
        </w:rPr>
      </w:pPr>
      <w:r>
        <w:rPr>
          <w:rFonts w:hint="eastAsia" w:ascii="仿宋_GB2312" w:hAnsi="Microsoft YaHei UI Light" w:eastAsia="仿宋_GB2312"/>
          <w:sz w:val="28"/>
          <w:szCs w:val="28"/>
        </w:rPr>
        <w:t>（2）出入招标方厂区的危险废物运输车辆必须是中国重汽品牌车辆，厂家配备能够取得济南市区内通行证的危废处置车辆；</w:t>
      </w:r>
    </w:p>
    <w:p w14:paraId="758DBD50">
      <w:pPr>
        <w:autoSpaceDE w:val="0"/>
        <w:autoSpaceDN w:val="0"/>
        <w:adjustRightInd w:val="0"/>
        <w:spacing w:line="360" w:lineRule="auto"/>
        <w:ind w:firstLine="560" w:firstLineChars="200"/>
        <w:jc w:val="left"/>
        <w:rPr>
          <w:rFonts w:hint="eastAsia" w:ascii="仿宋_GB2312" w:hAnsi="Microsoft YaHei UI Light" w:eastAsia="仿宋_GB2312"/>
          <w:sz w:val="28"/>
          <w:szCs w:val="28"/>
        </w:rPr>
      </w:pPr>
      <w:r>
        <w:rPr>
          <w:rFonts w:hint="eastAsia" w:ascii="仿宋_GB2312" w:hAnsi="Microsoft YaHei UI Light" w:eastAsia="仿宋_GB2312"/>
          <w:sz w:val="28"/>
          <w:szCs w:val="28"/>
        </w:rPr>
        <w:t>（3）危险废物运输过程中保证密封包装，捆扎结实，确保装车、运输过程中无泄露；</w:t>
      </w:r>
    </w:p>
    <w:p w14:paraId="3972CADD">
      <w:pPr>
        <w:pStyle w:val="15"/>
        <w:spacing w:line="360" w:lineRule="auto"/>
        <w:ind w:firstLine="560" w:firstLineChars="200"/>
        <w:jc w:val="left"/>
        <w:rPr>
          <w:rFonts w:hint="eastAsia" w:ascii="仿宋_GB2312" w:hAnsi="Microsoft YaHei UI Light" w:eastAsia="仿宋_GB2312"/>
          <w:sz w:val="28"/>
          <w:szCs w:val="28"/>
        </w:rPr>
      </w:pPr>
      <w:r>
        <w:rPr>
          <w:rFonts w:hint="eastAsia" w:ascii="仿宋_GB2312" w:hAnsi="Microsoft YaHei UI Light" w:eastAsia="仿宋_GB2312"/>
          <w:sz w:val="28"/>
          <w:szCs w:val="28"/>
        </w:rPr>
        <w:t>（4）必须由持有危险货物运输车辆驾驶及押运资格证的人员负责运输。</w:t>
      </w:r>
    </w:p>
    <w:p w14:paraId="2DB63C27">
      <w:pPr>
        <w:autoSpaceDE w:val="0"/>
        <w:autoSpaceDN w:val="0"/>
        <w:adjustRightInd w:val="0"/>
        <w:spacing w:line="360" w:lineRule="auto"/>
        <w:ind w:firstLine="562" w:firstLineChars="200"/>
        <w:jc w:val="left"/>
        <w:rPr>
          <w:rFonts w:hint="eastAsia" w:ascii="仿宋_GB2312" w:hAnsi="Microsoft YaHei UI Light" w:eastAsia="仿宋_GB2312"/>
          <w:b/>
          <w:sz w:val="28"/>
          <w:szCs w:val="28"/>
        </w:rPr>
      </w:pPr>
      <w:r>
        <w:rPr>
          <w:rFonts w:hint="eastAsia" w:ascii="仿宋_GB2312" w:hAnsi="Microsoft YaHei UI Light" w:eastAsia="仿宋_GB2312"/>
          <w:b/>
          <w:sz w:val="28"/>
          <w:szCs w:val="28"/>
        </w:rPr>
        <w:t>5.转移期限</w:t>
      </w:r>
    </w:p>
    <w:p w14:paraId="0CA1C0AD">
      <w:pPr>
        <w:autoSpaceDE w:val="0"/>
        <w:autoSpaceDN w:val="0"/>
        <w:adjustRightInd w:val="0"/>
        <w:spacing w:line="360" w:lineRule="auto"/>
        <w:ind w:firstLine="560" w:firstLineChars="200"/>
        <w:jc w:val="left"/>
        <w:rPr>
          <w:rFonts w:hint="eastAsia" w:ascii="仿宋_GB2312" w:hAnsi="Microsoft YaHei UI Light" w:eastAsia="仿宋_GB2312"/>
          <w:sz w:val="28"/>
          <w:szCs w:val="28"/>
        </w:rPr>
      </w:pPr>
      <w:r>
        <w:rPr>
          <w:rFonts w:hint="eastAsia" w:ascii="仿宋_GB2312" w:hAnsi="Microsoft YaHei UI Light" w:eastAsia="仿宋_GB2312"/>
          <w:sz w:val="28"/>
          <w:szCs w:val="28"/>
        </w:rPr>
        <w:t>（1）按照合同规定时间内到达产生单位进行转移运输。</w:t>
      </w:r>
    </w:p>
    <w:p w14:paraId="7AC23BAE">
      <w:pPr>
        <w:pStyle w:val="15"/>
        <w:spacing w:line="360" w:lineRule="auto"/>
        <w:ind w:firstLine="560" w:firstLineChars="200"/>
        <w:jc w:val="left"/>
        <w:rPr>
          <w:rFonts w:hint="eastAsia" w:ascii="仿宋_GB2312" w:hAnsi="Microsoft YaHei UI Light" w:eastAsia="仿宋_GB2312"/>
          <w:sz w:val="28"/>
          <w:szCs w:val="28"/>
        </w:rPr>
      </w:pPr>
      <w:r>
        <w:rPr>
          <w:rFonts w:hint="eastAsia" w:ascii="仿宋_GB2312" w:hAnsi="Microsoft YaHei UI Light" w:eastAsia="仿宋_GB2312"/>
          <w:sz w:val="28"/>
          <w:szCs w:val="28"/>
        </w:rPr>
        <w:t>（2）不得以任何理由拒绝、拖延转移处置合同约定范围内的各类危险废物。</w:t>
      </w:r>
    </w:p>
    <w:p w14:paraId="5AE46317">
      <w:pPr>
        <w:pStyle w:val="15"/>
        <w:spacing w:line="360" w:lineRule="auto"/>
        <w:ind w:firstLine="562" w:firstLineChars="200"/>
        <w:jc w:val="left"/>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rPr>
        <w:t>6.处置工艺</w:t>
      </w:r>
    </w:p>
    <w:p w14:paraId="0468C8FD">
      <w:pPr>
        <w:pStyle w:val="15"/>
        <w:spacing w:line="360" w:lineRule="auto"/>
        <w:ind w:firstLine="560" w:firstLineChars="200"/>
        <w:rPr>
          <w:rFonts w:hint="eastAsia" w:ascii="仿宋_GB2312" w:hAnsi="Microsoft YaHei UI Light" w:eastAsia="仿宋_GB2312"/>
          <w:sz w:val="28"/>
          <w:szCs w:val="28"/>
        </w:rPr>
      </w:pPr>
      <w:r>
        <w:rPr>
          <w:rFonts w:hint="eastAsia" w:ascii="仿宋_GB2312" w:hAnsi="Microsoft YaHei UI Light" w:eastAsia="仿宋_GB2312"/>
          <w:sz w:val="28"/>
          <w:szCs w:val="28"/>
        </w:rPr>
        <w:t>投标单位需对本项目中涵盖的危废类别的处置工艺进行说明。</w:t>
      </w:r>
      <w:r>
        <w:rPr>
          <w:rFonts w:hint="eastAsia" w:ascii="仿宋_GB2312" w:hAnsi="Microsoft YaHei UI Light" w:eastAsia="仿宋_GB2312"/>
          <w:color w:val="FF0000"/>
          <w:sz w:val="28"/>
          <w:szCs w:val="28"/>
          <w:lang w:eastAsia="zh-CN"/>
        </w:rPr>
        <w:t>（</w:t>
      </w:r>
      <w:r>
        <w:rPr>
          <w:rFonts w:hint="eastAsia" w:ascii="仿宋_GB2312" w:hAnsi="Microsoft YaHei UI Light" w:eastAsia="仿宋_GB2312"/>
          <w:color w:val="FF0000"/>
          <w:sz w:val="28"/>
          <w:szCs w:val="28"/>
          <w:lang w:val="en-US" w:eastAsia="zh-CN"/>
        </w:rPr>
        <w:t>因填埋量年度指标限制，该危废处置方式不接受“填埋”）。</w:t>
      </w:r>
    </w:p>
    <w:p w14:paraId="3BCBFBC6">
      <w:pPr>
        <w:pStyle w:val="15"/>
        <w:spacing w:line="360" w:lineRule="auto"/>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rPr>
        <w:t>四、服务</w:t>
      </w:r>
    </w:p>
    <w:p w14:paraId="283FC374">
      <w:pPr>
        <w:pStyle w:val="15"/>
        <w:spacing w:line="360" w:lineRule="auto"/>
        <w:ind w:firstLine="560" w:firstLineChars="200"/>
        <w:rPr>
          <w:rFonts w:hint="eastAsia" w:ascii="仿宋_GB2312" w:hAnsi="Microsoft YaHei UI Light" w:eastAsia="仿宋_GB2312"/>
          <w:sz w:val="28"/>
          <w:szCs w:val="28"/>
        </w:rPr>
      </w:pPr>
      <w:r>
        <w:rPr>
          <w:rFonts w:hint="eastAsia" w:ascii="仿宋_GB2312" w:hAnsi="Microsoft YaHei UI Light" w:eastAsia="仿宋_GB2312"/>
          <w:sz w:val="28"/>
          <w:szCs w:val="28"/>
        </w:rPr>
        <w:t>1.危险废物包装、运输、装卸、检验、暂存、处置及相关服务等，最终以合同约定为准。</w:t>
      </w:r>
    </w:p>
    <w:p w14:paraId="4BD904E0">
      <w:pPr>
        <w:pStyle w:val="15"/>
        <w:spacing w:line="360" w:lineRule="auto"/>
        <w:ind w:firstLine="560" w:firstLineChars="200"/>
        <w:rPr>
          <w:rFonts w:hint="eastAsia" w:ascii="仿宋_GB2312" w:hAnsi="Microsoft YaHei UI Light" w:eastAsia="仿宋_GB2312"/>
          <w:sz w:val="28"/>
          <w:szCs w:val="28"/>
        </w:rPr>
      </w:pPr>
      <w:r>
        <w:rPr>
          <w:rFonts w:hint="eastAsia" w:ascii="仿宋_GB2312" w:hAnsi="Microsoft YaHei UI Light" w:eastAsia="仿宋_GB2312"/>
          <w:sz w:val="28"/>
          <w:szCs w:val="28"/>
        </w:rPr>
        <w:t>2.服务响应：按需方或招标人的要求，如出现问题随时进行服务，直至需方或招标人满意为止。</w:t>
      </w:r>
    </w:p>
    <w:p w14:paraId="36F9C641">
      <w:pPr>
        <w:pStyle w:val="15"/>
        <w:spacing w:line="360" w:lineRule="auto"/>
        <w:ind w:firstLine="560" w:firstLineChars="200"/>
        <w:rPr>
          <w:rFonts w:hint="eastAsia" w:ascii="仿宋_GB2312" w:hAnsi="Microsoft YaHei UI Light" w:eastAsia="仿宋_GB2312" w:cs="宋体"/>
          <w:color w:val="000000"/>
          <w:sz w:val="28"/>
          <w:szCs w:val="28"/>
          <w:highlight w:val="none"/>
          <w:shd w:val="clear" w:color="auto" w:fill="FCFCFC"/>
        </w:rPr>
      </w:pPr>
      <w:r>
        <w:rPr>
          <w:rFonts w:hint="eastAsia" w:ascii="仿宋_GB2312" w:hAnsi="Microsoft YaHei UI Light" w:eastAsia="仿宋_GB2312" w:cs="宋体"/>
          <w:color w:val="000000"/>
          <w:sz w:val="28"/>
          <w:szCs w:val="28"/>
          <w:highlight w:val="none"/>
          <w:shd w:val="clear" w:color="auto" w:fill="FCFCFC"/>
          <w:lang w:val="en-US" w:eastAsia="zh-CN"/>
        </w:rPr>
        <w:t>3</w:t>
      </w:r>
      <w:r>
        <w:rPr>
          <w:rFonts w:hint="eastAsia" w:ascii="仿宋_GB2312" w:hAnsi="Microsoft YaHei UI Light" w:eastAsia="仿宋_GB2312" w:cs="宋体"/>
          <w:color w:val="000000"/>
          <w:sz w:val="28"/>
          <w:szCs w:val="28"/>
          <w:highlight w:val="none"/>
          <w:shd w:val="clear" w:color="auto" w:fill="FCFCFC"/>
        </w:rPr>
        <w:t>.本项目中标方合同履约保证金</w:t>
      </w:r>
      <w:r>
        <w:rPr>
          <w:rFonts w:hint="eastAsia" w:ascii="仿宋_GB2312" w:hAnsi="Microsoft YaHei UI Light" w:eastAsia="仿宋_GB2312" w:cs="宋体"/>
          <w:color w:val="000000"/>
          <w:sz w:val="28"/>
          <w:szCs w:val="28"/>
          <w:highlight w:val="none"/>
          <w:shd w:val="clear" w:color="auto" w:fill="FCFCFC"/>
          <w:lang w:val="en-US" w:eastAsia="zh-CN"/>
        </w:rPr>
        <w:t>5000</w:t>
      </w:r>
      <w:r>
        <w:rPr>
          <w:rFonts w:hint="eastAsia" w:ascii="仿宋_GB2312" w:hAnsi="Microsoft YaHei UI Light" w:eastAsia="仿宋_GB2312" w:cs="宋体"/>
          <w:color w:val="000000"/>
          <w:sz w:val="28"/>
          <w:szCs w:val="28"/>
          <w:highlight w:val="none"/>
          <w:shd w:val="clear" w:color="auto" w:fill="FCFCFC"/>
        </w:rPr>
        <w:t>元（人民币</w:t>
      </w:r>
      <w:r>
        <w:rPr>
          <w:rFonts w:hint="eastAsia" w:ascii="仿宋_GB2312" w:hAnsi="Microsoft YaHei UI Light" w:eastAsia="仿宋_GB2312" w:cs="宋体"/>
          <w:color w:val="000000"/>
          <w:sz w:val="28"/>
          <w:szCs w:val="28"/>
          <w:highlight w:val="none"/>
          <w:shd w:val="clear" w:color="auto" w:fill="FCFCFC"/>
          <w:lang w:val="en-US" w:eastAsia="zh-CN"/>
        </w:rPr>
        <w:t>伍仟元</w:t>
      </w:r>
      <w:r>
        <w:rPr>
          <w:rFonts w:hint="eastAsia" w:ascii="仿宋_GB2312" w:hAnsi="Microsoft YaHei UI Light" w:eastAsia="仿宋_GB2312" w:cs="宋体"/>
          <w:color w:val="000000"/>
          <w:sz w:val="28"/>
          <w:szCs w:val="28"/>
          <w:highlight w:val="none"/>
          <w:shd w:val="clear" w:color="auto" w:fill="FCFCFC"/>
          <w:lang w:eastAsia="zh-CN"/>
        </w:rPr>
        <w:t>，</w:t>
      </w:r>
      <w:r>
        <w:rPr>
          <w:rFonts w:hint="eastAsia" w:ascii="仿宋_GB2312" w:hAnsi="Microsoft YaHei UI Light" w:eastAsia="仿宋_GB2312" w:cs="宋体"/>
          <w:color w:val="000000"/>
          <w:sz w:val="28"/>
          <w:szCs w:val="28"/>
          <w:highlight w:val="none"/>
          <w:shd w:val="clear" w:color="auto" w:fill="FCFCFC"/>
          <w:lang w:val="en-US" w:eastAsia="zh-CN"/>
        </w:rPr>
        <w:t>中标后投标保证金转为履约保证金</w:t>
      </w:r>
      <w:r>
        <w:rPr>
          <w:rFonts w:hint="eastAsia" w:ascii="仿宋_GB2312" w:hAnsi="Microsoft YaHei UI Light" w:eastAsia="仿宋_GB2312" w:cs="宋体"/>
          <w:color w:val="000000"/>
          <w:sz w:val="28"/>
          <w:szCs w:val="28"/>
          <w:highlight w:val="none"/>
          <w:shd w:val="clear" w:color="auto" w:fill="FCFCFC"/>
        </w:rPr>
        <w:t>），根据合同针对拉运处置投诉问题进行经济考核</w:t>
      </w:r>
      <w:r>
        <w:rPr>
          <w:rFonts w:hint="eastAsia" w:ascii="仿宋_GB2312" w:hAnsi="Microsoft YaHei UI Light" w:eastAsia="仿宋_GB2312" w:cs="宋体"/>
          <w:color w:val="000000"/>
          <w:sz w:val="28"/>
          <w:szCs w:val="28"/>
          <w:highlight w:val="none"/>
          <w:shd w:val="clear" w:color="auto" w:fill="FCFCFC"/>
          <w:lang w:eastAsia="zh-CN"/>
        </w:rPr>
        <w:t>，</w:t>
      </w:r>
      <w:r>
        <w:rPr>
          <w:rFonts w:hint="eastAsia" w:ascii="仿宋_GB2312" w:hAnsi="Microsoft YaHei UI Light" w:eastAsia="仿宋_GB2312" w:cs="宋体"/>
          <w:color w:val="000000"/>
          <w:sz w:val="28"/>
          <w:szCs w:val="28"/>
          <w:highlight w:val="none"/>
          <w:shd w:val="clear" w:color="auto" w:fill="FCFCFC"/>
          <w:lang w:val="en-US" w:eastAsia="zh-CN"/>
        </w:rPr>
        <w:t>待合同期满后退还剩余款项</w:t>
      </w:r>
      <w:r>
        <w:rPr>
          <w:rFonts w:hint="eastAsia" w:ascii="仿宋_GB2312" w:hAnsi="Microsoft YaHei UI Light" w:eastAsia="仿宋_GB2312" w:cs="宋体"/>
          <w:color w:val="000000"/>
          <w:sz w:val="28"/>
          <w:szCs w:val="28"/>
          <w:highlight w:val="none"/>
          <w:shd w:val="clear" w:color="auto" w:fill="FCFCFC"/>
        </w:rPr>
        <w:t>。</w:t>
      </w:r>
    </w:p>
    <w:p w14:paraId="73CC9BE3">
      <w:pPr>
        <w:pStyle w:val="15"/>
        <w:spacing w:line="360" w:lineRule="auto"/>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rPr>
        <w:t>五、其他</w:t>
      </w:r>
    </w:p>
    <w:p w14:paraId="46406B1E">
      <w:pPr>
        <w:spacing w:line="360" w:lineRule="auto"/>
        <w:ind w:firstLine="560" w:firstLineChars="200"/>
        <w:jc w:val="left"/>
        <w:rPr>
          <w:rFonts w:hint="eastAsia" w:ascii="Microsoft YaHei UI Light" w:hAnsi="Microsoft YaHei UI Light" w:eastAsia="Microsoft YaHei UI Light"/>
          <w:sz w:val="28"/>
          <w:szCs w:val="28"/>
        </w:rPr>
      </w:pPr>
      <w:r>
        <w:rPr>
          <w:rFonts w:hint="eastAsia" w:ascii="仿宋_GB2312" w:hAnsi="Microsoft YaHei UI Light" w:eastAsia="仿宋_GB2312" w:cs="宋体"/>
          <w:color w:val="000000"/>
          <w:sz w:val="28"/>
          <w:szCs w:val="28"/>
          <w:shd w:val="clear" w:color="auto" w:fill="FCFCFC"/>
        </w:rPr>
        <w:t>因投标方原因未能及时完成项目的，或因乙方其他原因造成损失的，应赔偿由此给我司造成的损失。</w:t>
      </w:r>
    </w:p>
    <w:p w14:paraId="79870086">
      <w:pPr>
        <w:spacing w:line="360" w:lineRule="auto"/>
        <w:ind w:firstLine="560" w:firstLineChars="200"/>
        <w:jc w:val="left"/>
        <w:rPr>
          <w:rFonts w:hint="eastAsia" w:ascii="仿宋_GB2312" w:hAnsi="Microsoft YaHei UI Light" w:eastAsia="仿宋_GB2312" w:cs="宋体"/>
          <w:color w:val="000000"/>
          <w:sz w:val="28"/>
          <w:szCs w:val="28"/>
          <w:shd w:val="clear" w:color="auto" w:fill="FCFCFC"/>
        </w:rPr>
      </w:pPr>
    </w:p>
    <w:p w14:paraId="186A9E55">
      <w:pPr>
        <w:rPr>
          <w:rFonts w:hint="eastAsia" w:ascii="仿宋_GB2312" w:hAnsi="Times New Roman" w:eastAsia="仿宋_GB2312"/>
          <w:b/>
          <w:bCs/>
          <w:sz w:val="28"/>
          <w:szCs w:val="28"/>
        </w:rPr>
      </w:pPr>
      <w:r>
        <w:rPr>
          <w:rFonts w:hint="eastAsia" w:ascii="仿宋_GB2312" w:hAnsi="Times New Roman" w:eastAsia="仿宋_GB2312"/>
          <w:b/>
          <w:bCs/>
          <w:sz w:val="28"/>
          <w:szCs w:val="28"/>
        </w:rPr>
        <w:br w:type="page"/>
      </w:r>
    </w:p>
    <w:p w14:paraId="4C4D0995">
      <w:pPr>
        <w:pStyle w:val="15"/>
        <w:spacing w:line="360" w:lineRule="auto"/>
        <w:jc w:val="center"/>
        <w:rPr>
          <w:rFonts w:ascii="仿宋_GB2312" w:hAnsi="Times New Roman" w:eastAsia="仿宋_GB2312"/>
          <w:b/>
          <w:bCs/>
          <w:sz w:val="28"/>
          <w:szCs w:val="28"/>
        </w:rPr>
      </w:pPr>
      <w:r>
        <w:rPr>
          <w:rFonts w:hint="eastAsia" w:ascii="仿宋_GB2312" w:hAnsi="Times New Roman" w:eastAsia="仿宋_GB2312"/>
          <w:b/>
          <w:bCs/>
          <w:sz w:val="28"/>
          <w:szCs w:val="28"/>
          <w:lang w:val="en-US" w:eastAsia="zh-CN"/>
        </w:rPr>
        <w:t>济南部件公司</w:t>
      </w:r>
      <w:r>
        <w:rPr>
          <w:rFonts w:hint="eastAsia" w:ascii="仿宋_GB2312" w:hAnsi="Times New Roman" w:eastAsia="仿宋_GB2312"/>
          <w:b/>
          <w:bCs/>
          <w:sz w:val="28"/>
          <w:szCs w:val="28"/>
        </w:rPr>
        <w:t>2026 年度危险废物处置项目技术文件附件</w:t>
      </w:r>
    </w:p>
    <w:p w14:paraId="4CC04EF5">
      <w:pPr>
        <w:pStyle w:val="15"/>
        <w:spacing w:line="360" w:lineRule="auto"/>
        <w:rPr>
          <w:rFonts w:ascii="仿宋_GB2312" w:hAnsi="Times New Roman" w:eastAsia="仿宋_GB2312"/>
          <w:b/>
          <w:bCs/>
          <w:sz w:val="24"/>
          <w:szCs w:val="24"/>
        </w:rPr>
      </w:pPr>
      <w:r>
        <w:rPr>
          <w:rFonts w:hint="eastAsia" w:ascii="仿宋_GB2312" w:hAnsi="Times New Roman" w:eastAsia="仿宋_GB2312"/>
          <w:b/>
          <w:bCs/>
          <w:sz w:val="24"/>
          <w:szCs w:val="24"/>
        </w:rPr>
        <w:t>附件1</w:t>
      </w:r>
    </w:p>
    <w:p w14:paraId="41E7F414">
      <w:pPr>
        <w:rPr>
          <w:rFonts w:ascii="仿宋_GB2312" w:eastAsia="仿宋_GB2312"/>
          <w:b/>
          <w:bCs/>
          <w:sz w:val="24"/>
          <w:szCs w:val="24"/>
        </w:rPr>
      </w:pPr>
      <w:r>
        <w:rPr>
          <w:rFonts w:hint="eastAsia" w:ascii="仿宋_GB2312" w:hAnsi="宋体" w:eastAsia="仿宋_GB2312"/>
          <w:b/>
          <w:bCs/>
          <w:sz w:val="24"/>
          <w:szCs w:val="24"/>
        </w:rPr>
        <w:t>项目名称：</w:t>
      </w:r>
      <w:r>
        <w:rPr>
          <w:rFonts w:hint="eastAsia" w:ascii="仿宋_GB2312" w:hAnsi="宋体" w:eastAsia="仿宋_GB2312"/>
          <w:b/>
          <w:bCs/>
          <w:sz w:val="24"/>
          <w:szCs w:val="24"/>
          <w:lang w:val="en-US" w:eastAsia="zh-CN"/>
        </w:rPr>
        <w:t>中国重汽集团济南汽车部件有限公司2026年度危险废物处置项目</w:t>
      </w:r>
    </w:p>
    <w:p w14:paraId="4F1350C5">
      <w:pPr>
        <w:rPr>
          <w:rFonts w:ascii="仿宋_GB2312" w:eastAsia="仿宋_GB2312"/>
          <w:sz w:val="24"/>
          <w:szCs w:val="24"/>
          <w:u w:val="single"/>
        </w:rPr>
      </w:pPr>
    </w:p>
    <w:p w14:paraId="6EA1249A">
      <w:pPr>
        <w:rPr>
          <w:rFonts w:hint="eastAsia" w:ascii="仿宋_GB2312" w:hAnsi="宋体" w:eastAsia="仿宋_GB2312"/>
          <w:b/>
          <w:bCs/>
          <w:sz w:val="24"/>
          <w:szCs w:val="24"/>
        </w:rPr>
      </w:pPr>
      <w:r>
        <w:rPr>
          <w:rFonts w:hint="eastAsia" w:ascii="仿宋_GB2312" w:hAnsi="宋体" w:eastAsia="仿宋_GB2312"/>
          <w:b/>
          <w:bCs/>
          <w:sz w:val="24"/>
          <w:szCs w:val="24"/>
        </w:rPr>
        <w:t>日期：  年   月   日</w:t>
      </w:r>
    </w:p>
    <w:p w14:paraId="5C19F0B6">
      <w:pPr>
        <w:jc w:val="center"/>
        <w:rPr>
          <w:rFonts w:ascii="仿宋_GB2312" w:eastAsia="仿宋_GB2312"/>
          <w:b/>
          <w:bCs/>
          <w:sz w:val="24"/>
          <w:szCs w:val="24"/>
        </w:rPr>
      </w:pPr>
      <w:r>
        <w:rPr>
          <w:rFonts w:hint="eastAsia" w:ascii="仿宋_GB2312" w:eastAsia="仿宋_GB2312"/>
          <w:b/>
          <w:bCs/>
          <w:sz w:val="24"/>
          <w:szCs w:val="24"/>
        </w:rPr>
        <w:t>同类项目业绩一览表</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843"/>
        <w:gridCol w:w="1984"/>
        <w:gridCol w:w="2075"/>
        <w:gridCol w:w="1858"/>
      </w:tblGrid>
      <w:tr w14:paraId="16E1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526" w:type="dxa"/>
            <w:vAlign w:val="center"/>
          </w:tcPr>
          <w:p w14:paraId="658BFBAB">
            <w:pPr>
              <w:pStyle w:val="15"/>
              <w:spacing w:line="360" w:lineRule="auto"/>
              <w:jc w:val="center"/>
              <w:rPr>
                <w:rFonts w:hint="eastAsia" w:ascii="仿宋_GB2312" w:hAnsi="宋体" w:eastAsia="仿宋_GB2312"/>
                <w:b/>
                <w:bCs/>
                <w:sz w:val="24"/>
                <w:szCs w:val="24"/>
              </w:rPr>
            </w:pPr>
            <w:r>
              <w:rPr>
                <w:rFonts w:hint="eastAsia" w:ascii="仿宋_GB2312" w:hAnsi="宋体" w:eastAsia="仿宋_GB2312"/>
                <w:bCs/>
                <w:sz w:val="24"/>
                <w:szCs w:val="24"/>
              </w:rPr>
              <w:t>客户名称</w:t>
            </w:r>
          </w:p>
        </w:tc>
        <w:tc>
          <w:tcPr>
            <w:tcW w:w="1843" w:type="dxa"/>
            <w:vAlign w:val="center"/>
          </w:tcPr>
          <w:p w14:paraId="2A8774D3">
            <w:pPr>
              <w:pStyle w:val="15"/>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合同项目</w:t>
            </w:r>
          </w:p>
        </w:tc>
        <w:tc>
          <w:tcPr>
            <w:tcW w:w="1984" w:type="dxa"/>
            <w:vAlign w:val="center"/>
          </w:tcPr>
          <w:p w14:paraId="4F97514F">
            <w:pPr>
              <w:pStyle w:val="15"/>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合同起止时间</w:t>
            </w:r>
          </w:p>
        </w:tc>
        <w:tc>
          <w:tcPr>
            <w:tcW w:w="2075" w:type="dxa"/>
            <w:vAlign w:val="center"/>
          </w:tcPr>
          <w:p w14:paraId="4746D44A">
            <w:pPr>
              <w:pStyle w:val="15"/>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合同数量（吨）</w:t>
            </w:r>
          </w:p>
        </w:tc>
        <w:tc>
          <w:tcPr>
            <w:tcW w:w="1858" w:type="dxa"/>
            <w:vAlign w:val="center"/>
          </w:tcPr>
          <w:p w14:paraId="5D0A3F4C">
            <w:pPr>
              <w:pStyle w:val="15"/>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合同金额</w:t>
            </w:r>
          </w:p>
          <w:p w14:paraId="16BCF9E0">
            <w:pPr>
              <w:pStyle w:val="15"/>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（万元）</w:t>
            </w:r>
          </w:p>
        </w:tc>
      </w:tr>
      <w:tr w14:paraId="24D0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5C2C06C">
            <w:pPr>
              <w:pStyle w:val="15"/>
              <w:spacing w:line="360" w:lineRule="auto"/>
              <w:jc w:val="center"/>
              <w:rPr>
                <w:rFonts w:hint="eastAsia" w:ascii="仿宋_GB2312" w:hAnsi="宋体" w:eastAsia="仿宋_GB2312"/>
                <w:b/>
                <w:bCs/>
                <w:sz w:val="24"/>
                <w:szCs w:val="24"/>
              </w:rPr>
            </w:pPr>
          </w:p>
        </w:tc>
        <w:tc>
          <w:tcPr>
            <w:tcW w:w="1843" w:type="dxa"/>
            <w:vAlign w:val="center"/>
          </w:tcPr>
          <w:p w14:paraId="25094B42">
            <w:pPr>
              <w:pStyle w:val="15"/>
              <w:spacing w:line="360" w:lineRule="auto"/>
              <w:jc w:val="center"/>
              <w:rPr>
                <w:rFonts w:hint="eastAsia" w:ascii="仿宋_GB2312" w:hAnsi="宋体" w:eastAsia="仿宋_GB2312"/>
                <w:b/>
                <w:bCs/>
                <w:sz w:val="24"/>
                <w:szCs w:val="24"/>
              </w:rPr>
            </w:pPr>
          </w:p>
        </w:tc>
        <w:tc>
          <w:tcPr>
            <w:tcW w:w="1984" w:type="dxa"/>
            <w:vAlign w:val="center"/>
          </w:tcPr>
          <w:p w14:paraId="68568D2D">
            <w:pPr>
              <w:pStyle w:val="15"/>
              <w:spacing w:line="360" w:lineRule="auto"/>
              <w:jc w:val="center"/>
              <w:rPr>
                <w:rFonts w:hint="eastAsia" w:ascii="仿宋_GB2312" w:hAnsi="宋体" w:eastAsia="仿宋_GB2312"/>
                <w:b/>
                <w:bCs/>
                <w:sz w:val="24"/>
                <w:szCs w:val="24"/>
              </w:rPr>
            </w:pPr>
          </w:p>
        </w:tc>
        <w:tc>
          <w:tcPr>
            <w:tcW w:w="2075" w:type="dxa"/>
            <w:vAlign w:val="center"/>
          </w:tcPr>
          <w:p w14:paraId="01C62C3E">
            <w:pPr>
              <w:pStyle w:val="15"/>
              <w:spacing w:line="360" w:lineRule="auto"/>
              <w:jc w:val="center"/>
              <w:rPr>
                <w:rFonts w:hint="eastAsia" w:ascii="仿宋_GB2312" w:hAnsi="宋体" w:eastAsia="仿宋_GB2312"/>
                <w:b/>
                <w:bCs/>
                <w:sz w:val="24"/>
                <w:szCs w:val="24"/>
              </w:rPr>
            </w:pPr>
          </w:p>
        </w:tc>
        <w:tc>
          <w:tcPr>
            <w:tcW w:w="1858" w:type="dxa"/>
            <w:vAlign w:val="center"/>
          </w:tcPr>
          <w:p w14:paraId="7AFAF160">
            <w:pPr>
              <w:pStyle w:val="15"/>
              <w:spacing w:line="360" w:lineRule="auto"/>
              <w:jc w:val="center"/>
              <w:rPr>
                <w:rFonts w:hint="eastAsia" w:ascii="仿宋_GB2312" w:hAnsi="宋体" w:eastAsia="仿宋_GB2312"/>
                <w:b/>
                <w:bCs/>
                <w:sz w:val="24"/>
                <w:szCs w:val="24"/>
              </w:rPr>
            </w:pPr>
          </w:p>
        </w:tc>
      </w:tr>
      <w:tr w14:paraId="1315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185E38D7">
            <w:pPr>
              <w:pStyle w:val="15"/>
              <w:spacing w:line="360" w:lineRule="auto"/>
              <w:jc w:val="center"/>
              <w:rPr>
                <w:rFonts w:hint="eastAsia" w:ascii="仿宋_GB2312" w:hAnsi="宋体" w:eastAsia="仿宋_GB2312"/>
                <w:b/>
                <w:bCs/>
                <w:sz w:val="24"/>
                <w:szCs w:val="24"/>
              </w:rPr>
            </w:pPr>
          </w:p>
        </w:tc>
        <w:tc>
          <w:tcPr>
            <w:tcW w:w="1843" w:type="dxa"/>
            <w:vAlign w:val="center"/>
          </w:tcPr>
          <w:p w14:paraId="4C1A34EF">
            <w:pPr>
              <w:pStyle w:val="15"/>
              <w:spacing w:line="360" w:lineRule="auto"/>
              <w:jc w:val="center"/>
              <w:rPr>
                <w:rFonts w:hint="eastAsia" w:ascii="仿宋_GB2312" w:hAnsi="宋体" w:eastAsia="仿宋_GB2312"/>
                <w:b/>
                <w:bCs/>
                <w:sz w:val="24"/>
                <w:szCs w:val="24"/>
              </w:rPr>
            </w:pPr>
          </w:p>
        </w:tc>
        <w:tc>
          <w:tcPr>
            <w:tcW w:w="1984" w:type="dxa"/>
            <w:vAlign w:val="center"/>
          </w:tcPr>
          <w:p w14:paraId="068F5157">
            <w:pPr>
              <w:pStyle w:val="15"/>
              <w:spacing w:line="360" w:lineRule="auto"/>
              <w:jc w:val="center"/>
              <w:rPr>
                <w:rFonts w:hint="eastAsia" w:ascii="仿宋_GB2312" w:hAnsi="宋体" w:eastAsia="仿宋_GB2312"/>
                <w:b/>
                <w:bCs/>
                <w:sz w:val="24"/>
                <w:szCs w:val="24"/>
              </w:rPr>
            </w:pPr>
          </w:p>
        </w:tc>
        <w:tc>
          <w:tcPr>
            <w:tcW w:w="2075" w:type="dxa"/>
            <w:vAlign w:val="center"/>
          </w:tcPr>
          <w:p w14:paraId="6A4A428A">
            <w:pPr>
              <w:pStyle w:val="15"/>
              <w:spacing w:line="360" w:lineRule="auto"/>
              <w:jc w:val="center"/>
              <w:rPr>
                <w:rFonts w:hint="eastAsia" w:ascii="仿宋_GB2312" w:hAnsi="宋体" w:eastAsia="仿宋_GB2312"/>
                <w:b/>
                <w:bCs/>
                <w:sz w:val="24"/>
                <w:szCs w:val="24"/>
              </w:rPr>
            </w:pPr>
          </w:p>
        </w:tc>
        <w:tc>
          <w:tcPr>
            <w:tcW w:w="1858" w:type="dxa"/>
            <w:vAlign w:val="center"/>
          </w:tcPr>
          <w:p w14:paraId="7CBFAAF5">
            <w:pPr>
              <w:pStyle w:val="15"/>
              <w:spacing w:line="360" w:lineRule="auto"/>
              <w:jc w:val="center"/>
              <w:rPr>
                <w:rFonts w:hint="eastAsia" w:ascii="仿宋_GB2312" w:hAnsi="宋体" w:eastAsia="仿宋_GB2312"/>
                <w:b/>
                <w:bCs/>
                <w:sz w:val="24"/>
                <w:szCs w:val="24"/>
              </w:rPr>
            </w:pPr>
          </w:p>
        </w:tc>
      </w:tr>
      <w:tr w14:paraId="344D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561B38AE">
            <w:pPr>
              <w:pStyle w:val="15"/>
              <w:spacing w:line="360" w:lineRule="auto"/>
              <w:jc w:val="center"/>
              <w:rPr>
                <w:rFonts w:hint="eastAsia" w:ascii="仿宋_GB2312" w:hAnsi="宋体" w:eastAsia="仿宋_GB2312"/>
                <w:b/>
                <w:bCs/>
                <w:sz w:val="24"/>
                <w:szCs w:val="24"/>
              </w:rPr>
            </w:pPr>
          </w:p>
        </w:tc>
        <w:tc>
          <w:tcPr>
            <w:tcW w:w="1843" w:type="dxa"/>
            <w:vAlign w:val="center"/>
          </w:tcPr>
          <w:p w14:paraId="5194CBF7">
            <w:pPr>
              <w:pStyle w:val="15"/>
              <w:spacing w:line="360" w:lineRule="auto"/>
              <w:jc w:val="center"/>
              <w:rPr>
                <w:rFonts w:hint="eastAsia" w:ascii="仿宋_GB2312" w:hAnsi="宋体" w:eastAsia="仿宋_GB2312"/>
                <w:b/>
                <w:bCs/>
                <w:sz w:val="24"/>
                <w:szCs w:val="24"/>
              </w:rPr>
            </w:pPr>
          </w:p>
        </w:tc>
        <w:tc>
          <w:tcPr>
            <w:tcW w:w="1984" w:type="dxa"/>
            <w:vAlign w:val="center"/>
          </w:tcPr>
          <w:p w14:paraId="2650F099">
            <w:pPr>
              <w:pStyle w:val="15"/>
              <w:spacing w:line="360" w:lineRule="auto"/>
              <w:jc w:val="center"/>
              <w:rPr>
                <w:rFonts w:hint="eastAsia" w:ascii="仿宋_GB2312" w:hAnsi="宋体" w:eastAsia="仿宋_GB2312"/>
                <w:b/>
                <w:bCs/>
                <w:sz w:val="24"/>
                <w:szCs w:val="24"/>
              </w:rPr>
            </w:pPr>
          </w:p>
        </w:tc>
        <w:tc>
          <w:tcPr>
            <w:tcW w:w="2075" w:type="dxa"/>
            <w:vAlign w:val="center"/>
          </w:tcPr>
          <w:p w14:paraId="4515EE04">
            <w:pPr>
              <w:pStyle w:val="15"/>
              <w:spacing w:line="360" w:lineRule="auto"/>
              <w:jc w:val="center"/>
              <w:rPr>
                <w:rFonts w:hint="eastAsia" w:ascii="仿宋_GB2312" w:hAnsi="宋体" w:eastAsia="仿宋_GB2312"/>
                <w:b/>
                <w:bCs/>
                <w:sz w:val="24"/>
                <w:szCs w:val="24"/>
              </w:rPr>
            </w:pPr>
          </w:p>
        </w:tc>
        <w:tc>
          <w:tcPr>
            <w:tcW w:w="1858" w:type="dxa"/>
            <w:vAlign w:val="center"/>
          </w:tcPr>
          <w:p w14:paraId="75B751BD">
            <w:pPr>
              <w:pStyle w:val="15"/>
              <w:spacing w:line="360" w:lineRule="auto"/>
              <w:jc w:val="center"/>
              <w:rPr>
                <w:rFonts w:hint="eastAsia" w:ascii="仿宋_GB2312" w:hAnsi="宋体" w:eastAsia="仿宋_GB2312"/>
                <w:b/>
                <w:bCs/>
                <w:sz w:val="24"/>
                <w:szCs w:val="24"/>
              </w:rPr>
            </w:pPr>
          </w:p>
        </w:tc>
      </w:tr>
      <w:tr w14:paraId="6F6B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9273899">
            <w:pPr>
              <w:pStyle w:val="15"/>
              <w:spacing w:line="360" w:lineRule="auto"/>
              <w:jc w:val="center"/>
              <w:rPr>
                <w:rFonts w:hint="eastAsia" w:ascii="仿宋_GB2312" w:hAnsi="宋体" w:eastAsia="仿宋_GB2312"/>
                <w:b/>
                <w:bCs/>
                <w:sz w:val="24"/>
                <w:szCs w:val="24"/>
              </w:rPr>
            </w:pPr>
          </w:p>
        </w:tc>
        <w:tc>
          <w:tcPr>
            <w:tcW w:w="1843" w:type="dxa"/>
            <w:vAlign w:val="center"/>
          </w:tcPr>
          <w:p w14:paraId="1765A4B3">
            <w:pPr>
              <w:pStyle w:val="15"/>
              <w:spacing w:line="360" w:lineRule="auto"/>
              <w:jc w:val="center"/>
              <w:rPr>
                <w:rFonts w:hint="eastAsia" w:ascii="仿宋_GB2312" w:hAnsi="宋体" w:eastAsia="仿宋_GB2312"/>
                <w:b/>
                <w:bCs/>
                <w:sz w:val="24"/>
                <w:szCs w:val="24"/>
              </w:rPr>
            </w:pPr>
          </w:p>
        </w:tc>
        <w:tc>
          <w:tcPr>
            <w:tcW w:w="1984" w:type="dxa"/>
            <w:vAlign w:val="center"/>
          </w:tcPr>
          <w:p w14:paraId="7EB5B611">
            <w:pPr>
              <w:pStyle w:val="15"/>
              <w:spacing w:line="360" w:lineRule="auto"/>
              <w:jc w:val="center"/>
              <w:rPr>
                <w:rFonts w:hint="eastAsia" w:ascii="仿宋_GB2312" w:hAnsi="宋体" w:eastAsia="仿宋_GB2312"/>
                <w:b/>
                <w:bCs/>
                <w:sz w:val="24"/>
                <w:szCs w:val="24"/>
              </w:rPr>
            </w:pPr>
          </w:p>
        </w:tc>
        <w:tc>
          <w:tcPr>
            <w:tcW w:w="2075" w:type="dxa"/>
            <w:vAlign w:val="center"/>
          </w:tcPr>
          <w:p w14:paraId="7A9C3B4F">
            <w:pPr>
              <w:pStyle w:val="15"/>
              <w:spacing w:line="360" w:lineRule="auto"/>
              <w:jc w:val="center"/>
              <w:rPr>
                <w:rFonts w:hint="eastAsia" w:ascii="仿宋_GB2312" w:hAnsi="宋体" w:eastAsia="仿宋_GB2312"/>
                <w:b/>
                <w:bCs/>
                <w:sz w:val="24"/>
                <w:szCs w:val="24"/>
              </w:rPr>
            </w:pPr>
          </w:p>
        </w:tc>
        <w:tc>
          <w:tcPr>
            <w:tcW w:w="1858" w:type="dxa"/>
            <w:vAlign w:val="center"/>
          </w:tcPr>
          <w:p w14:paraId="06C6B476">
            <w:pPr>
              <w:pStyle w:val="15"/>
              <w:spacing w:line="360" w:lineRule="auto"/>
              <w:jc w:val="center"/>
              <w:rPr>
                <w:rFonts w:hint="eastAsia" w:ascii="仿宋_GB2312" w:hAnsi="宋体" w:eastAsia="仿宋_GB2312"/>
                <w:b/>
                <w:bCs/>
                <w:sz w:val="24"/>
                <w:szCs w:val="24"/>
              </w:rPr>
            </w:pPr>
          </w:p>
        </w:tc>
      </w:tr>
      <w:tr w14:paraId="7FDE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86D1AB0">
            <w:pPr>
              <w:pStyle w:val="15"/>
              <w:spacing w:line="360" w:lineRule="auto"/>
              <w:jc w:val="center"/>
              <w:rPr>
                <w:rFonts w:hint="eastAsia" w:ascii="仿宋_GB2312" w:hAnsi="宋体" w:eastAsia="仿宋_GB2312"/>
                <w:b/>
                <w:bCs/>
                <w:sz w:val="24"/>
                <w:szCs w:val="24"/>
              </w:rPr>
            </w:pPr>
          </w:p>
        </w:tc>
        <w:tc>
          <w:tcPr>
            <w:tcW w:w="1843" w:type="dxa"/>
            <w:vAlign w:val="center"/>
          </w:tcPr>
          <w:p w14:paraId="79FDD2DB">
            <w:pPr>
              <w:pStyle w:val="15"/>
              <w:spacing w:line="360" w:lineRule="auto"/>
              <w:jc w:val="center"/>
              <w:rPr>
                <w:rFonts w:hint="eastAsia" w:ascii="仿宋_GB2312" w:hAnsi="宋体" w:eastAsia="仿宋_GB2312"/>
                <w:b/>
                <w:bCs/>
                <w:sz w:val="24"/>
                <w:szCs w:val="24"/>
              </w:rPr>
            </w:pPr>
          </w:p>
        </w:tc>
        <w:tc>
          <w:tcPr>
            <w:tcW w:w="1984" w:type="dxa"/>
            <w:vAlign w:val="center"/>
          </w:tcPr>
          <w:p w14:paraId="798E12CD">
            <w:pPr>
              <w:pStyle w:val="15"/>
              <w:spacing w:line="360" w:lineRule="auto"/>
              <w:jc w:val="center"/>
              <w:rPr>
                <w:rFonts w:hint="eastAsia" w:ascii="仿宋_GB2312" w:hAnsi="宋体" w:eastAsia="仿宋_GB2312"/>
                <w:b/>
                <w:bCs/>
                <w:sz w:val="24"/>
                <w:szCs w:val="24"/>
              </w:rPr>
            </w:pPr>
          </w:p>
        </w:tc>
        <w:tc>
          <w:tcPr>
            <w:tcW w:w="2075" w:type="dxa"/>
            <w:vAlign w:val="center"/>
          </w:tcPr>
          <w:p w14:paraId="18B9A24E">
            <w:pPr>
              <w:pStyle w:val="15"/>
              <w:spacing w:line="360" w:lineRule="auto"/>
              <w:jc w:val="center"/>
              <w:rPr>
                <w:rFonts w:hint="eastAsia" w:ascii="仿宋_GB2312" w:hAnsi="宋体" w:eastAsia="仿宋_GB2312"/>
                <w:b/>
                <w:bCs/>
                <w:sz w:val="24"/>
                <w:szCs w:val="24"/>
              </w:rPr>
            </w:pPr>
          </w:p>
        </w:tc>
        <w:tc>
          <w:tcPr>
            <w:tcW w:w="1858" w:type="dxa"/>
            <w:vAlign w:val="center"/>
          </w:tcPr>
          <w:p w14:paraId="54C8E83D">
            <w:pPr>
              <w:pStyle w:val="15"/>
              <w:spacing w:line="360" w:lineRule="auto"/>
              <w:jc w:val="center"/>
              <w:rPr>
                <w:rFonts w:hint="eastAsia" w:ascii="仿宋_GB2312" w:hAnsi="宋体" w:eastAsia="仿宋_GB2312"/>
                <w:b/>
                <w:bCs/>
                <w:sz w:val="24"/>
                <w:szCs w:val="24"/>
              </w:rPr>
            </w:pPr>
          </w:p>
        </w:tc>
      </w:tr>
      <w:tr w14:paraId="4544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615D2A4D">
            <w:pPr>
              <w:pStyle w:val="15"/>
              <w:spacing w:line="360" w:lineRule="auto"/>
              <w:jc w:val="center"/>
              <w:rPr>
                <w:rFonts w:hint="eastAsia" w:ascii="仿宋_GB2312" w:hAnsi="宋体" w:eastAsia="仿宋_GB2312"/>
                <w:b/>
                <w:bCs/>
                <w:sz w:val="24"/>
                <w:szCs w:val="24"/>
              </w:rPr>
            </w:pPr>
          </w:p>
        </w:tc>
        <w:tc>
          <w:tcPr>
            <w:tcW w:w="1843" w:type="dxa"/>
            <w:vAlign w:val="center"/>
          </w:tcPr>
          <w:p w14:paraId="7C00870D">
            <w:pPr>
              <w:pStyle w:val="15"/>
              <w:spacing w:line="360" w:lineRule="auto"/>
              <w:jc w:val="center"/>
              <w:rPr>
                <w:rFonts w:hint="eastAsia" w:ascii="仿宋_GB2312" w:hAnsi="宋体" w:eastAsia="仿宋_GB2312"/>
                <w:b/>
                <w:bCs/>
                <w:sz w:val="24"/>
                <w:szCs w:val="24"/>
              </w:rPr>
            </w:pPr>
          </w:p>
        </w:tc>
        <w:tc>
          <w:tcPr>
            <w:tcW w:w="1984" w:type="dxa"/>
            <w:vAlign w:val="center"/>
          </w:tcPr>
          <w:p w14:paraId="710EE008">
            <w:pPr>
              <w:pStyle w:val="15"/>
              <w:spacing w:line="360" w:lineRule="auto"/>
              <w:jc w:val="center"/>
              <w:rPr>
                <w:rFonts w:hint="eastAsia" w:ascii="仿宋_GB2312" w:hAnsi="宋体" w:eastAsia="仿宋_GB2312"/>
                <w:b/>
                <w:bCs/>
                <w:sz w:val="24"/>
                <w:szCs w:val="24"/>
              </w:rPr>
            </w:pPr>
          </w:p>
        </w:tc>
        <w:tc>
          <w:tcPr>
            <w:tcW w:w="2075" w:type="dxa"/>
            <w:vAlign w:val="center"/>
          </w:tcPr>
          <w:p w14:paraId="1B2D4B15">
            <w:pPr>
              <w:pStyle w:val="15"/>
              <w:spacing w:line="360" w:lineRule="auto"/>
              <w:jc w:val="center"/>
              <w:rPr>
                <w:rFonts w:hint="eastAsia" w:ascii="仿宋_GB2312" w:hAnsi="宋体" w:eastAsia="仿宋_GB2312"/>
                <w:b/>
                <w:bCs/>
                <w:sz w:val="24"/>
                <w:szCs w:val="24"/>
              </w:rPr>
            </w:pPr>
          </w:p>
        </w:tc>
        <w:tc>
          <w:tcPr>
            <w:tcW w:w="1858" w:type="dxa"/>
            <w:vAlign w:val="center"/>
          </w:tcPr>
          <w:p w14:paraId="6FA075BA">
            <w:pPr>
              <w:pStyle w:val="15"/>
              <w:spacing w:line="360" w:lineRule="auto"/>
              <w:jc w:val="center"/>
              <w:rPr>
                <w:rFonts w:hint="eastAsia" w:ascii="仿宋_GB2312" w:hAnsi="宋体" w:eastAsia="仿宋_GB2312"/>
                <w:b/>
                <w:bCs/>
                <w:sz w:val="24"/>
                <w:szCs w:val="24"/>
              </w:rPr>
            </w:pPr>
          </w:p>
        </w:tc>
      </w:tr>
    </w:tbl>
    <w:p w14:paraId="0E309D87">
      <w:pPr>
        <w:pStyle w:val="15"/>
        <w:spacing w:line="360" w:lineRule="auto"/>
        <w:rPr>
          <w:rFonts w:hint="eastAsia" w:ascii="仿宋_GB2312" w:hAnsi="宋体" w:eastAsia="仿宋_GB2312"/>
          <w:b/>
          <w:bCs/>
          <w:sz w:val="24"/>
          <w:szCs w:val="24"/>
        </w:rPr>
      </w:pPr>
    </w:p>
    <w:p w14:paraId="1B8AA33E">
      <w:pPr>
        <w:pStyle w:val="15"/>
        <w:spacing w:line="360" w:lineRule="auto"/>
        <w:rPr>
          <w:rFonts w:hint="eastAsia" w:ascii="仿宋_GB2312" w:hAnsi="宋体" w:eastAsia="仿宋_GB2312"/>
          <w:b/>
          <w:bCs/>
          <w:sz w:val="24"/>
          <w:szCs w:val="24"/>
        </w:rPr>
      </w:pPr>
    </w:p>
    <w:p w14:paraId="2D9F26B8">
      <w:pPr>
        <w:pStyle w:val="15"/>
        <w:spacing w:line="360" w:lineRule="auto"/>
        <w:rPr>
          <w:rFonts w:hint="eastAsia" w:ascii="仿宋_GB2312" w:hAnsi="宋体" w:eastAsia="仿宋_GB2312"/>
          <w:bCs/>
          <w:sz w:val="24"/>
          <w:szCs w:val="24"/>
        </w:rPr>
      </w:pPr>
      <w:r>
        <w:rPr>
          <w:rFonts w:hint="eastAsia" w:ascii="仿宋_GB2312" w:hAnsi="宋体" w:eastAsia="仿宋_GB2312"/>
          <w:bCs/>
          <w:sz w:val="24"/>
          <w:szCs w:val="24"/>
        </w:rPr>
        <w:t>投标人名称（盖章）：                     法定代表人或授权代表签字：</w:t>
      </w:r>
    </w:p>
    <w:p w14:paraId="0340B0EB">
      <w:pPr>
        <w:pStyle w:val="15"/>
        <w:spacing w:line="360" w:lineRule="auto"/>
        <w:rPr>
          <w:rFonts w:hint="eastAsia" w:ascii="仿宋_GB2312" w:hAnsi="宋体" w:eastAsia="仿宋_GB2312"/>
          <w:bCs/>
          <w:sz w:val="24"/>
          <w:szCs w:val="24"/>
        </w:rPr>
      </w:pPr>
    </w:p>
    <w:p w14:paraId="1ED8A66E">
      <w:pPr>
        <w:pStyle w:val="15"/>
        <w:spacing w:line="360" w:lineRule="auto"/>
        <w:rPr>
          <w:rFonts w:hint="eastAsia" w:ascii="仿宋_GB2312" w:hAnsi="宋体" w:eastAsia="仿宋_GB2312"/>
          <w:bCs/>
          <w:sz w:val="24"/>
          <w:szCs w:val="24"/>
        </w:rPr>
      </w:pPr>
    </w:p>
    <w:p w14:paraId="00A1F40B">
      <w:pPr>
        <w:pStyle w:val="15"/>
        <w:spacing w:line="360" w:lineRule="auto"/>
        <w:rPr>
          <w:rFonts w:hint="eastAsia" w:ascii="仿宋_GB2312" w:hAnsi="宋体" w:eastAsia="仿宋_GB2312"/>
          <w:bCs/>
          <w:sz w:val="24"/>
          <w:szCs w:val="24"/>
        </w:rPr>
      </w:pPr>
    </w:p>
    <w:p w14:paraId="3EC1ACEB">
      <w:pPr>
        <w:pStyle w:val="15"/>
        <w:spacing w:line="360" w:lineRule="auto"/>
        <w:rPr>
          <w:rFonts w:hint="eastAsia" w:ascii="仿宋_GB2312" w:hAnsi="宋体" w:eastAsia="仿宋_GB2312"/>
          <w:bCs/>
          <w:sz w:val="24"/>
          <w:szCs w:val="24"/>
        </w:rPr>
      </w:pPr>
    </w:p>
    <w:p w14:paraId="60EC4DAC">
      <w:pPr>
        <w:pStyle w:val="15"/>
        <w:spacing w:line="360" w:lineRule="auto"/>
        <w:rPr>
          <w:rFonts w:hint="eastAsia" w:ascii="仿宋_GB2312" w:hAnsi="宋体" w:eastAsia="仿宋_GB2312"/>
          <w:bCs/>
          <w:sz w:val="24"/>
          <w:szCs w:val="24"/>
        </w:rPr>
      </w:pPr>
    </w:p>
    <w:p w14:paraId="25C24CC1">
      <w:pPr>
        <w:pStyle w:val="15"/>
        <w:spacing w:line="360" w:lineRule="auto"/>
        <w:rPr>
          <w:rFonts w:hint="eastAsia" w:ascii="仿宋_GB2312" w:hAnsi="宋体" w:eastAsia="仿宋_GB2312"/>
          <w:bCs/>
          <w:sz w:val="24"/>
          <w:szCs w:val="24"/>
        </w:rPr>
      </w:pPr>
    </w:p>
    <w:p w14:paraId="592FB1E5">
      <w:pPr>
        <w:pStyle w:val="15"/>
        <w:spacing w:line="360" w:lineRule="auto"/>
        <w:rPr>
          <w:rFonts w:hint="eastAsia" w:ascii="仿宋_GB2312" w:hAnsi="宋体" w:eastAsia="仿宋_GB2312"/>
          <w:bCs/>
          <w:sz w:val="24"/>
          <w:szCs w:val="24"/>
        </w:rPr>
      </w:pPr>
    </w:p>
    <w:p w14:paraId="21A545FC">
      <w:pPr>
        <w:pStyle w:val="15"/>
        <w:spacing w:line="360" w:lineRule="auto"/>
        <w:rPr>
          <w:rFonts w:hint="eastAsia" w:ascii="仿宋_GB2312" w:hAnsi="宋体" w:eastAsia="仿宋_GB2312"/>
          <w:bCs/>
          <w:sz w:val="24"/>
          <w:szCs w:val="24"/>
        </w:rPr>
      </w:pPr>
    </w:p>
    <w:p w14:paraId="5760469C">
      <w:pPr>
        <w:pStyle w:val="15"/>
        <w:spacing w:line="360" w:lineRule="auto"/>
        <w:rPr>
          <w:rFonts w:hint="eastAsia" w:ascii="仿宋_GB2312" w:hAnsi="宋体" w:eastAsia="仿宋_GB2312"/>
          <w:bCs/>
          <w:sz w:val="24"/>
          <w:szCs w:val="24"/>
        </w:rPr>
      </w:pPr>
    </w:p>
    <w:p w14:paraId="73839AE0">
      <w:pPr>
        <w:pStyle w:val="15"/>
        <w:spacing w:line="360" w:lineRule="auto"/>
        <w:rPr>
          <w:rFonts w:hint="eastAsia" w:ascii="仿宋_GB2312" w:hAnsi="宋体" w:eastAsia="仿宋_GB2312"/>
          <w:bCs/>
          <w:sz w:val="24"/>
          <w:szCs w:val="24"/>
        </w:rPr>
      </w:pPr>
    </w:p>
    <w:p w14:paraId="348752C7">
      <w:pPr>
        <w:pStyle w:val="15"/>
        <w:spacing w:line="360" w:lineRule="auto"/>
        <w:rPr>
          <w:rFonts w:hint="eastAsia" w:ascii="仿宋_GB2312" w:hAnsi="宋体" w:eastAsia="仿宋_GB2312"/>
          <w:bCs/>
          <w:sz w:val="24"/>
          <w:szCs w:val="24"/>
        </w:rPr>
      </w:pPr>
    </w:p>
    <w:p w14:paraId="7CE8D2D9">
      <w:pPr>
        <w:pStyle w:val="15"/>
        <w:spacing w:line="360" w:lineRule="auto"/>
        <w:rPr>
          <w:rFonts w:hint="eastAsia" w:ascii="仿宋_GB2312" w:hAnsi="宋体" w:eastAsia="仿宋_GB2312"/>
          <w:bCs/>
          <w:sz w:val="24"/>
          <w:szCs w:val="24"/>
        </w:rPr>
      </w:pPr>
    </w:p>
    <w:p w14:paraId="78873940">
      <w:pPr>
        <w:pStyle w:val="15"/>
        <w:spacing w:line="360" w:lineRule="auto"/>
        <w:rPr>
          <w:rFonts w:hint="eastAsia" w:ascii="仿宋_GB2312" w:hAnsi="宋体" w:eastAsia="仿宋_GB2312"/>
          <w:bCs/>
          <w:sz w:val="24"/>
          <w:szCs w:val="24"/>
        </w:rPr>
      </w:pPr>
    </w:p>
    <w:p w14:paraId="093F2EAC">
      <w:pPr>
        <w:pStyle w:val="15"/>
        <w:spacing w:line="360" w:lineRule="auto"/>
        <w:rPr>
          <w:rFonts w:hint="eastAsia" w:ascii="仿宋_GB2312" w:hAnsi="宋体" w:eastAsia="仿宋_GB2312"/>
          <w:bCs/>
          <w:sz w:val="24"/>
          <w:szCs w:val="24"/>
        </w:rPr>
      </w:pPr>
    </w:p>
    <w:p w14:paraId="2EE1C716">
      <w:pPr>
        <w:pStyle w:val="15"/>
        <w:spacing w:line="360" w:lineRule="auto"/>
        <w:rPr>
          <w:rFonts w:hint="eastAsia" w:ascii="仿宋_GB2312" w:hAnsi="宋体" w:eastAsia="仿宋_GB2312"/>
          <w:b/>
          <w:sz w:val="24"/>
          <w:szCs w:val="24"/>
        </w:rPr>
      </w:pPr>
      <w:r>
        <w:rPr>
          <w:rFonts w:hint="eastAsia" w:ascii="仿宋_GB2312" w:hAnsi="宋体" w:eastAsia="仿宋_GB2312"/>
          <w:b/>
          <w:sz w:val="24"/>
          <w:szCs w:val="24"/>
        </w:rPr>
        <w:t>附件2</w:t>
      </w:r>
    </w:p>
    <w:p w14:paraId="08569A0D">
      <w:pPr>
        <w:rPr>
          <w:rFonts w:ascii="仿宋_GB2312" w:eastAsia="仿宋_GB2312"/>
          <w:b/>
          <w:bCs/>
          <w:sz w:val="24"/>
          <w:szCs w:val="24"/>
        </w:rPr>
      </w:pPr>
      <w:r>
        <w:rPr>
          <w:rFonts w:hint="eastAsia" w:ascii="仿宋_GB2312" w:eastAsia="仿宋_GB2312"/>
          <w:b/>
          <w:bCs/>
          <w:sz w:val="24"/>
          <w:szCs w:val="24"/>
        </w:rPr>
        <w:t>项目名称：</w:t>
      </w:r>
      <w:r>
        <w:rPr>
          <w:rFonts w:hint="eastAsia" w:ascii="仿宋_GB2312" w:eastAsia="仿宋_GB2312"/>
          <w:b/>
          <w:bCs/>
          <w:sz w:val="24"/>
          <w:szCs w:val="24"/>
          <w:lang w:val="en-US" w:eastAsia="zh-CN"/>
        </w:rPr>
        <w:t>中国重汽集团济南汽车部件有限公司2026年度危险废物处置项目</w:t>
      </w:r>
    </w:p>
    <w:p w14:paraId="7821E8D1">
      <w:pPr>
        <w:rPr>
          <w:rFonts w:ascii="仿宋_GB2312" w:eastAsia="仿宋_GB2312"/>
          <w:b/>
          <w:bCs/>
          <w:sz w:val="24"/>
          <w:szCs w:val="24"/>
        </w:rPr>
      </w:pPr>
      <w:r>
        <w:rPr>
          <w:rFonts w:hint="eastAsia" w:ascii="仿宋_GB2312" w:eastAsia="仿宋_GB2312"/>
          <w:b/>
          <w:bCs/>
          <w:sz w:val="24"/>
          <w:szCs w:val="24"/>
        </w:rPr>
        <w:t>日期：  年   月   日</w:t>
      </w:r>
    </w:p>
    <w:p w14:paraId="70344881">
      <w:pPr>
        <w:jc w:val="center"/>
        <w:rPr>
          <w:rFonts w:ascii="仿宋_GB2312" w:eastAsia="仿宋_GB2312"/>
          <w:b/>
          <w:bCs/>
          <w:sz w:val="24"/>
          <w:szCs w:val="24"/>
        </w:rPr>
      </w:pPr>
      <w:r>
        <w:rPr>
          <w:rFonts w:hint="eastAsia" w:ascii="仿宋_GB2312" w:eastAsia="仿宋_GB2312"/>
          <w:b/>
          <w:bCs/>
          <w:sz w:val="24"/>
          <w:szCs w:val="24"/>
        </w:rPr>
        <w:t>企业概况一览表</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7"/>
        <w:gridCol w:w="1489"/>
        <w:gridCol w:w="1701"/>
        <w:gridCol w:w="1134"/>
        <w:gridCol w:w="1842"/>
        <w:gridCol w:w="1127"/>
      </w:tblGrid>
      <w:tr w14:paraId="6D5C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767" w:type="dxa"/>
            <w:vAlign w:val="center"/>
          </w:tcPr>
          <w:p w14:paraId="5B0AE311">
            <w:pPr>
              <w:snapToGrid w:val="0"/>
              <w:jc w:val="center"/>
              <w:rPr>
                <w:rFonts w:hint="eastAsia" w:ascii="仿宋_GB2312" w:hAnsi="宋体" w:eastAsia="仿宋_GB2312"/>
                <w:sz w:val="24"/>
                <w:szCs w:val="24"/>
              </w:rPr>
            </w:pPr>
            <w:r>
              <w:rPr>
                <w:rFonts w:hint="eastAsia" w:ascii="仿宋_GB2312" w:hAnsi="宋体" w:eastAsia="仿宋_GB2312"/>
                <w:sz w:val="24"/>
                <w:szCs w:val="24"/>
              </w:rPr>
              <w:t>企业名称</w:t>
            </w:r>
          </w:p>
        </w:tc>
        <w:tc>
          <w:tcPr>
            <w:tcW w:w="1489" w:type="dxa"/>
            <w:vAlign w:val="center"/>
          </w:tcPr>
          <w:p w14:paraId="487B4E89">
            <w:pPr>
              <w:snapToGrid w:val="0"/>
              <w:jc w:val="center"/>
              <w:rPr>
                <w:rFonts w:hint="eastAsia" w:ascii="仿宋_GB2312" w:hAnsi="宋体" w:eastAsia="仿宋_GB2312"/>
                <w:sz w:val="24"/>
                <w:szCs w:val="24"/>
              </w:rPr>
            </w:pPr>
          </w:p>
        </w:tc>
        <w:tc>
          <w:tcPr>
            <w:tcW w:w="1701" w:type="dxa"/>
            <w:vAlign w:val="center"/>
          </w:tcPr>
          <w:p w14:paraId="7CF107AF">
            <w:pPr>
              <w:snapToGrid w:val="0"/>
              <w:jc w:val="center"/>
              <w:rPr>
                <w:rFonts w:hint="eastAsia" w:ascii="仿宋_GB2312" w:hAnsi="宋体" w:eastAsia="仿宋_GB2312"/>
                <w:sz w:val="24"/>
                <w:szCs w:val="24"/>
              </w:rPr>
            </w:pPr>
            <w:r>
              <w:rPr>
                <w:rFonts w:hint="eastAsia" w:ascii="仿宋_GB2312" w:hAnsi="宋体" w:eastAsia="仿宋_GB2312"/>
                <w:sz w:val="24"/>
                <w:szCs w:val="24"/>
              </w:rPr>
              <w:t>成立时间</w:t>
            </w:r>
          </w:p>
        </w:tc>
        <w:tc>
          <w:tcPr>
            <w:tcW w:w="1134" w:type="dxa"/>
            <w:vAlign w:val="center"/>
          </w:tcPr>
          <w:p w14:paraId="20D75705">
            <w:pPr>
              <w:snapToGrid w:val="0"/>
              <w:jc w:val="center"/>
              <w:rPr>
                <w:rFonts w:hint="eastAsia" w:ascii="仿宋_GB2312" w:hAnsi="宋体" w:eastAsia="仿宋_GB2312"/>
                <w:sz w:val="24"/>
                <w:szCs w:val="24"/>
              </w:rPr>
            </w:pPr>
          </w:p>
        </w:tc>
        <w:tc>
          <w:tcPr>
            <w:tcW w:w="1842" w:type="dxa"/>
            <w:vAlign w:val="center"/>
          </w:tcPr>
          <w:p w14:paraId="66F2C93C">
            <w:pPr>
              <w:snapToGrid w:val="0"/>
              <w:jc w:val="center"/>
              <w:rPr>
                <w:rFonts w:hint="eastAsia" w:ascii="仿宋_GB2312" w:hAnsi="宋体" w:eastAsia="仿宋_GB2312"/>
                <w:sz w:val="24"/>
                <w:szCs w:val="24"/>
              </w:rPr>
            </w:pPr>
            <w:r>
              <w:rPr>
                <w:rFonts w:hint="eastAsia" w:ascii="仿宋_GB2312" w:hAnsi="宋体" w:eastAsia="仿宋_GB2312"/>
                <w:sz w:val="24"/>
                <w:szCs w:val="24"/>
              </w:rPr>
              <w:t>注册资本</w:t>
            </w:r>
          </w:p>
          <w:p w14:paraId="6D1ABA60">
            <w:pPr>
              <w:snapToGrid w:val="0"/>
              <w:jc w:val="center"/>
              <w:rPr>
                <w:rFonts w:hint="eastAsia" w:ascii="仿宋_GB2312" w:hAnsi="宋体" w:eastAsia="仿宋_GB2312"/>
                <w:sz w:val="24"/>
                <w:szCs w:val="24"/>
              </w:rPr>
            </w:pPr>
            <w:r>
              <w:rPr>
                <w:rFonts w:hint="eastAsia" w:ascii="仿宋_GB2312" w:hAnsi="宋体" w:eastAsia="仿宋_GB2312"/>
                <w:sz w:val="24"/>
                <w:szCs w:val="24"/>
              </w:rPr>
              <w:t>（万元）</w:t>
            </w:r>
          </w:p>
        </w:tc>
        <w:tc>
          <w:tcPr>
            <w:tcW w:w="1127" w:type="dxa"/>
            <w:vAlign w:val="center"/>
          </w:tcPr>
          <w:p w14:paraId="38B7C318">
            <w:pPr>
              <w:snapToGrid w:val="0"/>
              <w:jc w:val="center"/>
              <w:rPr>
                <w:rFonts w:hint="eastAsia" w:ascii="仿宋_GB2312" w:hAnsi="宋体" w:eastAsia="仿宋_GB2312"/>
                <w:sz w:val="24"/>
                <w:szCs w:val="24"/>
              </w:rPr>
            </w:pPr>
          </w:p>
        </w:tc>
      </w:tr>
      <w:tr w14:paraId="532D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7" w:type="dxa"/>
            <w:vAlign w:val="center"/>
          </w:tcPr>
          <w:p w14:paraId="53907D4F">
            <w:pPr>
              <w:snapToGrid w:val="0"/>
              <w:jc w:val="center"/>
              <w:rPr>
                <w:rFonts w:hint="eastAsia" w:ascii="仿宋_GB2312" w:hAnsi="宋体" w:eastAsia="仿宋_GB2312"/>
                <w:sz w:val="24"/>
                <w:szCs w:val="24"/>
              </w:rPr>
            </w:pPr>
            <w:r>
              <w:rPr>
                <w:rFonts w:hint="eastAsia" w:ascii="仿宋_GB2312" w:hAnsi="宋体" w:eastAsia="仿宋_GB2312"/>
                <w:sz w:val="24"/>
                <w:szCs w:val="24"/>
              </w:rPr>
              <w:t>厂址</w:t>
            </w:r>
          </w:p>
        </w:tc>
        <w:tc>
          <w:tcPr>
            <w:tcW w:w="1489" w:type="dxa"/>
            <w:vAlign w:val="center"/>
          </w:tcPr>
          <w:p w14:paraId="6E84CEC2">
            <w:pPr>
              <w:snapToGrid w:val="0"/>
              <w:jc w:val="center"/>
              <w:rPr>
                <w:rFonts w:hint="eastAsia" w:ascii="仿宋_GB2312" w:hAnsi="宋体" w:eastAsia="仿宋_GB2312"/>
                <w:sz w:val="24"/>
                <w:szCs w:val="24"/>
              </w:rPr>
            </w:pPr>
          </w:p>
        </w:tc>
        <w:tc>
          <w:tcPr>
            <w:tcW w:w="1701" w:type="dxa"/>
            <w:vAlign w:val="center"/>
          </w:tcPr>
          <w:p w14:paraId="0D7FD485">
            <w:pPr>
              <w:snapToGrid w:val="0"/>
              <w:jc w:val="center"/>
              <w:rPr>
                <w:rFonts w:hint="eastAsia" w:ascii="仿宋_GB2312" w:hAnsi="宋体" w:eastAsia="仿宋_GB2312"/>
                <w:sz w:val="24"/>
                <w:szCs w:val="24"/>
              </w:rPr>
            </w:pPr>
            <w:r>
              <w:rPr>
                <w:rFonts w:hint="eastAsia" w:ascii="仿宋_GB2312" w:hAnsi="宋体" w:eastAsia="仿宋_GB2312"/>
                <w:sz w:val="24"/>
                <w:szCs w:val="24"/>
              </w:rPr>
              <w:t>处置场地面积（</w:t>
            </w:r>
            <w:r>
              <w:rPr>
                <w:rFonts w:hint="eastAsia" w:ascii="微软雅黑" w:hAnsi="微软雅黑" w:eastAsia="微软雅黑" w:cs="微软雅黑"/>
                <w:sz w:val="24"/>
                <w:szCs w:val="24"/>
              </w:rPr>
              <w:t>㎡</w:t>
            </w:r>
            <w:r>
              <w:rPr>
                <w:rFonts w:hint="eastAsia" w:ascii="仿宋_GB2312" w:hAnsi="仿宋_GB2312" w:eastAsia="仿宋_GB2312" w:cs="仿宋_GB2312"/>
                <w:sz w:val="24"/>
                <w:szCs w:val="24"/>
              </w:rPr>
              <w:t>）</w:t>
            </w:r>
          </w:p>
        </w:tc>
        <w:tc>
          <w:tcPr>
            <w:tcW w:w="1134" w:type="dxa"/>
            <w:vAlign w:val="center"/>
          </w:tcPr>
          <w:p w14:paraId="4ADD1B2B">
            <w:pPr>
              <w:snapToGrid w:val="0"/>
              <w:jc w:val="center"/>
              <w:rPr>
                <w:rFonts w:hint="eastAsia" w:ascii="仿宋_GB2312" w:hAnsi="宋体" w:eastAsia="仿宋_GB2312"/>
                <w:sz w:val="24"/>
                <w:szCs w:val="24"/>
              </w:rPr>
            </w:pPr>
          </w:p>
        </w:tc>
        <w:tc>
          <w:tcPr>
            <w:tcW w:w="1842" w:type="dxa"/>
            <w:vAlign w:val="center"/>
          </w:tcPr>
          <w:p w14:paraId="480AB7F2">
            <w:pPr>
              <w:snapToGrid w:val="0"/>
              <w:jc w:val="center"/>
              <w:rPr>
                <w:rFonts w:hint="eastAsia" w:ascii="仿宋_GB2312" w:hAnsi="宋体" w:eastAsia="仿宋_GB2312"/>
                <w:sz w:val="24"/>
                <w:szCs w:val="24"/>
              </w:rPr>
            </w:pPr>
            <w:r>
              <w:rPr>
                <w:rFonts w:hint="eastAsia" w:ascii="仿宋_GB2312" w:hAnsi="宋体" w:eastAsia="仿宋_GB2312"/>
                <w:sz w:val="24"/>
                <w:szCs w:val="24"/>
              </w:rPr>
              <w:t>在册员工人数（人）</w:t>
            </w:r>
          </w:p>
        </w:tc>
        <w:tc>
          <w:tcPr>
            <w:tcW w:w="1127" w:type="dxa"/>
            <w:vAlign w:val="center"/>
          </w:tcPr>
          <w:p w14:paraId="430F4A9F">
            <w:pPr>
              <w:snapToGrid w:val="0"/>
              <w:jc w:val="center"/>
              <w:rPr>
                <w:rFonts w:hint="eastAsia" w:ascii="仿宋_GB2312" w:hAnsi="宋体" w:eastAsia="仿宋_GB2312"/>
                <w:sz w:val="24"/>
                <w:szCs w:val="24"/>
              </w:rPr>
            </w:pPr>
          </w:p>
        </w:tc>
      </w:tr>
      <w:tr w14:paraId="54222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767" w:type="dxa"/>
            <w:vAlign w:val="center"/>
          </w:tcPr>
          <w:p w14:paraId="706A5140">
            <w:pPr>
              <w:jc w:val="center"/>
              <w:rPr>
                <w:rFonts w:hint="eastAsia" w:ascii="仿宋_GB2312" w:hAnsi="宋体" w:eastAsia="仿宋_GB2312"/>
                <w:bCs/>
                <w:sz w:val="24"/>
                <w:szCs w:val="24"/>
              </w:rPr>
            </w:pPr>
            <w:r>
              <w:rPr>
                <w:rFonts w:hint="eastAsia" w:ascii="仿宋_GB2312" w:hAnsi="宋体" w:eastAsia="仿宋_GB2312"/>
                <w:sz w:val="24"/>
                <w:szCs w:val="24"/>
              </w:rPr>
              <w:t>企业所通过的体系认证情况</w:t>
            </w:r>
          </w:p>
        </w:tc>
        <w:tc>
          <w:tcPr>
            <w:tcW w:w="7293" w:type="dxa"/>
            <w:gridSpan w:val="5"/>
            <w:vAlign w:val="center"/>
          </w:tcPr>
          <w:p w14:paraId="6FE9A3B3">
            <w:pPr>
              <w:jc w:val="center"/>
              <w:rPr>
                <w:rFonts w:hint="eastAsia" w:ascii="仿宋_GB2312" w:hAnsi="宋体" w:eastAsia="仿宋_GB2312"/>
                <w:b/>
                <w:bCs/>
                <w:sz w:val="24"/>
                <w:szCs w:val="24"/>
              </w:rPr>
            </w:pPr>
          </w:p>
        </w:tc>
      </w:tr>
      <w:tr w14:paraId="23B3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trPr>
        <w:tc>
          <w:tcPr>
            <w:tcW w:w="1767" w:type="dxa"/>
            <w:vAlign w:val="center"/>
          </w:tcPr>
          <w:p w14:paraId="51FAC34B">
            <w:pPr>
              <w:jc w:val="center"/>
              <w:rPr>
                <w:rFonts w:hint="eastAsia" w:ascii="仿宋_GB2312" w:hAnsi="宋体" w:eastAsia="仿宋_GB2312"/>
                <w:bCs/>
                <w:sz w:val="24"/>
                <w:szCs w:val="24"/>
              </w:rPr>
            </w:pPr>
            <w:r>
              <w:rPr>
                <w:rFonts w:hint="eastAsia" w:ascii="仿宋_GB2312" w:hAnsi="宋体" w:eastAsia="仿宋_GB2312"/>
                <w:bCs/>
                <w:sz w:val="24"/>
                <w:szCs w:val="24"/>
              </w:rPr>
              <w:t>危险废物回收、利用、处置范围</w:t>
            </w:r>
          </w:p>
        </w:tc>
        <w:tc>
          <w:tcPr>
            <w:tcW w:w="7293" w:type="dxa"/>
            <w:gridSpan w:val="5"/>
            <w:vAlign w:val="center"/>
          </w:tcPr>
          <w:p w14:paraId="2ADACDED">
            <w:pPr>
              <w:jc w:val="center"/>
              <w:rPr>
                <w:rFonts w:hint="eastAsia" w:ascii="仿宋_GB2312" w:hAnsi="宋体" w:eastAsia="仿宋_GB2312"/>
                <w:b/>
                <w:bCs/>
                <w:sz w:val="24"/>
                <w:szCs w:val="24"/>
              </w:rPr>
            </w:pPr>
          </w:p>
        </w:tc>
      </w:tr>
      <w:tr w14:paraId="77B20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767" w:type="dxa"/>
            <w:vAlign w:val="center"/>
          </w:tcPr>
          <w:p w14:paraId="6650CE13">
            <w:pPr>
              <w:jc w:val="center"/>
              <w:rPr>
                <w:rFonts w:hint="eastAsia" w:ascii="仿宋_GB2312" w:hAnsi="宋体" w:eastAsia="仿宋_GB2312"/>
                <w:b/>
                <w:bCs/>
                <w:sz w:val="24"/>
                <w:szCs w:val="24"/>
              </w:rPr>
            </w:pPr>
            <w:r>
              <w:rPr>
                <w:rFonts w:hint="eastAsia" w:ascii="仿宋_GB2312" w:hAnsi="宋体" w:eastAsia="仿宋_GB2312"/>
                <w:bCs/>
                <w:sz w:val="24"/>
                <w:szCs w:val="24"/>
              </w:rPr>
              <w:t>主要回收、利用、处置设备</w:t>
            </w:r>
          </w:p>
        </w:tc>
        <w:tc>
          <w:tcPr>
            <w:tcW w:w="7293" w:type="dxa"/>
            <w:gridSpan w:val="5"/>
            <w:vAlign w:val="center"/>
          </w:tcPr>
          <w:p w14:paraId="46AA5FBC">
            <w:pPr>
              <w:jc w:val="center"/>
              <w:rPr>
                <w:rFonts w:hint="eastAsia" w:ascii="仿宋_GB2312" w:hAnsi="宋体" w:eastAsia="仿宋_GB2312"/>
                <w:b/>
                <w:bCs/>
                <w:sz w:val="24"/>
                <w:szCs w:val="24"/>
              </w:rPr>
            </w:pPr>
          </w:p>
        </w:tc>
      </w:tr>
      <w:tr w14:paraId="68D1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767" w:type="dxa"/>
            <w:vAlign w:val="center"/>
          </w:tcPr>
          <w:p w14:paraId="63F1773A">
            <w:pPr>
              <w:jc w:val="center"/>
              <w:rPr>
                <w:rFonts w:hint="eastAsia" w:ascii="仿宋_GB2312" w:hAnsi="宋体" w:eastAsia="仿宋_GB2312"/>
                <w:bCs/>
                <w:sz w:val="24"/>
                <w:szCs w:val="24"/>
              </w:rPr>
            </w:pPr>
            <w:r>
              <w:rPr>
                <w:rFonts w:hint="eastAsia" w:ascii="仿宋_GB2312" w:hAnsi="宋体" w:eastAsia="仿宋_GB2312"/>
                <w:bCs/>
                <w:sz w:val="24"/>
                <w:szCs w:val="24"/>
              </w:rPr>
              <w:t>危险废物回收、利用、处置能力（吨/年）</w:t>
            </w:r>
          </w:p>
        </w:tc>
        <w:tc>
          <w:tcPr>
            <w:tcW w:w="7293" w:type="dxa"/>
            <w:gridSpan w:val="5"/>
            <w:vAlign w:val="center"/>
          </w:tcPr>
          <w:p w14:paraId="498A099A">
            <w:pPr>
              <w:jc w:val="center"/>
              <w:rPr>
                <w:rFonts w:hint="eastAsia" w:ascii="仿宋_GB2312" w:hAnsi="宋体" w:eastAsia="仿宋_GB2312"/>
                <w:b/>
                <w:bCs/>
                <w:sz w:val="24"/>
                <w:szCs w:val="24"/>
              </w:rPr>
            </w:pPr>
          </w:p>
        </w:tc>
      </w:tr>
      <w:tr w14:paraId="7668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1767" w:type="dxa"/>
            <w:vAlign w:val="center"/>
          </w:tcPr>
          <w:p w14:paraId="7D0CA7D5">
            <w:pPr>
              <w:jc w:val="center"/>
              <w:rPr>
                <w:rFonts w:hint="eastAsia" w:ascii="仿宋_GB2312" w:hAnsi="宋体" w:eastAsia="仿宋_GB2312"/>
                <w:b/>
                <w:bCs/>
                <w:sz w:val="24"/>
                <w:szCs w:val="24"/>
              </w:rPr>
            </w:pPr>
            <w:r>
              <w:rPr>
                <w:rFonts w:hint="eastAsia" w:ascii="仿宋_GB2312" w:hAnsi="宋体" w:eastAsia="仿宋_GB2312"/>
                <w:bCs/>
                <w:sz w:val="24"/>
                <w:szCs w:val="24"/>
              </w:rPr>
              <w:t>危险废物回收、利用、处置工艺</w:t>
            </w:r>
          </w:p>
        </w:tc>
        <w:tc>
          <w:tcPr>
            <w:tcW w:w="7293" w:type="dxa"/>
            <w:gridSpan w:val="5"/>
            <w:vAlign w:val="center"/>
          </w:tcPr>
          <w:p w14:paraId="3040D52E">
            <w:pPr>
              <w:jc w:val="center"/>
              <w:rPr>
                <w:rFonts w:hint="eastAsia" w:ascii="仿宋_GB2312" w:hAnsi="宋体" w:eastAsia="仿宋_GB2312"/>
                <w:b/>
                <w:bCs/>
                <w:sz w:val="24"/>
                <w:szCs w:val="24"/>
              </w:rPr>
            </w:pPr>
          </w:p>
        </w:tc>
      </w:tr>
      <w:tr w14:paraId="05DA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767" w:type="dxa"/>
            <w:vAlign w:val="center"/>
          </w:tcPr>
          <w:p w14:paraId="6411955A">
            <w:pPr>
              <w:jc w:val="center"/>
              <w:rPr>
                <w:rFonts w:hint="eastAsia" w:ascii="仿宋_GB2312" w:hAnsi="宋体" w:eastAsia="仿宋_GB2312"/>
                <w:bCs/>
                <w:sz w:val="24"/>
                <w:szCs w:val="24"/>
              </w:rPr>
            </w:pPr>
            <w:r>
              <w:rPr>
                <w:rFonts w:hint="eastAsia" w:ascii="仿宋_GB2312" w:hAnsi="宋体" w:eastAsia="仿宋_GB2312"/>
                <w:bCs/>
                <w:sz w:val="24"/>
                <w:szCs w:val="24"/>
              </w:rPr>
              <w:t>专利</w:t>
            </w:r>
          </w:p>
        </w:tc>
        <w:tc>
          <w:tcPr>
            <w:tcW w:w="7293" w:type="dxa"/>
            <w:gridSpan w:val="5"/>
            <w:vAlign w:val="center"/>
          </w:tcPr>
          <w:p w14:paraId="4F44671E">
            <w:pPr>
              <w:jc w:val="center"/>
              <w:rPr>
                <w:rFonts w:hint="eastAsia" w:ascii="仿宋_GB2312" w:hAnsi="宋体" w:eastAsia="仿宋_GB2312"/>
                <w:b/>
                <w:bCs/>
                <w:sz w:val="24"/>
                <w:szCs w:val="24"/>
              </w:rPr>
            </w:pPr>
          </w:p>
        </w:tc>
      </w:tr>
      <w:tr w14:paraId="2261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1767" w:type="dxa"/>
            <w:vAlign w:val="center"/>
          </w:tcPr>
          <w:p w14:paraId="3DE58A29">
            <w:pPr>
              <w:jc w:val="center"/>
              <w:rPr>
                <w:rFonts w:hint="eastAsia" w:ascii="仿宋_GB2312" w:hAnsi="宋体" w:eastAsia="仿宋_GB2312"/>
                <w:bCs/>
                <w:sz w:val="24"/>
                <w:szCs w:val="24"/>
              </w:rPr>
            </w:pPr>
            <w:r>
              <w:rPr>
                <w:rFonts w:hint="eastAsia" w:ascii="仿宋_GB2312" w:hAnsi="宋体" w:eastAsia="仿宋_GB2312"/>
                <w:bCs/>
                <w:sz w:val="24"/>
                <w:szCs w:val="24"/>
              </w:rPr>
              <w:t>本企业其它优势</w:t>
            </w:r>
          </w:p>
        </w:tc>
        <w:tc>
          <w:tcPr>
            <w:tcW w:w="7293" w:type="dxa"/>
            <w:gridSpan w:val="5"/>
            <w:vAlign w:val="center"/>
          </w:tcPr>
          <w:p w14:paraId="65FB2D5E">
            <w:pPr>
              <w:jc w:val="center"/>
              <w:rPr>
                <w:rFonts w:hint="eastAsia" w:ascii="仿宋_GB2312" w:hAnsi="宋体" w:eastAsia="仿宋_GB2312"/>
                <w:b/>
                <w:bCs/>
                <w:sz w:val="24"/>
                <w:szCs w:val="24"/>
              </w:rPr>
            </w:pPr>
          </w:p>
        </w:tc>
      </w:tr>
    </w:tbl>
    <w:p w14:paraId="69C8F7DE">
      <w:pPr>
        <w:rPr>
          <w:rFonts w:eastAsia="黑体"/>
          <w:b/>
          <w:bCs/>
          <w:sz w:val="24"/>
          <w:szCs w:val="24"/>
        </w:rPr>
      </w:pPr>
    </w:p>
    <w:p w14:paraId="5672A00B">
      <w:pPr>
        <w:rPr>
          <w:rFonts w:eastAsia="黑体"/>
          <w:b/>
          <w:bCs/>
          <w:sz w:val="24"/>
          <w:szCs w:val="24"/>
        </w:rPr>
      </w:pPr>
    </w:p>
    <w:p w14:paraId="4CB111D9">
      <w:pPr>
        <w:pStyle w:val="15"/>
        <w:spacing w:line="360" w:lineRule="auto"/>
        <w:ind w:firstLine="240" w:firstLineChars="100"/>
        <w:rPr>
          <w:rFonts w:hint="eastAsia" w:ascii="仿宋_GB2312" w:hAnsi="宋体" w:eastAsia="仿宋_GB2312"/>
          <w:sz w:val="24"/>
          <w:szCs w:val="24"/>
        </w:rPr>
        <w:sectPr>
          <w:pgSz w:w="11906" w:h="16838"/>
          <w:pgMar w:top="1418" w:right="1418" w:bottom="1134" w:left="1418" w:header="851" w:footer="992" w:gutter="0"/>
          <w:pgNumType w:fmt="decimal" w:chapStyle="1"/>
          <w:cols w:space="720" w:num="1"/>
          <w:docGrid w:type="lines" w:linePitch="312" w:charSpace="0"/>
        </w:sectPr>
      </w:pPr>
      <w:r>
        <w:rPr>
          <w:rFonts w:hint="eastAsia" w:ascii="仿宋_GB2312" w:hAnsi="宋体" w:eastAsia="仿宋_GB2312"/>
          <w:sz w:val="24"/>
          <w:szCs w:val="24"/>
        </w:rPr>
        <w:t>投标人名称（盖章）：              法定代表人或授权代表签字：</w:t>
      </w:r>
    </w:p>
    <w:p w14:paraId="20ABA36C">
      <w:pPr>
        <w:rPr>
          <w:rFonts w:ascii="仿宋_GB2312" w:eastAsia="仿宋_GB2312"/>
          <w:b/>
          <w:bCs/>
          <w:sz w:val="24"/>
          <w:szCs w:val="24"/>
        </w:rPr>
      </w:pPr>
      <w:r>
        <w:rPr>
          <w:rFonts w:hint="eastAsia" w:ascii="仿宋_GB2312" w:eastAsia="仿宋_GB2312"/>
          <w:b/>
          <w:bCs/>
          <w:sz w:val="24"/>
          <w:szCs w:val="24"/>
        </w:rPr>
        <w:t>附件3</w:t>
      </w:r>
    </w:p>
    <w:p w14:paraId="7CC8FFB3">
      <w:pPr>
        <w:rPr>
          <w:rFonts w:ascii="仿宋_GB2312" w:eastAsia="仿宋_GB2312"/>
          <w:b/>
          <w:bCs/>
          <w:sz w:val="24"/>
          <w:szCs w:val="24"/>
        </w:rPr>
      </w:pPr>
      <w:r>
        <w:rPr>
          <w:rFonts w:hint="eastAsia" w:ascii="仿宋_GB2312" w:eastAsia="仿宋_GB2312"/>
          <w:b/>
          <w:bCs/>
          <w:sz w:val="24"/>
          <w:szCs w:val="24"/>
        </w:rPr>
        <w:t>项目名称：</w:t>
      </w:r>
      <w:r>
        <w:rPr>
          <w:rFonts w:hint="eastAsia" w:ascii="仿宋_GB2312" w:eastAsia="仿宋_GB2312"/>
          <w:b/>
          <w:bCs/>
          <w:sz w:val="24"/>
          <w:szCs w:val="24"/>
          <w:lang w:val="en-US" w:eastAsia="zh-CN"/>
        </w:rPr>
        <w:t>中国重汽集团济南汽车部件有限公司2026年度危险废物处置项目</w:t>
      </w:r>
    </w:p>
    <w:p w14:paraId="166DABA0">
      <w:pPr>
        <w:rPr>
          <w:rFonts w:ascii="仿宋_GB2312" w:eastAsia="仿宋_GB2312"/>
          <w:sz w:val="24"/>
          <w:szCs w:val="24"/>
          <w:u w:val="single"/>
        </w:rPr>
      </w:pPr>
    </w:p>
    <w:p w14:paraId="2D5C82F1">
      <w:pPr>
        <w:rPr>
          <w:rFonts w:ascii="仿宋_GB2312" w:eastAsia="仿宋_GB2312"/>
          <w:b/>
          <w:bCs/>
          <w:sz w:val="24"/>
          <w:szCs w:val="24"/>
        </w:rPr>
      </w:pPr>
      <w:r>
        <w:rPr>
          <w:rFonts w:hint="eastAsia" w:ascii="仿宋_GB2312" w:eastAsia="仿宋_GB2312"/>
          <w:b/>
          <w:bCs/>
          <w:sz w:val="24"/>
          <w:szCs w:val="24"/>
        </w:rPr>
        <w:t>日期：  年   月   日</w:t>
      </w:r>
    </w:p>
    <w:p w14:paraId="124C9C76">
      <w:pPr>
        <w:rPr>
          <w:rFonts w:hint="eastAsia" w:ascii="仿宋_GB2312" w:hAnsi="宋体" w:eastAsia="仿宋_GB2312"/>
          <w:sz w:val="24"/>
          <w:szCs w:val="24"/>
        </w:rPr>
      </w:pPr>
    </w:p>
    <w:p w14:paraId="7548F92A">
      <w:pPr>
        <w:jc w:val="center"/>
        <w:rPr>
          <w:rFonts w:ascii="仿宋_GB2312" w:eastAsia="仿宋_GB2312"/>
          <w:b/>
          <w:bCs/>
          <w:sz w:val="24"/>
          <w:szCs w:val="24"/>
        </w:rPr>
      </w:pPr>
      <w:r>
        <w:rPr>
          <w:rFonts w:hint="eastAsia" w:ascii="仿宋_GB2312" w:eastAsia="仿宋_GB2312"/>
          <w:b/>
          <w:bCs/>
          <w:sz w:val="24"/>
          <w:szCs w:val="24"/>
        </w:rPr>
        <w:t>相关条款偏离表（技术偏离）</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3689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5096577">
            <w:pPr>
              <w:jc w:val="center"/>
              <w:rPr>
                <w:rFonts w:hint="eastAsia" w:ascii="仿宋_GB2312" w:hAnsi="宋体" w:eastAsia="仿宋_GB2312"/>
                <w:sz w:val="24"/>
                <w:szCs w:val="24"/>
              </w:rPr>
            </w:pPr>
            <w:r>
              <w:rPr>
                <w:rFonts w:hint="eastAsia" w:ascii="仿宋_GB2312" w:hAnsi="宋体" w:eastAsia="仿宋_GB2312"/>
                <w:sz w:val="24"/>
                <w:szCs w:val="24"/>
              </w:rPr>
              <w:t>序号</w:t>
            </w:r>
          </w:p>
        </w:tc>
        <w:tc>
          <w:tcPr>
            <w:tcW w:w="4140" w:type="dxa"/>
            <w:gridSpan w:val="2"/>
            <w:vAlign w:val="center"/>
          </w:tcPr>
          <w:p w14:paraId="148A4145">
            <w:pPr>
              <w:jc w:val="center"/>
              <w:rPr>
                <w:rFonts w:hint="eastAsia" w:ascii="仿宋_GB2312" w:hAnsi="宋体" w:eastAsia="仿宋_GB2312"/>
                <w:sz w:val="24"/>
                <w:szCs w:val="24"/>
              </w:rPr>
            </w:pPr>
            <w:r>
              <w:rPr>
                <w:rFonts w:hint="eastAsia" w:ascii="仿宋_GB2312" w:hAnsi="宋体" w:eastAsia="仿宋_GB2312"/>
                <w:sz w:val="24"/>
                <w:szCs w:val="24"/>
              </w:rPr>
              <w:t>招标文件条款</w:t>
            </w:r>
          </w:p>
        </w:tc>
        <w:tc>
          <w:tcPr>
            <w:tcW w:w="3554" w:type="dxa"/>
            <w:vMerge w:val="restart"/>
            <w:vAlign w:val="center"/>
          </w:tcPr>
          <w:p w14:paraId="02714504">
            <w:pPr>
              <w:jc w:val="center"/>
              <w:rPr>
                <w:rFonts w:hint="eastAsia" w:ascii="仿宋_GB2312" w:hAnsi="宋体" w:eastAsia="仿宋_GB2312"/>
                <w:sz w:val="24"/>
                <w:szCs w:val="24"/>
              </w:rPr>
            </w:pPr>
            <w:r>
              <w:rPr>
                <w:rFonts w:hint="eastAsia" w:ascii="仿宋_GB2312" w:hAnsi="宋体" w:eastAsia="仿宋_GB2312"/>
                <w:sz w:val="24"/>
                <w:szCs w:val="24"/>
              </w:rPr>
              <w:t>偏离内容</w:t>
            </w:r>
          </w:p>
        </w:tc>
      </w:tr>
      <w:tr w14:paraId="7959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4F1ACD67">
            <w:pPr>
              <w:rPr>
                <w:rFonts w:hint="eastAsia" w:ascii="仿宋_GB2312" w:hAnsi="宋体" w:eastAsia="仿宋_GB2312"/>
                <w:sz w:val="24"/>
                <w:szCs w:val="24"/>
              </w:rPr>
            </w:pPr>
          </w:p>
        </w:tc>
        <w:tc>
          <w:tcPr>
            <w:tcW w:w="1080" w:type="dxa"/>
            <w:vAlign w:val="center"/>
          </w:tcPr>
          <w:p w14:paraId="29CABE26">
            <w:pPr>
              <w:jc w:val="center"/>
              <w:rPr>
                <w:rFonts w:hint="eastAsia" w:ascii="仿宋_GB2312" w:hAnsi="宋体" w:eastAsia="仿宋_GB2312"/>
                <w:sz w:val="24"/>
                <w:szCs w:val="24"/>
              </w:rPr>
            </w:pPr>
            <w:r>
              <w:rPr>
                <w:rFonts w:hint="eastAsia" w:ascii="仿宋_GB2312" w:hAnsi="宋体" w:eastAsia="仿宋_GB2312"/>
                <w:sz w:val="24"/>
                <w:szCs w:val="24"/>
              </w:rPr>
              <w:t>条款号</w:t>
            </w:r>
          </w:p>
        </w:tc>
        <w:tc>
          <w:tcPr>
            <w:tcW w:w="3060" w:type="dxa"/>
            <w:vAlign w:val="center"/>
          </w:tcPr>
          <w:p w14:paraId="6DBB2223">
            <w:pPr>
              <w:jc w:val="center"/>
              <w:rPr>
                <w:rFonts w:hint="eastAsia" w:ascii="仿宋_GB2312" w:hAnsi="宋体" w:eastAsia="仿宋_GB2312"/>
                <w:sz w:val="24"/>
                <w:szCs w:val="24"/>
              </w:rPr>
            </w:pPr>
            <w:r>
              <w:rPr>
                <w:rFonts w:hint="eastAsia" w:ascii="仿宋_GB2312" w:hAnsi="宋体" w:eastAsia="仿宋_GB2312"/>
                <w:sz w:val="24"/>
                <w:szCs w:val="24"/>
              </w:rPr>
              <w:t>条款要求</w:t>
            </w:r>
          </w:p>
        </w:tc>
        <w:tc>
          <w:tcPr>
            <w:tcW w:w="3554" w:type="dxa"/>
            <w:vMerge w:val="continue"/>
            <w:vAlign w:val="center"/>
          </w:tcPr>
          <w:p w14:paraId="6E44475C">
            <w:pPr>
              <w:jc w:val="center"/>
              <w:rPr>
                <w:rFonts w:hint="eastAsia" w:ascii="仿宋_GB2312" w:hAnsi="宋体" w:eastAsia="仿宋_GB2312"/>
                <w:sz w:val="24"/>
                <w:szCs w:val="24"/>
              </w:rPr>
            </w:pPr>
          </w:p>
        </w:tc>
      </w:tr>
      <w:tr w14:paraId="23EEF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8EBF7E3">
            <w:pPr>
              <w:jc w:val="center"/>
              <w:rPr>
                <w:rFonts w:hint="eastAsia" w:ascii="仿宋_GB2312" w:hAnsi="宋体" w:eastAsia="仿宋_GB2312"/>
                <w:sz w:val="24"/>
                <w:szCs w:val="24"/>
              </w:rPr>
            </w:pPr>
            <w:r>
              <w:rPr>
                <w:rFonts w:hint="eastAsia" w:ascii="仿宋_GB2312" w:hAnsi="宋体" w:eastAsia="仿宋_GB2312"/>
                <w:sz w:val="24"/>
                <w:szCs w:val="24"/>
              </w:rPr>
              <w:t>1</w:t>
            </w:r>
          </w:p>
        </w:tc>
        <w:tc>
          <w:tcPr>
            <w:tcW w:w="1080" w:type="dxa"/>
            <w:vAlign w:val="center"/>
          </w:tcPr>
          <w:p w14:paraId="0F8384BB">
            <w:pPr>
              <w:rPr>
                <w:rFonts w:hint="eastAsia" w:ascii="仿宋_GB2312" w:hAnsi="宋体" w:eastAsia="仿宋_GB2312"/>
                <w:sz w:val="24"/>
                <w:szCs w:val="24"/>
              </w:rPr>
            </w:pPr>
          </w:p>
        </w:tc>
        <w:tc>
          <w:tcPr>
            <w:tcW w:w="3060" w:type="dxa"/>
            <w:vAlign w:val="center"/>
          </w:tcPr>
          <w:p w14:paraId="2ACA641C">
            <w:pPr>
              <w:rPr>
                <w:rFonts w:hint="eastAsia" w:ascii="仿宋_GB2312" w:hAnsi="宋体" w:eastAsia="仿宋_GB2312"/>
                <w:sz w:val="24"/>
                <w:szCs w:val="24"/>
              </w:rPr>
            </w:pPr>
          </w:p>
        </w:tc>
        <w:tc>
          <w:tcPr>
            <w:tcW w:w="3554" w:type="dxa"/>
            <w:vAlign w:val="center"/>
          </w:tcPr>
          <w:p w14:paraId="43FABBE0">
            <w:pPr>
              <w:rPr>
                <w:rFonts w:hint="eastAsia" w:ascii="仿宋_GB2312" w:hAnsi="宋体" w:eastAsia="仿宋_GB2312"/>
                <w:sz w:val="24"/>
                <w:szCs w:val="24"/>
              </w:rPr>
            </w:pPr>
          </w:p>
        </w:tc>
      </w:tr>
      <w:tr w14:paraId="065E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532DE29">
            <w:pPr>
              <w:jc w:val="center"/>
              <w:rPr>
                <w:rFonts w:hint="eastAsia" w:ascii="仿宋_GB2312" w:hAnsi="宋体" w:eastAsia="仿宋_GB2312"/>
                <w:sz w:val="24"/>
                <w:szCs w:val="24"/>
              </w:rPr>
            </w:pPr>
            <w:r>
              <w:rPr>
                <w:rFonts w:hint="eastAsia" w:ascii="仿宋_GB2312" w:hAnsi="宋体" w:eastAsia="仿宋_GB2312"/>
                <w:sz w:val="24"/>
                <w:szCs w:val="24"/>
              </w:rPr>
              <w:t>2</w:t>
            </w:r>
          </w:p>
        </w:tc>
        <w:tc>
          <w:tcPr>
            <w:tcW w:w="1080" w:type="dxa"/>
            <w:vAlign w:val="center"/>
          </w:tcPr>
          <w:p w14:paraId="608DF353">
            <w:pPr>
              <w:rPr>
                <w:rFonts w:hint="eastAsia" w:ascii="仿宋_GB2312" w:hAnsi="宋体" w:eastAsia="仿宋_GB2312"/>
                <w:sz w:val="24"/>
                <w:szCs w:val="24"/>
              </w:rPr>
            </w:pPr>
          </w:p>
        </w:tc>
        <w:tc>
          <w:tcPr>
            <w:tcW w:w="3060" w:type="dxa"/>
            <w:vAlign w:val="center"/>
          </w:tcPr>
          <w:p w14:paraId="66E14E71">
            <w:pPr>
              <w:rPr>
                <w:rFonts w:hint="eastAsia" w:ascii="仿宋_GB2312" w:hAnsi="宋体" w:eastAsia="仿宋_GB2312"/>
                <w:sz w:val="24"/>
                <w:szCs w:val="24"/>
              </w:rPr>
            </w:pPr>
          </w:p>
        </w:tc>
        <w:tc>
          <w:tcPr>
            <w:tcW w:w="3554" w:type="dxa"/>
            <w:vAlign w:val="center"/>
          </w:tcPr>
          <w:p w14:paraId="4DA7F4CC">
            <w:pPr>
              <w:rPr>
                <w:rFonts w:hint="eastAsia" w:ascii="仿宋_GB2312" w:hAnsi="宋体" w:eastAsia="仿宋_GB2312"/>
                <w:sz w:val="24"/>
                <w:szCs w:val="24"/>
              </w:rPr>
            </w:pPr>
          </w:p>
        </w:tc>
      </w:tr>
      <w:tr w14:paraId="4793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C51F758">
            <w:pPr>
              <w:jc w:val="center"/>
              <w:rPr>
                <w:rFonts w:hint="eastAsia" w:ascii="仿宋_GB2312" w:hAnsi="宋体" w:eastAsia="仿宋_GB2312"/>
                <w:sz w:val="24"/>
                <w:szCs w:val="24"/>
              </w:rPr>
            </w:pPr>
            <w:r>
              <w:rPr>
                <w:rFonts w:hint="eastAsia" w:ascii="仿宋_GB2312" w:hAnsi="宋体" w:eastAsia="仿宋_GB2312"/>
                <w:sz w:val="24"/>
                <w:szCs w:val="24"/>
              </w:rPr>
              <w:t>3</w:t>
            </w:r>
          </w:p>
        </w:tc>
        <w:tc>
          <w:tcPr>
            <w:tcW w:w="1080" w:type="dxa"/>
            <w:vAlign w:val="center"/>
          </w:tcPr>
          <w:p w14:paraId="7DB56FF4">
            <w:pPr>
              <w:rPr>
                <w:rFonts w:hint="eastAsia" w:ascii="仿宋_GB2312" w:hAnsi="宋体" w:eastAsia="仿宋_GB2312"/>
                <w:sz w:val="24"/>
                <w:szCs w:val="24"/>
              </w:rPr>
            </w:pPr>
          </w:p>
        </w:tc>
        <w:tc>
          <w:tcPr>
            <w:tcW w:w="3060" w:type="dxa"/>
            <w:vAlign w:val="center"/>
          </w:tcPr>
          <w:p w14:paraId="724C2F0B">
            <w:pPr>
              <w:rPr>
                <w:rFonts w:hint="eastAsia" w:ascii="仿宋_GB2312" w:hAnsi="宋体" w:eastAsia="仿宋_GB2312"/>
                <w:sz w:val="24"/>
                <w:szCs w:val="24"/>
              </w:rPr>
            </w:pPr>
          </w:p>
        </w:tc>
        <w:tc>
          <w:tcPr>
            <w:tcW w:w="3554" w:type="dxa"/>
            <w:vAlign w:val="center"/>
          </w:tcPr>
          <w:p w14:paraId="75D184AE">
            <w:pPr>
              <w:rPr>
                <w:rFonts w:hint="eastAsia" w:ascii="仿宋_GB2312" w:hAnsi="宋体" w:eastAsia="仿宋_GB2312"/>
                <w:sz w:val="24"/>
                <w:szCs w:val="24"/>
              </w:rPr>
            </w:pPr>
          </w:p>
        </w:tc>
      </w:tr>
      <w:tr w14:paraId="5961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BB779A6">
            <w:pPr>
              <w:jc w:val="center"/>
              <w:rPr>
                <w:rFonts w:hint="eastAsia" w:ascii="仿宋_GB2312" w:hAnsi="宋体" w:eastAsia="仿宋_GB2312"/>
                <w:sz w:val="24"/>
                <w:szCs w:val="24"/>
              </w:rPr>
            </w:pPr>
            <w:r>
              <w:rPr>
                <w:rFonts w:hint="eastAsia" w:ascii="仿宋_GB2312" w:hAnsi="宋体" w:eastAsia="仿宋_GB2312"/>
                <w:sz w:val="24"/>
                <w:szCs w:val="24"/>
              </w:rPr>
              <w:t>4</w:t>
            </w:r>
          </w:p>
        </w:tc>
        <w:tc>
          <w:tcPr>
            <w:tcW w:w="1080" w:type="dxa"/>
            <w:vAlign w:val="center"/>
          </w:tcPr>
          <w:p w14:paraId="3510C5B8">
            <w:pPr>
              <w:rPr>
                <w:rFonts w:hint="eastAsia" w:ascii="仿宋_GB2312" w:hAnsi="宋体" w:eastAsia="仿宋_GB2312"/>
                <w:sz w:val="24"/>
                <w:szCs w:val="24"/>
              </w:rPr>
            </w:pPr>
          </w:p>
        </w:tc>
        <w:tc>
          <w:tcPr>
            <w:tcW w:w="3060" w:type="dxa"/>
            <w:vAlign w:val="center"/>
          </w:tcPr>
          <w:p w14:paraId="0B614E51">
            <w:pPr>
              <w:rPr>
                <w:rFonts w:hint="eastAsia" w:ascii="仿宋_GB2312" w:hAnsi="宋体" w:eastAsia="仿宋_GB2312"/>
                <w:sz w:val="24"/>
                <w:szCs w:val="24"/>
              </w:rPr>
            </w:pPr>
          </w:p>
        </w:tc>
        <w:tc>
          <w:tcPr>
            <w:tcW w:w="3554" w:type="dxa"/>
            <w:vAlign w:val="center"/>
          </w:tcPr>
          <w:p w14:paraId="4C16BEFC">
            <w:pPr>
              <w:rPr>
                <w:rFonts w:hint="eastAsia" w:ascii="仿宋_GB2312" w:hAnsi="宋体" w:eastAsia="仿宋_GB2312"/>
                <w:sz w:val="24"/>
                <w:szCs w:val="24"/>
              </w:rPr>
            </w:pPr>
          </w:p>
        </w:tc>
      </w:tr>
      <w:tr w14:paraId="6CA3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FEF7FF2">
            <w:pPr>
              <w:jc w:val="center"/>
              <w:rPr>
                <w:rFonts w:hint="eastAsia" w:ascii="仿宋_GB2312" w:hAnsi="宋体" w:eastAsia="仿宋_GB2312"/>
                <w:sz w:val="24"/>
                <w:szCs w:val="24"/>
              </w:rPr>
            </w:pPr>
            <w:r>
              <w:rPr>
                <w:rFonts w:hint="eastAsia" w:ascii="仿宋_GB2312" w:hAnsi="宋体" w:eastAsia="仿宋_GB2312"/>
                <w:sz w:val="24"/>
                <w:szCs w:val="24"/>
              </w:rPr>
              <w:t>5</w:t>
            </w:r>
          </w:p>
        </w:tc>
        <w:tc>
          <w:tcPr>
            <w:tcW w:w="1080" w:type="dxa"/>
            <w:vAlign w:val="center"/>
          </w:tcPr>
          <w:p w14:paraId="1C6A7382">
            <w:pPr>
              <w:rPr>
                <w:rFonts w:hint="eastAsia" w:ascii="仿宋_GB2312" w:hAnsi="宋体" w:eastAsia="仿宋_GB2312"/>
                <w:sz w:val="24"/>
                <w:szCs w:val="24"/>
              </w:rPr>
            </w:pPr>
          </w:p>
        </w:tc>
        <w:tc>
          <w:tcPr>
            <w:tcW w:w="3060" w:type="dxa"/>
            <w:vAlign w:val="center"/>
          </w:tcPr>
          <w:p w14:paraId="3E49274C">
            <w:pPr>
              <w:rPr>
                <w:rFonts w:hint="eastAsia" w:ascii="仿宋_GB2312" w:hAnsi="宋体" w:eastAsia="仿宋_GB2312"/>
                <w:sz w:val="24"/>
                <w:szCs w:val="24"/>
              </w:rPr>
            </w:pPr>
          </w:p>
        </w:tc>
        <w:tc>
          <w:tcPr>
            <w:tcW w:w="3554" w:type="dxa"/>
            <w:vAlign w:val="center"/>
          </w:tcPr>
          <w:p w14:paraId="3C854D51">
            <w:pPr>
              <w:rPr>
                <w:rFonts w:hint="eastAsia" w:ascii="仿宋_GB2312" w:hAnsi="宋体" w:eastAsia="仿宋_GB2312"/>
                <w:sz w:val="24"/>
                <w:szCs w:val="24"/>
              </w:rPr>
            </w:pPr>
          </w:p>
        </w:tc>
      </w:tr>
      <w:tr w14:paraId="60DD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B51B78">
            <w:pPr>
              <w:jc w:val="center"/>
              <w:rPr>
                <w:rFonts w:hint="eastAsia" w:ascii="仿宋_GB2312" w:hAnsi="宋体" w:eastAsia="仿宋_GB2312"/>
                <w:sz w:val="24"/>
                <w:szCs w:val="24"/>
              </w:rPr>
            </w:pPr>
            <w:r>
              <w:rPr>
                <w:rFonts w:hint="eastAsia" w:ascii="仿宋_GB2312" w:hAnsi="宋体" w:eastAsia="仿宋_GB2312"/>
                <w:sz w:val="24"/>
                <w:szCs w:val="24"/>
              </w:rPr>
              <w:t>6</w:t>
            </w:r>
          </w:p>
        </w:tc>
        <w:tc>
          <w:tcPr>
            <w:tcW w:w="1080" w:type="dxa"/>
            <w:vAlign w:val="center"/>
          </w:tcPr>
          <w:p w14:paraId="0EE18D0D">
            <w:pPr>
              <w:rPr>
                <w:rFonts w:hint="eastAsia" w:ascii="仿宋_GB2312" w:hAnsi="宋体" w:eastAsia="仿宋_GB2312"/>
                <w:sz w:val="24"/>
                <w:szCs w:val="24"/>
              </w:rPr>
            </w:pPr>
          </w:p>
        </w:tc>
        <w:tc>
          <w:tcPr>
            <w:tcW w:w="3060" w:type="dxa"/>
            <w:vAlign w:val="center"/>
          </w:tcPr>
          <w:p w14:paraId="771B684A">
            <w:pPr>
              <w:rPr>
                <w:rFonts w:hint="eastAsia" w:ascii="仿宋_GB2312" w:hAnsi="宋体" w:eastAsia="仿宋_GB2312"/>
                <w:sz w:val="24"/>
                <w:szCs w:val="24"/>
              </w:rPr>
            </w:pPr>
          </w:p>
        </w:tc>
        <w:tc>
          <w:tcPr>
            <w:tcW w:w="3554" w:type="dxa"/>
            <w:vAlign w:val="center"/>
          </w:tcPr>
          <w:p w14:paraId="05C9B6B1">
            <w:pPr>
              <w:rPr>
                <w:rFonts w:hint="eastAsia" w:ascii="仿宋_GB2312" w:hAnsi="宋体" w:eastAsia="仿宋_GB2312"/>
                <w:sz w:val="24"/>
                <w:szCs w:val="24"/>
              </w:rPr>
            </w:pPr>
          </w:p>
        </w:tc>
      </w:tr>
      <w:tr w14:paraId="6CBD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14C0DCF">
            <w:pPr>
              <w:jc w:val="center"/>
              <w:rPr>
                <w:rFonts w:hint="eastAsia" w:ascii="仿宋_GB2312" w:hAnsi="宋体" w:eastAsia="仿宋_GB2312"/>
                <w:sz w:val="24"/>
                <w:szCs w:val="24"/>
              </w:rPr>
            </w:pPr>
            <w:r>
              <w:rPr>
                <w:rFonts w:hint="eastAsia" w:ascii="仿宋_GB2312" w:hAnsi="宋体" w:eastAsia="仿宋_GB2312"/>
                <w:sz w:val="24"/>
                <w:szCs w:val="24"/>
              </w:rPr>
              <w:t>7</w:t>
            </w:r>
          </w:p>
        </w:tc>
        <w:tc>
          <w:tcPr>
            <w:tcW w:w="1080" w:type="dxa"/>
            <w:vAlign w:val="center"/>
          </w:tcPr>
          <w:p w14:paraId="6EC605FD">
            <w:pPr>
              <w:rPr>
                <w:rFonts w:hint="eastAsia" w:ascii="仿宋_GB2312" w:hAnsi="宋体" w:eastAsia="仿宋_GB2312"/>
                <w:sz w:val="24"/>
                <w:szCs w:val="24"/>
              </w:rPr>
            </w:pPr>
          </w:p>
        </w:tc>
        <w:tc>
          <w:tcPr>
            <w:tcW w:w="3060" w:type="dxa"/>
            <w:vAlign w:val="center"/>
          </w:tcPr>
          <w:p w14:paraId="084007F7">
            <w:pPr>
              <w:rPr>
                <w:rFonts w:hint="eastAsia" w:ascii="仿宋_GB2312" w:hAnsi="宋体" w:eastAsia="仿宋_GB2312"/>
                <w:sz w:val="24"/>
                <w:szCs w:val="24"/>
              </w:rPr>
            </w:pPr>
          </w:p>
        </w:tc>
        <w:tc>
          <w:tcPr>
            <w:tcW w:w="3554" w:type="dxa"/>
            <w:vAlign w:val="center"/>
          </w:tcPr>
          <w:p w14:paraId="60EE21C9">
            <w:pPr>
              <w:rPr>
                <w:rFonts w:hint="eastAsia" w:ascii="仿宋_GB2312" w:hAnsi="宋体" w:eastAsia="仿宋_GB2312"/>
                <w:sz w:val="24"/>
                <w:szCs w:val="24"/>
              </w:rPr>
            </w:pPr>
          </w:p>
        </w:tc>
      </w:tr>
      <w:tr w14:paraId="7A85C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AE6F3">
            <w:pPr>
              <w:jc w:val="center"/>
              <w:rPr>
                <w:rFonts w:hint="eastAsia" w:ascii="仿宋_GB2312" w:hAnsi="宋体" w:eastAsia="仿宋_GB2312"/>
                <w:sz w:val="24"/>
                <w:szCs w:val="24"/>
              </w:rPr>
            </w:pPr>
            <w:r>
              <w:rPr>
                <w:rFonts w:hint="eastAsia" w:ascii="仿宋_GB2312" w:hAnsi="宋体" w:eastAsia="仿宋_GB2312"/>
                <w:sz w:val="24"/>
                <w:szCs w:val="24"/>
              </w:rPr>
              <w:t>8</w:t>
            </w:r>
          </w:p>
        </w:tc>
        <w:tc>
          <w:tcPr>
            <w:tcW w:w="1080" w:type="dxa"/>
            <w:vAlign w:val="center"/>
          </w:tcPr>
          <w:p w14:paraId="0E94B645">
            <w:pPr>
              <w:rPr>
                <w:rFonts w:hint="eastAsia" w:ascii="仿宋_GB2312" w:hAnsi="宋体" w:eastAsia="仿宋_GB2312"/>
                <w:sz w:val="24"/>
                <w:szCs w:val="24"/>
              </w:rPr>
            </w:pPr>
          </w:p>
        </w:tc>
        <w:tc>
          <w:tcPr>
            <w:tcW w:w="3060" w:type="dxa"/>
            <w:vAlign w:val="center"/>
          </w:tcPr>
          <w:p w14:paraId="23A5FF19">
            <w:pPr>
              <w:rPr>
                <w:rFonts w:hint="eastAsia" w:ascii="仿宋_GB2312" w:hAnsi="宋体" w:eastAsia="仿宋_GB2312"/>
                <w:sz w:val="24"/>
                <w:szCs w:val="24"/>
              </w:rPr>
            </w:pPr>
          </w:p>
        </w:tc>
        <w:tc>
          <w:tcPr>
            <w:tcW w:w="3554" w:type="dxa"/>
            <w:vAlign w:val="center"/>
          </w:tcPr>
          <w:p w14:paraId="63B5D51D">
            <w:pPr>
              <w:rPr>
                <w:rFonts w:hint="eastAsia" w:ascii="仿宋_GB2312" w:hAnsi="宋体" w:eastAsia="仿宋_GB2312"/>
                <w:sz w:val="24"/>
                <w:szCs w:val="24"/>
              </w:rPr>
            </w:pPr>
          </w:p>
        </w:tc>
      </w:tr>
      <w:tr w14:paraId="08133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B4FCDF5">
            <w:pPr>
              <w:jc w:val="center"/>
              <w:rPr>
                <w:rFonts w:hint="eastAsia" w:ascii="仿宋_GB2312" w:hAnsi="宋体" w:eastAsia="仿宋_GB2312"/>
                <w:sz w:val="24"/>
                <w:szCs w:val="24"/>
              </w:rPr>
            </w:pPr>
            <w:r>
              <w:rPr>
                <w:rFonts w:hint="eastAsia" w:ascii="仿宋_GB2312" w:hAnsi="宋体" w:eastAsia="仿宋_GB2312"/>
                <w:sz w:val="24"/>
                <w:szCs w:val="24"/>
              </w:rPr>
              <w:t>9</w:t>
            </w:r>
          </w:p>
        </w:tc>
        <w:tc>
          <w:tcPr>
            <w:tcW w:w="1080" w:type="dxa"/>
            <w:vAlign w:val="center"/>
          </w:tcPr>
          <w:p w14:paraId="7C862281">
            <w:pPr>
              <w:rPr>
                <w:rFonts w:hint="eastAsia" w:ascii="仿宋_GB2312" w:hAnsi="宋体" w:eastAsia="仿宋_GB2312"/>
                <w:sz w:val="24"/>
                <w:szCs w:val="24"/>
              </w:rPr>
            </w:pPr>
          </w:p>
        </w:tc>
        <w:tc>
          <w:tcPr>
            <w:tcW w:w="3060" w:type="dxa"/>
            <w:vAlign w:val="center"/>
          </w:tcPr>
          <w:p w14:paraId="5859C869">
            <w:pPr>
              <w:rPr>
                <w:rFonts w:hint="eastAsia" w:ascii="仿宋_GB2312" w:hAnsi="宋体" w:eastAsia="仿宋_GB2312"/>
                <w:sz w:val="24"/>
                <w:szCs w:val="24"/>
              </w:rPr>
            </w:pPr>
          </w:p>
        </w:tc>
        <w:tc>
          <w:tcPr>
            <w:tcW w:w="3554" w:type="dxa"/>
            <w:vAlign w:val="center"/>
          </w:tcPr>
          <w:p w14:paraId="311630B6">
            <w:pPr>
              <w:rPr>
                <w:rFonts w:hint="eastAsia" w:ascii="仿宋_GB2312" w:hAnsi="宋体" w:eastAsia="仿宋_GB2312"/>
                <w:sz w:val="24"/>
                <w:szCs w:val="24"/>
              </w:rPr>
            </w:pPr>
          </w:p>
        </w:tc>
      </w:tr>
      <w:tr w14:paraId="7B88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1A2119">
            <w:pPr>
              <w:jc w:val="center"/>
              <w:rPr>
                <w:rFonts w:hint="eastAsia" w:ascii="仿宋_GB2312" w:hAnsi="宋体" w:eastAsia="仿宋_GB2312"/>
                <w:sz w:val="24"/>
                <w:szCs w:val="24"/>
              </w:rPr>
            </w:pPr>
            <w:r>
              <w:rPr>
                <w:rFonts w:hint="eastAsia" w:ascii="仿宋_GB2312" w:hAnsi="宋体" w:eastAsia="仿宋_GB2312"/>
                <w:sz w:val="24"/>
                <w:szCs w:val="24"/>
              </w:rPr>
              <w:t>10</w:t>
            </w:r>
          </w:p>
        </w:tc>
        <w:tc>
          <w:tcPr>
            <w:tcW w:w="1080" w:type="dxa"/>
            <w:vAlign w:val="center"/>
          </w:tcPr>
          <w:p w14:paraId="28B899C1">
            <w:pPr>
              <w:rPr>
                <w:rFonts w:hint="eastAsia" w:ascii="仿宋_GB2312" w:hAnsi="宋体" w:eastAsia="仿宋_GB2312"/>
                <w:sz w:val="24"/>
                <w:szCs w:val="24"/>
              </w:rPr>
            </w:pPr>
          </w:p>
        </w:tc>
        <w:tc>
          <w:tcPr>
            <w:tcW w:w="3060" w:type="dxa"/>
            <w:vAlign w:val="center"/>
          </w:tcPr>
          <w:p w14:paraId="464687D8">
            <w:pPr>
              <w:rPr>
                <w:rFonts w:hint="eastAsia" w:ascii="仿宋_GB2312" w:hAnsi="宋体" w:eastAsia="仿宋_GB2312"/>
                <w:sz w:val="24"/>
                <w:szCs w:val="24"/>
              </w:rPr>
            </w:pPr>
          </w:p>
        </w:tc>
        <w:tc>
          <w:tcPr>
            <w:tcW w:w="3554" w:type="dxa"/>
            <w:vAlign w:val="center"/>
          </w:tcPr>
          <w:p w14:paraId="2FC53364">
            <w:pPr>
              <w:rPr>
                <w:rFonts w:hint="eastAsia" w:ascii="仿宋_GB2312" w:hAnsi="宋体" w:eastAsia="仿宋_GB2312"/>
                <w:sz w:val="24"/>
                <w:szCs w:val="24"/>
              </w:rPr>
            </w:pPr>
          </w:p>
        </w:tc>
      </w:tr>
    </w:tbl>
    <w:p w14:paraId="3F199480">
      <w:pPr>
        <w:rPr>
          <w:rFonts w:hint="eastAsia" w:ascii="仿宋_GB2312" w:hAnsi="宋体" w:eastAsia="仿宋_GB2312"/>
          <w:sz w:val="24"/>
          <w:szCs w:val="24"/>
        </w:rPr>
      </w:pPr>
    </w:p>
    <w:p w14:paraId="24EBF8BF">
      <w:pPr>
        <w:rPr>
          <w:rFonts w:hint="eastAsia" w:ascii="仿宋_GB2312" w:hAnsi="宋体" w:eastAsia="仿宋_GB2312"/>
          <w:sz w:val="24"/>
          <w:szCs w:val="24"/>
        </w:rPr>
      </w:pPr>
      <w:r>
        <w:rPr>
          <w:rFonts w:hint="eastAsia" w:ascii="仿宋_GB2312" w:hAnsi="宋体" w:eastAsia="仿宋_GB2312"/>
          <w:sz w:val="24"/>
          <w:szCs w:val="24"/>
        </w:rPr>
        <w:t>投标人名称（盖章）：              法定代表人或授权代表签字：</w:t>
      </w:r>
    </w:p>
    <w:p w14:paraId="39288620">
      <w:pPr>
        <w:rPr>
          <w:rFonts w:hint="eastAsia" w:ascii="仿宋_GB2312" w:hAnsi="宋体" w:eastAsia="仿宋_GB2312"/>
          <w:sz w:val="24"/>
          <w:szCs w:val="24"/>
        </w:rPr>
      </w:pPr>
    </w:p>
    <w:p w14:paraId="0318591D">
      <w:pPr>
        <w:rPr>
          <w:rFonts w:hint="eastAsia" w:ascii="仿宋_GB2312" w:hAnsi="宋体" w:eastAsia="仿宋_GB2312"/>
          <w:sz w:val="24"/>
          <w:szCs w:val="24"/>
        </w:rPr>
      </w:pPr>
    </w:p>
    <w:p w14:paraId="7CA29420">
      <w:pPr>
        <w:pStyle w:val="15"/>
        <w:spacing w:line="360" w:lineRule="auto"/>
        <w:rPr>
          <w:rFonts w:hint="eastAsia" w:ascii="仿宋_GB2312" w:hAnsi="宋体" w:eastAsia="仿宋_GB2312"/>
          <w:sz w:val="24"/>
          <w:szCs w:val="24"/>
        </w:rPr>
      </w:pPr>
      <w:r>
        <w:rPr>
          <w:rFonts w:hint="eastAsia" w:ascii="仿宋_GB2312" w:hAnsi="宋体" w:eastAsia="仿宋_GB2312"/>
          <w:b/>
          <w:sz w:val="24"/>
          <w:szCs w:val="24"/>
        </w:rPr>
        <w:t>注：</w:t>
      </w:r>
      <w:r>
        <w:rPr>
          <w:rFonts w:hint="eastAsia" w:ascii="仿宋_GB2312" w:hAnsi="宋体" w:eastAsia="仿宋_GB2312"/>
          <w:sz w:val="24"/>
          <w:szCs w:val="24"/>
        </w:rPr>
        <w:t>可做正偏离，但不允许有低于本招标文件相关要求的情况出现，否则视为</w:t>
      </w:r>
      <w:r>
        <w:rPr>
          <w:rFonts w:hint="eastAsia" w:ascii="仿宋_GB2312" w:eastAsia="仿宋_GB2312"/>
          <w:sz w:val="24"/>
          <w:szCs w:val="24"/>
        </w:rPr>
        <w:t>主动放弃本项目投标；</w:t>
      </w:r>
      <w:r>
        <w:rPr>
          <w:rFonts w:hint="eastAsia" w:ascii="仿宋_GB2312" w:hAnsi="宋体" w:eastAsia="仿宋_GB2312"/>
          <w:sz w:val="24"/>
          <w:szCs w:val="24"/>
        </w:rPr>
        <w:t>为避免歧义，无偏离也应要提报该表，并注明“无”字。如无该表则即使在其它部分已反映，将也被视为“无偏离”。</w:t>
      </w:r>
    </w:p>
    <w:p w14:paraId="76B6A62A">
      <w:pPr>
        <w:pStyle w:val="15"/>
        <w:spacing w:line="360" w:lineRule="auto"/>
        <w:rPr>
          <w:rFonts w:hint="eastAsia" w:ascii="仿宋_GB2312" w:hAnsi="宋体" w:eastAsia="仿宋_GB2312"/>
          <w:sz w:val="24"/>
          <w:szCs w:val="24"/>
        </w:rPr>
      </w:pPr>
    </w:p>
    <w:p w14:paraId="65FD8BA2">
      <w:pPr>
        <w:pStyle w:val="15"/>
        <w:spacing w:line="360" w:lineRule="auto"/>
        <w:rPr>
          <w:rFonts w:hint="eastAsia" w:ascii="仿宋_GB2312" w:hAnsi="宋体" w:eastAsia="仿宋_GB2312"/>
          <w:sz w:val="24"/>
          <w:szCs w:val="24"/>
        </w:rPr>
      </w:pPr>
    </w:p>
    <w:p w14:paraId="23E2FF49">
      <w:pPr>
        <w:pStyle w:val="15"/>
        <w:spacing w:line="360" w:lineRule="auto"/>
        <w:rPr>
          <w:rFonts w:ascii="仿宋_GB2312" w:hAnsi="Times New Roman" w:eastAsia="仿宋_GB2312"/>
          <w:b/>
          <w:bCs/>
          <w:sz w:val="24"/>
          <w:szCs w:val="24"/>
        </w:rPr>
      </w:pPr>
      <w:r>
        <w:rPr>
          <w:rFonts w:hint="eastAsia" w:ascii="仿宋_GB2312" w:hAnsi="Times New Roman" w:eastAsia="仿宋_GB2312"/>
          <w:b/>
          <w:bCs/>
          <w:sz w:val="24"/>
          <w:szCs w:val="24"/>
        </w:rPr>
        <w:t>附件4</w:t>
      </w:r>
    </w:p>
    <w:p w14:paraId="7C82E4F4">
      <w:pPr>
        <w:rPr>
          <w:rFonts w:ascii="仿宋_GB2312" w:eastAsia="仿宋_GB2312"/>
          <w:b/>
          <w:bCs/>
          <w:sz w:val="24"/>
          <w:szCs w:val="24"/>
        </w:rPr>
      </w:pPr>
      <w:r>
        <w:rPr>
          <w:rFonts w:hint="eastAsia" w:ascii="仿宋_GB2312" w:eastAsia="仿宋_GB2312"/>
          <w:b/>
          <w:bCs/>
          <w:sz w:val="24"/>
          <w:szCs w:val="24"/>
        </w:rPr>
        <w:t>项目名称：</w:t>
      </w:r>
      <w:r>
        <w:rPr>
          <w:rFonts w:hint="eastAsia" w:ascii="仿宋_GB2312" w:eastAsia="仿宋_GB2312"/>
          <w:b/>
          <w:bCs/>
          <w:sz w:val="24"/>
          <w:szCs w:val="24"/>
          <w:lang w:val="en-US" w:eastAsia="zh-CN"/>
        </w:rPr>
        <w:t>中国重汽集团济南汽车部件有限公司2026年度危险废物处置项目</w:t>
      </w:r>
    </w:p>
    <w:p w14:paraId="4FAB43EA">
      <w:pPr>
        <w:rPr>
          <w:rFonts w:ascii="仿宋_GB2312" w:eastAsia="仿宋_GB2312"/>
          <w:sz w:val="24"/>
          <w:szCs w:val="24"/>
          <w:u w:val="single"/>
        </w:rPr>
      </w:pPr>
    </w:p>
    <w:p w14:paraId="1655B089">
      <w:pPr>
        <w:rPr>
          <w:rFonts w:ascii="仿宋_GB2312" w:eastAsia="仿宋_GB2312"/>
          <w:b/>
          <w:bCs/>
          <w:sz w:val="24"/>
          <w:szCs w:val="24"/>
        </w:rPr>
      </w:pPr>
      <w:r>
        <w:rPr>
          <w:rFonts w:hint="eastAsia" w:ascii="仿宋_GB2312" w:eastAsia="仿宋_GB2312"/>
          <w:b/>
          <w:bCs/>
          <w:sz w:val="24"/>
          <w:szCs w:val="24"/>
        </w:rPr>
        <w:t>日期：  年   月   日</w:t>
      </w:r>
    </w:p>
    <w:p w14:paraId="55277FDE">
      <w:pPr>
        <w:rPr>
          <w:rFonts w:ascii="仿宋_GB2312" w:eastAsia="仿宋_GB2312"/>
          <w:b/>
          <w:bCs/>
          <w:sz w:val="24"/>
          <w:szCs w:val="24"/>
        </w:rPr>
      </w:pPr>
    </w:p>
    <w:p w14:paraId="33EF4A69">
      <w:pPr>
        <w:rPr>
          <w:rFonts w:ascii="仿宋_GB2312" w:eastAsia="仿宋_GB2312"/>
          <w:b/>
          <w:bCs/>
          <w:sz w:val="24"/>
          <w:szCs w:val="24"/>
        </w:rPr>
      </w:pPr>
    </w:p>
    <w:p w14:paraId="5BC34F9E">
      <w:pPr>
        <w:rPr>
          <w:rFonts w:ascii="仿宋_GB2312" w:eastAsia="仿宋_GB2312"/>
          <w:b/>
          <w:bCs/>
          <w:sz w:val="24"/>
          <w:szCs w:val="24"/>
        </w:rPr>
      </w:pPr>
      <w:r>
        <w:rPr>
          <w:rFonts w:hint="eastAsia" w:ascii="仿宋_GB2312" w:eastAsia="仿宋_GB2312"/>
          <w:b/>
          <w:bCs/>
          <w:sz w:val="24"/>
          <w:szCs w:val="24"/>
        </w:rPr>
        <w:t>1.企业具备的处置工艺及年处置能力介绍：</w:t>
      </w:r>
    </w:p>
    <w:p w14:paraId="6ED23F08">
      <w:pPr>
        <w:pStyle w:val="15"/>
        <w:spacing w:line="360" w:lineRule="auto"/>
        <w:rPr>
          <w:rFonts w:hint="eastAsia" w:ascii="仿宋_GB2312" w:hAnsi="宋体" w:eastAsia="仿宋_GB2312"/>
          <w:bCs/>
          <w:sz w:val="24"/>
          <w:szCs w:val="24"/>
        </w:rPr>
      </w:pPr>
    </w:p>
    <w:p w14:paraId="12C8FF8F">
      <w:pPr>
        <w:pStyle w:val="15"/>
        <w:spacing w:line="360" w:lineRule="auto"/>
        <w:rPr>
          <w:rFonts w:hint="eastAsia" w:ascii="仿宋_GB2312" w:hAnsi="宋体" w:eastAsia="仿宋_GB2312"/>
          <w:bCs/>
          <w:sz w:val="24"/>
          <w:szCs w:val="24"/>
        </w:rPr>
      </w:pPr>
    </w:p>
    <w:p w14:paraId="4400C8EC">
      <w:pPr>
        <w:pStyle w:val="15"/>
        <w:spacing w:line="360" w:lineRule="auto"/>
        <w:rPr>
          <w:rFonts w:hint="eastAsia" w:ascii="仿宋_GB2312" w:hAnsi="宋体" w:eastAsia="仿宋_GB2312"/>
          <w:bCs/>
          <w:sz w:val="24"/>
          <w:szCs w:val="24"/>
        </w:rPr>
      </w:pPr>
    </w:p>
    <w:p w14:paraId="6D28D382">
      <w:pPr>
        <w:pStyle w:val="15"/>
        <w:spacing w:line="360" w:lineRule="auto"/>
        <w:rPr>
          <w:rFonts w:hint="eastAsia" w:ascii="仿宋_GB2312" w:hAnsi="宋体" w:eastAsia="仿宋_GB2312"/>
          <w:bCs/>
          <w:sz w:val="24"/>
          <w:szCs w:val="24"/>
        </w:rPr>
      </w:pPr>
    </w:p>
    <w:p w14:paraId="524710E5">
      <w:pPr>
        <w:pStyle w:val="15"/>
        <w:spacing w:after="156" w:afterLines="50" w:line="360" w:lineRule="auto"/>
        <w:rPr>
          <w:rFonts w:hint="eastAsia" w:ascii="仿宋_GB2312" w:hAnsi="宋体" w:eastAsia="仿宋_GB2312"/>
          <w:b/>
          <w:sz w:val="24"/>
          <w:szCs w:val="24"/>
        </w:rPr>
      </w:pPr>
      <w:r>
        <w:rPr>
          <w:rFonts w:hint="eastAsia" w:ascii="仿宋_GB2312" w:hAnsi="宋体" w:eastAsia="仿宋_GB2312"/>
          <w:b/>
          <w:sz w:val="24"/>
          <w:szCs w:val="24"/>
        </w:rPr>
        <w:t>2.对本项目内容的处置工艺说明</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2255"/>
        <w:gridCol w:w="2782"/>
        <w:gridCol w:w="1897"/>
        <w:gridCol w:w="1896"/>
      </w:tblGrid>
      <w:tr w14:paraId="61B3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 w:type="pct"/>
            <w:vAlign w:val="center"/>
          </w:tcPr>
          <w:p w14:paraId="351EFA7B">
            <w:pPr>
              <w:snapToGrid w:val="0"/>
              <w:jc w:val="center"/>
              <w:rPr>
                <w:rFonts w:hint="eastAsia" w:ascii="仿宋_GB2312" w:hAnsi="宋体" w:eastAsia="仿宋_GB2312"/>
                <w:sz w:val="24"/>
              </w:rPr>
            </w:pPr>
            <w:r>
              <w:rPr>
                <w:rFonts w:hint="eastAsia" w:ascii="仿宋_GB2312" w:hAnsi="宋体" w:eastAsia="仿宋_GB2312"/>
                <w:sz w:val="24"/>
              </w:rPr>
              <w:t>序号</w:t>
            </w:r>
          </w:p>
        </w:tc>
        <w:tc>
          <w:tcPr>
            <w:tcW w:w="1214" w:type="pct"/>
            <w:vAlign w:val="center"/>
          </w:tcPr>
          <w:p w14:paraId="3895F655">
            <w:pPr>
              <w:snapToGrid w:val="0"/>
              <w:jc w:val="center"/>
              <w:rPr>
                <w:rFonts w:hint="eastAsia" w:ascii="仿宋_GB2312" w:hAnsi="宋体" w:eastAsia="仿宋_GB2312"/>
                <w:sz w:val="24"/>
              </w:rPr>
            </w:pPr>
            <w:r>
              <w:rPr>
                <w:rFonts w:hint="eastAsia" w:ascii="仿宋_GB2312" w:hAnsi="宋体" w:eastAsia="仿宋_GB2312"/>
                <w:sz w:val="24"/>
              </w:rPr>
              <w:t>危废编号</w:t>
            </w:r>
          </w:p>
        </w:tc>
        <w:tc>
          <w:tcPr>
            <w:tcW w:w="1497" w:type="pct"/>
            <w:vAlign w:val="center"/>
          </w:tcPr>
          <w:p w14:paraId="66AAEC08">
            <w:pPr>
              <w:snapToGrid w:val="0"/>
              <w:jc w:val="center"/>
              <w:rPr>
                <w:rFonts w:ascii="仿宋_GB2312" w:eastAsia="仿宋_GB2312"/>
                <w:sz w:val="24"/>
              </w:rPr>
            </w:pPr>
            <w:r>
              <w:rPr>
                <w:rFonts w:hint="eastAsia" w:ascii="仿宋_GB2312" w:hAnsi="宋体" w:eastAsia="仿宋_GB2312"/>
                <w:sz w:val="24"/>
              </w:rPr>
              <w:t>危废名称</w:t>
            </w:r>
          </w:p>
        </w:tc>
        <w:tc>
          <w:tcPr>
            <w:tcW w:w="1021" w:type="pct"/>
            <w:vAlign w:val="center"/>
          </w:tcPr>
          <w:p w14:paraId="603FB264">
            <w:pPr>
              <w:snapToGrid w:val="0"/>
              <w:jc w:val="center"/>
              <w:rPr>
                <w:rFonts w:hint="eastAsia" w:ascii="仿宋_GB2312" w:hAnsi="宋体" w:eastAsia="仿宋_GB2312"/>
                <w:sz w:val="24"/>
              </w:rPr>
            </w:pPr>
            <w:r>
              <w:rPr>
                <w:rFonts w:hint="eastAsia" w:ascii="仿宋_GB2312" w:hAnsi="宋体" w:eastAsia="仿宋_GB2312"/>
                <w:sz w:val="24"/>
              </w:rPr>
              <w:t>处置工艺</w:t>
            </w:r>
          </w:p>
        </w:tc>
        <w:tc>
          <w:tcPr>
            <w:tcW w:w="1020" w:type="pct"/>
            <w:vAlign w:val="center"/>
          </w:tcPr>
          <w:p w14:paraId="7EDCDF08">
            <w:pPr>
              <w:snapToGrid w:val="0"/>
              <w:jc w:val="center"/>
              <w:rPr>
                <w:rFonts w:hint="eastAsia" w:ascii="仿宋_GB2312" w:hAnsi="宋体" w:eastAsia="仿宋_GB2312"/>
                <w:sz w:val="24"/>
              </w:rPr>
            </w:pPr>
            <w:r>
              <w:rPr>
                <w:rFonts w:hint="eastAsia" w:ascii="仿宋_GB2312" w:hAnsi="宋体" w:eastAsia="仿宋_GB2312"/>
                <w:sz w:val="24"/>
              </w:rPr>
              <w:t>备注</w:t>
            </w:r>
          </w:p>
        </w:tc>
      </w:tr>
      <w:tr w14:paraId="36F4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45" w:type="pct"/>
            <w:vAlign w:val="center"/>
          </w:tcPr>
          <w:p w14:paraId="79A2D9DA">
            <w:pPr>
              <w:snapToGrid w:val="0"/>
              <w:jc w:val="center"/>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1</w:t>
            </w:r>
          </w:p>
        </w:tc>
        <w:tc>
          <w:tcPr>
            <w:tcW w:w="1214" w:type="pct"/>
            <w:vAlign w:val="center"/>
          </w:tcPr>
          <w:p w14:paraId="4DE5FAF4">
            <w:pPr>
              <w:snapToGrid w:val="0"/>
              <w:jc w:val="center"/>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HW08（900-200-08）</w:t>
            </w:r>
          </w:p>
        </w:tc>
        <w:tc>
          <w:tcPr>
            <w:tcW w:w="1497" w:type="pct"/>
            <w:vAlign w:val="center"/>
          </w:tcPr>
          <w:p w14:paraId="2CAA6BD1">
            <w:pPr>
              <w:snapToGrid w:val="0"/>
              <w:jc w:val="center"/>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磨床废弃物</w:t>
            </w:r>
          </w:p>
        </w:tc>
        <w:tc>
          <w:tcPr>
            <w:tcW w:w="1021" w:type="pct"/>
            <w:vAlign w:val="center"/>
          </w:tcPr>
          <w:p w14:paraId="312D022E">
            <w:pPr>
              <w:snapToGrid w:val="0"/>
              <w:jc w:val="center"/>
              <w:rPr>
                <w:rFonts w:hint="eastAsia" w:ascii="仿宋_GB2312" w:hAnsi="宋体" w:eastAsia="仿宋_GB2312" w:cs="Times New Roman"/>
                <w:sz w:val="24"/>
                <w:lang w:val="en-US" w:eastAsia="zh-CN"/>
              </w:rPr>
            </w:pPr>
          </w:p>
        </w:tc>
        <w:tc>
          <w:tcPr>
            <w:tcW w:w="1020" w:type="pct"/>
            <w:vAlign w:val="center"/>
          </w:tcPr>
          <w:p w14:paraId="439A3ABA">
            <w:pPr>
              <w:snapToGrid w:val="0"/>
              <w:jc w:val="center"/>
              <w:rPr>
                <w:rFonts w:hint="eastAsia" w:ascii="仿宋_GB2312" w:hAnsi="宋体" w:eastAsia="仿宋_GB2312"/>
                <w:sz w:val="24"/>
              </w:rPr>
            </w:pPr>
          </w:p>
        </w:tc>
      </w:tr>
    </w:tbl>
    <w:p w14:paraId="5E73CB3B">
      <w:pPr>
        <w:rPr>
          <w:rFonts w:hint="eastAsia" w:ascii="仿宋_GB2312" w:hAnsi="宋体" w:eastAsia="仿宋_GB2312"/>
          <w:sz w:val="24"/>
          <w:szCs w:val="24"/>
        </w:rPr>
      </w:pPr>
    </w:p>
    <w:p w14:paraId="60A5ED20">
      <w:pPr>
        <w:jc w:val="center"/>
        <w:rPr>
          <w:rFonts w:hint="eastAsia" w:ascii="仿宋_GB2312" w:hAnsi="宋体" w:eastAsia="仿宋_GB2312"/>
          <w:sz w:val="24"/>
          <w:szCs w:val="24"/>
        </w:rPr>
      </w:pPr>
    </w:p>
    <w:p w14:paraId="689DF910">
      <w:pPr>
        <w:rPr>
          <w:rFonts w:hint="eastAsia" w:ascii="仿宋_GB2312" w:hAnsi="宋体" w:eastAsia="仿宋_GB2312"/>
          <w:sz w:val="24"/>
          <w:szCs w:val="24"/>
        </w:rPr>
      </w:pPr>
    </w:p>
    <w:p w14:paraId="7518E822">
      <w:pPr>
        <w:rPr>
          <w:rFonts w:hint="eastAsia" w:ascii="仿宋_GB2312" w:hAnsi="宋体" w:eastAsia="仿宋_GB2312"/>
          <w:sz w:val="24"/>
          <w:szCs w:val="24"/>
        </w:rPr>
      </w:pPr>
    </w:p>
    <w:p w14:paraId="4CA20CF8">
      <w:pPr>
        <w:rPr>
          <w:rFonts w:hint="eastAsia" w:ascii="仿宋_GB2312" w:hAnsi="宋体" w:eastAsia="仿宋_GB2312"/>
          <w:sz w:val="24"/>
          <w:szCs w:val="24"/>
        </w:rPr>
      </w:pPr>
    </w:p>
    <w:p w14:paraId="15E3BFB2">
      <w:pPr>
        <w:rPr>
          <w:rFonts w:hint="eastAsia" w:ascii="仿宋_GB2312" w:hAnsi="宋体" w:eastAsia="仿宋_GB2312"/>
          <w:sz w:val="24"/>
          <w:szCs w:val="24"/>
        </w:rPr>
      </w:pPr>
      <w:r>
        <w:rPr>
          <w:rFonts w:hint="eastAsia" w:ascii="仿宋_GB2312" w:hAnsi="宋体" w:eastAsia="仿宋_GB2312"/>
          <w:sz w:val="24"/>
          <w:szCs w:val="24"/>
        </w:rPr>
        <w:t>投标人名称（盖章）：              法定代表人或授权代表签字：</w:t>
      </w:r>
    </w:p>
    <w:p w14:paraId="703AEB54">
      <w:pPr>
        <w:pStyle w:val="15"/>
        <w:spacing w:line="360" w:lineRule="auto"/>
        <w:rPr>
          <w:rFonts w:hint="eastAsia" w:ascii="仿宋_GB2312" w:hAnsi="宋体" w:eastAsia="仿宋_GB2312"/>
          <w:bCs/>
          <w:sz w:val="24"/>
          <w:szCs w:val="24"/>
        </w:rPr>
      </w:pPr>
    </w:p>
    <w:p w14:paraId="1B7FF807">
      <w:pPr>
        <w:spacing w:line="360" w:lineRule="auto"/>
        <w:ind w:firstLine="560" w:firstLineChars="200"/>
        <w:jc w:val="left"/>
        <w:rPr>
          <w:rFonts w:hint="eastAsia" w:ascii="仿宋_GB2312" w:hAnsi="Microsoft YaHei UI Light" w:eastAsia="仿宋_GB2312" w:cs="宋体"/>
          <w:color w:val="000000"/>
          <w:sz w:val="28"/>
          <w:szCs w:val="28"/>
          <w:shd w:val="clear" w:color="auto" w:fill="FCFCFC"/>
        </w:rPr>
      </w:pPr>
    </w:p>
    <w:p w14:paraId="1698CC9E">
      <w:r>
        <w:br w:type="page"/>
      </w:r>
    </w:p>
    <w:p w14:paraId="4D66FCAD">
      <w:pPr>
        <w:pStyle w:val="72"/>
        <w:numPr>
          <w:ilvl w:val="0"/>
          <w:numId w:val="25"/>
        </w:numPr>
        <w:rPr>
          <w:rFonts w:hint="eastAsia"/>
          <w:lang w:val="en-US" w:eastAsia="zh-CN"/>
        </w:rPr>
      </w:pPr>
      <w:bookmarkStart w:id="20" w:name="_Toc20595"/>
      <w:bookmarkStart w:id="21" w:name="_Toc47976609"/>
      <w:r>
        <w:rPr>
          <w:rFonts w:hint="eastAsia"/>
          <w:lang w:val="en-US" w:eastAsia="zh-CN"/>
        </w:rPr>
        <w:t xml:space="preserve"> 主要条款</w:t>
      </w:r>
      <w:r>
        <w:rPr>
          <w:rFonts w:hint="eastAsia"/>
          <w:lang w:eastAsia="zh-CN"/>
        </w:rPr>
        <w:t>（</w:t>
      </w:r>
      <w:r>
        <w:rPr>
          <w:rFonts w:hint="eastAsia"/>
          <w:lang w:val="en-US" w:eastAsia="zh-CN"/>
        </w:rPr>
        <w:t>以实际签订为准</w:t>
      </w:r>
      <w:r>
        <w:rPr>
          <w:rFonts w:hint="eastAsia"/>
          <w:lang w:eastAsia="zh-CN"/>
        </w:rPr>
        <w:t>）</w:t>
      </w:r>
    </w:p>
    <w:bookmarkEnd w:id="20"/>
    <w:bookmarkEnd w:id="21"/>
    <w:p w14:paraId="6BEE8A13">
      <w:pPr>
        <w:spacing w:line="360" w:lineRule="auto"/>
        <w:jc w:val="center"/>
        <w:rPr>
          <w:rFonts w:ascii="Arial Unicode MS" w:hAnsi="Arial Unicode MS" w:eastAsia="Arial Unicode MS" w:cs="Arial Unicode MS"/>
          <w:sz w:val="52"/>
          <w:szCs w:val="52"/>
        </w:rPr>
      </w:pPr>
      <w:r>
        <w:rPr>
          <w:rFonts w:hint="eastAsia" w:ascii="Arial Unicode MS" w:hAnsi="Arial Unicode MS" w:eastAsia="Arial Unicode MS" w:cs="Arial Unicode MS"/>
          <w:sz w:val="52"/>
          <w:szCs w:val="52"/>
        </w:rPr>
        <w:t>危险废物处置服务合同</w:t>
      </w:r>
    </w:p>
    <w:p w14:paraId="490C448D">
      <w:pPr>
        <w:adjustRightInd w:val="0"/>
        <w:snapToGrid w:val="0"/>
        <w:spacing w:line="360" w:lineRule="auto"/>
        <w:ind w:firstLine="2107" w:firstLineChars="878"/>
        <w:jc w:val="left"/>
        <w:rPr>
          <w:rFonts w:ascii="Arial Unicode MS" w:hAnsi="宋体" w:eastAsia="Arial Unicode MS"/>
          <w:sz w:val="24"/>
          <w:szCs w:val="24"/>
        </w:rPr>
      </w:pPr>
    </w:p>
    <w:p w14:paraId="305F4BBA">
      <w:pPr>
        <w:adjustRightInd w:val="0"/>
        <w:snapToGrid w:val="0"/>
        <w:spacing w:line="360" w:lineRule="auto"/>
        <w:ind w:firstLine="2107" w:firstLineChars="878"/>
        <w:jc w:val="left"/>
        <w:rPr>
          <w:rFonts w:ascii="Arial Unicode MS" w:hAnsi="宋体" w:eastAsia="Arial Unicode MS"/>
          <w:sz w:val="24"/>
          <w:szCs w:val="24"/>
        </w:rPr>
      </w:pPr>
    </w:p>
    <w:p w14:paraId="6546F570">
      <w:pPr>
        <w:adjustRightInd w:val="0"/>
        <w:snapToGrid w:val="0"/>
        <w:spacing w:line="360" w:lineRule="auto"/>
        <w:ind w:firstLine="2107" w:firstLineChars="878"/>
        <w:jc w:val="left"/>
        <w:rPr>
          <w:rFonts w:ascii="Arial Unicode MS" w:hAnsi="宋体" w:eastAsia="Arial Unicode MS"/>
          <w:sz w:val="24"/>
          <w:szCs w:val="24"/>
        </w:rPr>
      </w:pPr>
    </w:p>
    <w:p w14:paraId="72CCEBF2">
      <w:pPr>
        <w:adjustRightInd w:val="0"/>
        <w:snapToGrid w:val="0"/>
        <w:spacing w:line="360" w:lineRule="auto"/>
        <w:ind w:firstLine="2107" w:firstLineChars="878"/>
        <w:jc w:val="left"/>
        <w:rPr>
          <w:rFonts w:ascii="Arial Unicode MS" w:hAnsi="宋体" w:eastAsia="Arial Unicode MS"/>
          <w:sz w:val="24"/>
          <w:szCs w:val="24"/>
        </w:rPr>
      </w:pPr>
    </w:p>
    <w:p w14:paraId="2DA1B3F4">
      <w:pPr>
        <w:adjustRightInd w:val="0"/>
        <w:snapToGrid w:val="0"/>
        <w:spacing w:line="360" w:lineRule="auto"/>
        <w:ind w:firstLine="2107" w:firstLineChars="878"/>
        <w:jc w:val="left"/>
        <w:rPr>
          <w:rFonts w:ascii="Arial Unicode MS" w:hAnsi="宋体" w:eastAsia="Arial Unicode MS"/>
          <w:sz w:val="24"/>
          <w:szCs w:val="24"/>
        </w:rPr>
      </w:pPr>
    </w:p>
    <w:p w14:paraId="6855D050">
      <w:pPr>
        <w:adjustRightInd w:val="0"/>
        <w:snapToGrid w:val="0"/>
        <w:spacing w:line="360" w:lineRule="auto"/>
        <w:ind w:firstLine="2107" w:firstLineChars="878"/>
        <w:jc w:val="left"/>
        <w:rPr>
          <w:rFonts w:ascii="Arial Unicode MS" w:hAnsi="宋体" w:eastAsia="Arial Unicode MS"/>
          <w:sz w:val="24"/>
          <w:szCs w:val="24"/>
        </w:rPr>
      </w:pPr>
    </w:p>
    <w:p w14:paraId="26C6A3BA">
      <w:pPr>
        <w:adjustRightInd w:val="0"/>
        <w:snapToGrid w:val="0"/>
        <w:spacing w:line="360" w:lineRule="auto"/>
        <w:ind w:firstLine="2107" w:firstLineChars="878"/>
        <w:jc w:val="left"/>
        <w:rPr>
          <w:rFonts w:ascii="Arial Unicode MS" w:hAnsi="宋体" w:eastAsia="Arial Unicode MS"/>
          <w:sz w:val="24"/>
          <w:szCs w:val="24"/>
        </w:rPr>
      </w:pPr>
    </w:p>
    <w:p w14:paraId="4F8D92B6">
      <w:pPr>
        <w:adjustRightInd w:val="0"/>
        <w:snapToGrid w:val="0"/>
        <w:spacing w:line="360" w:lineRule="auto"/>
        <w:jc w:val="left"/>
        <w:rPr>
          <w:rFonts w:ascii="Arial Unicode MS" w:hAnsi="宋体" w:eastAsia="Arial Unicode MS"/>
          <w:sz w:val="24"/>
          <w:szCs w:val="24"/>
        </w:rPr>
      </w:pPr>
    </w:p>
    <w:p w14:paraId="6A7DB739">
      <w:pPr>
        <w:adjustRightInd w:val="0"/>
        <w:snapToGrid w:val="0"/>
        <w:spacing w:line="360" w:lineRule="auto"/>
        <w:ind w:firstLine="2107" w:firstLineChars="878"/>
        <w:jc w:val="left"/>
        <w:rPr>
          <w:rFonts w:hint="eastAsia" w:ascii="Arial Unicode MS" w:hAnsi="宋体" w:eastAsia="Arial Unicode MS"/>
          <w:sz w:val="24"/>
          <w:szCs w:val="24"/>
        </w:rPr>
      </w:pPr>
    </w:p>
    <w:p w14:paraId="6F4CBCE5">
      <w:pPr>
        <w:adjustRightInd w:val="0"/>
        <w:snapToGrid w:val="0"/>
        <w:spacing w:line="360" w:lineRule="auto"/>
        <w:ind w:firstLine="2107" w:firstLineChars="878"/>
        <w:jc w:val="left"/>
        <w:rPr>
          <w:rFonts w:hint="eastAsia" w:ascii="Arial Unicode MS" w:hAnsi="宋体" w:eastAsia="Arial Unicode MS"/>
          <w:sz w:val="24"/>
          <w:szCs w:val="24"/>
        </w:rPr>
      </w:pPr>
    </w:p>
    <w:p w14:paraId="2EE8A8DB">
      <w:pPr>
        <w:adjustRightInd w:val="0"/>
        <w:snapToGrid w:val="0"/>
        <w:spacing w:line="360" w:lineRule="auto"/>
        <w:ind w:firstLine="2107" w:firstLineChars="878"/>
        <w:jc w:val="left"/>
        <w:rPr>
          <w:rFonts w:hint="eastAsia" w:ascii="Arial Unicode MS" w:hAnsi="宋体" w:eastAsia="Arial Unicode MS"/>
          <w:sz w:val="24"/>
          <w:szCs w:val="24"/>
        </w:rPr>
      </w:pPr>
    </w:p>
    <w:p w14:paraId="1E1A9E87">
      <w:pPr>
        <w:adjustRightInd w:val="0"/>
        <w:snapToGrid w:val="0"/>
        <w:spacing w:line="360" w:lineRule="auto"/>
        <w:ind w:firstLine="2107" w:firstLineChars="878"/>
        <w:jc w:val="left"/>
        <w:rPr>
          <w:rFonts w:hint="eastAsia" w:ascii="Arial Unicode MS" w:hAnsi="宋体" w:eastAsia="Arial Unicode MS"/>
          <w:sz w:val="24"/>
          <w:szCs w:val="24"/>
        </w:rPr>
      </w:pPr>
    </w:p>
    <w:p w14:paraId="3C06903C">
      <w:pPr>
        <w:adjustRightInd w:val="0"/>
        <w:snapToGrid w:val="0"/>
        <w:spacing w:line="360" w:lineRule="auto"/>
        <w:ind w:firstLine="2107" w:firstLineChars="878"/>
        <w:jc w:val="left"/>
        <w:rPr>
          <w:rFonts w:hint="eastAsia" w:ascii="Arial Unicode MS" w:hAnsi="宋体" w:eastAsia="Arial Unicode MS"/>
          <w:sz w:val="24"/>
          <w:szCs w:val="24"/>
        </w:rPr>
      </w:pPr>
    </w:p>
    <w:p w14:paraId="7B621453">
      <w:pPr>
        <w:adjustRightInd w:val="0"/>
        <w:snapToGrid w:val="0"/>
        <w:spacing w:line="360" w:lineRule="auto"/>
        <w:ind w:firstLine="2107" w:firstLineChars="878"/>
        <w:jc w:val="left"/>
        <w:rPr>
          <w:rFonts w:hint="eastAsia" w:ascii="Arial Unicode MS" w:hAnsi="宋体" w:eastAsia="Arial Unicode MS"/>
          <w:sz w:val="24"/>
          <w:szCs w:val="24"/>
        </w:rPr>
      </w:pPr>
    </w:p>
    <w:p w14:paraId="77D981B0">
      <w:pPr>
        <w:adjustRightInd w:val="0"/>
        <w:snapToGrid w:val="0"/>
        <w:spacing w:line="360" w:lineRule="auto"/>
        <w:ind w:firstLine="2107" w:firstLineChars="878"/>
        <w:jc w:val="left"/>
        <w:rPr>
          <w:rFonts w:hint="eastAsia" w:ascii="Arial Unicode MS" w:hAnsi="宋体" w:eastAsia="Arial Unicode MS"/>
          <w:sz w:val="24"/>
          <w:szCs w:val="24"/>
        </w:rPr>
      </w:pPr>
    </w:p>
    <w:p w14:paraId="1F638863">
      <w:pPr>
        <w:adjustRightInd w:val="0"/>
        <w:snapToGrid w:val="0"/>
        <w:spacing w:line="360" w:lineRule="auto"/>
        <w:ind w:firstLine="2107" w:firstLineChars="878"/>
        <w:jc w:val="left"/>
        <w:rPr>
          <w:rFonts w:ascii="Arial Unicode MS" w:hAnsi="宋体" w:eastAsia="Arial Unicode MS"/>
          <w:sz w:val="24"/>
          <w:szCs w:val="24"/>
          <w:u w:val="thick"/>
        </w:rPr>
      </w:pPr>
      <w:r>
        <w:rPr>
          <w:rFonts w:hint="eastAsia" w:ascii="Arial Unicode MS" w:hAnsi="宋体" w:eastAsia="Arial Unicode MS"/>
          <w:sz w:val="24"/>
          <w:szCs w:val="24"/>
        </w:rPr>
        <w:t>甲  方：</w:t>
      </w:r>
      <w:r>
        <w:rPr>
          <w:rFonts w:hint="eastAsia" w:ascii="Arial Unicode MS" w:hAnsi="宋体" w:eastAsia="Arial Unicode MS"/>
          <w:sz w:val="24"/>
          <w:szCs w:val="24"/>
          <w:u w:val="thick"/>
        </w:rPr>
        <w:t xml:space="preserve">                           </w:t>
      </w:r>
    </w:p>
    <w:p w14:paraId="5D3E303C">
      <w:pPr>
        <w:adjustRightInd w:val="0"/>
        <w:snapToGrid w:val="0"/>
        <w:spacing w:line="360" w:lineRule="auto"/>
        <w:ind w:firstLine="2107" w:firstLineChars="878"/>
        <w:jc w:val="left"/>
        <w:rPr>
          <w:rFonts w:ascii="Arial Unicode MS" w:hAnsi="宋体" w:eastAsia="Arial Unicode MS"/>
          <w:sz w:val="24"/>
          <w:szCs w:val="24"/>
          <w:u w:val="thick"/>
        </w:rPr>
      </w:pPr>
    </w:p>
    <w:p w14:paraId="4B065F34">
      <w:pPr>
        <w:adjustRightInd w:val="0"/>
        <w:snapToGrid w:val="0"/>
        <w:spacing w:line="360" w:lineRule="auto"/>
        <w:ind w:firstLine="1627" w:firstLineChars="678"/>
        <w:jc w:val="left"/>
        <w:rPr>
          <w:rFonts w:ascii="Arial Unicode MS" w:hAnsi="宋体" w:eastAsia="Arial Unicode MS"/>
          <w:sz w:val="24"/>
          <w:szCs w:val="24"/>
        </w:rPr>
      </w:pPr>
      <w:r>
        <w:rPr>
          <w:rFonts w:hint="eastAsia" w:ascii="Arial Unicode MS" w:hAnsi="宋体" w:eastAsia="Arial Unicode MS"/>
          <w:sz w:val="24"/>
          <w:szCs w:val="24"/>
        </w:rPr>
        <w:t xml:space="preserve"> </w:t>
      </w:r>
    </w:p>
    <w:p w14:paraId="1EBFA978">
      <w:pPr>
        <w:spacing w:line="360" w:lineRule="auto"/>
        <w:ind w:firstLine="2160" w:firstLineChars="900"/>
        <w:rPr>
          <w:rFonts w:hint="eastAsia" w:ascii="Arial Unicode MS" w:hAnsi="宋体" w:eastAsia="Arial Unicode MS"/>
          <w:sz w:val="24"/>
          <w:szCs w:val="24"/>
          <w:u w:val="thick"/>
        </w:rPr>
      </w:pPr>
      <w:r>
        <w:rPr>
          <w:rFonts w:hint="eastAsia" w:ascii="Arial Unicode MS" w:hAnsi="宋体" w:eastAsia="Arial Unicode MS"/>
          <w:sz w:val="24"/>
          <w:szCs w:val="24"/>
        </w:rPr>
        <w:t>乙  方：</w:t>
      </w:r>
      <w:r>
        <w:rPr>
          <w:rFonts w:hint="eastAsia" w:ascii="Arial Unicode MS" w:hAnsi="宋体" w:eastAsia="Arial Unicode MS"/>
          <w:sz w:val="24"/>
          <w:szCs w:val="24"/>
          <w:u w:val="thick"/>
        </w:rPr>
        <w:t xml:space="preserve">                          </w:t>
      </w:r>
    </w:p>
    <w:p w14:paraId="2F7266D3">
      <w:pPr>
        <w:spacing w:line="360" w:lineRule="auto"/>
        <w:ind w:firstLine="2160" w:firstLineChars="900"/>
        <w:rPr>
          <w:rFonts w:hint="eastAsia" w:ascii="Arial Unicode MS" w:hAnsi="宋体" w:eastAsia="Arial Unicode MS"/>
          <w:sz w:val="24"/>
          <w:szCs w:val="24"/>
          <w:u w:val="thick"/>
        </w:rPr>
      </w:pPr>
    </w:p>
    <w:p w14:paraId="32C5772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为加强危险废物、固体废物污染防治，进一步改善环境质量，保障环境安全、人民健康，根据《中华人民共和国环境保护法》《中华人民共和国固体废物污染环境防治法》《中华人民共和国民法典》等法律法规，经甲乙双方友好协商，签订以下合同，以兹共同遵守。</w:t>
      </w:r>
    </w:p>
    <w:p w14:paraId="21351EC2">
      <w:pPr>
        <w:spacing w:line="360" w:lineRule="auto"/>
        <w:ind w:firstLine="482" w:firstLineChars="200"/>
        <w:rPr>
          <w:rFonts w:ascii="仿宋_GB2312" w:hAnsi="仿宋_GB2312" w:eastAsia="仿宋_GB2312" w:cs="仿宋_GB2312"/>
          <w:b/>
          <w:sz w:val="24"/>
          <w:szCs w:val="24"/>
        </w:rPr>
      </w:pPr>
      <w:r>
        <w:rPr>
          <w:rFonts w:hint="eastAsia" w:ascii="仿宋_GB2312" w:hAnsi="仿宋_GB2312" w:eastAsia="仿宋_GB2312" w:cs="仿宋_GB2312"/>
          <w:b/>
          <w:sz w:val="24"/>
          <w:szCs w:val="24"/>
        </w:rPr>
        <w:t>一、合作内容</w:t>
      </w:r>
    </w:p>
    <w:p w14:paraId="3C4648B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乙方拥有合法有效的危险废物经营许可证，甲方委托乙方集中收集、贮存、运输、安全无害化处置危险废物，使之达到国家有关环保法律、法规和技术规范之要求。</w:t>
      </w:r>
    </w:p>
    <w:p w14:paraId="6C3FC46D">
      <w:pPr>
        <w:spacing w:line="360" w:lineRule="auto"/>
        <w:ind w:firstLine="482" w:firstLineChars="200"/>
        <w:rPr>
          <w:rFonts w:ascii="仿宋_GB2312" w:hAnsi="仿宋_GB2312" w:eastAsia="仿宋_GB2312" w:cs="仿宋_GB2312"/>
          <w:b/>
          <w:sz w:val="24"/>
          <w:szCs w:val="24"/>
        </w:rPr>
      </w:pPr>
      <w:r>
        <w:rPr>
          <w:rFonts w:hint="eastAsia" w:ascii="仿宋_GB2312" w:hAnsi="仿宋_GB2312" w:eastAsia="仿宋_GB2312" w:cs="仿宋_GB2312"/>
          <w:b/>
          <w:sz w:val="24"/>
          <w:szCs w:val="24"/>
        </w:rPr>
        <w:t>二、责任义务</w:t>
      </w:r>
    </w:p>
    <w:p w14:paraId="31C1509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（一）甲方责任</w:t>
      </w:r>
    </w:p>
    <w:p w14:paraId="073EFB5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1.甲方负责分类、收集并暂时贮存本单位产生的危险废物。</w:t>
      </w:r>
    </w:p>
    <w:p w14:paraId="08C42966">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甲方负责对危险废物进行包装，并做到包装密封，捆扎结实，对于有异味的物料进行双层密闭包装，确保无异味外漏；并根据《中华人民共和国固体废物污染环境防治法》的要求在外包装的适当位置张贴填写完整的危险废物标识。运输之前乙方确认危险废物的包装必须符合危险废物包装标准。</w:t>
      </w:r>
    </w:p>
    <w:p w14:paraId="6B124C9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3.甲方负责向乙方提供本单位产生的危险废物数量、种类、成分及含量等有效资料。</w:t>
      </w:r>
    </w:p>
    <w:p w14:paraId="712444D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4.甲方负责办理甲方所在地环保部门《危险废物转移联单》等废物转移相关手续。</w:t>
      </w:r>
    </w:p>
    <w:p w14:paraId="4E30E59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5.甲方负责办理乙方运输车辆进入厂区限行区域内通行路线的通行证件，负责为乙方在厂区危险废物装车过程中提供叉车、行车等机械设备并配备叉车司机及行车操作人员。</w:t>
      </w:r>
    </w:p>
    <w:p w14:paraId="55001C24">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6.装、封车完毕后，到双方确认的过磅处过磅称重计量，并在过磅单上签字确认。</w:t>
      </w:r>
    </w:p>
    <w:p w14:paraId="5C5E1241">
      <w:pPr>
        <w:numPr>
          <w:ilvl w:val="255"/>
          <w:numId w:val="0"/>
        </w:num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7.甲方有权指定具体运输处理时间，并提前</w:t>
      </w:r>
      <w:r>
        <w:rPr>
          <w:rFonts w:hint="eastAsia" w:ascii="仿宋_GB2312" w:hAnsi="仿宋_GB2312" w:eastAsia="仿宋_GB2312" w:cs="仿宋_GB2312"/>
          <w:i/>
          <w:iCs/>
          <w:color w:val="FF0000"/>
          <w:sz w:val="24"/>
          <w:szCs w:val="24"/>
          <w:u w:val="single"/>
        </w:rPr>
        <w:t>（依据实际需求、标书或澄清确定提前告知的日期）</w:t>
      </w:r>
      <w:r>
        <w:rPr>
          <w:rFonts w:hint="eastAsia" w:ascii="仿宋_GB2312" w:hAnsi="仿宋_GB2312" w:eastAsia="仿宋_GB2312" w:cs="仿宋_GB2312"/>
          <w:sz w:val="24"/>
          <w:szCs w:val="24"/>
        </w:rPr>
        <w:t>天以上通知乙方。</w:t>
      </w:r>
    </w:p>
    <w:p w14:paraId="5ACE0DCD">
      <w:pPr>
        <w:numPr>
          <w:ilvl w:val="255"/>
          <w:numId w:val="0"/>
        </w:num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（二）乙方责任</w:t>
      </w:r>
    </w:p>
    <w:p w14:paraId="4E705EAF">
      <w:pPr>
        <w:numPr>
          <w:ilvl w:val="255"/>
          <w:numId w:val="0"/>
        </w:num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1.乙方在接到甲方通知后必须按甲方指定的处理时间派遣运输车辆至甲方所在地转移危险废物，不得以产生量小、起运重量不够等任何理由拒绝、拖延转移甲方产生的危险废物。</w:t>
      </w:r>
    </w:p>
    <w:p w14:paraId="34E9505B">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2.乙方需向甲方提供有效的、与甲方废物相关的废物处置资质证明，乙方确保具备合规的废物储存及处置设施。</w:t>
      </w:r>
    </w:p>
    <w:p w14:paraId="00CEEA12">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3.乙方不得对本合同项下危险废物的处置工作进行转包、分包。</w:t>
      </w:r>
    </w:p>
    <w:p w14:paraId="3406005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4.乙方凭甲方办理的危险废物转移联单及甲方相关出门手续对危险废物进行转移。</w:t>
      </w:r>
      <w:r>
        <w:rPr>
          <w:rFonts w:hint="eastAsia" w:ascii="仿宋_GB2312" w:hAnsi="华文中宋" w:eastAsia="仿宋_GB2312" w:cs="仿宋"/>
          <w:sz w:val="24"/>
          <w:szCs w:val="24"/>
        </w:rPr>
        <w:t>乙方应对交接的危险废物进行核实，并与甲方相关工作人员予以书面签字确认，严格按照《危险废物转移联单》制度执行。</w:t>
      </w:r>
    </w:p>
    <w:p w14:paraId="7AD48E5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5.乙方进入甲方厂区应严格遵守甲方的有关规章制度。在甲方厂区内，乙方所有车辆要严格按照甲方规定的行车路线行驶和驻停。</w:t>
      </w:r>
    </w:p>
    <w:p w14:paraId="348C273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6.乙方在处置甲方废物时，需接受环保主管部门的监督和指导，并接受甲方的监督。</w:t>
      </w:r>
    </w:p>
    <w:p w14:paraId="789BEFF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7.乙方负责危险废物的运输工作，危险废物装载到车辆之后的风险由乙方承担。如因乙方原因造成泄漏、污染事故责任由乙方承担。</w:t>
      </w:r>
    </w:p>
    <w:p w14:paraId="0B56EBE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8.乙方人员在甲方厂区</w:t>
      </w:r>
      <w:r>
        <w:rPr>
          <w:rFonts w:hint="eastAsia" w:ascii="仿宋_GB2312" w:hAnsi="华文中宋" w:eastAsia="仿宋_GB2312" w:cs="仿宋"/>
          <w:sz w:val="24"/>
          <w:szCs w:val="24"/>
        </w:rPr>
        <w:t>装运过程中杜绝在甲方厂区出现物料抛洒现象，</w:t>
      </w:r>
      <w:r>
        <w:rPr>
          <w:rFonts w:hint="eastAsia" w:ascii="仿宋_GB2312" w:hAnsi="仿宋_GB2312" w:eastAsia="仿宋_GB2312" w:cs="仿宋_GB2312"/>
          <w:sz w:val="24"/>
          <w:szCs w:val="24"/>
        </w:rPr>
        <w:t>在此期间发生的一切安全事故由乙方负责。</w:t>
      </w:r>
    </w:p>
    <w:p w14:paraId="480DF4A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9.乙方在清运危险废物过程中不得影响甲方的正常生产运营工作，如若对生产运营造成影响并由此产生的一切后果均由乙方承担。</w:t>
      </w:r>
    </w:p>
    <w:p w14:paraId="47943B6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10.乙方在服务过程中如发生偷盗等行为，应向甲方承担赔偿责任。</w:t>
      </w:r>
    </w:p>
    <w:p w14:paraId="5E0DBC7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11.甲方产生的体积大、重量轻的危险废物（油桶、油漆桶等）如需压缩，由乙方负责提供设备及人员按照规定要求进行压缩，所需费用由乙方承担。</w:t>
      </w:r>
    </w:p>
    <w:p w14:paraId="7EF18A9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乙方必须依照《中华人民共和国固体废物污染环境防治法》和《危险废物污染防治技术政策》及lSO14001环境体系的有关规定处置甲方转移的危险废物，并达到国家相关标准。在危险废物处置过程中，如果发生任何环境污染事件以及由此受到政府主管部门的处罚，全部由乙方承担，如因此给甲方造成损失，乙方应对甲方全部损失进行赔偿。</w:t>
      </w:r>
    </w:p>
    <w:p w14:paraId="5A9165A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13.乙方负责办理乙方所在地危险废物处置的相关手续（如需）。</w:t>
      </w:r>
    </w:p>
    <w:p w14:paraId="065D2D64">
      <w:pPr>
        <w:spacing w:line="360" w:lineRule="auto"/>
        <w:ind w:left="479" w:leftChars="228"/>
        <w:rPr>
          <w:rFonts w:ascii="仿宋_GB2312" w:hAnsi="仿宋_GB2312" w:eastAsia="仿宋_GB2312" w:cs="仿宋_GB2312"/>
          <w:sz w:val="24"/>
          <w:szCs w:val="24"/>
        </w:rPr>
      </w:pPr>
      <w:r>
        <w:rPr>
          <w:rFonts w:hint="eastAsia" w:ascii="仿宋_GB2312" w:hAnsi="仿宋_GB2312" w:eastAsia="仿宋_GB2312" w:cs="仿宋_GB2312"/>
          <w:sz w:val="24"/>
          <w:szCs w:val="24"/>
        </w:rPr>
        <w:t>14.乙方应保证在合同有效期内完成危险废物运输、贮存及安全无害化处置。</w:t>
      </w:r>
    </w:p>
    <w:p w14:paraId="1E0E2C4E">
      <w:pPr>
        <w:spacing w:line="360" w:lineRule="auto"/>
        <w:ind w:left="479" w:leftChars="228"/>
        <w:rPr>
          <w:rFonts w:ascii="仿宋_GB2312" w:hAnsi="仿宋_GB2312" w:eastAsia="仿宋_GB2312" w:cs="仿宋_GB2312"/>
          <w:b/>
          <w:sz w:val="24"/>
          <w:szCs w:val="24"/>
        </w:rPr>
      </w:pPr>
      <w:r>
        <w:rPr>
          <w:rFonts w:hint="eastAsia" w:ascii="仿宋_GB2312" w:hAnsi="仿宋_GB2312" w:eastAsia="仿宋_GB2312" w:cs="仿宋_GB2312"/>
          <w:b/>
          <w:sz w:val="24"/>
          <w:szCs w:val="24"/>
        </w:rPr>
        <w:t>三、危废名称、数量及处置价格</w:t>
      </w:r>
    </w:p>
    <w:tbl>
      <w:tblPr>
        <w:tblStyle w:val="31"/>
        <w:tblW w:w="9130" w:type="dxa"/>
        <w:tblInd w:w="-2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1134"/>
        <w:gridCol w:w="993"/>
        <w:gridCol w:w="1134"/>
        <w:gridCol w:w="1559"/>
        <w:gridCol w:w="1685"/>
        <w:gridCol w:w="1210"/>
      </w:tblGrid>
      <w:tr w14:paraId="1C9B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415" w:type="dxa"/>
            <w:vAlign w:val="center"/>
          </w:tcPr>
          <w:p w14:paraId="3F20E3D0">
            <w:pPr>
              <w:spacing w:line="360" w:lineRule="auto"/>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危废名称</w:t>
            </w:r>
          </w:p>
        </w:tc>
        <w:tc>
          <w:tcPr>
            <w:tcW w:w="1134" w:type="dxa"/>
            <w:vAlign w:val="center"/>
          </w:tcPr>
          <w:p w14:paraId="27E883A7">
            <w:pPr>
              <w:spacing w:line="360" w:lineRule="auto"/>
              <w:jc w:val="center"/>
              <w:rPr>
                <w:rFonts w:ascii="仿宋_GB2312" w:hAnsi="仿宋_GB2312" w:eastAsia="仿宋_GB2312" w:cs="仿宋_GB2312"/>
                <w:spacing w:val="-20"/>
                <w:kern w:val="0"/>
                <w:sz w:val="24"/>
                <w:szCs w:val="24"/>
              </w:rPr>
            </w:pPr>
            <w:r>
              <w:rPr>
                <w:rFonts w:hint="eastAsia" w:ascii="仿宋_GB2312" w:hAnsi="仿宋_GB2312" w:eastAsia="仿宋_GB2312" w:cs="仿宋_GB2312"/>
                <w:spacing w:val="-20"/>
                <w:kern w:val="0"/>
                <w:sz w:val="24"/>
                <w:szCs w:val="24"/>
              </w:rPr>
              <w:t>类 别</w:t>
            </w:r>
          </w:p>
        </w:tc>
        <w:tc>
          <w:tcPr>
            <w:tcW w:w="993" w:type="dxa"/>
            <w:vAlign w:val="center"/>
          </w:tcPr>
          <w:p w14:paraId="7879CB69">
            <w:pPr>
              <w:spacing w:line="360" w:lineRule="auto"/>
              <w:jc w:val="center"/>
              <w:rPr>
                <w:rFonts w:ascii="仿宋_GB2312" w:hAnsi="仿宋_GB2312" w:eastAsia="仿宋_GB2312" w:cs="仿宋_GB2312"/>
                <w:spacing w:val="-20"/>
                <w:kern w:val="0"/>
                <w:sz w:val="24"/>
                <w:szCs w:val="24"/>
              </w:rPr>
            </w:pPr>
            <w:r>
              <w:rPr>
                <w:rFonts w:hint="eastAsia" w:ascii="仿宋_GB2312" w:hAnsi="仿宋_GB2312" w:eastAsia="仿宋_GB2312" w:cs="仿宋_GB2312"/>
                <w:spacing w:val="-20"/>
                <w:kern w:val="0"/>
                <w:sz w:val="24"/>
                <w:szCs w:val="24"/>
              </w:rPr>
              <w:t>代 码</w:t>
            </w:r>
          </w:p>
        </w:tc>
        <w:tc>
          <w:tcPr>
            <w:tcW w:w="1134" w:type="dxa"/>
            <w:vAlign w:val="center"/>
          </w:tcPr>
          <w:p w14:paraId="346B89F9">
            <w:pPr>
              <w:spacing w:line="360" w:lineRule="auto"/>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形 态</w:t>
            </w:r>
          </w:p>
        </w:tc>
        <w:tc>
          <w:tcPr>
            <w:tcW w:w="1559" w:type="dxa"/>
            <w:vAlign w:val="center"/>
          </w:tcPr>
          <w:p w14:paraId="4131D507">
            <w:pPr>
              <w:spacing w:line="360" w:lineRule="auto"/>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预处置量</w:t>
            </w:r>
          </w:p>
          <w:p w14:paraId="0C1A58B8">
            <w:pPr>
              <w:spacing w:line="360" w:lineRule="auto"/>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（吨/年）</w:t>
            </w:r>
          </w:p>
        </w:tc>
        <w:tc>
          <w:tcPr>
            <w:tcW w:w="1685" w:type="dxa"/>
            <w:vAlign w:val="center"/>
          </w:tcPr>
          <w:p w14:paraId="7F28DC34">
            <w:pPr>
              <w:spacing w:line="360" w:lineRule="auto"/>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处置价格</w:t>
            </w:r>
          </w:p>
          <w:p w14:paraId="060F4C97">
            <w:pPr>
              <w:spacing w:line="360" w:lineRule="auto"/>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（元/吨，含税税率【】）</w:t>
            </w:r>
          </w:p>
        </w:tc>
        <w:tc>
          <w:tcPr>
            <w:tcW w:w="1210" w:type="dxa"/>
            <w:vAlign w:val="center"/>
          </w:tcPr>
          <w:p w14:paraId="5C89F8E9">
            <w:pPr>
              <w:spacing w:line="360" w:lineRule="auto"/>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包装规格</w:t>
            </w:r>
          </w:p>
        </w:tc>
      </w:tr>
      <w:tr w14:paraId="025E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415" w:type="dxa"/>
            <w:vAlign w:val="center"/>
          </w:tcPr>
          <w:p w14:paraId="135296E3">
            <w:pPr>
              <w:tabs>
                <w:tab w:val="left" w:pos="1806"/>
              </w:tabs>
              <w:spacing w:line="360" w:lineRule="auto"/>
              <w:jc w:val="center"/>
              <w:rPr>
                <w:rFonts w:ascii="仿宋_GB2312" w:hAnsi="仿宋_GB2312" w:eastAsia="仿宋_GB2312" w:cs="仿宋_GB2312"/>
                <w:kern w:val="0"/>
                <w:sz w:val="24"/>
                <w:szCs w:val="24"/>
              </w:rPr>
            </w:pPr>
          </w:p>
        </w:tc>
        <w:tc>
          <w:tcPr>
            <w:tcW w:w="1134" w:type="dxa"/>
            <w:vAlign w:val="center"/>
          </w:tcPr>
          <w:p w14:paraId="4E463B4B">
            <w:pPr>
              <w:tabs>
                <w:tab w:val="left" w:pos="1806"/>
              </w:tabs>
              <w:spacing w:line="360" w:lineRule="auto"/>
              <w:jc w:val="center"/>
              <w:rPr>
                <w:rFonts w:ascii="仿宋_GB2312" w:hAnsi="仿宋_GB2312" w:eastAsia="仿宋_GB2312" w:cs="仿宋_GB2312"/>
                <w:kern w:val="0"/>
                <w:sz w:val="24"/>
                <w:szCs w:val="24"/>
              </w:rPr>
            </w:pPr>
          </w:p>
        </w:tc>
        <w:tc>
          <w:tcPr>
            <w:tcW w:w="993" w:type="dxa"/>
            <w:vAlign w:val="center"/>
          </w:tcPr>
          <w:p w14:paraId="1A769BFF">
            <w:pPr>
              <w:tabs>
                <w:tab w:val="left" w:pos="1806"/>
              </w:tabs>
              <w:spacing w:line="360" w:lineRule="auto"/>
              <w:jc w:val="center"/>
              <w:rPr>
                <w:rFonts w:ascii="仿宋_GB2312" w:hAnsi="仿宋_GB2312" w:eastAsia="仿宋_GB2312" w:cs="仿宋_GB2312"/>
                <w:kern w:val="0"/>
                <w:sz w:val="24"/>
                <w:szCs w:val="24"/>
              </w:rPr>
            </w:pPr>
          </w:p>
        </w:tc>
        <w:tc>
          <w:tcPr>
            <w:tcW w:w="1134" w:type="dxa"/>
            <w:vAlign w:val="center"/>
          </w:tcPr>
          <w:p w14:paraId="116018A4">
            <w:pPr>
              <w:tabs>
                <w:tab w:val="left" w:pos="1806"/>
              </w:tabs>
              <w:spacing w:line="360" w:lineRule="auto"/>
              <w:jc w:val="center"/>
              <w:rPr>
                <w:rFonts w:ascii="仿宋_GB2312" w:hAnsi="仿宋_GB2312" w:eastAsia="仿宋_GB2312" w:cs="仿宋_GB2312"/>
                <w:kern w:val="0"/>
                <w:sz w:val="24"/>
                <w:szCs w:val="24"/>
              </w:rPr>
            </w:pPr>
          </w:p>
        </w:tc>
        <w:tc>
          <w:tcPr>
            <w:tcW w:w="1559" w:type="dxa"/>
            <w:vAlign w:val="center"/>
          </w:tcPr>
          <w:p w14:paraId="162BEDE3">
            <w:pPr>
              <w:tabs>
                <w:tab w:val="left" w:pos="1806"/>
              </w:tabs>
              <w:spacing w:line="360" w:lineRule="auto"/>
              <w:jc w:val="center"/>
              <w:rPr>
                <w:rFonts w:ascii="仿宋_GB2312" w:hAnsi="仿宋_GB2312" w:eastAsia="仿宋_GB2312" w:cs="仿宋_GB2312"/>
                <w:kern w:val="0"/>
                <w:sz w:val="24"/>
                <w:szCs w:val="24"/>
              </w:rPr>
            </w:pPr>
          </w:p>
        </w:tc>
        <w:tc>
          <w:tcPr>
            <w:tcW w:w="1685" w:type="dxa"/>
            <w:vAlign w:val="center"/>
          </w:tcPr>
          <w:p w14:paraId="4EA62A35">
            <w:pPr>
              <w:tabs>
                <w:tab w:val="left" w:pos="1806"/>
              </w:tabs>
              <w:spacing w:line="360" w:lineRule="auto"/>
              <w:jc w:val="center"/>
              <w:rPr>
                <w:rFonts w:ascii="仿宋_GB2312" w:hAnsi="仿宋_GB2312" w:eastAsia="仿宋_GB2312" w:cs="仿宋_GB2312"/>
                <w:kern w:val="0"/>
                <w:sz w:val="24"/>
                <w:szCs w:val="24"/>
              </w:rPr>
            </w:pPr>
          </w:p>
        </w:tc>
        <w:tc>
          <w:tcPr>
            <w:tcW w:w="1210" w:type="dxa"/>
            <w:vAlign w:val="center"/>
          </w:tcPr>
          <w:p w14:paraId="49E81239">
            <w:pPr>
              <w:spacing w:line="360" w:lineRule="auto"/>
              <w:jc w:val="center"/>
              <w:rPr>
                <w:rFonts w:ascii="仿宋_GB2312" w:hAnsi="仿宋_GB2312" w:eastAsia="仿宋_GB2312" w:cs="仿宋_GB2312"/>
                <w:kern w:val="0"/>
                <w:sz w:val="24"/>
                <w:szCs w:val="24"/>
              </w:rPr>
            </w:pPr>
          </w:p>
        </w:tc>
      </w:tr>
      <w:tr w14:paraId="48DE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415" w:type="dxa"/>
            <w:shd w:val="clear" w:color="auto" w:fill="FFFFFF"/>
            <w:vAlign w:val="center"/>
          </w:tcPr>
          <w:p w14:paraId="720E2814">
            <w:pPr>
              <w:tabs>
                <w:tab w:val="left" w:pos="1806"/>
              </w:tabs>
              <w:spacing w:line="360" w:lineRule="auto"/>
              <w:jc w:val="center"/>
              <w:rPr>
                <w:rFonts w:ascii="仿宋_GB2312" w:hAnsi="仿宋_GB2312" w:eastAsia="仿宋_GB2312" w:cs="仿宋_GB2312"/>
                <w:kern w:val="0"/>
                <w:sz w:val="24"/>
                <w:szCs w:val="24"/>
              </w:rPr>
            </w:pPr>
          </w:p>
        </w:tc>
        <w:tc>
          <w:tcPr>
            <w:tcW w:w="1134" w:type="dxa"/>
            <w:shd w:val="clear" w:color="auto" w:fill="FFFFFF"/>
            <w:vAlign w:val="center"/>
          </w:tcPr>
          <w:p w14:paraId="4098AB14">
            <w:pPr>
              <w:tabs>
                <w:tab w:val="left" w:pos="1806"/>
              </w:tabs>
              <w:spacing w:line="360" w:lineRule="auto"/>
              <w:jc w:val="center"/>
              <w:rPr>
                <w:rFonts w:ascii="仿宋_GB2312" w:hAnsi="仿宋_GB2312" w:eastAsia="仿宋_GB2312" w:cs="仿宋_GB2312"/>
                <w:kern w:val="0"/>
                <w:sz w:val="24"/>
                <w:szCs w:val="24"/>
              </w:rPr>
            </w:pPr>
          </w:p>
        </w:tc>
        <w:tc>
          <w:tcPr>
            <w:tcW w:w="993" w:type="dxa"/>
            <w:shd w:val="clear" w:color="auto" w:fill="FFFFFF"/>
            <w:vAlign w:val="center"/>
          </w:tcPr>
          <w:p w14:paraId="58950CFF">
            <w:pPr>
              <w:tabs>
                <w:tab w:val="left" w:pos="1806"/>
              </w:tabs>
              <w:spacing w:line="360" w:lineRule="auto"/>
              <w:jc w:val="center"/>
              <w:rPr>
                <w:rFonts w:ascii="仿宋_GB2312" w:hAnsi="仿宋_GB2312" w:eastAsia="仿宋_GB2312" w:cs="仿宋_GB2312"/>
                <w:kern w:val="0"/>
                <w:sz w:val="24"/>
                <w:szCs w:val="24"/>
              </w:rPr>
            </w:pPr>
          </w:p>
        </w:tc>
        <w:tc>
          <w:tcPr>
            <w:tcW w:w="1134" w:type="dxa"/>
            <w:shd w:val="clear" w:color="auto" w:fill="FFFFFF"/>
            <w:vAlign w:val="center"/>
          </w:tcPr>
          <w:p w14:paraId="60207998">
            <w:pPr>
              <w:tabs>
                <w:tab w:val="left" w:pos="1806"/>
              </w:tabs>
              <w:spacing w:line="360" w:lineRule="auto"/>
              <w:jc w:val="center"/>
              <w:rPr>
                <w:rFonts w:ascii="仿宋_GB2312" w:hAnsi="仿宋_GB2312" w:eastAsia="仿宋_GB2312" w:cs="仿宋_GB2312"/>
                <w:kern w:val="0"/>
                <w:sz w:val="24"/>
                <w:szCs w:val="24"/>
              </w:rPr>
            </w:pPr>
          </w:p>
        </w:tc>
        <w:tc>
          <w:tcPr>
            <w:tcW w:w="1559" w:type="dxa"/>
            <w:shd w:val="clear" w:color="auto" w:fill="FFFFFF"/>
            <w:vAlign w:val="center"/>
          </w:tcPr>
          <w:p w14:paraId="1F383E77">
            <w:pPr>
              <w:tabs>
                <w:tab w:val="left" w:pos="1806"/>
              </w:tabs>
              <w:spacing w:line="360" w:lineRule="auto"/>
              <w:jc w:val="center"/>
              <w:rPr>
                <w:rFonts w:ascii="仿宋_GB2312" w:hAnsi="仿宋_GB2312" w:eastAsia="仿宋_GB2312" w:cs="仿宋_GB2312"/>
                <w:kern w:val="0"/>
                <w:sz w:val="24"/>
                <w:szCs w:val="24"/>
              </w:rPr>
            </w:pPr>
          </w:p>
        </w:tc>
        <w:tc>
          <w:tcPr>
            <w:tcW w:w="1685" w:type="dxa"/>
            <w:shd w:val="clear" w:color="auto" w:fill="FFFFFF"/>
            <w:vAlign w:val="center"/>
          </w:tcPr>
          <w:p w14:paraId="103B4074">
            <w:pPr>
              <w:tabs>
                <w:tab w:val="left" w:pos="1806"/>
              </w:tabs>
              <w:spacing w:line="360" w:lineRule="auto"/>
              <w:jc w:val="center"/>
              <w:rPr>
                <w:rFonts w:ascii="仿宋_GB2312" w:hAnsi="仿宋_GB2312" w:eastAsia="仿宋_GB2312" w:cs="仿宋_GB2312"/>
                <w:kern w:val="0"/>
                <w:sz w:val="24"/>
                <w:szCs w:val="24"/>
              </w:rPr>
            </w:pPr>
          </w:p>
        </w:tc>
        <w:tc>
          <w:tcPr>
            <w:tcW w:w="1210" w:type="dxa"/>
            <w:shd w:val="clear" w:color="auto" w:fill="FFFFFF"/>
            <w:vAlign w:val="center"/>
          </w:tcPr>
          <w:p w14:paraId="7160C092">
            <w:pPr>
              <w:spacing w:line="360" w:lineRule="auto"/>
              <w:jc w:val="center"/>
              <w:rPr>
                <w:rFonts w:ascii="仿宋_GB2312" w:hAnsi="仿宋_GB2312" w:eastAsia="仿宋_GB2312" w:cs="仿宋_GB2312"/>
                <w:kern w:val="0"/>
                <w:sz w:val="24"/>
                <w:szCs w:val="24"/>
              </w:rPr>
            </w:pPr>
          </w:p>
        </w:tc>
      </w:tr>
    </w:tbl>
    <w:p w14:paraId="7D3E6DE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1.处置物重量、合同总价按照实际过磅据实计算，由双方书面确认。</w:t>
      </w:r>
    </w:p>
    <w:p w14:paraId="775AF85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2.甲方距乙方处置中心距离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公里。</w:t>
      </w:r>
    </w:p>
    <w:p w14:paraId="733B1982">
      <w:pPr>
        <w:spacing w:line="360" w:lineRule="auto"/>
        <w:ind w:firstLine="482" w:firstLineChars="200"/>
        <w:rPr>
          <w:rFonts w:ascii="仿宋_GB2312" w:hAnsi="仿宋_GB2312" w:eastAsia="仿宋_GB2312" w:cs="仿宋_GB2312"/>
          <w:b/>
          <w:sz w:val="24"/>
          <w:szCs w:val="24"/>
        </w:rPr>
      </w:pPr>
      <w:r>
        <w:rPr>
          <w:rFonts w:hint="eastAsia" w:ascii="仿宋_GB2312" w:hAnsi="仿宋_GB2312" w:eastAsia="仿宋_GB2312" w:cs="仿宋_GB2312"/>
          <w:b/>
          <w:sz w:val="24"/>
          <w:szCs w:val="24"/>
        </w:rPr>
        <w:t>四、付款方式</w:t>
      </w:r>
    </w:p>
    <w:p w14:paraId="333BA9A2">
      <w:pPr>
        <w:spacing w:line="360" w:lineRule="auto"/>
        <w:ind w:firstLine="480" w:firstLineChars="200"/>
        <w:jc w:val="left"/>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付款方式为：</w:t>
      </w:r>
      <w:r>
        <w:rPr>
          <w:rFonts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w:t>
      </w:r>
    </w:p>
    <w:p w14:paraId="17ABE5BB">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经甲方对实际处置数量及价格确认后，通知乙方开票，甲方收到乙方提供的相应金额增值税专用发票及完整报账材料后，提交报账流程，财务审核通过后付款，付款条件为发票挂账后【</w:t>
      </w:r>
      <w:r>
        <w:rPr>
          <w:rFonts w:ascii="仿宋_GB2312" w:hAnsi="仿宋_GB2312" w:eastAsia="仿宋_GB2312" w:cs="仿宋_GB2312"/>
          <w:i/>
          <w:iCs/>
          <w:color w:val="FF0000"/>
          <w:sz w:val="24"/>
          <w:szCs w:val="24"/>
        </w:rPr>
        <w:t>SAP付款条件，例：立即到期、30天到期等</w:t>
      </w:r>
      <w:r>
        <w:rPr>
          <w:rFonts w:hint="eastAsia" w:ascii="仿宋_GB2312" w:hAnsi="仿宋_GB2312" w:eastAsia="仿宋_GB2312" w:cs="仿宋_GB2312"/>
          <w:sz w:val="24"/>
          <w:szCs w:val="24"/>
        </w:rPr>
        <w:t>】。如国家出台新政策对增值税率进行了调整，则不含税价款不变，本合同含税价款在不含税价基础上根据国家最新税法进行相应的调整。因发票违规给甲方造成的增值税、所得税等损失，由乙方承担相关责任，包括但不限于税款、滞纳金、罚款及其它相关损失。</w:t>
      </w:r>
    </w:p>
    <w:p w14:paraId="03A7218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乙方账户如下：</w:t>
      </w:r>
    </w:p>
    <w:p w14:paraId="7640D1A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单位名称：</w:t>
      </w:r>
    </w:p>
    <w:p w14:paraId="58EC7EF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开户银行：</w:t>
      </w:r>
    </w:p>
    <w:p w14:paraId="6ED4BB0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账    号：</w:t>
      </w:r>
    </w:p>
    <w:p w14:paraId="788B9FE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税    号：</w:t>
      </w:r>
    </w:p>
    <w:p w14:paraId="3295C1CA">
      <w:pPr>
        <w:spacing w:line="360" w:lineRule="auto"/>
        <w:ind w:firstLine="482" w:firstLineChars="200"/>
        <w:rPr>
          <w:rFonts w:ascii="仿宋_GB2312" w:hAnsi="仿宋_GB2312" w:eastAsia="仿宋_GB2312" w:cs="仿宋_GB2312"/>
          <w:b/>
          <w:sz w:val="24"/>
          <w:szCs w:val="24"/>
        </w:rPr>
      </w:pPr>
      <w:r>
        <w:rPr>
          <w:rFonts w:hint="eastAsia" w:ascii="仿宋_GB2312" w:hAnsi="仿宋_GB2312" w:eastAsia="仿宋_GB2312" w:cs="仿宋_GB2312"/>
          <w:b/>
          <w:sz w:val="24"/>
          <w:szCs w:val="24"/>
        </w:rPr>
        <w:t>五、本合同有效期</w:t>
      </w:r>
    </w:p>
    <w:p w14:paraId="3318E2F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有效期为自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p>
    <w:p w14:paraId="0F67955D">
      <w:pPr>
        <w:spacing w:line="360" w:lineRule="auto"/>
        <w:ind w:firstLine="482" w:firstLineChars="200"/>
        <w:rPr>
          <w:rFonts w:ascii="仿宋_GB2312" w:hAnsi="仿宋_GB2312" w:eastAsia="仿宋_GB2312" w:cs="仿宋_GB2312"/>
          <w:b/>
          <w:sz w:val="24"/>
          <w:szCs w:val="24"/>
        </w:rPr>
      </w:pPr>
      <w:r>
        <w:rPr>
          <w:rFonts w:hint="eastAsia" w:ascii="仿宋_GB2312" w:hAnsi="仿宋_GB2312" w:eastAsia="仿宋_GB2312" w:cs="仿宋_GB2312"/>
          <w:b/>
          <w:sz w:val="24"/>
          <w:szCs w:val="24"/>
        </w:rPr>
        <w:t>六、履约保证金</w:t>
      </w:r>
    </w:p>
    <w:p w14:paraId="2D4EB59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本合同签订生效后5日内，乙方应向甲方交纳</w:t>
      </w:r>
      <w:r>
        <w:rPr>
          <w:rFonts w:hint="eastAsia" w:ascii="仿宋_GB2312" w:hAnsi="仿宋_GB2312" w:eastAsia="仿宋_GB2312" w:cs="仿宋_GB2312"/>
          <w:i/>
          <w:iCs/>
          <w:color w:val="FF0000"/>
          <w:sz w:val="24"/>
          <w:szCs w:val="24"/>
          <w:u w:val="single"/>
        </w:rPr>
        <w:t>（根据标书约定）</w:t>
      </w:r>
      <w:r>
        <w:rPr>
          <w:rFonts w:hint="eastAsia" w:ascii="仿宋_GB2312" w:hAnsi="仿宋_GB2312" w:eastAsia="仿宋_GB2312" w:cs="仿宋_GB2312"/>
          <w:sz w:val="24"/>
          <w:szCs w:val="24"/>
        </w:rPr>
        <w:t>元履约保证金。待合同约定危险废物全部处置完毕后30个工作日内无息退还给乙方。</w:t>
      </w:r>
    </w:p>
    <w:p w14:paraId="20F42C5A">
      <w:pPr>
        <w:spacing w:line="360" w:lineRule="auto"/>
        <w:ind w:firstLine="482" w:firstLineChars="200"/>
        <w:rPr>
          <w:rFonts w:ascii="仿宋_GB2312" w:hAnsi="仿宋_GB2312" w:eastAsia="仿宋_GB2312" w:cs="仿宋_GB2312"/>
          <w:b/>
          <w:sz w:val="24"/>
          <w:szCs w:val="24"/>
        </w:rPr>
      </w:pPr>
      <w:r>
        <w:rPr>
          <w:rFonts w:hint="eastAsia" w:ascii="仿宋_GB2312" w:hAnsi="仿宋_GB2312" w:eastAsia="仿宋_GB2312" w:cs="仿宋_GB2312"/>
          <w:b/>
          <w:sz w:val="24"/>
          <w:szCs w:val="24"/>
        </w:rPr>
        <w:t>七、违约责任</w:t>
      </w:r>
    </w:p>
    <w:p w14:paraId="5B3CC84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1.双方应严格遵守本协议，若一方违约，要停止违约行为，赔偿对方经济损失，承担违约责任。</w:t>
      </w:r>
    </w:p>
    <w:p w14:paraId="287492F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2.如甲方逾期支付处置费，每逾期一天，按逾期支付处置费金额的万分之三向乙方支付违约金，但因乙方原因造成支付逾期的除外。逾期支付违约金总额不超过逾期支付金额的【   】%。</w:t>
      </w:r>
    </w:p>
    <w:p w14:paraId="723DA1E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3.如乙方发生未按照甲方规定及时转移处置甲方所产生的危险废物等服务问题，每发生一次，甲方在乙方提交的履约保证金中按日扣除1000元。</w:t>
      </w:r>
    </w:p>
    <w:p w14:paraId="0603656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59E74BD3">
      <w:pPr>
        <w:spacing w:line="360" w:lineRule="auto"/>
        <w:ind w:firstLine="482" w:firstLineChars="200"/>
        <w:rPr>
          <w:rFonts w:ascii="仿宋_GB2312" w:hAnsi="仿宋_GB2312" w:eastAsia="仿宋_GB2312" w:cs="仿宋_GB2312"/>
          <w:b/>
          <w:sz w:val="24"/>
          <w:szCs w:val="24"/>
        </w:rPr>
      </w:pPr>
      <w:r>
        <w:rPr>
          <w:rFonts w:hint="eastAsia" w:ascii="仿宋_GB2312" w:hAnsi="仿宋_GB2312" w:eastAsia="仿宋_GB2312" w:cs="仿宋_GB2312"/>
          <w:b/>
          <w:sz w:val="24"/>
          <w:szCs w:val="24"/>
        </w:rPr>
        <w:t>八、合同的变更、解除或终止</w:t>
      </w:r>
    </w:p>
    <w:p w14:paraId="6E7B40C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1.因国家法律、法规或政策的变化，导致对危险废物的处置要求发生变化时，双方应根据新的规定对本合同进行变更、解除或终止。</w:t>
      </w:r>
    </w:p>
    <w:p w14:paraId="30F015F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2.有下列情况之一的，合同一方当事人可以变更、解除或终止合同：</w:t>
      </w:r>
    </w:p>
    <w:p w14:paraId="3154677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（1）经甲、乙双方协商一致；</w:t>
      </w:r>
    </w:p>
    <w:p w14:paraId="4647411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（2）因不可抗力致使不能实现合同目的；</w:t>
      </w:r>
    </w:p>
    <w:p w14:paraId="5146424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（3）甲方或乙方因合并、分立、解散、破产、停产等致使合同不能履行；</w:t>
      </w:r>
    </w:p>
    <w:p w14:paraId="4E5A1E7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（4）法律、行政法规规定的其他情形。</w:t>
      </w:r>
    </w:p>
    <w:p w14:paraId="4B9D0CF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3.甲、乙双方按照本合同第八条第2款第（2）、（3）、（4）项之规定主张解除合同的，应当提前30日书面通知对方。</w:t>
      </w:r>
    </w:p>
    <w:p w14:paraId="51728486">
      <w:pPr>
        <w:spacing w:line="360" w:lineRule="auto"/>
        <w:ind w:firstLine="482" w:firstLineChars="200"/>
        <w:rPr>
          <w:rFonts w:ascii="仿宋_GB2312" w:hAnsi="仿宋_GB2312" w:eastAsia="仿宋_GB2312" w:cs="仿宋_GB2312"/>
          <w:b/>
          <w:sz w:val="24"/>
          <w:szCs w:val="24"/>
        </w:rPr>
      </w:pPr>
      <w:r>
        <w:rPr>
          <w:rFonts w:hint="eastAsia" w:ascii="仿宋_GB2312" w:hAnsi="仿宋_GB2312" w:eastAsia="仿宋_GB2312" w:cs="仿宋_GB2312"/>
          <w:b/>
          <w:sz w:val="24"/>
          <w:szCs w:val="24"/>
        </w:rPr>
        <w:t>九、保密条款</w:t>
      </w:r>
    </w:p>
    <w:p w14:paraId="6912B62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在合同协商和履行期间，双方对所获得的对方任何资料、信息数据等文件均负有保密义务。未经对方书面同意，任何一方不得在协商、合同期内或合同履行完毕以后以任何方式泄露或用于与本合同无关的其他任何事项，根据法律法规或监管要求需公开披露的除外。</w:t>
      </w:r>
    </w:p>
    <w:p w14:paraId="626216A8">
      <w:pPr>
        <w:spacing w:line="360" w:lineRule="auto"/>
        <w:ind w:firstLine="482" w:firstLineChars="200"/>
        <w:rPr>
          <w:rFonts w:ascii="仿宋_GB2312" w:hAnsi="仿宋_GB2312" w:eastAsia="仿宋_GB2312" w:cs="仿宋_GB2312"/>
          <w:b/>
          <w:sz w:val="24"/>
          <w:szCs w:val="24"/>
        </w:rPr>
      </w:pPr>
      <w:r>
        <w:rPr>
          <w:rFonts w:hint="eastAsia" w:ascii="仿宋_GB2312" w:hAnsi="仿宋_GB2312" w:eastAsia="仿宋_GB2312" w:cs="仿宋_GB2312"/>
          <w:b/>
          <w:sz w:val="24"/>
          <w:szCs w:val="24"/>
        </w:rPr>
        <w:t>十、争议解决</w:t>
      </w:r>
    </w:p>
    <w:p w14:paraId="359B6B8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双方应严格遵守合同内容，若有争议协商解决，协商不成，向甲方所在地有管辖权的人民法院诉讼解决。</w:t>
      </w:r>
    </w:p>
    <w:p w14:paraId="138DC405">
      <w:pPr>
        <w:spacing w:line="360" w:lineRule="auto"/>
        <w:ind w:firstLine="482" w:firstLineChars="200"/>
        <w:rPr>
          <w:rFonts w:ascii="仿宋_GB2312" w:hAnsi="仿宋_GB2312" w:eastAsia="仿宋_GB2312" w:cs="仿宋_GB2312"/>
          <w:b/>
          <w:sz w:val="24"/>
          <w:szCs w:val="24"/>
        </w:rPr>
      </w:pPr>
      <w:r>
        <w:rPr>
          <w:rFonts w:hint="eastAsia" w:ascii="仿宋_GB2312" w:hAnsi="仿宋_GB2312" w:eastAsia="仿宋_GB2312" w:cs="仿宋_GB2312"/>
          <w:b/>
          <w:sz w:val="24"/>
          <w:szCs w:val="24"/>
        </w:rPr>
        <w:t>十一、其他约定</w:t>
      </w:r>
    </w:p>
    <w:p w14:paraId="334D7DE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本合同自双方签署之日起生效，一式陆份，具有同等法律效力。甲乙双方各执贰份，双方环保主管机关各备案一份。</w:t>
      </w:r>
    </w:p>
    <w:p w14:paraId="2402E3C1">
      <w:pPr>
        <w:spacing w:line="360" w:lineRule="auto"/>
        <w:ind w:firstLine="422" w:firstLineChars="200"/>
        <w:rPr>
          <w:rFonts w:ascii="仿宋_GB2312" w:hAnsi="仿宋_GB2312" w:eastAsia="仿宋_GB2312" w:cs="仿宋_GB2312"/>
          <w:b/>
          <w:bCs/>
          <w:szCs w:val="21"/>
        </w:rPr>
      </w:pPr>
      <w:r>
        <w:rPr>
          <w:rFonts w:hint="eastAsia" w:ascii="仿宋_GB2312" w:hAnsi="仿宋_GB2312" w:eastAsia="仿宋_GB2312" w:cs="仿宋_GB2312"/>
          <w:b/>
          <w:bCs/>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263817F7">
      <w:pPr>
        <w:spacing w:line="360" w:lineRule="auto"/>
        <w:ind w:firstLine="422" w:firstLineChars="200"/>
        <w:rPr>
          <w:rFonts w:ascii="仿宋_GB2312" w:hAnsi="仿宋_GB2312" w:eastAsia="仿宋_GB2312" w:cs="仿宋_GB2312"/>
          <w:sz w:val="24"/>
          <w:szCs w:val="24"/>
        </w:rPr>
      </w:pPr>
      <w:r>
        <w:rPr>
          <w:rFonts w:hint="eastAsia" w:ascii="仿宋_GB2312" w:hAnsi="仿宋_GB2312" w:eastAsia="仿宋_GB2312" w:cs="仿宋_GB2312"/>
          <w:b/>
          <w:bCs/>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15CC24D1">
      <w:pPr>
        <w:spacing w:line="360" w:lineRule="auto"/>
        <w:rPr>
          <w:rFonts w:ascii="仿宋_GB2312" w:hAnsi="仿宋_GB2312" w:eastAsia="仿宋_GB2312" w:cs="仿宋_GB2312"/>
          <w:sz w:val="24"/>
          <w:szCs w:val="24"/>
        </w:rPr>
      </w:pPr>
    </w:p>
    <w:p w14:paraId="5C7C5777">
      <w:pPr>
        <w:spacing w:line="360" w:lineRule="auto"/>
        <w:rPr>
          <w:rFonts w:ascii="仿宋_GB2312" w:hAnsi="仿宋_GB2312" w:eastAsia="仿宋_GB2312" w:cs="仿宋_GB2312"/>
          <w:sz w:val="24"/>
          <w:szCs w:val="24"/>
        </w:rPr>
      </w:pPr>
    </w:p>
    <w:p w14:paraId="59976224">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甲方：                                          乙方： </w:t>
      </w:r>
    </w:p>
    <w:p w14:paraId="3A5F48E8">
      <w:pPr>
        <w:spacing w:line="360" w:lineRule="auto"/>
        <w:rPr>
          <w:rFonts w:ascii="仿宋_GB2312" w:hAnsi="仿宋_GB2312" w:eastAsia="仿宋_GB2312" w:cs="仿宋_GB2312"/>
          <w:sz w:val="24"/>
          <w:szCs w:val="24"/>
        </w:rPr>
      </w:pPr>
    </w:p>
    <w:p w14:paraId="0E6F773C">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代表人签章：                                  代表人签章：</w:t>
      </w:r>
    </w:p>
    <w:p w14:paraId="01C3876A">
      <w:pPr>
        <w:spacing w:line="360" w:lineRule="auto"/>
        <w:rPr>
          <w:rFonts w:ascii="仿宋_GB2312" w:hAnsi="仿宋_GB2312" w:eastAsia="仿宋_GB2312" w:cs="仿宋_GB2312"/>
          <w:sz w:val="24"/>
          <w:szCs w:val="24"/>
        </w:rPr>
      </w:pPr>
    </w:p>
    <w:p w14:paraId="440ABBE9">
      <w:pPr>
        <w:pStyle w:val="77"/>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年 </w:t>
      </w:r>
      <w:r>
        <w:rPr>
          <w:rFonts w:ascii="仿宋_GB2312" w:hAnsi="仿宋_GB2312" w:eastAsia="仿宋_GB2312" w:cs="仿宋_GB2312"/>
          <w:sz w:val="24"/>
          <w:szCs w:val="24"/>
        </w:rPr>
        <w:t xml:space="preserve">  </w:t>
      </w:r>
      <w:r>
        <w:rPr>
          <w:rFonts w:hint="eastAsia" w:ascii="仿宋_GB2312" w:hAnsi="仿宋_GB2312" w:eastAsia="仿宋_GB2312" w:cs="仿宋_GB2312"/>
          <w:sz w:val="24"/>
          <w:szCs w:val="24"/>
        </w:rPr>
        <w:t xml:space="preserve">月 </w:t>
      </w:r>
      <w:r>
        <w:rPr>
          <w:rFonts w:ascii="仿宋_GB2312" w:hAnsi="仿宋_GB2312" w:eastAsia="仿宋_GB2312" w:cs="仿宋_GB2312"/>
          <w:sz w:val="24"/>
          <w:szCs w:val="24"/>
        </w:rPr>
        <w:t xml:space="preserve">   </w:t>
      </w:r>
      <w:r>
        <w:rPr>
          <w:rFonts w:hint="eastAsia" w:ascii="仿宋_GB2312" w:hAnsi="仿宋_GB2312" w:eastAsia="仿宋_GB2312" w:cs="仿宋_GB2312"/>
          <w:sz w:val="24"/>
          <w:szCs w:val="24"/>
        </w:rPr>
        <w:t xml:space="preserve">日 </w:t>
      </w:r>
      <w:r>
        <w:rPr>
          <w:rFonts w:ascii="仿宋_GB2312" w:hAnsi="仿宋_GB2312" w:eastAsia="仿宋_GB2312" w:cs="仿宋_GB2312"/>
          <w:sz w:val="24"/>
          <w:szCs w:val="24"/>
        </w:rPr>
        <w:t xml:space="preserve">                                  </w:t>
      </w:r>
      <w:r>
        <w:rPr>
          <w:rFonts w:hint="eastAsia" w:ascii="仿宋_GB2312" w:hAnsi="仿宋_GB2312" w:eastAsia="仿宋_GB2312" w:cs="仿宋_GB2312"/>
          <w:sz w:val="24"/>
          <w:szCs w:val="24"/>
        </w:rPr>
        <w:t xml:space="preserve">年 </w:t>
      </w:r>
      <w:r>
        <w:rPr>
          <w:rFonts w:ascii="仿宋_GB2312" w:hAnsi="仿宋_GB2312" w:eastAsia="仿宋_GB2312" w:cs="仿宋_GB2312"/>
          <w:sz w:val="24"/>
          <w:szCs w:val="24"/>
        </w:rPr>
        <w:t xml:space="preserve">  </w:t>
      </w:r>
      <w:r>
        <w:rPr>
          <w:rFonts w:hint="eastAsia" w:ascii="仿宋_GB2312" w:hAnsi="仿宋_GB2312" w:eastAsia="仿宋_GB2312" w:cs="仿宋_GB2312"/>
          <w:sz w:val="24"/>
          <w:szCs w:val="24"/>
        </w:rPr>
        <w:t xml:space="preserve">月 </w:t>
      </w:r>
      <w:r>
        <w:rPr>
          <w:rFonts w:ascii="仿宋_GB2312" w:hAnsi="仿宋_GB2312" w:eastAsia="仿宋_GB2312" w:cs="仿宋_GB2312"/>
          <w:sz w:val="24"/>
          <w:szCs w:val="24"/>
        </w:rPr>
        <w:t xml:space="preserve">   </w:t>
      </w:r>
      <w:r>
        <w:rPr>
          <w:rFonts w:hint="eastAsia" w:ascii="仿宋_GB2312" w:hAnsi="仿宋_GB2312" w:eastAsia="仿宋_GB2312" w:cs="仿宋_GB2312"/>
          <w:sz w:val="24"/>
          <w:szCs w:val="24"/>
        </w:rPr>
        <w:t>日</w:t>
      </w:r>
      <w:r>
        <w:rPr>
          <w:rFonts w:ascii="仿宋_GB2312" w:hAnsi="仿宋_GB2312" w:eastAsia="仿宋_GB2312" w:cs="仿宋_GB2312"/>
          <w:sz w:val="24"/>
          <w:szCs w:val="24"/>
        </w:rPr>
        <w:t xml:space="preserve">    </w:t>
      </w:r>
    </w:p>
    <w:p w14:paraId="0C156974">
      <w:pPr>
        <w:pStyle w:val="77"/>
        <w:rPr>
          <w:rFonts w:ascii="仿宋_GB2312" w:hAnsi="仿宋_GB2312" w:eastAsia="仿宋_GB2312" w:cs="仿宋_GB2312"/>
          <w:sz w:val="24"/>
          <w:szCs w:val="24"/>
        </w:rPr>
      </w:pPr>
    </w:p>
    <w:p w14:paraId="21BEFDA9">
      <w:pPr>
        <w:pStyle w:val="77"/>
        <w:rPr>
          <w:rFonts w:ascii="仿宋_GB2312" w:hAnsi="仿宋_GB2312" w:eastAsia="仿宋_GB2312" w:cs="仿宋_GB2312"/>
          <w:sz w:val="24"/>
          <w:szCs w:val="24"/>
        </w:rPr>
      </w:pPr>
    </w:p>
    <w:p w14:paraId="6A576E98">
      <w:pPr>
        <w:pStyle w:val="77"/>
      </w:pPr>
    </w:p>
    <w:p w14:paraId="373AA179">
      <w:pPr>
        <w:pStyle w:val="77"/>
      </w:pPr>
    </w:p>
    <w:p w14:paraId="150257F3">
      <w:pPr>
        <w:pStyle w:val="77"/>
      </w:pPr>
    </w:p>
    <w:p w14:paraId="40953605">
      <w:pPr>
        <w:pStyle w:val="77"/>
      </w:pPr>
    </w:p>
    <w:p w14:paraId="7DF7CDCE">
      <w:pPr>
        <w:pStyle w:val="77"/>
      </w:pPr>
    </w:p>
    <w:p w14:paraId="2CD5A204">
      <w:pPr>
        <w:pStyle w:val="77"/>
      </w:pPr>
    </w:p>
    <w:p w14:paraId="3AECA4B5">
      <w:pPr>
        <w:pStyle w:val="77"/>
      </w:pPr>
    </w:p>
    <w:p w14:paraId="4AD354C0">
      <w:pPr>
        <w:pStyle w:val="77"/>
      </w:pPr>
    </w:p>
    <w:p w14:paraId="27E760CE">
      <w:pPr>
        <w:pStyle w:val="77"/>
      </w:pPr>
    </w:p>
    <w:p w14:paraId="09615663">
      <w:pPr>
        <w:pStyle w:val="77"/>
      </w:pPr>
    </w:p>
    <w:p w14:paraId="050FA5A8">
      <w:pPr>
        <w:pStyle w:val="77"/>
      </w:pPr>
    </w:p>
    <w:p w14:paraId="0370F036">
      <w:pPr>
        <w:pStyle w:val="77"/>
      </w:pPr>
    </w:p>
    <w:p w14:paraId="32A383C9">
      <w:pPr>
        <w:pStyle w:val="77"/>
      </w:pPr>
    </w:p>
    <w:p w14:paraId="1ED05CA3">
      <w:pPr>
        <w:pStyle w:val="77"/>
      </w:pPr>
    </w:p>
    <w:p w14:paraId="610F994C">
      <w:pPr>
        <w:pStyle w:val="77"/>
      </w:pPr>
    </w:p>
    <w:p w14:paraId="33192396">
      <w:pPr>
        <w:pStyle w:val="77"/>
      </w:pPr>
    </w:p>
    <w:p w14:paraId="4DC7C6C4">
      <w:pPr>
        <w:pStyle w:val="77"/>
      </w:pPr>
    </w:p>
    <w:p w14:paraId="79A7EC9B">
      <w:pPr>
        <w:pStyle w:val="77"/>
      </w:pPr>
    </w:p>
    <w:p w14:paraId="0EB8BBEB">
      <w:pPr>
        <w:pStyle w:val="72"/>
        <w:rPr>
          <w:rFonts w:hint="default" w:eastAsia="黑体"/>
          <w:lang w:val="en-US" w:eastAsia="zh-CN"/>
        </w:rPr>
      </w:pPr>
      <w:bookmarkStart w:id="22" w:name="_Toc47976615"/>
      <w:bookmarkStart w:id="23" w:name="_Toc5925"/>
      <w:r>
        <w:rPr>
          <w:rFonts w:hint="eastAsia"/>
        </w:rPr>
        <w:t>第四部分</w:t>
      </w:r>
      <w:bookmarkEnd w:id="22"/>
      <w:r>
        <w:rPr>
          <w:rFonts w:hint="eastAsia"/>
          <w:lang w:val="en-US" w:eastAsia="zh-CN"/>
        </w:rPr>
        <w:t xml:space="preserve">  投标文件附件</w:t>
      </w:r>
      <w:bookmarkEnd w:id="23"/>
    </w:p>
    <w:p w14:paraId="600DE1DD">
      <w:pPr>
        <w:pStyle w:val="72"/>
        <w:jc w:val="left"/>
        <w:rPr>
          <w:rFonts w:hint="eastAsia" w:ascii="宋体" w:hAnsi="宋体" w:eastAsia="宋体" w:cs="宋体"/>
          <w:sz w:val="32"/>
          <w:szCs w:val="32"/>
          <w:highlight w:val="none"/>
          <w:lang w:eastAsia="zh-CN"/>
        </w:rPr>
      </w:pPr>
      <w:bookmarkStart w:id="24" w:name="_Toc47976616"/>
      <w:bookmarkStart w:id="25" w:name="_Toc4225"/>
      <w:r>
        <w:rPr>
          <w:rFonts w:hint="eastAsia" w:ascii="宋体" w:hAnsi="宋体" w:eastAsia="宋体" w:cs="宋体"/>
          <w:sz w:val="32"/>
          <w:szCs w:val="32"/>
          <w:highlight w:val="none"/>
        </w:rPr>
        <w:t>附件</w:t>
      </w:r>
      <w:bookmarkEnd w:id="24"/>
      <w:bookmarkEnd w:id="25"/>
      <w:r>
        <w:rPr>
          <w:rFonts w:hint="eastAsia" w:ascii="宋体" w:hAnsi="宋体" w:eastAsia="宋体" w:cs="宋体"/>
          <w:sz w:val="32"/>
          <w:szCs w:val="32"/>
          <w:highlight w:val="none"/>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w:t>
      </w:r>
      <w:r>
        <w:rPr>
          <w:rFonts w:hint="eastAsia" w:ascii="宋体" w:hAnsi="宋体" w:cs="Times New Roman"/>
          <w:color w:val="000000"/>
          <w:sz w:val="24"/>
          <w:szCs w:val="24"/>
          <w:lang w:eastAsia="zh-CN"/>
        </w:rPr>
        <w:t>中国重汽集团济南汽车部件</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jc w:val="left"/>
        <w:rPr>
          <w:rFonts w:hint="eastAsia" w:ascii="宋体" w:hAnsi="宋体" w:eastAsia="宋体" w:cs="宋体"/>
          <w:sz w:val="32"/>
          <w:szCs w:val="32"/>
          <w:highlight w:val="none"/>
          <w:lang w:val="en-US" w:eastAsia="zh-CN"/>
        </w:rPr>
      </w:pPr>
      <w:bookmarkStart w:id="26" w:name="_Toc47976618"/>
      <w:bookmarkStart w:id="27" w:name="_Toc29366869"/>
      <w:bookmarkStart w:id="28" w:name="_Toc29366865"/>
      <w:r>
        <w:rPr>
          <w:rFonts w:hint="eastAsia" w:ascii="宋体" w:hAnsi="宋体" w:eastAsia="宋体" w:cs="宋体"/>
          <w:sz w:val="32"/>
          <w:szCs w:val="32"/>
          <w:highlight w:val="none"/>
          <w:lang w:val="en-US" w:eastAsia="zh-CN"/>
        </w:rPr>
        <w:t>附件2</w:t>
      </w:r>
    </w:p>
    <w:bookmarkEnd w:id="26"/>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1"/>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5"/>
      </w:pPr>
    </w:p>
    <w:p w14:paraId="3A5DEF51">
      <w:pPr>
        <w:spacing w:line="360" w:lineRule="auto"/>
        <w:rPr>
          <w:rFonts w:ascii="宋体" w:hAnsi="宋体" w:cs="宋体"/>
          <w:sz w:val="24"/>
          <w:szCs w:val="21"/>
        </w:rPr>
      </w:pPr>
    </w:p>
    <w:bookmarkEnd w:id="27"/>
    <w:bookmarkEnd w:id="28"/>
    <w:p w14:paraId="4C5E367C">
      <w:pPr>
        <w:rPr>
          <w:rFonts w:hint="eastAsia" w:ascii="仿宋_GB2312" w:eastAsia="仿宋_GB2312"/>
          <w:b/>
          <w:bCs/>
          <w:sz w:val="28"/>
          <w:szCs w:val="28"/>
        </w:rPr>
      </w:pPr>
      <w:r>
        <w:rPr>
          <w:rFonts w:hint="eastAsia" w:ascii="宋体" w:hAnsi="宋体" w:eastAsia="宋体" w:cs="宋体"/>
          <w:b/>
          <w:bCs/>
          <w:kern w:val="2"/>
          <w:sz w:val="32"/>
          <w:szCs w:val="32"/>
          <w:highlight w:val="none"/>
          <w:lang w:val="en-US" w:eastAsia="zh-CN" w:bidi="ar-SA"/>
        </w:rPr>
        <w:t>附件3</w:t>
      </w:r>
      <w:r>
        <w:rPr>
          <w:rFonts w:hint="eastAsia" w:ascii="仿宋_GB2312" w:eastAsia="仿宋_GB2312"/>
          <w:b/>
          <w:bCs/>
          <w:sz w:val="28"/>
          <w:szCs w:val="28"/>
        </w:rPr>
        <w:t>开标一览标</w:t>
      </w:r>
    </w:p>
    <w:p w14:paraId="00DDD84C">
      <w:pPr>
        <w:spacing w:after="0"/>
        <w:rPr>
          <w:rFonts w:hint="eastAsia" w:ascii="仿宋_GB2312" w:eastAsia="仿宋_GB2312"/>
          <w:b/>
          <w:bCs/>
          <w:sz w:val="28"/>
          <w:szCs w:val="28"/>
        </w:rPr>
      </w:pPr>
      <w:r>
        <w:rPr>
          <w:rFonts w:hint="eastAsia" w:ascii="仿宋_GB2312" w:eastAsia="仿宋_GB2312"/>
          <w:b/>
          <w:bCs/>
          <w:sz w:val="28"/>
          <w:szCs w:val="28"/>
        </w:rPr>
        <w:t>项目名称：</w:t>
      </w:r>
      <w:r>
        <w:rPr>
          <w:rFonts w:hint="eastAsia" w:ascii="仿宋_GB2312" w:eastAsia="仿宋_GB2312"/>
          <w:b/>
          <w:bCs/>
          <w:sz w:val="28"/>
          <w:szCs w:val="28"/>
          <w:lang w:val="en-US" w:eastAsia="zh-CN"/>
        </w:rPr>
        <w:t>济南部件公司</w:t>
      </w:r>
      <w:r>
        <w:rPr>
          <w:rFonts w:hint="eastAsia" w:ascii="仿宋_GB2312" w:eastAsia="仿宋_GB2312"/>
          <w:b/>
          <w:bCs/>
          <w:sz w:val="28"/>
          <w:szCs w:val="28"/>
        </w:rPr>
        <w:t>2026 年度危险废物处置项目</w:t>
      </w:r>
    </w:p>
    <w:p w14:paraId="3B34FBFA">
      <w:pPr>
        <w:spacing w:after="0"/>
        <w:rPr>
          <w:rFonts w:hint="eastAsia" w:ascii="仿宋_GB2312" w:eastAsia="仿宋_GB2312"/>
          <w:b/>
          <w:bCs/>
          <w:sz w:val="28"/>
          <w:szCs w:val="28"/>
        </w:rPr>
      </w:pPr>
      <w:r>
        <w:rPr>
          <w:rFonts w:hint="eastAsia" w:ascii="仿宋_GB2312" w:eastAsia="仿宋_GB2312"/>
          <w:b/>
          <w:bCs/>
          <w:sz w:val="28"/>
          <w:szCs w:val="28"/>
        </w:rPr>
        <w:t>日期：  年   月   日</w:t>
      </w:r>
    </w:p>
    <w:p w14:paraId="75768299">
      <w:pPr>
        <w:jc w:val="center"/>
        <w:rPr>
          <w:rFonts w:hint="eastAsia" w:ascii="仿宋_GB2312" w:eastAsia="仿宋_GB2312"/>
          <w:b/>
          <w:bCs/>
          <w:sz w:val="28"/>
          <w:szCs w:val="28"/>
        </w:rPr>
      </w:pPr>
      <w:r>
        <w:rPr>
          <w:rFonts w:hint="eastAsia" w:ascii="仿宋_GB2312" w:eastAsia="仿宋_GB2312"/>
          <w:b/>
          <w:bCs/>
          <w:sz w:val="28"/>
          <w:szCs w:val="28"/>
        </w:rPr>
        <w:t>开标一览表</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897"/>
        <w:gridCol w:w="2425"/>
        <w:gridCol w:w="829"/>
        <w:gridCol w:w="934"/>
        <w:gridCol w:w="934"/>
        <w:gridCol w:w="1176"/>
        <w:gridCol w:w="1176"/>
        <w:gridCol w:w="461"/>
      </w:tblGrid>
      <w:tr w14:paraId="0973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vMerge w:val="restart"/>
            <w:vAlign w:val="center"/>
          </w:tcPr>
          <w:p w14:paraId="59F32FBB">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价格承诺</w:t>
            </w:r>
          </w:p>
        </w:tc>
        <w:tc>
          <w:tcPr>
            <w:tcW w:w="482" w:type="pct"/>
            <w:vAlign w:val="center"/>
          </w:tcPr>
          <w:p w14:paraId="2CAC6D82">
            <w:pPr>
              <w:snapToGrid w:val="0"/>
              <w:spacing w:after="0" w:line="240" w:lineRule="auto"/>
              <w:jc w:val="center"/>
              <w:rPr>
                <w:rFonts w:hint="eastAsia" w:ascii="仿宋_GB2312" w:eastAsia="仿宋_GB2312"/>
                <w:sz w:val="24"/>
              </w:rPr>
            </w:pPr>
            <w:r>
              <w:rPr>
                <w:rFonts w:hint="eastAsia" w:ascii="仿宋_GB2312" w:hAnsi="宋体" w:eastAsia="仿宋_GB2312"/>
                <w:sz w:val="24"/>
              </w:rPr>
              <w:t>危废名称</w:t>
            </w:r>
          </w:p>
        </w:tc>
        <w:tc>
          <w:tcPr>
            <w:tcW w:w="1305" w:type="pct"/>
            <w:vAlign w:val="center"/>
          </w:tcPr>
          <w:p w14:paraId="31A95A5C">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危废编号</w:t>
            </w:r>
          </w:p>
        </w:tc>
        <w:tc>
          <w:tcPr>
            <w:tcW w:w="446" w:type="pct"/>
          </w:tcPr>
          <w:p w14:paraId="4C6F2E11">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highlight w:val="none"/>
              </w:rPr>
              <w:t>预测产生量（吨）</w:t>
            </w:r>
          </w:p>
        </w:tc>
        <w:tc>
          <w:tcPr>
            <w:tcW w:w="502" w:type="pct"/>
            <w:vAlign w:val="center"/>
          </w:tcPr>
          <w:p w14:paraId="4FD8F23D">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单价</w:t>
            </w:r>
          </w:p>
          <w:p w14:paraId="0AEDE9DF">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（元/吨），含税价</w:t>
            </w:r>
          </w:p>
        </w:tc>
        <w:tc>
          <w:tcPr>
            <w:tcW w:w="502" w:type="pct"/>
          </w:tcPr>
          <w:p w14:paraId="28987491">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单价</w:t>
            </w:r>
          </w:p>
          <w:p w14:paraId="4072A439">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（元/吨），未税价</w:t>
            </w:r>
          </w:p>
        </w:tc>
        <w:tc>
          <w:tcPr>
            <w:tcW w:w="633" w:type="pct"/>
            <w:vAlign w:val="center"/>
          </w:tcPr>
          <w:p w14:paraId="123AE33F">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总价</w:t>
            </w:r>
          </w:p>
          <w:p w14:paraId="4771B5DE">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（元），含税价</w:t>
            </w:r>
          </w:p>
        </w:tc>
        <w:tc>
          <w:tcPr>
            <w:tcW w:w="633" w:type="pct"/>
          </w:tcPr>
          <w:p w14:paraId="64B0D53B">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总价</w:t>
            </w:r>
          </w:p>
          <w:p w14:paraId="0CB36AA2">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（元），未税价</w:t>
            </w:r>
          </w:p>
        </w:tc>
        <w:tc>
          <w:tcPr>
            <w:tcW w:w="248" w:type="pct"/>
          </w:tcPr>
          <w:p w14:paraId="0D8393B8">
            <w:pPr>
              <w:snapToGrid w:val="0"/>
              <w:spacing w:after="0" w:line="240" w:lineRule="auto"/>
              <w:jc w:val="center"/>
              <w:rPr>
                <w:rFonts w:hint="eastAsia" w:ascii="仿宋_GB2312" w:hAnsi="宋体" w:eastAsia="仿宋_GB2312"/>
                <w:sz w:val="24"/>
              </w:rPr>
            </w:pPr>
          </w:p>
          <w:p w14:paraId="251B0672">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税率</w:t>
            </w:r>
          </w:p>
        </w:tc>
      </w:tr>
      <w:tr w14:paraId="7EC1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244" w:type="pct"/>
            <w:vMerge w:val="continue"/>
            <w:vAlign w:val="center"/>
          </w:tcPr>
          <w:p w14:paraId="130D3D57">
            <w:pPr>
              <w:snapToGrid w:val="0"/>
              <w:spacing w:after="0" w:line="240" w:lineRule="auto"/>
              <w:jc w:val="center"/>
              <w:rPr>
                <w:rFonts w:hint="eastAsia" w:ascii="仿宋_GB2312" w:hAnsi="宋体" w:eastAsia="仿宋_GB2312"/>
                <w:sz w:val="24"/>
              </w:rPr>
            </w:pPr>
          </w:p>
        </w:tc>
        <w:tc>
          <w:tcPr>
            <w:tcW w:w="482" w:type="pct"/>
            <w:vAlign w:val="center"/>
          </w:tcPr>
          <w:p w14:paraId="6C84625A">
            <w:pPr>
              <w:snapToGrid w:val="0"/>
              <w:spacing w:after="0" w:line="240" w:lineRule="auto"/>
              <w:jc w:val="center"/>
              <w:rPr>
                <w:rFonts w:hint="default" w:ascii="仿宋_GB2312" w:hAnsi="宋体" w:eastAsia="仿宋_GB2312"/>
                <w:sz w:val="24"/>
                <w:lang w:val="en-US" w:eastAsia="zh-CN"/>
              </w:rPr>
            </w:pPr>
            <w:r>
              <w:rPr>
                <w:rFonts w:hint="eastAsia" w:ascii="仿宋_GB2312" w:hAnsi="宋体" w:eastAsia="仿宋_GB2312"/>
                <w:sz w:val="24"/>
                <w:lang w:val="en-US" w:eastAsia="zh-CN"/>
              </w:rPr>
              <w:t>磨床废弃物</w:t>
            </w:r>
          </w:p>
        </w:tc>
        <w:tc>
          <w:tcPr>
            <w:tcW w:w="1305" w:type="pct"/>
            <w:vAlign w:val="center"/>
          </w:tcPr>
          <w:p w14:paraId="4F9AFFB8">
            <w:pPr>
              <w:snapToGrid w:val="0"/>
              <w:spacing w:after="0" w:line="240" w:lineRule="auto"/>
              <w:jc w:val="center"/>
              <w:rPr>
                <w:rFonts w:hint="eastAsia" w:ascii="仿宋_GB2312" w:hAnsi="宋体" w:eastAsia="仿宋_GB2312"/>
                <w:sz w:val="24"/>
                <w:lang w:eastAsia="zh-CN"/>
              </w:rPr>
            </w:pPr>
            <w:r>
              <w:rPr>
                <w:rFonts w:hint="eastAsia" w:ascii="仿宋_GB2312" w:hAnsi="宋体" w:eastAsia="仿宋_GB2312"/>
                <w:sz w:val="24"/>
              </w:rPr>
              <w:t>HW</w:t>
            </w:r>
            <w:r>
              <w:rPr>
                <w:rFonts w:hint="eastAsia" w:ascii="仿宋_GB2312" w:hAnsi="宋体" w:eastAsia="仿宋_GB2312"/>
                <w:sz w:val="24"/>
                <w:lang w:val="en-US" w:eastAsia="zh-CN"/>
              </w:rPr>
              <w:t>08</w:t>
            </w:r>
            <w:r>
              <w:rPr>
                <w:rFonts w:hint="eastAsia" w:ascii="仿宋_GB2312" w:hAnsi="宋体" w:eastAsia="仿宋_GB2312"/>
                <w:sz w:val="24"/>
                <w:lang w:eastAsia="zh-CN"/>
              </w:rPr>
              <w:t>（</w:t>
            </w:r>
            <w:r>
              <w:rPr>
                <w:rFonts w:hint="eastAsia" w:ascii="仿宋_GB2312" w:hAnsi="宋体" w:eastAsia="仿宋_GB2312" w:cs="Times New Roman"/>
                <w:sz w:val="24"/>
                <w:lang w:val="en-US" w:eastAsia="zh-CN"/>
              </w:rPr>
              <w:t>900-200-08</w:t>
            </w:r>
            <w:r>
              <w:rPr>
                <w:rFonts w:hint="eastAsia" w:ascii="仿宋_GB2312" w:hAnsi="宋体" w:eastAsia="仿宋_GB2312"/>
                <w:sz w:val="24"/>
                <w:lang w:eastAsia="zh-CN"/>
              </w:rPr>
              <w:t>）</w:t>
            </w:r>
          </w:p>
        </w:tc>
        <w:tc>
          <w:tcPr>
            <w:tcW w:w="446" w:type="pct"/>
            <w:vAlign w:val="center"/>
          </w:tcPr>
          <w:p w14:paraId="1371FEA8">
            <w:pPr>
              <w:snapToGrid w:val="0"/>
              <w:spacing w:after="0" w:line="240" w:lineRule="auto"/>
              <w:jc w:val="center"/>
              <w:rPr>
                <w:rFonts w:hint="default" w:ascii="仿宋_GB2312" w:hAnsi="宋体" w:eastAsia="仿宋_GB2312"/>
                <w:sz w:val="24"/>
                <w:lang w:val="en-US" w:eastAsia="zh-CN"/>
              </w:rPr>
            </w:pPr>
            <w:r>
              <w:rPr>
                <w:rFonts w:hint="eastAsia" w:ascii="仿宋_GB2312" w:hAnsi="宋体" w:eastAsia="仿宋_GB2312"/>
                <w:sz w:val="24"/>
                <w:lang w:val="en-US" w:eastAsia="zh-CN"/>
              </w:rPr>
              <w:t>210</w:t>
            </w:r>
          </w:p>
        </w:tc>
        <w:tc>
          <w:tcPr>
            <w:tcW w:w="502" w:type="pct"/>
            <w:vAlign w:val="center"/>
          </w:tcPr>
          <w:p w14:paraId="45AC18D2">
            <w:pPr>
              <w:snapToGrid w:val="0"/>
              <w:spacing w:after="0" w:line="240" w:lineRule="auto"/>
              <w:jc w:val="center"/>
              <w:rPr>
                <w:rFonts w:hint="eastAsia" w:ascii="仿宋_GB2312" w:hAnsi="宋体" w:eastAsia="仿宋_GB2312"/>
                <w:sz w:val="24"/>
              </w:rPr>
            </w:pPr>
          </w:p>
        </w:tc>
        <w:tc>
          <w:tcPr>
            <w:tcW w:w="502" w:type="pct"/>
          </w:tcPr>
          <w:p w14:paraId="588F2963">
            <w:pPr>
              <w:snapToGrid w:val="0"/>
              <w:spacing w:after="0" w:line="240" w:lineRule="auto"/>
              <w:jc w:val="center"/>
              <w:rPr>
                <w:rFonts w:hint="eastAsia" w:ascii="仿宋_GB2312" w:hAnsi="宋体" w:eastAsia="仿宋_GB2312"/>
                <w:sz w:val="24"/>
              </w:rPr>
            </w:pPr>
          </w:p>
        </w:tc>
        <w:tc>
          <w:tcPr>
            <w:tcW w:w="633" w:type="pct"/>
          </w:tcPr>
          <w:p w14:paraId="4B97087D">
            <w:pPr>
              <w:snapToGrid w:val="0"/>
              <w:spacing w:after="0" w:line="240" w:lineRule="auto"/>
              <w:jc w:val="center"/>
              <w:rPr>
                <w:rFonts w:hint="eastAsia" w:ascii="仿宋_GB2312" w:hAnsi="宋体" w:eastAsia="仿宋_GB2312"/>
                <w:sz w:val="24"/>
              </w:rPr>
            </w:pPr>
          </w:p>
        </w:tc>
        <w:tc>
          <w:tcPr>
            <w:tcW w:w="633" w:type="pct"/>
          </w:tcPr>
          <w:p w14:paraId="220DFEB2">
            <w:pPr>
              <w:snapToGrid w:val="0"/>
              <w:spacing w:after="0" w:line="240" w:lineRule="auto"/>
              <w:jc w:val="center"/>
              <w:rPr>
                <w:rFonts w:hint="eastAsia" w:ascii="仿宋_GB2312" w:hAnsi="宋体" w:eastAsia="仿宋_GB2312"/>
                <w:sz w:val="24"/>
              </w:rPr>
            </w:pPr>
          </w:p>
        </w:tc>
        <w:tc>
          <w:tcPr>
            <w:tcW w:w="248" w:type="pct"/>
          </w:tcPr>
          <w:p w14:paraId="4D8FF884">
            <w:pPr>
              <w:snapToGrid w:val="0"/>
              <w:spacing w:after="0" w:line="240" w:lineRule="auto"/>
              <w:jc w:val="center"/>
              <w:rPr>
                <w:rFonts w:hint="eastAsia" w:ascii="仿宋_GB2312" w:hAnsi="宋体" w:eastAsia="仿宋_GB2312"/>
                <w:sz w:val="24"/>
              </w:rPr>
            </w:pPr>
          </w:p>
        </w:tc>
      </w:tr>
      <w:tr w14:paraId="0022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vAlign w:val="center"/>
          </w:tcPr>
          <w:p w14:paraId="524F97EC">
            <w:pPr>
              <w:snapToGrid w:val="0"/>
              <w:spacing w:after="0" w:line="240" w:lineRule="auto"/>
              <w:jc w:val="center"/>
              <w:rPr>
                <w:rFonts w:hint="eastAsia" w:ascii="仿宋_GB2312" w:eastAsia="仿宋_GB2312"/>
                <w:sz w:val="24"/>
              </w:rPr>
            </w:pPr>
          </w:p>
        </w:tc>
        <w:tc>
          <w:tcPr>
            <w:tcW w:w="1788" w:type="pct"/>
            <w:gridSpan w:val="2"/>
            <w:vAlign w:val="center"/>
          </w:tcPr>
          <w:p w14:paraId="59F0252E">
            <w:pPr>
              <w:snapToGrid w:val="0"/>
              <w:spacing w:after="0" w:line="240" w:lineRule="auto"/>
              <w:jc w:val="center"/>
              <w:rPr>
                <w:rFonts w:hint="eastAsia" w:ascii="仿宋_GB2312" w:eastAsia="仿宋_GB2312"/>
                <w:sz w:val="24"/>
              </w:rPr>
            </w:pPr>
            <w:r>
              <w:rPr>
                <w:rFonts w:hint="eastAsia" w:ascii="仿宋_GB2312" w:eastAsia="仿宋_GB2312"/>
                <w:sz w:val="24"/>
              </w:rPr>
              <w:t>合计</w:t>
            </w:r>
          </w:p>
        </w:tc>
        <w:tc>
          <w:tcPr>
            <w:tcW w:w="446" w:type="pct"/>
            <w:vAlign w:val="center"/>
          </w:tcPr>
          <w:p w14:paraId="5AB1650F">
            <w:pPr>
              <w:snapToGrid w:val="0"/>
              <w:spacing w:after="0" w:line="240" w:lineRule="auto"/>
              <w:jc w:val="center"/>
              <w:rPr>
                <w:rFonts w:hint="default" w:ascii="仿宋_GB2312" w:eastAsia="仿宋_GB2312"/>
                <w:sz w:val="24"/>
                <w:lang w:val="en-US" w:eastAsia="zh-CN"/>
              </w:rPr>
            </w:pPr>
            <w:r>
              <w:rPr>
                <w:rFonts w:hint="eastAsia" w:ascii="仿宋_GB2312" w:eastAsia="仿宋_GB2312"/>
                <w:sz w:val="24"/>
                <w:lang w:val="en-US" w:eastAsia="zh-CN"/>
              </w:rPr>
              <w:t>210</w:t>
            </w:r>
          </w:p>
        </w:tc>
        <w:tc>
          <w:tcPr>
            <w:tcW w:w="502" w:type="pct"/>
            <w:vAlign w:val="center"/>
          </w:tcPr>
          <w:p w14:paraId="74421E92">
            <w:pPr>
              <w:snapToGrid w:val="0"/>
              <w:spacing w:after="0" w:line="240" w:lineRule="auto"/>
              <w:jc w:val="center"/>
              <w:rPr>
                <w:rFonts w:hint="eastAsia" w:ascii="仿宋_GB2312" w:hAnsi="宋体" w:eastAsia="仿宋_GB2312"/>
                <w:sz w:val="24"/>
              </w:rPr>
            </w:pPr>
          </w:p>
        </w:tc>
        <w:tc>
          <w:tcPr>
            <w:tcW w:w="502" w:type="pct"/>
          </w:tcPr>
          <w:p w14:paraId="07E41B51">
            <w:pPr>
              <w:snapToGrid w:val="0"/>
              <w:spacing w:after="0" w:line="240" w:lineRule="auto"/>
              <w:jc w:val="center"/>
              <w:rPr>
                <w:rFonts w:hint="eastAsia" w:ascii="仿宋_GB2312" w:hAnsi="宋体" w:eastAsia="仿宋_GB2312"/>
                <w:sz w:val="24"/>
              </w:rPr>
            </w:pPr>
          </w:p>
        </w:tc>
        <w:tc>
          <w:tcPr>
            <w:tcW w:w="633" w:type="pct"/>
          </w:tcPr>
          <w:p w14:paraId="08F210A7">
            <w:pPr>
              <w:snapToGrid w:val="0"/>
              <w:spacing w:after="0" w:line="240" w:lineRule="auto"/>
              <w:jc w:val="center"/>
              <w:rPr>
                <w:rFonts w:hint="eastAsia" w:ascii="仿宋_GB2312" w:hAnsi="宋体" w:eastAsia="仿宋_GB2312"/>
                <w:sz w:val="24"/>
              </w:rPr>
            </w:pPr>
          </w:p>
        </w:tc>
        <w:tc>
          <w:tcPr>
            <w:tcW w:w="633" w:type="pct"/>
          </w:tcPr>
          <w:p w14:paraId="44A3F795">
            <w:pPr>
              <w:snapToGrid w:val="0"/>
              <w:spacing w:after="0" w:line="240" w:lineRule="auto"/>
              <w:jc w:val="center"/>
              <w:rPr>
                <w:rFonts w:hint="eastAsia" w:ascii="仿宋_GB2312" w:hAnsi="宋体" w:eastAsia="仿宋_GB2312"/>
                <w:sz w:val="24"/>
              </w:rPr>
            </w:pPr>
          </w:p>
        </w:tc>
        <w:tc>
          <w:tcPr>
            <w:tcW w:w="248" w:type="pct"/>
          </w:tcPr>
          <w:p w14:paraId="7F595E61">
            <w:pPr>
              <w:snapToGrid w:val="0"/>
              <w:spacing w:after="0" w:line="240" w:lineRule="auto"/>
              <w:jc w:val="center"/>
              <w:rPr>
                <w:rFonts w:hint="eastAsia" w:ascii="仿宋_GB2312" w:hAnsi="宋体" w:eastAsia="仿宋_GB2312"/>
                <w:sz w:val="24"/>
              </w:rPr>
            </w:pPr>
          </w:p>
        </w:tc>
      </w:tr>
      <w:tr w14:paraId="6B24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9" w:type="pct"/>
            <w:gridSpan w:val="4"/>
            <w:vAlign w:val="center"/>
          </w:tcPr>
          <w:p w14:paraId="6641EADB">
            <w:pPr>
              <w:snapToGrid w:val="0"/>
              <w:spacing w:after="0" w:line="240" w:lineRule="auto"/>
              <w:jc w:val="center"/>
              <w:rPr>
                <w:rFonts w:hint="eastAsia" w:ascii="仿宋_GB2312" w:eastAsia="仿宋_GB2312"/>
                <w:sz w:val="24"/>
              </w:rPr>
            </w:pPr>
          </w:p>
        </w:tc>
        <w:tc>
          <w:tcPr>
            <w:tcW w:w="2520" w:type="pct"/>
            <w:gridSpan w:val="5"/>
            <w:vAlign w:val="center"/>
          </w:tcPr>
          <w:p w14:paraId="467D05D4">
            <w:pPr>
              <w:snapToGrid w:val="0"/>
              <w:spacing w:after="0" w:line="240" w:lineRule="auto"/>
              <w:jc w:val="center"/>
              <w:rPr>
                <w:rFonts w:hint="eastAsia" w:ascii="仿宋_GB2312" w:hAnsi="宋体" w:eastAsia="仿宋_GB2312"/>
                <w:sz w:val="24"/>
              </w:rPr>
            </w:pPr>
          </w:p>
        </w:tc>
      </w:tr>
      <w:tr w14:paraId="52DD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vAlign w:val="center"/>
          </w:tcPr>
          <w:p w14:paraId="58E06315">
            <w:pPr>
              <w:snapToGrid w:val="0"/>
              <w:spacing w:after="0" w:line="240" w:lineRule="auto"/>
              <w:jc w:val="center"/>
              <w:rPr>
                <w:rFonts w:hint="eastAsia" w:ascii="仿宋_GB2312" w:eastAsia="仿宋_GB2312"/>
                <w:sz w:val="24"/>
              </w:rPr>
            </w:pPr>
            <w:r>
              <w:rPr>
                <w:rFonts w:hint="eastAsia" w:ascii="仿宋_GB2312" w:hAnsi="宋体" w:eastAsia="仿宋_GB2312"/>
                <w:sz w:val="24"/>
              </w:rPr>
              <w:t>结算承诺</w:t>
            </w:r>
          </w:p>
        </w:tc>
        <w:tc>
          <w:tcPr>
            <w:tcW w:w="482" w:type="pct"/>
            <w:vAlign w:val="center"/>
          </w:tcPr>
          <w:p w14:paraId="58137210">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是否接受半年期商业汇票</w:t>
            </w:r>
          </w:p>
        </w:tc>
        <w:tc>
          <w:tcPr>
            <w:tcW w:w="1305" w:type="pct"/>
            <w:vAlign w:val="center"/>
          </w:tcPr>
          <w:p w14:paraId="2865384D">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是□</w:t>
            </w:r>
          </w:p>
        </w:tc>
        <w:tc>
          <w:tcPr>
            <w:tcW w:w="446" w:type="pct"/>
            <w:vAlign w:val="center"/>
          </w:tcPr>
          <w:p w14:paraId="724D5F2E">
            <w:pPr>
              <w:snapToGrid w:val="0"/>
              <w:spacing w:after="0" w:line="240" w:lineRule="auto"/>
              <w:jc w:val="center"/>
              <w:rPr>
                <w:rFonts w:hint="eastAsia" w:ascii="仿宋_GB2312" w:hAnsi="宋体" w:eastAsia="仿宋_GB2312"/>
                <w:sz w:val="24"/>
              </w:rPr>
            </w:pPr>
          </w:p>
        </w:tc>
        <w:tc>
          <w:tcPr>
            <w:tcW w:w="502" w:type="pct"/>
            <w:vAlign w:val="center"/>
          </w:tcPr>
          <w:p w14:paraId="3074844D">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否□</w:t>
            </w:r>
          </w:p>
        </w:tc>
        <w:tc>
          <w:tcPr>
            <w:tcW w:w="502" w:type="pct"/>
          </w:tcPr>
          <w:p w14:paraId="4594F869">
            <w:pPr>
              <w:snapToGrid w:val="0"/>
              <w:spacing w:after="0" w:line="240" w:lineRule="auto"/>
              <w:jc w:val="center"/>
              <w:rPr>
                <w:rFonts w:hint="eastAsia" w:ascii="仿宋_GB2312" w:hAnsi="宋体" w:eastAsia="仿宋_GB2312"/>
                <w:sz w:val="24"/>
              </w:rPr>
            </w:pPr>
          </w:p>
        </w:tc>
        <w:tc>
          <w:tcPr>
            <w:tcW w:w="633" w:type="pct"/>
          </w:tcPr>
          <w:p w14:paraId="788B6DDA">
            <w:pPr>
              <w:snapToGrid w:val="0"/>
              <w:spacing w:after="0" w:line="240" w:lineRule="auto"/>
              <w:jc w:val="center"/>
              <w:rPr>
                <w:rFonts w:hint="eastAsia" w:ascii="仿宋_GB2312" w:hAnsi="宋体" w:eastAsia="仿宋_GB2312"/>
                <w:sz w:val="24"/>
              </w:rPr>
            </w:pPr>
          </w:p>
        </w:tc>
        <w:tc>
          <w:tcPr>
            <w:tcW w:w="633" w:type="pct"/>
          </w:tcPr>
          <w:p w14:paraId="70550243">
            <w:pPr>
              <w:snapToGrid w:val="0"/>
              <w:spacing w:after="0" w:line="240" w:lineRule="auto"/>
              <w:jc w:val="center"/>
              <w:rPr>
                <w:rFonts w:hint="eastAsia" w:ascii="仿宋_GB2312" w:hAnsi="宋体" w:eastAsia="仿宋_GB2312"/>
                <w:sz w:val="24"/>
              </w:rPr>
            </w:pPr>
          </w:p>
        </w:tc>
        <w:tc>
          <w:tcPr>
            <w:tcW w:w="248" w:type="pct"/>
          </w:tcPr>
          <w:p w14:paraId="3020EF31">
            <w:pPr>
              <w:snapToGrid w:val="0"/>
              <w:spacing w:after="0" w:line="240" w:lineRule="auto"/>
              <w:jc w:val="center"/>
              <w:rPr>
                <w:rFonts w:hint="eastAsia" w:ascii="仿宋_GB2312" w:hAnsi="宋体" w:eastAsia="仿宋_GB2312"/>
                <w:sz w:val="24"/>
              </w:rPr>
            </w:pPr>
          </w:p>
        </w:tc>
      </w:tr>
      <w:tr w14:paraId="0C3ED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44" w:type="pct"/>
            <w:vAlign w:val="center"/>
          </w:tcPr>
          <w:p w14:paraId="65572190">
            <w:pPr>
              <w:snapToGrid w:val="0"/>
              <w:spacing w:after="0" w:line="240" w:lineRule="auto"/>
              <w:jc w:val="center"/>
              <w:rPr>
                <w:rFonts w:hint="eastAsia" w:ascii="仿宋_GB2312" w:eastAsia="仿宋_GB2312"/>
                <w:sz w:val="24"/>
              </w:rPr>
            </w:pPr>
            <w:r>
              <w:rPr>
                <w:rFonts w:hint="eastAsia" w:ascii="仿宋_GB2312" w:hAnsi="宋体" w:eastAsia="仿宋_GB2312"/>
                <w:sz w:val="24"/>
              </w:rPr>
              <w:t>商务承诺</w:t>
            </w:r>
          </w:p>
        </w:tc>
        <w:tc>
          <w:tcPr>
            <w:tcW w:w="482" w:type="pct"/>
            <w:vAlign w:val="center"/>
          </w:tcPr>
          <w:p w14:paraId="765F6947">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转移期限承诺（天）</w:t>
            </w:r>
          </w:p>
        </w:tc>
        <w:tc>
          <w:tcPr>
            <w:tcW w:w="1305" w:type="pct"/>
          </w:tcPr>
          <w:p w14:paraId="5BF34373">
            <w:pPr>
              <w:snapToGrid w:val="0"/>
              <w:spacing w:after="0" w:line="240" w:lineRule="auto"/>
              <w:jc w:val="center"/>
              <w:rPr>
                <w:rFonts w:hint="eastAsia" w:ascii="仿宋_GB2312" w:hAnsi="宋体" w:eastAsia="仿宋_GB2312"/>
                <w:sz w:val="24"/>
              </w:rPr>
            </w:pPr>
          </w:p>
        </w:tc>
        <w:tc>
          <w:tcPr>
            <w:tcW w:w="446" w:type="pct"/>
          </w:tcPr>
          <w:p w14:paraId="480E8C9F">
            <w:pPr>
              <w:snapToGrid w:val="0"/>
              <w:spacing w:after="0" w:line="240" w:lineRule="auto"/>
              <w:jc w:val="center"/>
              <w:rPr>
                <w:rFonts w:hint="eastAsia" w:ascii="仿宋_GB2312" w:hAnsi="宋体" w:eastAsia="仿宋_GB2312"/>
                <w:sz w:val="24"/>
              </w:rPr>
            </w:pPr>
          </w:p>
        </w:tc>
        <w:tc>
          <w:tcPr>
            <w:tcW w:w="2520" w:type="pct"/>
            <w:gridSpan w:val="5"/>
            <w:vAlign w:val="center"/>
          </w:tcPr>
          <w:p w14:paraId="2B2420D7">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危险废物产生单位电话或书面通知后（  ）个工作日内转移完毕。</w:t>
            </w:r>
          </w:p>
        </w:tc>
      </w:tr>
      <w:tr w14:paraId="3DD2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44" w:type="pct"/>
            <w:vMerge w:val="restart"/>
            <w:vAlign w:val="center"/>
          </w:tcPr>
          <w:p w14:paraId="46AF271E">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服务承诺</w:t>
            </w:r>
          </w:p>
        </w:tc>
        <w:tc>
          <w:tcPr>
            <w:tcW w:w="482" w:type="pct"/>
            <w:vMerge w:val="restart"/>
            <w:vAlign w:val="center"/>
          </w:tcPr>
          <w:p w14:paraId="3977C70A">
            <w:pPr>
              <w:snapToGrid w:val="0"/>
              <w:spacing w:after="0" w:line="240" w:lineRule="auto"/>
              <w:jc w:val="center"/>
              <w:rPr>
                <w:rFonts w:hint="eastAsia" w:ascii="仿宋_GB2312" w:eastAsia="仿宋_GB2312"/>
                <w:sz w:val="24"/>
              </w:rPr>
            </w:pPr>
            <w:r>
              <w:rPr>
                <w:rFonts w:hint="eastAsia" w:ascii="仿宋_GB2312" w:hAnsi="宋体" w:eastAsia="仿宋_GB2312"/>
                <w:sz w:val="24"/>
              </w:rPr>
              <w:t>服务保障</w:t>
            </w:r>
          </w:p>
        </w:tc>
        <w:tc>
          <w:tcPr>
            <w:tcW w:w="1305" w:type="pct"/>
          </w:tcPr>
          <w:p w14:paraId="7086FBA8">
            <w:pPr>
              <w:snapToGrid w:val="0"/>
              <w:spacing w:after="0" w:line="240" w:lineRule="auto"/>
              <w:rPr>
                <w:rFonts w:hint="eastAsia" w:ascii="仿宋_GB2312" w:hAnsi="宋体" w:eastAsia="仿宋_GB2312"/>
                <w:sz w:val="24"/>
              </w:rPr>
            </w:pPr>
          </w:p>
        </w:tc>
        <w:tc>
          <w:tcPr>
            <w:tcW w:w="446" w:type="pct"/>
          </w:tcPr>
          <w:p w14:paraId="0CED1C63">
            <w:pPr>
              <w:snapToGrid w:val="0"/>
              <w:spacing w:after="0" w:line="240" w:lineRule="auto"/>
              <w:rPr>
                <w:rFonts w:hint="eastAsia" w:ascii="仿宋_GB2312" w:hAnsi="宋体" w:eastAsia="仿宋_GB2312"/>
                <w:sz w:val="24"/>
              </w:rPr>
            </w:pPr>
          </w:p>
        </w:tc>
        <w:tc>
          <w:tcPr>
            <w:tcW w:w="2520" w:type="pct"/>
            <w:gridSpan w:val="5"/>
          </w:tcPr>
          <w:p w14:paraId="0E446463">
            <w:pPr>
              <w:snapToGrid w:val="0"/>
              <w:spacing w:after="0" w:line="240" w:lineRule="auto"/>
              <w:rPr>
                <w:rFonts w:hint="eastAsia" w:ascii="仿宋_GB2312" w:hAnsi="宋体" w:eastAsia="仿宋_GB2312"/>
                <w:sz w:val="24"/>
              </w:rPr>
            </w:pPr>
            <w:r>
              <w:rPr>
                <w:rFonts w:hint="eastAsia" w:ascii="仿宋_GB2312" w:hAnsi="宋体" w:eastAsia="仿宋_GB2312"/>
                <w:sz w:val="24"/>
              </w:rPr>
              <w:t>1.处置现场工作人员  （名）</w:t>
            </w:r>
          </w:p>
        </w:tc>
      </w:tr>
      <w:tr w14:paraId="3C7C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44" w:type="pct"/>
            <w:vMerge w:val="continue"/>
            <w:vAlign w:val="center"/>
          </w:tcPr>
          <w:p w14:paraId="617A9570">
            <w:pPr>
              <w:snapToGrid w:val="0"/>
              <w:spacing w:after="0" w:line="240" w:lineRule="auto"/>
              <w:jc w:val="center"/>
              <w:rPr>
                <w:rFonts w:hint="eastAsia" w:ascii="仿宋_GB2312" w:hAnsi="宋体" w:eastAsia="仿宋_GB2312"/>
                <w:sz w:val="24"/>
              </w:rPr>
            </w:pPr>
          </w:p>
        </w:tc>
        <w:tc>
          <w:tcPr>
            <w:tcW w:w="482" w:type="pct"/>
            <w:vMerge w:val="continue"/>
            <w:vAlign w:val="center"/>
          </w:tcPr>
          <w:p w14:paraId="09315D86">
            <w:pPr>
              <w:snapToGrid w:val="0"/>
              <w:spacing w:after="0" w:line="240" w:lineRule="auto"/>
              <w:jc w:val="center"/>
              <w:rPr>
                <w:rFonts w:hint="eastAsia" w:ascii="仿宋_GB2312" w:hAnsi="宋体" w:eastAsia="仿宋_GB2312"/>
                <w:sz w:val="24"/>
              </w:rPr>
            </w:pPr>
          </w:p>
        </w:tc>
        <w:tc>
          <w:tcPr>
            <w:tcW w:w="1305" w:type="pct"/>
          </w:tcPr>
          <w:p w14:paraId="0BDF2633">
            <w:pPr>
              <w:snapToGrid w:val="0"/>
              <w:spacing w:after="0" w:line="240" w:lineRule="auto"/>
              <w:rPr>
                <w:rFonts w:hint="eastAsia" w:ascii="仿宋_GB2312" w:hAnsi="宋体" w:eastAsia="仿宋_GB2312"/>
                <w:sz w:val="24"/>
              </w:rPr>
            </w:pPr>
          </w:p>
        </w:tc>
        <w:tc>
          <w:tcPr>
            <w:tcW w:w="446" w:type="pct"/>
          </w:tcPr>
          <w:p w14:paraId="1231210A">
            <w:pPr>
              <w:snapToGrid w:val="0"/>
              <w:spacing w:after="0" w:line="240" w:lineRule="auto"/>
              <w:rPr>
                <w:rFonts w:hint="eastAsia" w:ascii="仿宋_GB2312" w:hAnsi="宋体" w:eastAsia="仿宋_GB2312"/>
                <w:sz w:val="24"/>
              </w:rPr>
            </w:pPr>
          </w:p>
        </w:tc>
        <w:tc>
          <w:tcPr>
            <w:tcW w:w="2520" w:type="pct"/>
            <w:gridSpan w:val="5"/>
          </w:tcPr>
          <w:p w14:paraId="4B91B620">
            <w:pPr>
              <w:snapToGrid w:val="0"/>
              <w:spacing w:after="0" w:line="240" w:lineRule="auto"/>
              <w:rPr>
                <w:rFonts w:hint="eastAsia" w:ascii="仿宋_GB2312" w:hAnsi="宋体" w:eastAsia="仿宋_GB2312"/>
                <w:sz w:val="24"/>
              </w:rPr>
            </w:pPr>
            <w:r>
              <w:rPr>
                <w:rFonts w:hint="eastAsia" w:ascii="仿宋_GB2312" w:hAnsi="宋体" w:eastAsia="仿宋_GB2312"/>
                <w:sz w:val="24"/>
              </w:rPr>
              <w:t>2.转移运输人员  （名）</w:t>
            </w:r>
          </w:p>
        </w:tc>
      </w:tr>
      <w:tr w14:paraId="1A3C1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44" w:type="pct"/>
            <w:vMerge w:val="continue"/>
            <w:vAlign w:val="center"/>
          </w:tcPr>
          <w:p w14:paraId="2547C14F">
            <w:pPr>
              <w:snapToGrid w:val="0"/>
              <w:spacing w:after="0" w:line="240" w:lineRule="auto"/>
              <w:jc w:val="center"/>
              <w:rPr>
                <w:rFonts w:hint="eastAsia" w:ascii="仿宋_GB2312" w:hAnsi="宋体" w:eastAsia="仿宋_GB2312"/>
                <w:sz w:val="24"/>
              </w:rPr>
            </w:pPr>
          </w:p>
        </w:tc>
        <w:tc>
          <w:tcPr>
            <w:tcW w:w="482" w:type="pct"/>
            <w:vMerge w:val="continue"/>
            <w:vAlign w:val="center"/>
          </w:tcPr>
          <w:p w14:paraId="64AC7911">
            <w:pPr>
              <w:snapToGrid w:val="0"/>
              <w:spacing w:after="0" w:line="240" w:lineRule="auto"/>
              <w:jc w:val="center"/>
              <w:rPr>
                <w:rFonts w:hint="eastAsia" w:ascii="仿宋_GB2312" w:hAnsi="宋体" w:eastAsia="仿宋_GB2312"/>
                <w:sz w:val="24"/>
              </w:rPr>
            </w:pPr>
          </w:p>
        </w:tc>
        <w:tc>
          <w:tcPr>
            <w:tcW w:w="1305" w:type="pct"/>
          </w:tcPr>
          <w:p w14:paraId="3A75184A">
            <w:pPr>
              <w:snapToGrid w:val="0"/>
              <w:spacing w:after="0" w:line="240" w:lineRule="auto"/>
              <w:rPr>
                <w:rFonts w:hint="eastAsia" w:ascii="仿宋_GB2312" w:hAnsi="宋体" w:eastAsia="仿宋_GB2312"/>
                <w:sz w:val="24"/>
              </w:rPr>
            </w:pPr>
          </w:p>
        </w:tc>
        <w:tc>
          <w:tcPr>
            <w:tcW w:w="446" w:type="pct"/>
          </w:tcPr>
          <w:p w14:paraId="10325E3F">
            <w:pPr>
              <w:snapToGrid w:val="0"/>
              <w:spacing w:after="0" w:line="240" w:lineRule="auto"/>
              <w:rPr>
                <w:rFonts w:hint="eastAsia" w:ascii="仿宋_GB2312" w:hAnsi="宋体" w:eastAsia="仿宋_GB2312"/>
                <w:sz w:val="24"/>
              </w:rPr>
            </w:pPr>
          </w:p>
        </w:tc>
        <w:tc>
          <w:tcPr>
            <w:tcW w:w="2520" w:type="pct"/>
            <w:gridSpan w:val="5"/>
          </w:tcPr>
          <w:p w14:paraId="31DA488A">
            <w:pPr>
              <w:snapToGrid w:val="0"/>
              <w:spacing w:after="0" w:line="240" w:lineRule="auto"/>
              <w:rPr>
                <w:rFonts w:hint="eastAsia" w:ascii="仿宋_GB2312" w:hAnsi="宋体" w:eastAsia="仿宋_GB2312"/>
                <w:sz w:val="24"/>
              </w:rPr>
            </w:pPr>
            <w:r>
              <w:rPr>
                <w:rFonts w:hint="eastAsia" w:ascii="仿宋_GB2312" w:hAnsi="宋体" w:eastAsia="仿宋_GB2312"/>
                <w:sz w:val="24"/>
              </w:rPr>
              <w:t>3.现场服务人员  （名）</w:t>
            </w:r>
          </w:p>
        </w:tc>
      </w:tr>
      <w:tr w14:paraId="1ED3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44" w:type="pct"/>
            <w:vMerge w:val="continue"/>
            <w:vAlign w:val="center"/>
          </w:tcPr>
          <w:p w14:paraId="2755707E">
            <w:pPr>
              <w:snapToGrid w:val="0"/>
              <w:spacing w:after="0" w:line="240" w:lineRule="auto"/>
              <w:jc w:val="center"/>
              <w:rPr>
                <w:rFonts w:hint="eastAsia" w:ascii="仿宋_GB2312" w:hAnsi="宋体" w:eastAsia="仿宋_GB2312"/>
                <w:sz w:val="24"/>
              </w:rPr>
            </w:pPr>
          </w:p>
        </w:tc>
        <w:tc>
          <w:tcPr>
            <w:tcW w:w="482" w:type="pct"/>
            <w:vMerge w:val="continue"/>
            <w:vAlign w:val="center"/>
          </w:tcPr>
          <w:p w14:paraId="214BC321">
            <w:pPr>
              <w:snapToGrid w:val="0"/>
              <w:spacing w:after="0" w:line="240" w:lineRule="auto"/>
              <w:jc w:val="center"/>
              <w:rPr>
                <w:rFonts w:hint="eastAsia" w:ascii="仿宋_GB2312" w:hAnsi="宋体" w:eastAsia="仿宋_GB2312"/>
                <w:sz w:val="24"/>
              </w:rPr>
            </w:pPr>
          </w:p>
        </w:tc>
        <w:tc>
          <w:tcPr>
            <w:tcW w:w="1305" w:type="pct"/>
          </w:tcPr>
          <w:p w14:paraId="2123852F">
            <w:pPr>
              <w:snapToGrid w:val="0"/>
              <w:spacing w:after="0" w:line="240" w:lineRule="auto"/>
              <w:rPr>
                <w:rFonts w:hint="eastAsia" w:ascii="仿宋_GB2312" w:hAnsi="宋体" w:eastAsia="仿宋_GB2312"/>
                <w:sz w:val="24"/>
              </w:rPr>
            </w:pPr>
          </w:p>
        </w:tc>
        <w:tc>
          <w:tcPr>
            <w:tcW w:w="446" w:type="pct"/>
          </w:tcPr>
          <w:p w14:paraId="2AC7960D">
            <w:pPr>
              <w:snapToGrid w:val="0"/>
              <w:spacing w:after="0" w:line="240" w:lineRule="auto"/>
              <w:rPr>
                <w:rFonts w:hint="eastAsia" w:ascii="仿宋_GB2312" w:hAnsi="宋体" w:eastAsia="仿宋_GB2312"/>
                <w:sz w:val="24"/>
              </w:rPr>
            </w:pPr>
          </w:p>
        </w:tc>
        <w:tc>
          <w:tcPr>
            <w:tcW w:w="2520" w:type="pct"/>
            <w:gridSpan w:val="5"/>
          </w:tcPr>
          <w:p w14:paraId="1715B974">
            <w:pPr>
              <w:snapToGrid w:val="0"/>
              <w:spacing w:after="0" w:line="240" w:lineRule="auto"/>
              <w:rPr>
                <w:rFonts w:hint="eastAsia" w:ascii="仿宋_GB2312" w:hAnsi="宋体" w:eastAsia="仿宋_GB2312"/>
                <w:sz w:val="24"/>
              </w:rPr>
            </w:pPr>
            <w:r>
              <w:rPr>
                <w:rFonts w:hint="eastAsia" w:ascii="仿宋_GB2312" w:hAnsi="宋体" w:eastAsia="仿宋_GB2312"/>
                <w:sz w:val="24"/>
              </w:rPr>
              <w:t>4.处置设备（功能、型号、数量）</w:t>
            </w:r>
          </w:p>
        </w:tc>
      </w:tr>
      <w:tr w14:paraId="2BA8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44" w:type="pct"/>
            <w:vMerge w:val="continue"/>
            <w:vAlign w:val="center"/>
          </w:tcPr>
          <w:p w14:paraId="2375CB60">
            <w:pPr>
              <w:snapToGrid w:val="0"/>
              <w:spacing w:after="0" w:line="240" w:lineRule="auto"/>
              <w:jc w:val="center"/>
              <w:rPr>
                <w:rFonts w:hint="eastAsia" w:ascii="仿宋_GB2312" w:hAnsi="宋体" w:eastAsia="仿宋_GB2312"/>
                <w:sz w:val="24"/>
              </w:rPr>
            </w:pPr>
          </w:p>
        </w:tc>
        <w:tc>
          <w:tcPr>
            <w:tcW w:w="482" w:type="pct"/>
            <w:vMerge w:val="continue"/>
            <w:vAlign w:val="center"/>
          </w:tcPr>
          <w:p w14:paraId="660BF19C">
            <w:pPr>
              <w:snapToGrid w:val="0"/>
              <w:spacing w:after="0" w:line="240" w:lineRule="auto"/>
              <w:jc w:val="center"/>
              <w:rPr>
                <w:rFonts w:hint="eastAsia" w:ascii="仿宋_GB2312" w:hAnsi="宋体" w:eastAsia="仿宋_GB2312"/>
                <w:sz w:val="24"/>
              </w:rPr>
            </w:pPr>
          </w:p>
        </w:tc>
        <w:tc>
          <w:tcPr>
            <w:tcW w:w="1305" w:type="pct"/>
          </w:tcPr>
          <w:p w14:paraId="5CAD6966">
            <w:pPr>
              <w:snapToGrid w:val="0"/>
              <w:spacing w:after="0" w:line="240" w:lineRule="auto"/>
              <w:rPr>
                <w:rFonts w:hint="eastAsia" w:ascii="仿宋_GB2312" w:hAnsi="宋体" w:eastAsia="仿宋_GB2312"/>
                <w:sz w:val="24"/>
              </w:rPr>
            </w:pPr>
          </w:p>
        </w:tc>
        <w:tc>
          <w:tcPr>
            <w:tcW w:w="446" w:type="pct"/>
          </w:tcPr>
          <w:p w14:paraId="089745A2">
            <w:pPr>
              <w:snapToGrid w:val="0"/>
              <w:spacing w:after="0" w:line="240" w:lineRule="auto"/>
              <w:rPr>
                <w:rFonts w:hint="eastAsia" w:ascii="仿宋_GB2312" w:hAnsi="宋体" w:eastAsia="仿宋_GB2312"/>
                <w:sz w:val="24"/>
              </w:rPr>
            </w:pPr>
          </w:p>
        </w:tc>
        <w:tc>
          <w:tcPr>
            <w:tcW w:w="2520" w:type="pct"/>
            <w:gridSpan w:val="5"/>
          </w:tcPr>
          <w:p w14:paraId="6DA30E28">
            <w:pPr>
              <w:snapToGrid w:val="0"/>
              <w:spacing w:after="0" w:line="240" w:lineRule="auto"/>
              <w:rPr>
                <w:rFonts w:hint="eastAsia" w:ascii="仿宋_GB2312" w:hAnsi="宋体" w:eastAsia="仿宋_GB2312"/>
                <w:sz w:val="24"/>
              </w:rPr>
            </w:pPr>
            <w:r>
              <w:rPr>
                <w:rFonts w:hint="eastAsia" w:ascii="仿宋_GB2312" w:hAnsi="宋体" w:eastAsia="仿宋_GB2312"/>
                <w:sz w:val="24"/>
              </w:rPr>
              <w:t>5.其它：</w:t>
            </w:r>
          </w:p>
        </w:tc>
      </w:tr>
      <w:tr w14:paraId="012A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44" w:type="pct"/>
            <w:vMerge w:val="continue"/>
            <w:vAlign w:val="center"/>
          </w:tcPr>
          <w:p w14:paraId="7867753D">
            <w:pPr>
              <w:snapToGrid w:val="0"/>
              <w:spacing w:after="0" w:line="240" w:lineRule="auto"/>
              <w:jc w:val="center"/>
              <w:rPr>
                <w:rFonts w:hint="eastAsia" w:ascii="仿宋_GB2312" w:hAnsi="宋体" w:eastAsia="仿宋_GB2312"/>
                <w:sz w:val="24"/>
              </w:rPr>
            </w:pPr>
          </w:p>
        </w:tc>
        <w:tc>
          <w:tcPr>
            <w:tcW w:w="482" w:type="pct"/>
            <w:vAlign w:val="center"/>
          </w:tcPr>
          <w:p w14:paraId="429365C8">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危险废物装卸</w:t>
            </w:r>
          </w:p>
        </w:tc>
        <w:tc>
          <w:tcPr>
            <w:tcW w:w="1305" w:type="pct"/>
          </w:tcPr>
          <w:p w14:paraId="3ABA172E">
            <w:pPr>
              <w:snapToGrid w:val="0"/>
              <w:spacing w:after="0" w:line="240" w:lineRule="auto"/>
              <w:rPr>
                <w:rFonts w:hint="eastAsia" w:ascii="仿宋_GB2312" w:hAnsi="宋体" w:eastAsia="仿宋_GB2312"/>
                <w:sz w:val="24"/>
              </w:rPr>
            </w:pPr>
          </w:p>
        </w:tc>
        <w:tc>
          <w:tcPr>
            <w:tcW w:w="446" w:type="pct"/>
          </w:tcPr>
          <w:p w14:paraId="0388E856">
            <w:pPr>
              <w:snapToGrid w:val="0"/>
              <w:spacing w:after="0" w:line="240" w:lineRule="auto"/>
              <w:rPr>
                <w:rFonts w:hint="eastAsia" w:ascii="仿宋_GB2312" w:hAnsi="宋体" w:eastAsia="仿宋_GB2312"/>
                <w:sz w:val="24"/>
              </w:rPr>
            </w:pPr>
          </w:p>
        </w:tc>
        <w:tc>
          <w:tcPr>
            <w:tcW w:w="2520" w:type="pct"/>
            <w:gridSpan w:val="5"/>
          </w:tcPr>
          <w:p w14:paraId="5B1E7F75">
            <w:pPr>
              <w:snapToGrid w:val="0"/>
              <w:spacing w:after="0" w:line="240" w:lineRule="auto"/>
              <w:rPr>
                <w:rFonts w:hint="eastAsia" w:ascii="仿宋_GB2312" w:hAnsi="宋体" w:eastAsia="仿宋_GB2312"/>
                <w:b/>
                <w:sz w:val="24"/>
              </w:rPr>
            </w:pPr>
            <w:r>
              <w:rPr>
                <w:rFonts w:hint="eastAsia" w:ascii="仿宋_GB2312" w:hAnsi="宋体" w:eastAsia="仿宋_GB2312"/>
                <w:sz w:val="24"/>
              </w:rPr>
              <w:t xml:space="preserve">乙方负责为甲方负责提供装卸险废物转移运输期间的装卸车活动（招标方负责提供叉车、行车等机械设备并配备叉车司机及行车操作人员）。 </w:t>
            </w:r>
            <w:r>
              <w:rPr>
                <w:rFonts w:hint="eastAsia" w:ascii="仿宋_GB2312" w:hAnsi="宋体" w:eastAsia="仿宋_GB2312"/>
                <w:b/>
                <w:sz w:val="24"/>
              </w:rPr>
              <w:t>是□  否□</w:t>
            </w:r>
          </w:p>
        </w:tc>
      </w:tr>
      <w:tr w14:paraId="27D6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44" w:type="pct"/>
            <w:vMerge w:val="continue"/>
            <w:vAlign w:val="center"/>
          </w:tcPr>
          <w:p w14:paraId="5CD84A94">
            <w:pPr>
              <w:snapToGrid w:val="0"/>
              <w:spacing w:after="0" w:line="240" w:lineRule="auto"/>
              <w:jc w:val="center"/>
              <w:rPr>
                <w:rFonts w:hint="eastAsia" w:ascii="仿宋_GB2312" w:hAnsi="宋体" w:eastAsia="仿宋_GB2312"/>
                <w:sz w:val="24"/>
              </w:rPr>
            </w:pPr>
          </w:p>
        </w:tc>
        <w:tc>
          <w:tcPr>
            <w:tcW w:w="482" w:type="pct"/>
            <w:vAlign w:val="center"/>
          </w:tcPr>
          <w:p w14:paraId="16507FB7">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危险废物运输</w:t>
            </w:r>
          </w:p>
        </w:tc>
        <w:tc>
          <w:tcPr>
            <w:tcW w:w="1305" w:type="pct"/>
          </w:tcPr>
          <w:p w14:paraId="00C50BA7">
            <w:pPr>
              <w:snapToGrid w:val="0"/>
              <w:spacing w:after="0" w:line="240" w:lineRule="auto"/>
              <w:rPr>
                <w:rFonts w:hint="eastAsia" w:ascii="仿宋_GB2312" w:hAnsi="宋体" w:eastAsia="仿宋_GB2312"/>
                <w:sz w:val="24"/>
              </w:rPr>
            </w:pPr>
          </w:p>
        </w:tc>
        <w:tc>
          <w:tcPr>
            <w:tcW w:w="446" w:type="pct"/>
          </w:tcPr>
          <w:p w14:paraId="55F30A0E">
            <w:pPr>
              <w:snapToGrid w:val="0"/>
              <w:spacing w:after="0" w:line="240" w:lineRule="auto"/>
              <w:rPr>
                <w:rFonts w:hint="eastAsia" w:ascii="仿宋_GB2312" w:hAnsi="宋体" w:eastAsia="仿宋_GB2312"/>
                <w:sz w:val="24"/>
              </w:rPr>
            </w:pPr>
          </w:p>
        </w:tc>
        <w:tc>
          <w:tcPr>
            <w:tcW w:w="2520" w:type="pct"/>
            <w:gridSpan w:val="5"/>
          </w:tcPr>
          <w:p w14:paraId="2A743072">
            <w:pPr>
              <w:snapToGrid w:val="0"/>
              <w:spacing w:after="0" w:line="240" w:lineRule="auto"/>
              <w:rPr>
                <w:rFonts w:hint="eastAsia" w:ascii="仿宋_GB2312" w:hAnsi="宋体" w:eastAsia="仿宋_GB2312"/>
                <w:sz w:val="24"/>
              </w:rPr>
            </w:pPr>
            <w:r>
              <w:rPr>
                <w:rFonts w:hint="eastAsia" w:ascii="仿宋_GB2312" w:hAnsi="宋体" w:eastAsia="仿宋_GB2312"/>
                <w:sz w:val="24"/>
              </w:rPr>
              <w:t xml:space="preserve">危险废物的运输乙方可自行运输或委托有危险废物道路运输资质的公司负责运输，车辆驶出甲方厂区的运输风险由乙方承担。  </w:t>
            </w:r>
            <w:r>
              <w:rPr>
                <w:rFonts w:hint="eastAsia" w:ascii="仿宋_GB2312" w:hAnsi="宋体" w:eastAsia="仿宋_GB2312"/>
                <w:b/>
                <w:sz w:val="24"/>
              </w:rPr>
              <w:t>是□  否□</w:t>
            </w:r>
          </w:p>
        </w:tc>
      </w:tr>
      <w:tr w14:paraId="156E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44" w:type="pct"/>
            <w:vMerge w:val="continue"/>
            <w:vAlign w:val="center"/>
          </w:tcPr>
          <w:p w14:paraId="29D89B66">
            <w:pPr>
              <w:snapToGrid w:val="0"/>
              <w:spacing w:after="0" w:line="240" w:lineRule="auto"/>
              <w:jc w:val="center"/>
              <w:rPr>
                <w:rFonts w:hint="eastAsia" w:ascii="仿宋_GB2312" w:hAnsi="宋体" w:eastAsia="仿宋_GB2312"/>
                <w:sz w:val="24"/>
              </w:rPr>
            </w:pPr>
          </w:p>
        </w:tc>
        <w:tc>
          <w:tcPr>
            <w:tcW w:w="482" w:type="pct"/>
            <w:vAlign w:val="center"/>
          </w:tcPr>
          <w:p w14:paraId="72B96B39">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危险废物处置</w:t>
            </w:r>
          </w:p>
        </w:tc>
        <w:tc>
          <w:tcPr>
            <w:tcW w:w="1305" w:type="pct"/>
          </w:tcPr>
          <w:p w14:paraId="17E0C9F8">
            <w:pPr>
              <w:snapToGrid w:val="0"/>
              <w:spacing w:after="0" w:line="240" w:lineRule="auto"/>
              <w:rPr>
                <w:rFonts w:hint="eastAsia" w:ascii="仿宋_GB2312" w:hAnsi="宋体" w:eastAsia="仿宋_GB2312"/>
                <w:sz w:val="24"/>
              </w:rPr>
            </w:pPr>
          </w:p>
        </w:tc>
        <w:tc>
          <w:tcPr>
            <w:tcW w:w="446" w:type="pct"/>
          </w:tcPr>
          <w:p w14:paraId="41DA07BB">
            <w:pPr>
              <w:snapToGrid w:val="0"/>
              <w:spacing w:after="0" w:line="240" w:lineRule="auto"/>
              <w:rPr>
                <w:rFonts w:hint="eastAsia" w:ascii="仿宋_GB2312" w:hAnsi="宋体" w:eastAsia="仿宋_GB2312"/>
                <w:sz w:val="24"/>
              </w:rPr>
            </w:pPr>
          </w:p>
        </w:tc>
        <w:tc>
          <w:tcPr>
            <w:tcW w:w="2520" w:type="pct"/>
            <w:gridSpan w:val="5"/>
          </w:tcPr>
          <w:p w14:paraId="4C7C6D61">
            <w:pPr>
              <w:snapToGrid w:val="0"/>
              <w:spacing w:after="0" w:line="240" w:lineRule="auto"/>
              <w:rPr>
                <w:rFonts w:hint="eastAsia" w:ascii="仿宋_GB2312" w:hAnsi="宋体" w:eastAsia="仿宋_GB2312"/>
                <w:sz w:val="24"/>
              </w:rPr>
            </w:pPr>
            <w:r>
              <w:rPr>
                <w:rFonts w:hint="eastAsia" w:ascii="仿宋_GB2312" w:hAnsi="宋体" w:eastAsia="仿宋_GB2312"/>
                <w:sz w:val="24"/>
              </w:rPr>
              <w:t xml:space="preserve">乙方不得以任何理由拒绝、拖延在合同规定时限内转移甲方产生的危险废物；因其他客观原因造成的一定时间内不能及时处置危险废物，而此期间甲方危险废物贮存场所容量达到上限时，乙方应保证在合同规定时间内将甲方的危险废物转移至乙方周转库房内暂存。在危险废物处置过程中，如果发生任何环境污染事件以及由此受到政府主管部门的处罚，全部由乙方承担, 甲方不负任何责任。  </w:t>
            </w:r>
            <w:r>
              <w:rPr>
                <w:rFonts w:hint="eastAsia" w:ascii="仿宋_GB2312" w:hAnsi="宋体" w:eastAsia="仿宋_GB2312"/>
                <w:b/>
                <w:sz w:val="24"/>
              </w:rPr>
              <w:t>是□  否□</w:t>
            </w:r>
          </w:p>
        </w:tc>
      </w:tr>
    </w:tbl>
    <w:p w14:paraId="55887880">
      <w:pPr>
        <w:rPr>
          <w:rFonts w:hint="eastAsia" w:ascii="仿宋_GB2312" w:hAnsi="宋体" w:eastAsia="仿宋_GB2312"/>
          <w:sz w:val="24"/>
        </w:rPr>
      </w:pPr>
    </w:p>
    <w:p w14:paraId="27BF1AB2">
      <w:pPr>
        <w:rPr>
          <w:rFonts w:hint="eastAsia" w:ascii="宋体" w:hAnsi="宋体"/>
          <w:sz w:val="24"/>
        </w:rPr>
      </w:pPr>
      <w:r>
        <w:rPr>
          <w:rFonts w:hint="eastAsia" w:ascii="仿宋_GB2312" w:hAnsi="宋体" w:eastAsia="仿宋_GB2312"/>
          <w:sz w:val="24"/>
        </w:rPr>
        <w:t>投标人名称（盖章）：              法定代表人或授权代表签字：</w:t>
      </w:r>
    </w:p>
    <w:p w14:paraId="1A779E6C">
      <w:pPr>
        <w:rPr>
          <w:rFonts w:hint="eastAsia" w:ascii="宋体" w:hAnsi="宋体"/>
          <w:b/>
          <w:sz w:val="24"/>
        </w:rPr>
      </w:pPr>
    </w:p>
    <w:p w14:paraId="114CDFD4">
      <w:pPr>
        <w:rPr>
          <w:rFonts w:hint="eastAsia" w:ascii="仿宋_GB2312" w:hAnsi="宋体" w:eastAsia="仿宋_GB2312"/>
          <w:sz w:val="24"/>
        </w:rPr>
      </w:pPr>
      <w:r>
        <w:rPr>
          <w:rFonts w:hint="eastAsia" w:ascii="仿宋_GB2312" w:hAnsi="宋体" w:eastAsia="仿宋_GB2312"/>
          <w:b/>
          <w:sz w:val="24"/>
        </w:rPr>
        <w:t>注：</w:t>
      </w:r>
      <w:r>
        <w:rPr>
          <w:rFonts w:hint="eastAsia" w:ascii="仿宋_GB2312" w:hAnsi="宋体" w:eastAsia="仿宋_GB2312"/>
          <w:sz w:val="24"/>
        </w:rPr>
        <w:t>、1.单项价为此类危险废物处置价格。</w:t>
      </w:r>
    </w:p>
    <w:p w14:paraId="06B8E325">
      <w:pPr>
        <w:ind w:firstLine="720" w:firstLineChars="300"/>
        <w:rPr>
          <w:rFonts w:hint="eastAsia" w:ascii="仿宋_GB2312" w:hAnsi="宋体" w:eastAsia="仿宋_GB2312" w:cs="Arial"/>
          <w:snapToGrid w:val="0"/>
          <w:kern w:val="0"/>
          <w:sz w:val="24"/>
        </w:rPr>
      </w:pPr>
      <w:r>
        <w:rPr>
          <w:rFonts w:hint="eastAsia" w:ascii="仿宋_GB2312" w:hAnsi="宋体" w:eastAsia="仿宋_GB2312"/>
          <w:sz w:val="24"/>
        </w:rPr>
        <w:t>2.如果开标一览表中的投标价格与投标文件的投标价格有</w:t>
      </w:r>
      <w:r>
        <w:rPr>
          <w:rFonts w:hint="eastAsia" w:ascii="仿宋_GB2312" w:hAnsi="宋体" w:eastAsia="仿宋_GB2312" w:cs="Arial"/>
          <w:snapToGrid w:val="0"/>
          <w:kern w:val="0"/>
          <w:sz w:val="24"/>
        </w:rPr>
        <w:t>差异，以开标一览表为准；</w:t>
      </w:r>
    </w:p>
    <w:p w14:paraId="6EC7A136">
      <w:pPr>
        <w:ind w:firstLine="720" w:firstLineChars="300"/>
        <w:rPr>
          <w:rFonts w:hint="eastAsia" w:ascii="仿宋_GB2312" w:hAnsi="宋体" w:eastAsia="仿宋_GB2312"/>
          <w:sz w:val="24"/>
        </w:rPr>
      </w:pPr>
      <w:r>
        <w:rPr>
          <w:rFonts w:hint="eastAsia" w:ascii="仿宋_GB2312" w:hAnsi="宋体" w:eastAsia="仿宋_GB2312"/>
          <w:sz w:val="24"/>
        </w:rPr>
        <w:t>3.不接受可选择或可调整的报价方案和报价；</w:t>
      </w:r>
    </w:p>
    <w:p w14:paraId="1C66A6CB">
      <w:pPr>
        <w:ind w:firstLine="720" w:firstLineChars="300"/>
        <w:rPr>
          <w:rFonts w:hint="eastAsia" w:ascii="仿宋_GB2312" w:hAnsi="宋体" w:eastAsia="仿宋_GB2312"/>
          <w:sz w:val="24"/>
        </w:rPr>
      </w:pPr>
      <w:r>
        <w:rPr>
          <w:rFonts w:hint="eastAsia" w:ascii="仿宋_GB2312" w:hAnsi="宋体" w:eastAsia="仿宋_GB2312"/>
          <w:sz w:val="24"/>
        </w:rPr>
        <w:t>4.投标报价为完成本项目所需的全部费用，包含但不限于危险废物包装、装卸、运输、贮存、化验、处置及税费等；</w:t>
      </w:r>
    </w:p>
    <w:p w14:paraId="4A665F54">
      <w:pPr>
        <w:ind w:firstLine="720" w:firstLineChars="300"/>
        <w:rPr>
          <w:rFonts w:hint="eastAsia" w:ascii="仿宋_GB2312" w:hAnsi="宋体" w:eastAsia="仿宋_GB2312"/>
          <w:sz w:val="24"/>
        </w:rPr>
      </w:pPr>
      <w:r>
        <w:rPr>
          <w:rFonts w:hint="eastAsia" w:ascii="仿宋_GB2312" w:hAnsi="宋体" w:eastAsia="仿宋_GB2312"/>
          <w:sz w:val="24"/>
        </w:rPr>
        <w:t>5.投标人对报价若有说明，必须在开标一览表显著处注明，只有注明的报价和优惠才会在评标时予以考虑。</w:t>
      </w:r>
    </w:p>
    <w:p w14:paraId="77EBC879">
      <w:pPr>
        <w:ind w:firstLine="720" w:firstLineChars="300"/>
        <w:rPr>
          <w:rFonts w:hint="eastAsia" w:ascii="仿宋_GB2312" w:hAnsi="宋体" w:eastAsia="仿宋_GB2312"/>
          <w:sz w:val="24"/>
        </w:rPr>
      </w:pPr>
      <w:r>
        <w:rPr>
          <w:rFonts w:hint="eastAsia" w:ascii="仿宋_GB2312" w:hAnsi="宋体" w:eastAsia="仿宋_GB2312"/>
          <w:sz w:val="24"/>
        </w:rPr>
        <w:t>6.本表用于开标宣读用，请单独封存。</w:t>
      </w:r>
    </w:p>
    <w:p w14:paraId="013CA225">
      <w:pPr>
        <w:rPr>
          <w:rFonts w:hint="eastAsia" w:ascii="仿宋_GB2312" w:eastAsia="仿宋_GB2312"/>
          <w:b/>
          <w:bCs/>
          <w:sz w:val="28"/>
          <w:szCs w:val="28"/>
        </w:rPr>
      </w:pPr>
    </w:p>
    <w:p w14:paraId="6ECE0A21">
      <w:pPr>
        <w:rPr>
          <w:rFonts w:hint="eastAsia" w:ascii="仿宋_GB2312" w:eastAsia="仿宋_GB2312"/>
          <w:b/>
          <w:bCs/>
          <w:sz w:val="28"/>
          <w:szCs w:val="28"/>
        </w:rPr>
      </w:pPr>
    </w:p>
    <w:p w14:paraId="2B3769CC">
      <w:pPr>
        <w:rPr>
          <w:rFonts w:hint="eastAsia" w:ascii="仿宋_GB2312" w:eastAsia="仿宋_GB2312"/>
          <w:b/>
          <w:bCs/>
          <w:sz w:val="28"/>
          <w:szCs w:val="28"/>
        </w:rPr>
      </w:pPr>
    </w:p>
    <w:p w14:paraId="1716AC06">
      <w:pPr>
        <w:rPr>
          <w:rFonts w:hint="eastAsia" w:ascii="仿宋_GB2312" w:eastAsia="仿宋_GB2312"/>
          <w:b/>
          <w:bCs/>
          <w:sz w:val="28"/>
          <w:szCs w:val="28"/>
        </w:rPr>
      </w:pPr>
    </w:p>
    <w:p w14:paraId="29333610">
      <w:pPr>
        <w:rPr>
          <w:rFonts w:hint="eastAsia" w:ascii="仿宋_GB2312" w:eastAsia="仿宋_GB2312"/>
          <w:b/>
          <w:bCs/>
          <w:sz w:val="28"/>
          <w:szCs w:val="28"/>
        </w:rPr>
      </w:pPr>
    </w:p>
    <w:p w14:paraId="16BD290C">
      <w:pPr>
        <w:rPr>
          <w:rFonts w:hint="eastAsia" w:ascii="仿宋_GB2312" w:eastAsia="仿宋_GB2312"/>
          <w:b/>
          <w:bCs/>
          <w:sz w:val="24"/>
        </w:rPr>
      </w:pPr>
      <w:r>
        <w:rPr>
          <w:rFonts w:hint="eastAsia" w:ascii="仿宋_GB2312" w:eastAsia="仿宋_GB2312"/>
          <w:b/>
          <w:bCs/>
          <w:sz w:val="24"/>
        </w:rPr>
        <w:br w:type="page"/>
      </w:r>
    </w:p>
    <w:p w14:paraId="7B5E3FE6">
      <w:pPr>
        <w:rPr>
          <w:rFonts w:hint="default" w:ascii="宋体" w:hAnsi="宋体" w:eastAsia="宋体" w:cs="宋体"/>
          <w:b/>
          <w:bCs/>
          <w:kern w:val="2"/>
          <w:sz w:val="32"/>
          <w:szCs w:val="32"/>
          <w:highlight w:val="none"/>
          <w:lang w:val="en-US" w:eastAsia="zh-CN" w:bidi="ar-SA"/>
        </w:rPr>
      </w:pPr>
      <w:r>
        <w:rPr>
          <w:rFonts w:hint="eastAsia" w:ascii="宋体" w:hAnsi="宋体" w:eastAsia="宋体" w:cs="宋体"/>
          <w:b/>
          <w:bCs/>
          <w:kern w:val="2"/>
          <w:sz w:val="32"/>
          <w:szCs w:val="32"/>
          <w:highlight w:val="none"/>
          <w:lang w:val="en-US" w:eastAsia="zh-CN" w:bidi="ar-SA"/>
        </w:rPr>
        <w:t>附件4</w:t>
      </w:r>
    </w:p>
    <w:p w14:paraId="3DAFEB70">
      <w:pPr>
        <w:rPr>
          <w:rFonts w:hint="eastAsia" w:ascii="仿宋_GB2312" w:eastAsia="仿宋_GB2312"/>
          <w:b/>
          <w:bCs/>
          <w:sz w:val="24"/>
        </w:rPr>
      </w:pPr>
      <w:r>
        <w:rPr>
          <w:rFonts w:hint="eastAsia" w:ascii="仿宋_GB2312" w:eastAsia="仿宋_GB2312"/>
          <w:b/>
          <w:bCs/>
          <w:sz w:val="24"/>
        </w:rPr>
        <w:t>项目名称：</w:t>
      </w:r>
      <w:r>
        <w:rPr>
          <w:rFonts w:hint="eastAsia" w:ascii="仿宋_GB2312" w:eastAsia="仿宋_GB2312"/>
          <w:b/>
          <w:bCs/>
          <w:sz w:val="24"/>
          <w:lang w:val="en-US" w:eastAsia="zh-CN"/>
        </w:rPr>
        <w:t>中国重汽集团济南汽车部件有限公司2026年度危险废物处置项目</w:t>
      </w:r>
    </w:p>
    <w:p w14:paraId="59DD5364">
      <w:pPr>
        <w:rPr>
          <w:rFonts w:hint="eastAsia" w:ascii="仿宋_GB2312" w:eastAsia="仿宋_GB2312"/>
          <w:sz w:val="24"/>
          <w:u w:val="single"/>
        </w:rPr>
      </w:pPr>
    </w:p>
    <w:p w14:paraId="2857DD3F">
      <w:pPr>
        <w:rPr>
          <w:rFonts w:hint="eastAsia" w:ascii="仿宋_GB2312" w:eastAsia="仿宋_GB2312"/>
          <w:b/>
          <w:bCs/>
          <w:sz w:val="24"/>
        </w:rPr>
      </w:pPr>
      <w:r>
        <w:rPr>
          <w:rFonts w:hint="eastAsia" w:ascii="仿宋_GB2312" w:eastAsia="仿宋_GB2312"/>
          <w:b/>
          <w:bCs/>
          <w:sz w:val="24"/>
        </w:rPr>
        <w:t>日期：  年   月   日</w:t>
      </w:r>
    </w:p>
    <w:p w14:paraId="0C548E83">
      <w:pPr>
        <w:rPr>
          <w:rFonts w:hint="eastAsia" w:ascii="仿宋_GB2312" w:hAnsi="宋体" w:eastAsia="仿宋_GB2312"/>
          <w:sz w:val="24"/>
        </w:rPr>
      </w:pPr>
    </w:p>
    <w:p w14:paraId="3720E16D">
      <w:pPr>
        <w:jc w:val="center"/>
        <w:rPr>
          <w:rFonts w:hint="eastAsia" w:ascii="仿宋_GB2312" w:eastAsia="仿宋_GB2312"/>
          <w:b/>
          <w:bCs/>
          <w:sz w:val="24"/>
        </w:rPr>
      </w:pPr>
      <w:r>
        <w:rPr>
          <w:rFonts w:hint="eastAsia" w:ascii="仿宋_GB2312" w:eastAsia="仿宋_GB2312"/>
          <w:b/>
          <w:bCs/>
          <w:sz w:val="24"/>
        </w:rPr>
        <w:t>相关条款偏离表（商务偏离）</w:t>
      </w:r>
    </w:p>
    <w:tbl>
      <w:tblPr>
        <w:tblStyle w:val="3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212A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50C7A6CD">
            <w:pPr>
              <w:jc w:val="center"/>
              <w:rPr>
                <w:rFonts w:hint="eastAsia" w:ascii="仿宋_GB2312" w:hAnsi="宋体" w:eastAsia="仿宋_GB2312"/>
                <w:sz w:val="24"/>
              </w:rPr>
            </w:pPr>
            <w:r>
              <w:rPr>
                <w:rFonts w:hint="eastAsia" w:ascii="仿宋_GB2312" w:hAnsi="宋体" w:eastAsia="仿宋_GB2312"/>
                <w:sz w:val="24"/>
              </w:rPr>
              <w:t>序号</w:t>
            </w:r>
          </w:p>
        </w:tc>
        <w:tc>
          <w:tcPr>
            <w:tcW w:w="4140" w:type="dxa"/>
            <w:gridSpan w:val="2"/>
            <w:vAlign w:val="center"/>
          </w:tcPr>
          <w:p w14:paraId="697826A9">
            <w:pPr>
              <w:jc w:val="center"/>
              <w:rPr>
                <w:rFonts w:hint="eastAsia" w:ascii="仿宋_GB2312" w:hAnsi="宋体" w:eastAsia="仿宋_GB2312"/>
                <w:sz w:val="24"/>
              </w:rPr>
            </w:pPr>
            <w:r>
              <w:rPr>
                <w:rFonts w:hint="eastAsia" w:ascii="仿宋_GB2312" w:hAnsi="宋体" w:eastAsia="仿宋_GB2312"/>
                <w:sz w:val="24"/>
              </w:rPr>
              <w:t>招标文件条款</w:t>
            </w:r>
          </w:p>
        </w:tc>
        <w:tc>
          <w:tcPr>
            <w:tcW w:w="3554" w:type="dxa"/>
            <w:vMerge w:val="restart"/>
            <w:vAlign w:val="center"/>
          </w:tcPr>
          <w:p w14:paraId="66D56566">
            <w:pPr>
              <w:jc w:val="center"/>
              <w:rPr>
                <w:rFonts w:hint="eastAsia" w:ascii="仿宋_GB2312" w:hAnsi="宋体" w:eastAsia="仿宋_GB2312"/>
                <w:sz w:val="24"/>
              </w:rPr>
            </w:pPr>
            <w:r>
              <w:rPr>
                <w:rFonts w:hint="eastAsia" w:ascii="仿宋_GB2312" w:hAnsi="宋体" w:eastAsia="仿宋_GB2312"/>
                <w:sz w:val="24"/>
              </w:rPr>
              <w:t>偏离内容</w:t>
            </w:r>
          </w:p>
        </w:tc>
      </w:tr>
      <w:tr w14:paraId="44AE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8E116E2">
            <w:pPr>
              <w:rPr>
                <w:rFonts w:hint="eastAsia" w:ascii="仿宋_GB2312" w:hAnsi="宋体" w:eastAsia="仿宋_GB2312"/>
                <w:sz w:val="24"/>
              </w:rPr>
            </w:pPr>
          </w:p>
        </w:tc>
        <w:tc>
          <w:tcPr>
            <w:tcW w:w="1080" w:type="dxa"/>
            <w:vAlign w:val="center"/>
          </w:tcPr>
          <w:p w14:paraId="31CC5318">
            <w:pPr>
              <w:jc w:val="center"/>
              <w:rPr>
                <w:rFonts w:hint="eastAsia" w:ascii="仿宋_GB2312" w:hAnsi="宋体" w:eastAsia="仿宋_GB2312"/>
                <w:sz w:val="24"/>
              </w:rPr>
            </w:pPr>
            <w:r>
              <w:rPr>
                <w:rFonts w:hint="eastAsia" w:ascii="仿宋_GB2312" w:hAnsi="宋体" w:eastAsia="仿宋_GB2312"/>
                <w:sz w:val="24"/>
              </w:rPr>
              <w:t>条款号</w:t>
            </w:r>
          </w:p>
        </w:tc>
        <w:tc>
          <w:tcPr>
            <w:tcW w:w="3060" w:type="dxa"/>
            <w:vAlign w:val="center"/>
          </w:tcPr>
          <w:p w14:paraId="6098A83E">
            <w:pPr>
              <w:jc w:val="center"/>
              <w:rPr>
                <w:rFonts w:hint="eastAsia" w:ascii="仿宋_GB2312" w:hAnsi="宋体" w:eastAsia="仿宋_GB2312"/>
                <w:sz w:val="24"/>
              </w:rPr>
            </w:pPr>
            <w:r>
              <w:rPr>
                <w:rFonts w:hint="eastAsia" w:ascii="仿宋_GB2312" w:hAnsi="宋体" w:eastAsia="仿宋_GB2312"/>
                <w:sz w:val="24"/>
              </w:rPr>
              <w:t>条款要求</w:t>
            </w:r>
          </w:p>
        </w:tc>
        <w:tc>
          <w:tcPr>
            <w:tcW w:w="3554" w:type="dxa"/>
            <w:vMerge w:val="continue"/>
            <w:vAlign w:val="center"/>
          </w:tcPr>
          <w:p w14:paraId="7E0B7E07">
            <w:pPr>
              <w:jc w:val="center"/>
              <w:rPr>
                <w:rFonts w:hint="eastAsia" w:ascii="仿宋_GB2312" w:hAnsi="宋体" w:eastAsia="仿宋_GB2312"/>
                <w:sz w:val="24"/>
              </w:rPr>
            </w:pPr>
          </w:p>
        </w:tc>
      </w:tr>
      <w:tr w14:paraId="5864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A5DC076">
            <w:pPr>
              <w:jc w:val="center"/>
              <w:rPr>
                <w:rFonts w:hint="eastAsia" w:ascii="仿宋_GB2312" w:hAnsi="宋体" w:eastAsia="仿宋_GB2312"/>
                <w:sz w:val="24"/>
              </w:rPr>
            </w:pPr>
            <w:r>
              <w:rPr>
                <w:rFonts w:hint="eastAsia" w:ascii="仿宋_GB2312" w:hAnsi="宋体" w:eastAsia="仿宋_GB2312"/>
                <w:sz w:val="24"/>
              </w:rPr>
              <w:t>1</w:t>
            </w:r>
          </w:p>
        </w:tc>
        <w:tc>
          <w:tcPr>
            <w:tcW w:w="1080" w:type="dxa"/>
            <w:vAlign w:val="center"/>
          </w:tcPr>
          <w:p w14:paraId="59C7F50A">
            <w:pPr>
              <w:rPr>
                <w:rFonts w:hint="eastAsia" w:ascii="仿宋_GB2312" w:hAnsi="宋体" w:eastAsia="仿宋_GB2312"/>
                <w:sz w:val="24"/>
              </w:rPr>
            </w:pPr>
          </w:p>
        </w:tc>
        <w:tc>
          <w:tcPr>
            <w:tcW w:w="3060" w:type="dxa"/>
            <w:vAlign w:val="center"/>
          </w:tcPr>
          <w:p w14:paraId="58753AFE">
            <w:pPr>
              <w:rPr>
                <w:rFonts w:hint="eastAsia" w:ascii="仿宋_GB2312" w:hAnsi="宋体" w:eastAsia="仿宋_GB2312"/>
                <w:sz w:val="24"/>
              </w:rPr>
            </w:pPr>
          </w:p>
        </w:tc>
        <w:tc>
          <w:tcPr>
            <w:tcW w:w="3554" w:type="dxa"/>
            <w:vAlign w:val="center"/>
          </w:tcPr>
          <w:p w14:paraId="0A435307">
            <w:pPr>
              <w:rPr>
                <w:rFonts w:hint="eastAsia" w:ascii="仿宋_GB2312" w:hAnsi="宋体" w:eastAsia="仿宋_GB2312"/>
                <w:sz w:val="24"/>
              </w:rPr>
            </w:pPr>
          </w:p>
        </w:tc>
      </w:tr>
      <w:tr w14:paraId="0CBE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D537515">
            <w:pPr>
              <w:jc w:val="center"/>
              <w:rPr>
                <w:rFonts w:hint="eastAsia" w:ascii="仿宋_GB2312" w:hAnsi="宋体" w:eastAsia="仿宋_GB2312"/>
                <w:sz w:val="24"/>
              </w:rPr>
            </w:pPr>
            <w:r>
              <w:rPr>
                <w:rFonts w:hint="eastAsia" w:ascii="仿宋_GB2312" w:hAnsi="宋体" w:eastAsia="仿宋_GB2312"/>
                <w:sz w:val="24"/>
              </w:rPr>
              <w:t>2</w:t>
            </w:r>
          </w:p>
        </w:tc>
        <w:tc>
          <w:tcPr>
            <w:tcW w:w="1080" w:type="dxa"/>
            <w:vAlign w:val="center"/>
          </w:tcPr>
          <w:p w14:paraId="18C03417">
            <w:pPr>
              <w:rPr>
                <w:rFonts w:hint="eastAsia" w:ascii="仿宋_GB2312" w:hAnsi="宋体" w:eastAsia="仿宋_GB2312"/>
                <w:sz w:val="24"/>
              </w:rPr>
            </w:pPr>
          </w:p>
        </w:tc>
        <w:tc>
          <w:tcPr>
            <w:tcW w:w="3060" w:type="dxa"/>
            <w:vAlign w:val="center"/>
          </w:tcPr>
          <w:p w14:paraId="6C617075">
            <w:pPr>
              <w:rPr>
                <w:rFonts w:hint="eastAsia" w:ascii="仿宋_GB2312" w:hAnsi="宋体" w:eastAsia="仿宋_GB2312"/>
                <w:sz w:val="24"/>
              </w:rPr>
            </w:pPr>
          </w:p>
        </w:tc>
        <w:tc>
          <w:tcPr>
            <w:tcW w:w="3554" w:type="dxa"/>
            <w:vAlign w:val="center"/>
          </w:tcPr>
          <w:p w14:paraId="37F8BB18">
            <w:pPr>
              <w:rPr>
                <w:rFonts w:hint="eastAsia" w:ascii="仿宋_GB2312" w:hAnsi="宋体" w:eastAsia="仿宋_GB2312"/>
                <w:sz w:val="24"/>
              </w:rPr>
            </w:pPr>
          </w:p>
        </w:tc>
      </w:tr>
      <w:tr w14:paraId="13A0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850A0CD">
            <w:pPr>
              <w:jc w:val="center"/>
              <w:rPr>
                <w:rFonts w:hint="eastAsia" w:ascii="仿宋_GB2312" w:hAnsi="宋体" w:eastAsia="仿宋_GB2312"/>
                <w:sz w:val="24"/>
              </w:rPr>
            </w:pPr>
            <w:r>
              <w:rPr>
                <w:rFonts w:hint="eastAsia" w:ascii="仿宋_GB2312" w:hAnsi="宋体" w:eastAsia="仿宋_GB2312"/>
                <w:sz w:val="24"/>
              </w:rPr>
              <w:t>3</w:t>
            </w:r>
          </w:p>
        </w:tc>
        <w:tc>
          <w:tcPr>
            <w:tcW w:w="1080" w:type="dxa"/>
            <w:vAlign w:val="center"/>
          </w:tcPr>
          <w:p w14:paraId="1E32510D">
            <w:pPr>
              <w:rPr>
                <w:rFonts w:hint="eastAsia" w:ascii="仿宋_GB2312" w:hAnsi="宋体" w:eastAsia="仿宋_GB2312"/>
                <w:sz w:val="24"/>
              </w:rPr>
            </w:pPr>
          </w:p>
        </w:tc>
        <w:tc>
          <w:tcPr>
            <w:tcW w:w="3060" w:type="dxa"/>
            <w:vAlign w:val="center"/>
          </w:tcPr>
          <w:p w14:paraId="3B7EF534">
            <w:pPr>
              <w:rPr>
                <w:rFonts w:hint="eastAsia" w:ascii="仿宋_GB2312" w:hAnsi="宋体" w:eastAsia="仿宋_GB2312"/>
                <w:sz w:val="24"/>
              </w:rPr>
            </w:pPr>
          </w:p>
        </w:tc>
        <w:tc>
          <w:tcPr>
            <w:tcW w:w="3554" w:type="dxa"/>
            <w:vAlign w:val="center"/>
          </w:tcPr>
          <w:p w14:paraId="57B41B45">
            <w:pPr>
              <w:rPr>
                <w:rFonts w:hint="eastAsia" w:ascii="仿宋_GB2312" w:hAnsi="宋体" w:eastAsia="仿宋_GB2312"/>
                <w:sz w:val="24"/>
              </w:rPr>
            </w:pPr>
          </w:p>
        </w:tc>
      </w:tr>
      <w:tr w14:paraId="3443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7C74B68">
            <w:pPr>
              <w:jc w:val="center"/>
              <w:rPr>
                <w:rFonts w:hint="eastAsia" w:ascii="仿宋_GB2312" w:hAnsi="宋体" w:eastAsia="仿宋_GB2312"/>
                <w:sz w:val="24"/>
              </w:rPr>
            </w:pPr>
            <w:r>
              <w:rPr>
                <w:rFonts w:hint="eastAsia" w:ascii="仿宋_GB2312" w:hAnsi="宋体" w:eastAsia="仿宋_GB2312"/>
                <w:sz w:val="24"/>
              </w:rPr>
              <w:t>4</w:t>
            </w:r>
          </w:p>
        </w:tc>
        <w:tc>
          <w:tcPr>
            <w:tcW w:w="1080" w:type="dxa"/>
            <w:vAlign w:val="center"/>
          </w:tcPr>
          <w:p w14:paraId="0CD5135C">
            <w:pPr>
              <w:rPr>
                <w:rFonts w:hint="eastAsia" w:ascii="仿宋_GB2312" w:hAnsi="宋体" w:eastAsia="仿宋_GB2312"/>
                <w:sz w:val="24"/>
              </w:rPr>
            </w:pPr>
          </w:p>
        </w:tc>
        <w:tc>
          <w:tcPr>
            <w:tcW w:w="3060" w:type="dxa"/>
            <w:vAlign w:val="center"/>
          </w:tcPr>
          <w:p w14:paraId="45B73145">
            <w:pPr>
              <w:rPr>
                <w:rFonts w:hint="eastAsia" w:ascii="仿宋_GB2312" w:hAnsi="宋体" w:eastAsia="仿宋_GB2312"/>
                <w:sz w:val="24"/>
              </w:rPr>
            </w:pPr>
          </w:p>
        </w:tc>
        <w:tc>
          <w:tcPr>
            <w:tcW w:w="3554" w:type="dxa"/>
            <w:vAlign w:val="center"/>
          </w:tcPr>
          <w:p w14:paraId="37DB80C1">
            <w:pPr>
              <w:rPr>
                <w:rFonts w:hint="eastAsia" w:ascii="仿宋_GB2312" w:hAnsi="宋体" w:eastAsia="仿宋_GB2312"/>
                <w:sz w:val="24"/>
              </w:rPr>
            </w:pPr>
          </w:p>
        </w:tc>
      </w:tr>
      <w:tr w14:paraId="2DE7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CF6A3B8">
            <w:pPr>
              <w:jc w:val="center"/>
              <w:rPr>
                <w:rFonts w:hint="eastAsia" w:ascii="仿宋_GB2312" w:hAnsi="宋体" w:eastAsia="仿宋_GB2312"/>
                <w:sz w:val="24"/>
              </w:rPr>
            </w:pPr>
            <w:r>
              <w:rPr>
                <w:rFonts w:hint="eastAsia" w:ascii="仿宋_GB2312" w:hAnsi="宋体" w:eastAsia="仿宋_GB2312"/>
                <w:sz w:val="24"/>
              </w:rPr>
              <w:t>5</w:t>
            </w:r>
          </w:p>
        </w:tc>
        <w:tc>
          <w:tcPr>
            <w:tcW w:w="1080" w:type="dxa"/>
            <w:vAlign w:val="center"/>
          </w:tcPr>
          <w:p w14:paraId="2A6B6B20">
            <w:pPr>
              <w:rPr>
                <w:rFonts w:hint="eastAsia" w:ascii="仿宋_GB2312" w:hAnsi="宋体" w:eastAsia="仿宋_GB2312"/>
                <w:sz w:val="24"/>
              </w:rPr>
            </w:pPr>
          </w:p>
        </w:tc>
        <w:tc>
          <w:tcPr>
            <w:tcW w:w="3060" w:type="dxa"/>
            <w:vAlign w:val="center"/>
          </w:tcPr>
          <w:p w14:paraId="1DC861DF">
            <w:pPr>
              <w:rPr>
                <w:rFonts w:hint="eastAsia" w:ascii="仿宋_GB2312" w:hAnsi="宋体" w:eastAsia="仿宋_GB2312"/>
                <w:sz w:val="24"/>
              </w:rPr>
            </w:pPr>
          </w:p>
        </w:tc>
        <w:tc>
          <w:tcPr>
            <w:tcW w:w="3554" w:type="dxa"/>
            <w:vAlign w:val="center"/>
          </w:tcPr>
          <w:p w14:paraId="27AF5CEF">
            <w:pPr>
              <w:rPr>
                <w:rFonts w:hint="eastAsia" w:ascii="仿宋_GB2312" w:hAnsi="宋体" w:eastAsia="仿宋_GB2312"/>
                <w:sz w:val="24"/>
              </w:rPr>
            </w:pPr>
          </w:p>
        </w:tc>
      </w:tr>
      <w:tr w14:paraId="65AD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1FEB15B">
            <w:pPr>
              <w:jc w:val="center"/>
              <w:rPr>
                <w:rFonts w:hint="eastAsia" w:ascii="仿宋_GB2312" w:hAnsi="宋体" w:eastAsia="仿宋_GB2312"/>
                <w:sz w:val="24"/>
              </w:rPr>
            </w:pPr>
            <w:r>
              <w:rPr>
                <w:rFonts w:hint="eastAsia" w:ascii="仿宋_GB2312" w:hAnsi="宋体" w:eastAsia="仿宋_GB2312"/>
                <w:sz w:val="24"/>
              </w:rPr>
              <w:t>6</w:t>
            </w:r>
          </w:p>
        </w:tc>
        <w:tc>
          <w:tcPr>
            <w:tcW w:w="1080" w:type="dxa"/>
            <w:vAlign w:val="center"/>
          </w:tcPr>
          <w:p w14:paraId="1D6731C1">
            <w:pPr>
              <w:rPr>
                <w:rFonts w:hint="eastAsia" w:ascii="仿宋_GB2312" w:hAnsi="宋体" w:eastAsia="仿宋_GB2312"/>
                <w:sz w:val="24"/>
              </w:rPr>
            </w:pPr>
          </w:p>
        </w:tc>
        <w:tc>
          <w:tcPr>
            <w:tcW w:w="3060" w:type="dxa"/>
            <w:vAlign w:val="center"/>
          </w:tcPr>
          <w:p w14:paraId="5692C023">
            <w:pPr>
              <w:rPr>
                <w:rFonts w:hint="eastAsia" w:ascii="仿宋_GB2312" w:hAnsi="宋体" w:eastAsia="仿宋_GB2312"/>
                <w:sz w:val="24"/>
              </w:rPr>
            </w:pPr>
          </w:p>
        </w:tc>
        <w:tc>
          <w:tcPr>
            <w:tcW w:w="3554" w:type="dxa"/>
            <w:vAlign w:val="center"/>
          </w:tcPr>
          <w:p w14:paraId="2F139AB2">
            <w:pPr>
              <w:rPr>
                <w:rFonts w:hint="eastAsia" w:ascii="仿宋_GB2312" w:hAnsi="宋体" w:eastAsia="仿宋_GB2312"/>
                <w:sz w:val="24"/>
              </w:rPr>
            </w:pPr>
          </w:p>
        </w:tc>
      </w:tr>
    </w:tbl>
    <w:p w14:paraId="34E59D20">
      <w:pPr>
        <w:rPr>
          <w:rFonts w:hint="eastAsia" w:ascii="仿宋_GB2312" w:hAnsi="宋体" w:eastAsia="仿宋_GB2312"/>
          <w:sz w:val="24"/>
        </w:rPr>
      </w:pPr>
    </w:p>
    <w:p w14:paraId="0DFEB3A6">
      <w:pPr>
        <w:rPr>
          <w:rFonts w:hint="eastAsia" w:ascii="仿宋_GB2312" w:hAnsi="宋体" w:eastAsia="仿宋_GB2312"/>
          <w:sz w:val="24"/>
        </w:rPr>
      </w:pPr>
      <w:r>
        <w:rPr>
          <w:rFonts w:hint="eastAsia" w:ascii="仿宋_GB2312" w:hAnsi="宋体" w:eastAsia="仿宋_GB2312"/>
          <w:sz w:val="24"/>
        </w:rPr>
        <w:t>投标人名称（盖章）：              法定代表人或授权代表签字：</w:t>
      </w:r>
    </w:p>
    <w:p w14:paraId="134F7D36">
      <w:pPr>
        <w:rPr>
          <w:rFonts w:hint="eastAsia" w:ascii="仿宋_GB2312" w:hAnsi="宋体" w:eastAsia="仿宋_GB2312"/>
          <w:sz w:val="24"/>
        </w:rPr>
      </w:pPr>
    </w:p>
    <w:p w14:paraId="7F899AFD">
      <w:pPr>
        <w:rPr>
          <w:rFonts w:hint="eastAsia" w:ascii="仿宋_GB2312" w:hAnsi="宋体" w:eastAsia="仿宋_GB2312"/>
          <w:sz w:val="24"/>
        </w:rPr>
      </w:pPr>
    </w:p>
    <w:p w14:paraId="4F8162DE">
      <w:pPr>
        <w:pStyle w:val="15"/>
        <w:spacing w:line="360" w:lineRule="auto"/>
        <w:rPr>
          <w:rFonts w:hint="eastAsia" w:ascii="仿宋_GB2312" w:hAnsi="宋体" w:eastAsia="仿宋_GB2312"/>
          <w:bCs/>
          <w:sz w:val="24"/>
          <w:szCs w:val="24"/>
        </w:rPr>
      </w:pPr>
      <w:r>
        <w:rPr>
          <w:rFonts w:hint="eastAsia" w:ascii="仿宋_GB2312" w:hAnsi="宋体" w:eastAsia="仿宋_GB2312"/>
          <w:b/>
          <w:sz w:val="24"/>
          <w:szCs w:val="24"/>
        </w:rPr>
        <w:t>注：</w:t>
      </w:r>
      <w:r>
        <w:rPr>
          <w:rFonts w:hint="eastAsia" w:ascii="仿宋_GB2312" w:hAnsi="宋体" w:eastAsia="仿宋_GB2312"/>
          <w:sz w:val="24"/>
          <w:szCs w:val="24"/>
        </w:rPr>
        <w:t>可做正偏离，但不允许有低于本招标文件相关要求的情况出现，否则视为</w:t>
      </w:r>
      <w:r>
        <w:rPr>
          <w:rFonts w:hint="eastAsia" w:ascii="仿宋_GB2312" w:eastAsia="仿宋_GB2312"/>
          <w:sz w:val="24"/>
          <w:szCs w:val="24"/>
        </w:rPr>
        <w:t>主动放弃本项目投标；</w:t>
      </w:r>
      <w:r>
        <w:rPr>
          <w:rFonts w:hint="eastAsia" w:ascii="仿宋_GB2312" w:hAnsi="宋体" w:eastAsia="仿宋_GB2312"/>
          <w:sz w:val="24"/>
          <w:szCs w:val="24"/>
        </w:rPr>
        <w:t>为避免歧义，无偏离也应要提报该表，并注明“无”字。如无该表则即使在其它部分已反映，将也被视为“无偏离”。</w:t>
      </w:r>
    </w:p>
    <w:p w14:paraId="5A2D53A3">
      <w:pPr>
        <w:rPr>
          <w:rFonts w:hint="eastAsia" w:ascii="仿宋_GB2312" w:eastAsia="仿宋_GB2312"/>
          <w:b/>
          <w:bCs/>
          <w:sz w:val="28"/>
          <w:szCs w:val="28"/>
        </w:rPr>
      </w:pPr>
    </w:p>
    <w:p w14:paraId="4217227D">
      <w:pPr>
        <w:rPr>
          <w:rFonts w:hint="eastAsia" w:ascii="仿宋_GB2312" w:eastAsia="仿宋_GB2312"/>
          <w:b/>
          <w:bCs/>
          <w:sz w:val="28"/>
          <w:szCs w:val="28"/>
        </w:rPr>
      </w:pPr>
      <w:r>
        <w:rPr>
          <w:rFonts w:hint="eastAsia" w:ascii="仿宋_GB2312" w:eastAsia="仿宋_GB2312"/>
          <w:b/>
          <w:bCs/>
          <w:sz w:val="28"/>
          <w:szCs w:val="28"/>
        </w:rPr>
        <w:br w:type="page"/>
      </w:r>
    </w:p>
    <w:p w14:paraId="6DB6E000">
      <w:pPr>
        <w:pStyle w:val="15"/>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68765BB9">
      <w:pPr>
        <w:pStyle w:val="15"/>
      </w:pPr>
    </w:p>
    <w:p w14:paraId="0E24E503">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74FA9387">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6BB0DFE9">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4D1508E0">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19D7CFAC">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1FEA666F">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0691E3CA">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1921633">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1D22714A">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29725B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3F134B44">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2F5034DE">
      <w:pPr>
        <w:pStyle w:val="15"/>
      </w:pPr>
    </w:p>
    <w:p w14:paraId="6C65D4C9">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68C26661">
      <w:pPr>
        <w:pStyle w:val="15"/>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4BC81C19">
      <w:pPr>
        <w:pStyle w:val="15"/>
      </w:pPr>
    </w:p>
    <w:p w14:paraId="066E0F5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27AAD5E0">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40FAC5B1">
      <w:pPr>
        <w:rPr>
          <w:rFonts w:ascii="宋体" w:hAnsi="宋体" w:cs="宋体"/>
          <w:b/>
          <w:bCs/>
          <w:color w:val="000000"/>
          <w:sz w:val="24"/>
          <w:szCs w:val="24"/>
        </w:rPr>
      </w:pPr>
      <w:r>
        <w:rPr>
          <w:rFonts w:hint="eastAsia" w:ascii="宋体" w:hAnsi="宋体" w:cs="宋体"/>
          <w:b/>
          <w:bCs/>
          <w:color w:val="FF0000"/>
          <w:sz w:val="24"/>
          <w:szCs w:val="28"/>
          <w:highlight w:val="yellow"/>
        </w:rPr>
        <w:t>2.</w:t>
      </w:r>
      <w:r>
        <w:rPr>
          <w:rFonts w:hint="eastAsia" w:hAnsi="宋体" w:cs="宋体"/>
          <w:b/>
          <w:bCs/>
          <w:color w:val="FF0000"/>
          <w:sz w:val="24"/>
          <w:szCs w:val="28"/>
          <w:highlight w:val="yellow"/>
        </w:rPr>
        <w:t>配套能力“供货类别”选“直管单位非生产招标 / 服务 / 环保”，业务主管部门为“安全环保部”。</w:t>
      </w:r>
      <w:r>
        <w:rPr>
          <w:rFonts w:hint="eastAsia" w:ascii="宋体" w:hAnsi="宋体" w:cs="宋体"/>
          <w:b/>
          <w:bCs/>
          <w:color w:val="000000"/>
          <w:sz w:val="24"/>
          <w:szCs w:val="24"/>
        </w:rPr>
        <w:br w:type="page"/>
      </w:r>
    </w:p>
    <w:p w14:paraId="3EF56BD2">
      <w:pPr>
        <w:pStyle w:val="15"/>
        <w:outlineLvl w:val="2"/>
        <w:rPr>
          <w:rFonts w:hAnsi="宋体"/>
          <w:b/>
          <w:color w:val="000000"/>
          <w:sz w:val="24"/>
          <w:szCs w:val="24"/>
        </w:rPr>
      </w:pPr>
      <w:r>
        <w:rPr>
          <w:rFonts w:hint="eastAsia" w:hAnsi="宋体"/>
          <w:b/>
          <w:color w:val="000000"/>
          <w:sz w:val="24"/>
          <w:szCs w:val="24"/>
        </w:rPr>
        <w:t>SRM系统供应商用户手册</w:t>
      </w:r>
    </w:p>
    <w:p w14:paraId="56283A6E">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8"/>
          <w:rFonts w:hint="eastAsia" w:ascii="宋体" w:hAnsi="宋体" w:cs="宋体"/>
          <w:sz w:val="24"/>
          <w:szCs w:val="24"/>
        </w:rPr>
        <w:t>https://ecaitong.sinotruk.com:8012/</w:t>
      </w:r>
      <w:r>
        <w:rPr>
          <w:rStyle w:val="38"/>
          <w:rFonts w:hint="eastAsia" w:ascii="宋体" w:hAnsi="宋体" w:cs="宋体"/>
          <w:sz w:val="24"/>
          <w:szCs w:val="24"/>
        </w:rPr>
        <w:fldChar w:fldCharType="end"/>
      </w:r>
    </w:p>
    <w:p w14:paraId="7E311810">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0571182E">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EAA7313">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C3B5D1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2752A5A6">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AD4D2CB">
      <w:r>
        <w:drawing>
          <wp:inline distT="0" distB="0" distL="0" distR="0">
            <wp:extent cx="5760085" cy="2269490"/>
            <wp:effectExtent l="0" t="0" r="5715" b="3810"/>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340D32D7"/>
    <w:p w14:paraId="0A9846D6">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37A95C9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19B6EE1C">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5C2A60BF">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1C8F87D8">
      <w:pPr>
        <w:pStyle w:val="15"/>
      </w:pPr>
      <w:r>
        <w:rPr>
          <w:rFonts w:hint="eastAsia" w:hAnsi="宋体" w:cs="宋体"/>
          <w:color w:val="000000"/>
          <w:sz w:val="24"/>
          <w:szCs w:val="28"/>
          <w:highlight w:val="yellow"/>
        </w:rPr>
        <w:t>注意：系统内的投标报价单位为“万元”，如开标现场发现填错报价，即直接淘汰。</w:t>
      </w:r>
    </w:p>
    <w:p w14:paraId="5AF6C707">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40B41E73">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554464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615DA943">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174D650E">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C0DE9DB">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2605E50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6EA9BA94">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554CC95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7EC6ED8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7C189B98">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A5D0ADA">
      <w:pPr>
        <w:pStyle w:val="5"/>
        <w:ind w:left="425" w:hanging="425"/>
        <w:rPr>
          <w:rFonts w:eastAsia="Arial" w:cs="Arial"/>
          <w:color w:val="000000"/>
        </w:rPr>
        <w:sectPr>
          <w:headerReference r:id="rId6" w:type="first"/>
          <w:pgSz w:w="11906" w:h="16838"/>
          <w:pgMar w:top="1701" w:right="1418" w:bottom="1134" w:left="1418" w:header="851" w:footer="992" w:gutter="0"/>
          <w:pgNumType w:fmt="decimal"/>
          <w:cols w:space="720" w:num="1"/>
          <w:titlePg/>
          <w:docGrid w:type="lines" w:linePitch="312" w:charSpace="0"/>
        </w:sectPr>
      </w:pPr>
    </w:p>
    <w:p w14:paraId="07B3D6B7">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2A290490">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7B4AB8D7">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36FF5ECC">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4064784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60436E04">
      <w:pPr>
        <w:pStyle w:val="77"/>
        <w:rPr>
          <w:rFonts w:hint="default" w:ascii="宋体" w:hAnsi="宋体" w:eastAsia="宋体" w:cs="宋体"/>
          <w:b/>
          <w:bCs/>
          <w:kern w:val="2"/>
          <w:sz w:val="32"/>
          <w:szCs w:val="32"/>
          <w:lang w:val="en-US" w:eastAsia="zh-CN" w:bidi="ar-SA"/>
        </w:rPr>
      </w:pPr>
    </w:p>
    <w:p w14:paraId="05EDD613">
      <w:pPr>
        <w:pStyle w:val="77"/>
        <w:rPr>
          <w:rFonts w:hint="default" w:ascii="宋体" w:hAnsi="宋体" w:eastAsia="宋体" w:cs="宋体"/>
          <w:b/>
          <w:bCs/>
          <w:kern w:val="2"/>
          <w:sz w:val="32"/>
          <w:szCs w:val="32"/>
          <w:lang w:val="en-US" w:eastAsia="zh-CN" w:bidi="ar-SA"/>
        </w:rPr>
      </w:pPr>
    </w:p>
    <w:p w14:paraId="604B6336">
      <w:pPr>
        <w:pStyle w:val="77"/>
        <w:rPr>
          <w:rFonts w:hint="default" w:hAnsi="宋体"/>
          <w:sz w:val="24"/>
          <w:lang w:val="en-US"/>
        </w:rPr>
      </w:pPr>
    </w:p>
    <w:p w14:paraId="7450A437">
      <w:pPr>
        <w:bidi w:val="0"/>
        <w:jc w:val="left"/>
        <w:rPr>
          <w:rFonts w:hint="default"/>
          <w:lang w:val="en-US"/>
        </w:rPr>
      </w:pPr>
    </w:p>
    <w:p w14:paraId="384119BA">
      <w:pPr>
        <w:rPr>
          <w:rFonts w:hint="eastAsia" w:ascii="仿宋_GB2312" w:eastAsia="仿宋_GB2312"/>
          <w:b/>
          <w:bCs/>
          <w:sz w:val="28"/>
          <w:szCs w:val="28"/>
        </w:rPr>
      </w:pPr>
    </w:p>
    <w:p w14:paraId="25D55886">
      <w:pPr>
        <w:pStyle w:val="77"/>
        <w:rPr>
          <w:rFonts w:hint="default" w:hAnsi="宋体"/>
          <w:sz w:val="24"/>
          <w:lang w:val="en-US"/>
        </w:rPr>
      </w:pPr>
    </w:p>
    <w:sectPr>
      <w:footerReference r:id="rId8" w:type="first"/>
      <w:footerReference r:id="rId7" w:type="default"/>
      <w:pgSz w:w="11906" w:h="16838"/>
      <w:pgMar w:top="1701" w:right="1418" w:bottom="1134" w:left="141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A442707-1C92-4C15-8FE5-9B2B42F09580}"/>
  </w:font>
  <w:font w:name="黑体">
    <w:panose1 w:val="02010609060101010101"/>
    <w:charset w:val="86"/>
    <w:family w:val="auto"/>
    <w:pitch w:val="default"/>
    <w:sig w:usb0="800002BF" w:usb1="38CF7CFA" w:usb2="00000016" w:usb3="00000000" w:csb0="00040001" w:csb1="00000000"/>
    <w:embedRegular r:id="rId2" w:fontKey="{11D69781-0F0B-48B4-88BE-09F8D977AFA9}"/>
  </w:font>
  <w:font w:name="Courier New">
    <w:panose1 w:val="02070309020205020404"/>
    <w:charset w:val="01"/>
    <w:family w:val="modern"/>
    <w:pitch w:val="default"/>
    <w:sig w:usb0="E0002EFF" w:usb1="C0007843" w:usb2="00000009" w:usb3="00000000" w:csb0="400001FF" w:csb1="FFFF0000"/>
    <w:embedRegular r:id="rId3" w:fontKey="{482BE0E2-DFDB-497E-88E7-E877483DB25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647D2D86-7239-492D-971F-7459EFB62025}"/>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D8D149F0-DF55-4859-BF42-AB39BAAE8605}"/>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embedRegular r:id="rId6" w:fontKey="{F6B809D7-2F99-4D62-99EC-E26AB58E7900}"/>
  </w:font>
  <w:font w:name="Microsoft YaHei UI Light">
    <w:panose1 w:val="020B0502040204020203"/>
    <w:charset w:val="86"/>
    <w:family w:val="swiss"/>
    <w:pitch w:val="default"/>
    <w:sig w:usb0="80000287" w:usb1="2ACF0010" w:usb2="00000016" w:usb3="00000000" w:csb0="0004001F" w:csb1="00000000"/>
    <w:embedRegular r:id="rId7" w:fontKey="{5989049B-572F-427D-9E3B-AF2EB0E731FF}"/>
  </w:font>
  <w:font w:name="微软雅黑">
    <w:panose1 w:val="020B0503020204020204"/>
    <w:charset w:val="86"/>
    <w:family w:val="swiss"/>
    <w:pitch w:val="default"/>
    <w:sig w:usb0="80000287" w:usb1="2ACF3C50" w:usb2="00000016" w:usb3="00000000" w:csb0="0004001F" w:csb1="00000000"/>
    <w:embedRegular r:id="rId8" w:fontKey="{B0C47CE1-6F77-4187-A41C-7C67E2D8C5F1}"/>
  </w:font>
  <w:font w:name="Arial Unicode MS">
    <w:panose1 w:val="020B0604020202020204"/>
    <w:charset w:val="86"/>
    <w:family w:val="auto"/>
    <w:pitch w:val="default"/>
    <w:sig w:usb0="FFFFFFFF" w:usb1="E9FFFFFF" w:usb2="0000003F" w:usb3="00000000" w:csb0="603F01FF" w:csb1="FFFF0000"/>
    <w:embedRegular r:id="rId9" w:fontKey="{947D572D-E3B5-45D3-9FE9-74B0E747E05E}"/>
  </w:font>
  <w:font w:name="华文中宋">
    <w:panose1 w:val="02010600040101010101"/>
    <w:charset w:val="86"/>
    <w:family w:val="auto"/>
    <w:pitch w:val="default"/>
    <w:sig w:usb0="00000287" w:usb1="080F0000" w:usb2="00000000" w:usb3="00000000" w:csb0="0004009F" w:csb1="DFD70000"/>
    <w:embedRegular r:id="rId10" w:fontKey="{11ED7DDC-6571-4523-A313-9CF5921ADEBE}"/>
  </w:font>
  <w:font w:name="仿宋">
    <w:panose1 w:val="02010609060101010101"/>
    <w:charset w:val="86"/>
    <w:family w:val="modern"/>
    <w:pitch w:val="default"/>
    <w:sig w:usb0="800002BF" w:usb1="38CF7CFA" w:usb2="00000016" w:usb3="00000000" w:csb0="00040001" w:csb1="00000000"/>
    <w:embedRegular r:id="rId11" w:fontKey="{C3C55879-8036-432E-82E3-665BF76C87E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4B243">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141A86">
                          <w:pPr>
                            <w:pStyle w:val="19"/>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29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9141A86">
                    <w:pPr>
                      <w:pStyle w:val="19"/>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29</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9"/>
      <w:framePr w:wrap="around" w:vAnchor="text" w:hAnchor="margin" w:xAlign="center" w:y="1"/>
      <w:rPr>
        <w:rStyle w:val="35"/>
      </w:rPr>
    </w:pPr>
    <w:r>
      <w:fldChar w:fldCharType="begin"/>
    </w:r>
    <w:r>
      <w:rPr>
        <w:rStyle w:val="35"/>
      </w:rPr>
      <w:instrText xml:space="preserve">PAGE  </w:instrText>
    </w:r>
    <w:r>
      <w:fldChar w:fldCharType="end"/>
    </w:r>
  </w:p>
  <w:p w14:paraId="7AD47F75">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DFCBB">
    <w:pPr>
      <w:pStyle w:val="1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DFE184">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1DFE184">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29</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3B95A">
    <w:pPr>
      <w:pStyle w:val="19"/>
      <w:jc w:val="center"/>
      <w:rPr>
        <w:sz w:val="21"/>
        <w:szCs w:val="20"/>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E9172">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1FE9172">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29</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06A0D">
    <w:pPr>
      <w:pStyle w:val="1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DEFB7F">
                          <w:pPr>
                            <w:pStyle w:val="19"/>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29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FDEFB7F">
                    <w:pPr>
                      <w:pStyle w:val="19"/>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29</w:t>
                    </w:r>
                    <w:r>
                      <w:fldChar w:fldCharType="end"/>
                    </w:r>
                    <w:r>
                      <w:t xml:space="preserve"> 页</w:t>
                    </w:r>
                  </w:p>
                </w:txbxContent>
              </v:textbox>
            </v:shape>
          </w:pict>
        </mc:Fallback>
      </mc:AlternateContent>
    </w:r>
  </w:p>
  <w:p w14:paraId="40CB57F8">
    <w:pPr>
      <w:pStyle w:val="19"/>
      <w:jc w:val="center"/>
    </w:pPr>
  </w:p>
  <w:p w14:paraId="5642E458"/>
  <w:p w14:paraId="095A168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4">
    <w:nsid w:val="BD4C6742"/>
    <w:multiLevelType w:val="singleLevel"/>
    <w:tmpl w:val="BD4C6742"/>
    <w:lvl w:ilvl="0" w:tentative="0">
      <w:start w:val="1"/>
      <w:numFmt w:val="decimal"/>
      <w:lvlText w:val="%1."/>
      <w:lvlJc w:val="left"/>
      <w:pPr>
        <w:ind w:left="425" w:hanging="425"/>
      </w:pPr>
      <w:rPr>
        <w:rFonts w:hint="default"/>
      </w:rPr>
    </w:lvl>
  </w:abstractNum>
  <w:abstractNum w:abstractNumId="5">
    <w:nsid w:val="CA70C5AE"/>
    <w:multiLevelType w:val="singleLevel"/>
    <w:tmpl w:val="CA70C5AE"/>
    <w:lvl w:ilvl="0" w:tentative="0">
      <w:start w:val="1"/>
      <w:numFmt w:val="decimal"/>
      <w:lvlText w:val="%1."/>
      <w:lvlJc w:val="left"/>
      <w:pPr>
        <w:ind w:left="425" w:hanging="425"/>
      </w:pPr>
      <w:rPr>
        <w:rFonts w:hint="default"/>
      </w:rPr>
    </w:lvl>
  </w:abstractNum>
  <w:abstractNum w:abstractNumId="6">
    <w:nsid w:val="D9A4530E"/>
    <w:multiLevelType w:val="singleLevel"/>
    <w:tmpl w:val="D9A4530E"/>
    <w:lvl w:ilvl="0" w:tentative="0">
      <w:start w:val="1"/>
      <w:numFmt w:val="decimal"/>
      <w:lvlText w:val="(%1)"/>
      <w:lvlJc w:val="left"/>
      <w:pPr>
        <w:ind w:left="425" w:hanging="425"/>
      </w:pPr>
      <w:rPr>
        <w:rFonts w:hint="default"/>
      </w:rPr>
    </w:lvl>
  </w:abstractNum>
  <w:abstractNum w:abstractNumId="7">
    <w:nsid w:val="DC3F8C8B"/>
    <w:multiLevelType w:val="singleLevel"/>
    <w:tmpl w:val="DC3F8C8B"/>
    <w:lvl w:ilvl="0" w:tentative="0">
      <w:start w:val="1"/>
      <w:numFmt w:val="decimal"/>
      <w:lvlText w:val="%1."/>
      <w:lvlJc w:val="left"/>
      <w:pPr>
        <w:ind w:left="425" w:hanging="425"/>
      </w:pPr>
      <w:rPr>
        <w:rFonts w:hint="default"/>
      </w:rPr>
    </w:lvl>
  </w:abstractNum>
  <w:abstractNum w:abstractNumId="8">
    <w:nsid w:val="06882CE3"/>
    <w:multiLevelType w:val="multilevel"/>
    <w:tmpl w:val="06882CE3"/>
    <w:lvl w:ilvl="0" w:tentative="0">
      <w:start w:val="1"/>
      <w:numFmt w:val="decimal"/>
      <w:pStyle w:val="76"/>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9">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0">
    <w:nsid w:val="178D3D0E"/>
    <w:multiLevelType w:val="multilevel"/>
    <w:tmpl w:val="178D3D0E"/>
    <w:lvl w:ilvl="0" w:tentative="0">
      <w:start w:val="1"/>
      <w:numFmt w:val="bullet"/>
      <w:pStyle w:val="92"/>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1">
    <w:nsid w:val="1E7B065C"/>
    <w:multiLevelType w:val="multilevel"/>
    <w:tmpl w:val="1E7B065C"/>
    <w:lvl w:ilvl="0" w:tentative="0">
      <w:start w:val="1"/>
      <w:numFmt w:val="decimal"/>
      <w:pStyle w:val="97"/>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2">
    <w:nsid w:val="319F083E"/>
    <w:multiLevelType w:val="singleLevel"/>
    <w:tmpl w:val="319F083E"/>
    <w:lvl w:ilvl="0" w:tentative="0">
      <w:start w:val="1"/>
      <w:numFmt w:val="decimal"/>
      <w:lvlText w:val="%1."/>
      <w:lvlJc w:val="left"/>
      <w:pPr>
        <w:tabs>
          <w:tab w:val="left" w:pos="312"/>
        </w:tabs>
      </w:pPr>
    </w:lvl>
  </w:abstractNum>
  <w:abstractNum w:abstractNumId="13">
    <w:nsid w:val="3CF6EF77"/>
    <w:multiLevelType w:val="singleLevel"/>
    <w:tmpl w:val="3CF6EF77"/>
    <w:lvl w:ilvl="0" w:tentative="0">
      <w:start w:val="1"/>
      <w:numFmt w:val="decimal"/>
      <w:lvlText w:val="%1."/>
      <w:lvlJc w:val="left"/>
      <w:pPr>
        <w:ind w:left="425" w:hanging="425"/>
      </w:pPr>
      <w:rPr>
        <w:rFonts w:hint="default"/>
      </w:rPr>
    </w:lvl>
  </w:abstractNum>
  <w:abstractNum w:abstractNumId="14">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5">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520018B0"/>
    <w:multiLevelType w:val="multilevel"/>
    <w:tmpl w:val="520018B0"/>
    <w:lvl w:ilvl="0" w:tentative="0">
      <w:start w:val="1"/>
      <w:numFmt w:val="decimal"/>
      <w:pStyle w:val="75"/>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7">
    <w:nsid w:val="560F40FB"/>
    <w:multiLevelType w:val="multilevel"/>
    <w:tmpl w:val="560F40FB"/>
    <w:lvl w:ilvl="0" w:tentative="0">
      <w:start w:val="1"/>
      <w:numFmt w:val="lowerLetter"/>
      <w:pStyle w:val="102"/>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8">
    <w:nsid w:val="56D20133"/>
    <w:multiLevelType w:val="multilevel"/>
    <w:tmpl w:val="56D20133"/>
    <w:lvl w:ilvl="0" w:tentative="0">
      <w:start w:val="1"/>
      <w:numFmt w:val="chineseCountingThousand"/>
      <w:pStyle w:val="74"/>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9">
    <w:nsid w:val="5983D379"/>
    <w:multiLevelType w:val="singleLevel"/>
    <w:tmpl w:val="5983D379"/>
    <w:lvl w:ilvl="0" w:tentative="0">
      <w:start w:val="1"/>
      <w:numFmt w:val="decimal"/>
      <w:lvlText w:val="(%1)"/>
      <w:lvlJc w:val="left"/>
      <w:pPr>
        <w:ind w:left="425" w:hanging="425"/>
      </w:pPr>
      <w:rPr>
        <w:rFonts w:hint="default"/>
      </w:rPr>
    </w:lvl>
  </w:abstractNum>
  <w:abstractNum w:abstractNumId="20">
    <w:nsid w:val="5FC842FA"/>
    <w:multiLevelType w:val="singleLevel"/>
    <w:tmpl w:val="5FC842FA"/>
    <w:lvl w:ilvl="0" w:tentative="0">
      <w:start w:val="3"/>
      <w:numFmt w:val="chineseCounting"/>
      <w:suff w:val="space"/>
      <w:lvlText w:val="第%1部分"/>
      <w:lvlJc w:val="left"/>
      <w:rPr>
        <w:rFonts w:hint="eastAsia"/>
      </w:rPr>
    </w:lvl>
  </w:abstractNum>
  <w:abstractNum w:abstractNumId="21">
    <w:nsid w:val="656A6EAE"/>
    <w:multiLevelType w:val="multilevel"/>
    <w:tmpl w:val="656A6EAE"/>
    <w:lvl w:ilvl="0" w:tentative="0">
      <w:start w:val="1"/>
      <w:numFmt w:val="chineseCountingThousand"/>
      <w:pStyle w:val="73"/>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2">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5"/>
  </w:num>
  <w:num w:numId="2">
    <w:abstractNumId w:val="21"/>
  </w:num>
  <w:num w:numId="3">
    <w:abstractNumId w:val="18"/>
  </w:num>
  <w:num w:numId="4">
    <w:abstractNumId w:val="16"/>
  </w:num>
  <w:num w:numId="5">
    <w:abstractNumId w:val="8"/>
  </w:num>
  <w:num w:numId="6">
    <w:abstractNumId w:val="10"/>
  </w:num>
  <w:num w:numId="7">
    <w:abstractNumId w:val="11"/>
  </w:num>
  <w:num w:numId="8">
    <w:abstractNumId w:val="17"/>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0"/>
  </w:num>
  <w:num w:numId="14">
    <w:abstractNumId w:val="2"/>
  </w:num>
  <w:num w:numId="15">
    <w:abstractNumId w:val="19"/>
  </w:num>
  <w:num w:numId="16">
    <w:abstractNumId w:val="22"/>
  </w:num>
  <w:num w:numId="17">
    <w:abstractNumId w:val="6"/>
  </w:num>
  <w:num w:numId="18">
    <w:abstractNumId w:val="5"/>
  </w:num>
  <w:num w:numId="19">
    <w:abstractNumId w:val="1"/>
  </w:num>
  <w:num w:numId="20">
    <w:abstractNumId w:val="3"/>
  </w:num>
  <w:num w:numId="21">
    <w:abstractNumId w:val="7"/>
  </w:num>
  <w:num w:numId="22">
    <w:abstractNumId w:val="14"/>
  </w:num>
  <w:num w:numId="23">
    <w:abstractNumId w:val="12"/>
  </w:num>
  <w:num w:numId="24">
    <w:abstractNumId w:val="13"/>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0B26"/>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086C64"/>
    <w:rsid w:val="01195715"/>
    <w:rsid w:val="01B707A1"/>
    <w:rsid w:val="0288005D"/>
    <w:rsid w:val="02922F6E"/>
    <w:rsid w:val="02C40969"/>
    <w:rsid w:val="02CC3DCA"/>
    <w:rsid w:val="02FE76EF"/>
    <w:rsid w:val="0360556D"/>
    <w:rsid w:val="03F033B0"/>
    <w:rsid w:val="04446205"/>
    <w:rsid w:val="049839D2"/>
    <w:rsid w:val="04A62A1C"/>
    <w:rsid w:val="04CB2483"/>
    <w:rsid w:val="054D2E98"/>
    <w:rsid w:val="055A5238"/>
    <w:rsid w:val="0574031A"/>
    <w:rsid w:val="057C1D39"/>
    <w:rsid w:val="05891259"/>
    <w:rsid w:val="059B00A7"/>
    <w:rsid w:val="062F07EF"/>
    <w:rsid w:val="06F23CF7"/>
    <w:rsid w:val="071C5217"/>
    <w:rsid w:val="072E6CF9"/>
    <w:rsid w:val="07E07FF3"/>
    <w:rsid w:val="08161C67"/>
    <w:rsid w:val="08633479"/>
    <w:rsid w:val="088B29E3"/>
    <w:rsid w:val="094F4C64"/>
    <w:rsid w:val="09565E29"/>
    <w:rsid w:val="09B84143"/>
    <w:rsid w:val="0B2367D5"/>
    <w:rsid w:val="0BA92DF2"/>
    <w:rsid w:val="0BAF665A"/>
    <w:rsid w:val="0C0E2F4B"/>
    <w:rsid w:val="0C97702A"/>
    <w:rsid w:val="0CB51572"/>
    <w:rsid w:val="0D0F24DA"/>
    <w:rsid w:val="0D6E42F3"/>
    <w:rsid w:val="0D73125D"/>
    <w:rsid w:val="0D774F56"/>
    <w:rsid w:val="0D9C49BC"/>
    <w:rsid w:val="0DE56999"/>
    <w:rsid w:val="0E3270CE"/>
    <w:rsid w:val="0E4D31E3"/>
    <w:rsid w:val="0EA224A6"/>
    <w:rsid w:val="0EC8358F"/>
    <w:rsid w:val="0FD20B69"/>
    <w:rsid w:val="0FE85193"/>
    <w:rsid w:val="0FEA71EA"/>
    <w:rsid w:val="104A551A"/>
    <w:rsid w:val="105B0F5A"/>
    <w:rsid w:val="10780A10"/>
    <w:rsid w:val="10813BF5"/>
    <w:rsid w:val="10DC2AA3"/>
    <w:rsid w:val="10FA7C8C"/>
    <w:rsid w:val="11056D1C"/>
    <w:rsid w:val="113A4C18"/>
    <w:rsid w:val="1142587A"/>
    <w:rsid w:val="13054DB2"/>
    <w:rsid w:val="130B198F"/>
    <w:rsid w:val="134824F4"/>
    <w:rsid w:val="134D0507"/>
    <w:rsid w:val="13547AE7"/>
    <w:rsid w:val="14F670A8"/>
    <w:rsid w:val="14F85755"/>
    <w:rsid w:val="15273705"/>
    <w:rsid w:val="156D427F"/>
    <w:rsid w:val="15826B8D"/>
    <w:rsid w:val="16377978"/>
    <w:rsid w:val="16571DC8"/>
    <w:rsid w:val="166B13D0"/>
    <w:rsid w:val="16976668"/>
    <w:rsid w:val="16A55EDB"/>
    <w:rsid w:val="16A918E4"/>
    <w:rsid w:val="17604CAC"/>
    <w:rsid w:val="17B904B2"/>
    <w:rsid w:val="17D966D6"/>
    <w:rsid w:val="17DA428A"/>
    <w:rsid w:val="18386326"/>
    <w:rsid w:val="18B83795"/>
    <w:rsid w:val="196842EC"/>
    <w:rsid w:val="199A412C"/>
    <w:rsid w:val="19C37774"/>
    <w:rsid w:val="1A002777"/>
    <w:rsid w:val="1A082D27"/>
    <w:rsid w:val="1A240213"/>
    <w:rsid w:val="1A5F7EF8"/>
    <w:rsid w:val="1AEA1F0A"/>
    <w:rsid w:val="1B0659E2"/>
    <w:rsid w:val="1BBE1FA1"/>
    <w:rsid w:val="1BC31CAE"/>
    <w:rsid w:val="1BC71D3B"/>
    <w:rsid w:val="1BD87507"/>
    <w:rsid w:val="1C59115B"/>
    <w:rsid w:val="1C783EFF"/>
    <w:rsid w:val="1CEB49AE"/>
    <w:rsid w:val="1CEB71A3"/>
    <w:rsid w:val="1D126A49"/>
    <w:rsid w:val="1D28626C"/>
    <w:rsid w:val="1E3D7AF5"/>
    <w:rsid w:val="1E652798"/>
    <w:rsid w:val="1EE6018D"/>
    <w:rsid w:val="1EF35C91"/>
    <w:rsid w:val="1FB23E60"/>
    <w:rsid w:val="1FC654C7"/>
    <w:rsid w:val="1FCF6E73"/>
    <w:rsid w:val="21581FC5"/>
    <w:rsid w:val="217B0BD5"/>
    <w:rsid w:val="21A02DB6"/>
    <w:rsid w:val="21A659B2"/>
    <w:rsid w:val="226B24CD"/>
    <w:rsid w:val="22873A35"/>
    <w:rsid w:val="22C2681B"/>
    <w:rsid w:val="22C5630B"/>
    <w:rsid w:val="22F84D19"/>
    <w:rsid w:val="238241FC"/>
    <w:rsid w:val="23A10B26"/>
    <w:rsid w:val="23B04148"/>
    <w:rsid w:val="23BB7588"/>
    <w:rsid w:val="23EC0BA6"/>
    <w:rsid w:val="23F76998"/>
    <w:rsid w:val="240B2444"/>
    <w:rsid w:val="243948BB"/>
    <w:rsid w:val="244C1236"/>
    <w:rsid w:val="24701A48"/>
    <w:rsid w:val="24877D1C"/>
    <w:rsid w:val="24996C95"/>
    <w:rsid w:val="25401C79"/>
    <w:rsid w:val="26691DE2"/>
    <w:rsid w:val="268B0052"/>
    <w:rsid w:val="26B17071"/>
    <w:rsid w:val="271909D4"/>
    <w:rsid w:val="27743C90"/>
    <w:rsid w:val="27B11FA5"/>
    <w:rsid w:val="28414686"/>
    <w:rsid w:val="28811AE3"/>
    <w:rsid w:val="2886653D"/>
    <w:rsid w:val="290D1266"/>
    <w:rsid w:val="292634B6"/>
    <w:rsid w:val="29C50A14"/>
    <w:rsid w:val="29CA2459"/>
    <w:rsid w:val="29D97ADD"/>
    <w:rsid w:val="2A1A6F3D"/>
    <w:rsid w:val="2A360FB4"/>
    <w:rsid w:val="2A4125A1"/>
    <w:rsid w:val="2A7657CA"/>
    <w:rsid w:val="2A88034A"/>
    <w:rsid w:val="2AB91BC4"/>
    <w:rsid w:val="2AFB5C85"/>
    <w:rsid w:val="2B271A58"/>
    <w:rsid w:val="2B275DB5"/>
    <w:rsid w:val="2B2B1D45"/>
    <w:rsid w:val="2B6304A7"/>
    <w:rsid w:val="2C171B50"/>
    <w:rsid w:val="2CC268DB"/>
    <w:rsid w:val="2CF6734C"/>
    <w:rsid w:val="2D1B36F8"/>
    <w:rsid w:val="2D663463"/>
    <w:rsid w:val="2D8939DB"/>
    <w:rsid w:val="2DC85762"/>
    <w:rsid w:val="2DFD104F"/>
    <w:rsid w:val="2E12761E"/>
    <w:rsid w:val="2EB77450"/>
    <w:rsid w:val="2EF96EE4"/>
    <w:rsid w:val="30354AD0"/>
    <w:rsid w:val="30B11A55"/>
    <w:rsid w:val="31055744"/>
    <w:rsid w:val="312D1C4B"/>
    <w:rsid w:val="313F1A67"/>
    <w:rsid w:val="3140197F"/>
    <w:rsid w:val="31AB005F"/>
    <w:rsid w:val="31B842AD"/>
    <w:rsid w:val="31BE4652"/>
    <w:rsid w:val="31EE13DB"/>
    <w:rsid w:val="320F4EAD"/>
    <w:rsid w:val="327A0EC0"/>
    <w:rsid w:val="32805DAB"/>
    <w:rsid w:val="32CF6C45"/>
    <w:rsid w:val="32D00AE0"/>
    <w:rsid w:val="32E23E7B"/>
    <w:rsid w:val="32EF5AD6"/>
    <w:rsid w:val="33791178"/>
    <w:rsid w:val="33E504C8"/>
    <w:rsid w:val="33F16F60"/>
    <w:rsid w:val="341964B7"/>
    <w:rsid w:val="343706EB"/>
    <w:rsid w:val="347716B9"/>
    <w:rsid w:val="347E631A"/>
    <w:rsid w:val="349B3370"/>
    <w:rsid w:val="34B8182C"/>
    <w:rsid w:val="34DE7744"/>
    <w:rsid w:val="34FD1935"/>
    <w:rsid w:val="355C665B"/>
    <w:rsid w:val="35922BAF"/>
    <w:rsid w:val="35F965A0"/>
    <w:rsid w:val="362178A5"/>
    <w:rsid w:val="36254FE4"/>
    <w:rsid w:val="372F61E0"/>
    <w:rsid w:val="376143FD"/>
    <w:rsid w:val="37E25B46"/>
    <w:rsid w:val="3828316D"/>
    <w:rsid w:val="384F06F9"/>
    <w:rsid w:val="38523CDB"/>
    <w:rsid w:val="39070FD4"/>
    <w:rsid w:val="391A2AB5"/>
    <w:rsid w:val="39322FCA"/>
    <w:rsid w:val="393D67A4"/>
    <w:rsid w:val="39E1659B"/>
    <w:rsid w:val="3A06128C"/>
    <w:rsid w:val="3A32799B"/>
    <w:rsid w:val="3AB90991"/>
    <w:rsid w:val="3AC72BF5"/>
    <w:rsid w:val="3B533418"/>
    <w:rsid w:val="3B554279"/>
    <w:rsid w:val="3B706131"/>
    <w:rsid w:val="3B822B94"/>
    <w:rsid w:val="3B9830B2"/>
    <w:rsid w:val="3BB32D4D"/>
    <w:rsid w:val="3C1A7E81"/>
    <w:rsid w:val="3CA56B3A"/>
    <w:rsid w:val="3CB66F99"/>
    <w:rsid w:val="3D477F05"/>
    <w:rsid w:val="3D6200C1"/>
    <w:rsid w:val="3E6F041E"/>
    <w:rsid w:val="3ECA2888"/>
    <w:rsid w:val="3EDC64DF"/>
    <w:rsid w:val="3F4940F4"/>
    <w:rsid w:val="40322DDA"/>
    <w:rsid w:val="40621142"/>
    <w:rsid w:val="4077259B"/>
    <w:rsid w:val="40AA0BC3"/>
    <w:rsid w:val="40AD06B3"/>
    <w:rsid w:val="40B30D2B"/>
    <w:rsid w:val="40BC4452"/>
    <w:rsid w:val="40C652D1"/>
    <w:rsid w:val="40DA56D9"/>
    <w:rsid w:val="40E57E4D"/>
    <w:rsid w:val="40E83499"/>
    <w:rsid w:val="410D5059"/>
    <w:rsid w:val="41517290"/>
    <w:rsid w:val="41F83BB0"/>
    <w:rsid w:val="420E6F2F"/>
    <w:rsid w:val="421C400C"/>
    <w:rsid w:val="422D102E"/>
    <w:rsid w:val="4275481E"/>
    <w:rsid w:val="428B617A"/>
    <w:rsid w:val="433D7BDC"/>
    <w:rsid w:val="437E1813"/>
    <w:rsid w:val="439873F8"/>
    <w:rsid w:val="43F565F9"/>
    <w:rsid w:val="440C7187"/>
    <w:rsid w:val="44C67F95"/>
    <w:rsid w:val="44F54929"/>
    <w:rsid w:val="45623A56"/>
    <w:rsid w:val="45BD47FC"/>
    <w:rsid w:val="45C2559F"/>
    <w:rsid w:val="45CC5FB2"/>
    <w:rsid w:val="460348D1"/>
    <w:rsid w:val="4642189D"/>
    <w:rsid w:val="46517D32"/>
    <w:rsid w:val="468A0B4E"/>
    <w:rsid w:val="46B75BA8"/>
    <w:rsid w:val="470D498C"/>
    <w:rsid w:val="47305B9A"/>
    <w:rsid w:val="474F4272"/>
    <w:rsid w:val="47653A95"/>
    <w:rsid w:val="48225263"/>
    <w:rsid w:val="48636A1C"/>
    <w:rsid w:val="48693111"/>
    <w:rsid w:val="48C97955"/>
    <w:rsid w:val="493F0316"/>
    <w:rsid w:val="49880C8F"/>
    <w:rsid w:val="498B5309"/>
    <w:rsid w:val="49FA5194"/>
    <w:rsid w:val="4A0C728B"/>
    <w:rsid w:val="4A62250E"/>
    <w:rsid w:val="4A8835F7"/>
    <w:rsid w:val="4AAB5CD9"/>
    <w:rsid w:val="4AF13892"/>
    <w:rsid w:val="4B1355B6"/>
    <w:rsid w:val="4B1A4B97"/>
    <w:rsid w:val="4B592E71"/>
    <w:rsid w:val="4B700C5B"/>
    <w:rsid w:val="4C7327B1"/>
    <w:rsid w:val="4CC72AFC"/>
    <w:rsid w:val="4D2E492A"/>
    <w:rsid w:val="4D3F6B37"/>
    <w:rsid w:val="4D806341"/>
    <w:rsid w:val="4E17505F"/>
    <w:rsid w:val="4E824F2D"/>
    <w:rsid w:val="4FB94D11"/>
    <w:rsid w:val="50137E07"/>
    <w:rsid w:val="50345DAD"/>
    <w:rsid w:val="51181DC1"/>
    <w:rsid w:val="51311242"/>
    <w:rsid w:val="515A144B"/>
    <w:rsid w:val="51F54112"/>
    <w:rsid w:val="521D1562"/>
    <w:rsid w:val="52274B10"/>
    <w:rsid w:val="523C53F3"/>
    <w:rsid w:val="5294522F"/>
    <w:rsid w:val="529E7E5B"/>
    <w:rsid w:val="52B9239A"/>
    <w:rsid w:val="546B1FBF"/>
    <w:rsid w:val="54B37D6D"/>
    <w:rsid w:val="54BD78FD"/>
    <w:rsid w:val="54C620A2"/>
    <w:rsid w:val="55472DFD"/>
    <w:rsid w:val="558E065B"/>
    <w:rsid w:val="559D1B18"/>
    <w:rsid w:val="56170651"/>
    <w:rsid w:val="568022D3"/>
    <w:rsid w:val="56A60C81"/>
    <w:rsid w:val="56B440F1"/>
    <w:rsid w:val="57390153"/>
    <w:rsid w:val="57515D82"/>
    <w:rsid w:val="57CE2F91"/>
    <w:rsid w:val="57DB3900"/>
    <w:rsid w:val="57E97DCB"/>
    <w:rsid w:val="57EA3B43"/>
    <w:rsid w:val="58523BC2"/>
    <w:rsid w:val="58A86DDE"/>
    <w:rsid w:val="590D5D3B"/>
    <w:rsid w:val="59140E77"/>
    <w:rsid w:val="59154AD7"/>
    <w:rsid w:val="59B14918"/>
    <w:rsid w:val="59B2243E"/>
    <w:rsid w:val="59F0780B"/>
    <w:rsid w:val="5A054C64"/>
    <w:rsid w:val="5ADF548D"/>
    <w:rsid w:val="5B5F66A0"/>
    <w:rsid w:val="5B773940"/>
    <w:rsid w:val="5BA11CDC"/>
    <w:rsid w:val="5BEC0B30"/>
    <w:rsid w:val="5CD20E45"/>
    <w:rsid w:val="5CF644C9"/>
    <w:rsid w:val="5D1E5A83"/>
    <w:rsid w:val="5D5C60B4"/>
    <w:rsid w:val="5E1E0CC1"/>
    <w:rsid w:val="5E2A4C99"/>
    <w:rsid w:val="5E8F5931"/>
    <w:rsid w:val="5FB46F10"/>
    <w:rsid w:val="60323943"/>
    <w:rsid w:val="604665DE"/>
    <w:rsid w:val="604E1113"/>
    <w:rsid w:val="605B48A0"/>
    <w:rsid w:val="610B7004"/>
    <w:rsid w:val="612400C6"/>
    <w:rsid w:val="615805D6"/>
    <w:rsid w:val="61E52D9D"/>
    <w:rsid w:val="628E1C9B"/>
    <w:rsid w:val="63B03E93"/>
    <w:rsid w:val="63B32BBF"/>
    <w:rsid w:val="63F04A69"/>
    <w:rsid w:val="641B57B0"/>
    <w:rsid w:val="64654A97"/>
    <w:rsid w:val="646A0EA0"/>
    <w:rsid w:val="64777EE0"/>
    <w:rsid w:val="64801554"/>
    <w:rsid w:val="64D11BF8"/>
    <w:rsid w:val="64E742EF"/>
    <w:rsid w:val="652A599B"/>
    <w:rsid w:val="656B0071"/>
    <w:rsid w:val="664158AC"/>
    <w:rsid w:val="667411A7"/>
    <w:rsid w:val="66A50B1E"/>
    <w:rsid w:val="67B2063C"/>
    <w:rsid w:val="67B83316"/>
    <w:rsid w:val="67C97AC3"/>
    <w:rsid w:val="67E30EC1"/>
    <w:rsid w:val="684D7F02"/>
    <w:rsid w:val="686E44F1"/>
    <w:rsid w:val="68752FB5"/>
    <w:rsid w:val="68A33B0C"/>
    <w:rsid w:val="68AE73D8"/>
    <w:rsid w:val="692E7D33"/>
    <w:rsid w:val="6A292AF0"/>
    <w:rsid w:val="6A4E3B2B"/>
    <w:rsid w:val="6A590DE0"/>
    <w:rsid w:val="6AC56475"/>
    <w:rsid w:val="6AFE7291"/>
    <w:rsid w:val="6B0845B4"/>
    <w:rsid w:val="6B376C47"/>
    <w:rsid w:val="6B3B6738"/>
    <w:rsid w:val="6B481C3B"/>
    <w:rsid w:val="6B5F6BA5"/>
    <w:rsid w:val="6B8F0831"/>
    <w:rsid w:val="6B9A16B0"/>
    <w:rsid w:val="6C1331A3"/>
    <w:rsid w:val="6CA84BC1"/>
    <w:rsid w:val="6D3E4756"/>
    <w:rsid w:val="6D5835D1"/>
    <w:rsid w:val="6DEF7365"/>
    <w:rsid w:val="6E315BD0"/>
    <w:rsid w:val="6E697118"/>
    <w:rsid w:val="6EE175F6"/>
    <w:rsid w:val="6EEF2FBF"/>
    <w:rsid w:val="6F045092"/>
    <w:rsid w:val="6F173018"/>
    <w:rsid w:val="6F4C55E1"/>
    <w:rsid w:val="6F6C3363"/>
    <w:rsid w:val="6FAA5C3A"/>
    <w:rsid w:val="6FAC7C04"/>
    <w:rsid w:val="6FB1521A"/>
    <w:rsid w:val="6FC523EB"/>
    <w:rsid w:val="6FDE7692"/>
    <w:rsid w:val="701A0E55"/>
    <w:rsid w:val="71135B69"/>
    <w:rsid w:val="71245578"/>
    <w:rsid w:val="71CC1E85"/>
    <w:rsid w:val="72077373"/>
    <w:rsid w:val="72181581"/>
    <w:rsid w:val="72620A4E"/>
    <w:rsid w:val="72895F2E"/>
    <w:rsid w:val="728C161F"/>
    <w:rsid w:val="72C02EBE"/>
    <w:rsid w:val="72C507AD"/>
    <w:rsid w:val="72D028D8"/>
    <w:rsid w:val="73727D47"/>
    <w:rsid w:val="73A82490"/>
    <w:rsid w:val="73B76B77"/>
    <w:rsid w:val="73D019E7"/>
    <w:rsid w:val="73E346AF"/>
    <w:rsid w:val="7400051E"/>
    <w:rsid w:val="745D47C3"/>
    <w:rsid w:val="746C1710"/>
    <w:rsid w:val="753D6E5D"/>
    <w:rsid w:val="754E0E15"/>
    <w:rsid w:val="758B02BC"/>
    <w:rsid w:val="762A7AD4"/>
    <w:rsid w:val="76AC3757"/>
    <w:rsid w:val="76BA0E58"/>
    <w:rsid w:val="76CE66B2"/>
    <w:rsid w:val="76F2417D"/>
    <w:rsid w:val="77130569"/>
    <w:rsid w:val="77640DC4"/>
    <w:rsid w:val="77657E74"/>
    <w:rsid w:val="78B90C9C"/>
    <w:rsid w:val="78DB3308"/>
    <w:rsid w:val="79002D6F"/>
    <w:rsid w:val="794B2F8F"/>
    <w:rsid w:val="79782905"/>
    <w:rsid w:val="7A956112"/>
    <w:rsid w:val="7AAA11E4"/>
    <w:rsid w:val="7B7236D6"/>
    <w:rsid w:val="7B7470FC"/>
    <w:rsid w:val="7B810197"/>
    <w:rsid w:val="7BA9149B"/>
    <w:rsid w:val="7BE52BD2"/>
    <w:rsid w:val="7C8D1CE5"/>
    <w:rsid w:val="7CB93F8E"/>
    <w:rsid w:val="7CC145C3"/>
    <w:rsid w:val="7CF66B46"/>
    <w:rsid w:val="7DBD28BA"/>
    <w:rsid w:val="7DC720AD"/>
    <w:rsid w:val="7DDF11A4"/>
    <w:rsid w:val="7E123328"/>
    <w:rsid w:val="7E775881"/>
    <w:rsid w:val="7EB37D0E"/>
    <w:rsid w:val="7EB77E8F"/>
    <w:rsid w:val="7F121106"/>
    <w:rsid w:val="7F2424A1"/>
    <w:rsid w:val="7F4D0390"/>
    <w:rsid w:val="7FE37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qFormat="1" w:unhideWhenUsed="0" w:uiPriority="99" w:semiHidden="0"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8"/>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0"/>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4"/>
    <w:semiHidden/>
    <w:qFormat/>
    <w:uiPriority w:val="0"/>
    <w:pPr>
      <w:keepNext/>
      <w:keepLines/>
      <w:spacing w:line="416" w:lineRule="auto"/>
      <w:outlineLvl w:val="2"/>
    </w:pPr>
    <w:rPr>
      <w:b/>
      <w:bCs/>
      <w:sz w:val="32"/>
      <w:szCs w:val="32"/>
    </w:rPr>
  </w:style>
  <w:style w:type="paragraph" w:styleId="5">
    <w:name w:val="heading 4"/>
    <w:basedOn w:val="1"/>
    <w:next w:val="1"/>
    <w:link w:val="78"/>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9"/>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5"/>
    <w:semiHidden/>
    <w:qFormat/>
    <w:uiPriority w:val="99"/>
    <w:pPr>
      <w:spacing w:after="200" w:line="276" w:lineRule="auto"/>
      <w:jc w:val="left"/>
    </w:pPr>
    <w:rPr>
      <w:rFonts w:ascii="Calibri" w:hAnsi="Calibri"/>
      <w:kern w:val="0"/>
      <w:szCs w:val="21"/>
    </w:rPr>
  </w:style>
  <w:style w:type="paragraph" w:styleId="8">
    <w:name w:val="Normal Indent"/>
    <w:basedOn w:val="1"/>
    <w:qFormat/>
    <w:uiPriority w:val="99"/>
    <w:pPr>
      <w:ind w:firstLine="420" w:firstLineChars="200"/>
    </w:pPr>
    <w:rPr>
      <w:kern w:val="0"/>
    </w:rPr>
  </w:style>
  <w:style w:type="paragraph" w:styleId="9">
    <w:name w:val="caption"/>
    <w:basedOn w:val="1"/>
    <w:next w:val="1"/>
    <w:semiHidden/>
    <w:qFormat/>
    <w:uiPriority w:val="98"/>
    <w:pPr>
      <w:spacing w:before="152" w:after="160"/>
    </w:pPr>
    <w:rPr>
      <w:rFonts w:ascii="Arial" w:hAnsi="Arial" w:eastAsia="黑体" w:cs="Arial"/>
      <w:sz w:val="20"/>
    </w:rPr>
  </w:style>
  <w:style w:type="paragraph" w:styleId="10">
    <w:name w:val="Document Map"/>
    <w:basedOn w:val="1"/>
    <w:link w:val="94"/>
    <w:semiHidden/>
    <w:qFormat/>
    <w:uiPriority w:val="0"/>
    <w:pPr>
      <w:adjustRightInd w:val="0"/>
      <w:spacing w:line="312" w:lineRule="atLeast"/>
      <w:textAlignment w:val="baseline"/>
    </w:pPr>
    <w:rPr>
      <w:rFonts w:ascii="宋体"/>
      <w:kern w:val="0"/>
      <w:sz w:val="18"/>
      <w:szCs w:val="18"/>
    </w:rPr>
  </w:style>
  <w:style w:type="paragraph" w:styleId="11">
    <w:name w:val="annotation text"/>
    <w:basedOn w:val="1"/>
    <w:link w:val="46"/>
    <w:qFormat/>
    <w:uiPriority w:val="99"/>
    <w:pPr>
      <w:jc w:val="left"/>
    </w:pPr>
  </w:style>
  <w:style w:type="paragraph" w:styleId="12">
    <w:name w:val="Body Text"/>
    <w:basedOn w:val="1"/>
    <w:link w:val="42"/>
    <w:semiHidden/>
    <w:qFormat/>
    <w:uiPriority w:val="98"/>
    <w:rPr>
      <w:rFonts w:ascii="仿宋_GB2312" w:eastAsia="仿宋_GB2312"/>
      <w:sz w:val="32"/>
    </w:rPr>
  </w:style>
  <w:style w:type="paragraph" w:styleId="13">
    <w:name w:val="Body Text Indent"/>
    <w:basedOn w:val="1"/>
    <w:next w:val="1"/>
    <w:link w:val="49"/>
    <w:semiHidden/>
    <w:qFormat/>
    <w:uiPriority w:val="0"/>
    <w:pPr>
      <w:spacing w:after="120"/>
      <w:ind w:left="420" w:leftChars="200"/>
    </w:pPr>
    <w:rPr>
      <w:rFonts w:ascii="Calibri" w:hAnsi="Calibri"/>
      <w:szCs w:val="22"/>
    </w:rPr>
  </w:style>
  <w:style w:type="paragraph" w:styleId="14">
    <w:name w:val="toc 3"/>
    <w:basedOn w:val="1"/>
    <w:next w:val="1"/>
    <w:semiHidden/>
    <w:qFormat/>
    <w:uiPriority w:val="39"/>
    <w:pPr>
      <w:adjustRightInd w:val="0"/>
      <w:spacing w:line="312" w:lineRule="atLeast"/>
      <w:ind w:left="840" w:leftChars="400"/>
      <w:textAlignment w:val="baseline"/>
    </w:pPr>
    <w:rPr>
      <w:kern w:val="0"/>
      <w:sz w:val="24"/>
    </w:rPr>
  </w:style>
  <w:style w:type="paragraph" w:styleId="15">
    <w:name w:val="Plain Text"/>
    <w:basedOn w:val="1"/>
    <w:link w:val="51"/>
    <w:qFormat/>
    <w:uiPriority w:val="0"/>
    <w:rPr>
      <w:rFonts w:ascii="宋体" w:hAnsi="Courier New"/>
    </w:rPr>
  </w:style>
  <w:style w:type="paragraph" w:styleId="16">
    <w:name w:val="Date"/>
    <w:basedOn w:val="1"/>
    <w:next w:val="1"/>
    <w:link w:val="88"/>
    <w:semiHidden/>
    <w:qFormat/>
    <w:uiPriority w:val="0"/>
    <w:pPr>
      <w:adjustRightInd w:val="0"/>
      <w:spacing w:line="312" w:lineRule="atLeast"/>
      <w:ind w:left="100" w:leftChars="2500"/>
      <w:textAlignment w:val="baseline"/>
    </w:pPr>
    <w:rPr>
      <w:kern w:val="0"/>
      <w:sz w:val="24"/>
    </w:rPr>
  </w:style>
  <w:style w:type="paragraph" w:styleId="17">
    <w:name w:val="Body Text Indent 2"/>
    <w:basedOn w:val="1"/>
    <w:link w:val="87"/>
    <w:semiHidden/>
    <w:qFormat/>
    <w:uiPriority w:val="0"/>
    <w:pPr>
      <w:adjustRightInd w:val="0"/>
      <w:spacing w:after="120" w:line="480" w:lineRule="auto"/>
      <w:ind w:left="420" w:leftChars="200"/>
      <w:textAlignment w:val="baseline"/>
    </w:pPr>
    <w:rPr>
      <w:kern w:val="0"/>
      <w:sz w:val="24"/>
    </w:rPr>
  </w:style>
  <w:style w:type="paragraph" w:styleId="18">
    <w:name w:val="Balloon Text"/>
    <w:basedOn w:val="1"/>
    <w:link w:val="48"/>
    <w:semiHidden/>
    <w:qFormat/>
    <w:uiPriority w:val="0"/>
    <w:rPr>
      <w:sz w:val="18"/>
      <w:szCs w:val="18"/>
    </w:rPr>
  </w:style>
  <w:style w:type="paragraph" w:styleId="19">
    <w:name w:val="footer"/>
    <w:basedOn w:val="1"/>
    <w:link w:val="43"/>
    <w:semiHidden/>
    <w:qFormat/>
    <w:uiPriority w:val="0"/>
    <w:pPr>
      <w:tabs>
        <w:tab w:val="center" w:pos="4153"/>
        <w:tab w:val="right" w:pos="8306"/>
      </w:tabs>
      <w:snapToGrid w:val="0"/>
      <w:jc w:val="left"/>
    </w:pPr>
    <w:rPr>
      <w:sz w:val="18"/>
      <w:szCs w:val="18"/>
    </w:rPr>
  </w:style>
  <w:style w:type="paragraph" w:styleId="20">
    <w:name w:val="header"/>
    <w:basedOn w:val="1"/>
    <w:link w:val="53"/>
    <w:semiHidden/>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2">
    <w:name w:val="List"/>
    <w:basedOn w:val="1"/>
    <w:qFormat/>
    <w:uiPriority w:val="0"/>
    <w:pPr>
      <w:ind w:left="200" w:hanging="200" w:hangingChars="200"/>
    </w:pPr>
    <w:rPr>
      <w:szCs w:val="21"/>
    </w:rPr>
  </w:style>
  <w:style w:type="paragraph" w:styleId="23">
    <w:name w:val="Body Text Indent 3"/>
    <w:basedOn w:val="1"/>
    <w:link w:val="84"/>
    <w:semiHidden/>
    <w:qFormat/>
    <w:uiPriority w:val="0"/>
    <w:pPr>
      <w:spacing w:line="360" w:lineRule="auto"/>
      <w:ind w:left="1347" w:leftChars="413" w:hanging="480" w:hangingChars="200"/>
    </w:pPr>
    <w:rPr>
      <w:rFonts w:ascii="宋体" w:hAnsi="宋体"/>
      <w:color w:val="FF0000"/>
      <w:sz w:val="24"/>
      <w:szCs w:val="24"/>
    </w:rPr>
  </w:style>
  <w:style w:type="paragraph" w:styleId="24">
    <w:name w:val="index 9"/>
    <w:basedOn w:val="1"/>
    <w:next w:val="1"/>
    <w:autoRedefine/>
    <w:semiHidden/>
    <w:qFormat/>
    <w:uiPriority w:val="98"/>
    <w:pPr>
      <w:ind w:left="1600" w:leftChars="1600"/>
    </w:pPr>
  </w:style>
  <w:style w:type="paragraph" w:styleId="25">
    <w:name w:val="toc 2"/>
    <w:basedOn w:val="1"/>
    <w:next w:val="1"/>
    <w:qFormat/>
    <w:uiPriority w:val="39"/>
    <w:pPr>
      <w:ind w:left="420" w:leftChars="200"/>
    </w:pPr>
  </w:style>
  <w:style w:type="paragraph" w:styleId="26">
    <w:name w:val="Message Header"/>
    <w:basedOn w:val="1"/>
    <w:link w:val="109"/>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7">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8">
    <w:name w:val="Title"/>
    <w:basedOn w:val="1"/>
    <w:next w:val="1"/>
    <w:link w:val="71"/>
    <w:semiHidden/>
    <w:qFormat/>
    <w:uiPriority w:val="0"/>
    <w:pPr>
      <w:spacing w:before="240" w:after="60"/>
      <w:jc w:val="center"/>
      <w:outlineLvl w:val="0"/>
    </w:pPr>
    <w:rPr>
      <w:rFonts w:eastAsia="黑体" w:asciiTheme="majorHAnsi" w:hAnsiTheme="majorHAnsi" w:cstheme="majorBidi"/>
      <w:b/>
      <w:bCs/>
      <w:sz w:val="36"/>
      <w:szCs w:val="32"/>
    </w:rPr>
  </w:style>
  <w:style w:type="paragraph" w:styleId="29">
    <w:name w:val="annotation subject"/>
    <w:basedOn w:val="11"/>
    <w:next w:val="11"/>
    <w:link w:val="54"/>
    <w:semiHidden/>
    <w:qFormat/>
    <w:uiPriority w:val="98"/>
    <w:rPr>
      <w:b/>
      <w:bCs/>
    </w:rPr>
  </w:style>
  <w:style w:type="paragraph" w:styleId="30">
    <w:name w:val="Body Text First Indent 2"/>
    <w:basedOn w:val="13"/>
    <w:next w:val="25"/>
    <w:qFormat/>
    <w:uiPriority w:val="0"/>
    <w:pPr>
      <w:spacing w:line="276" w:lineRule="auto"/>
      <w:ind w:left="200" w:firstLine="200" w:firstLineChars="200"/>
      <w:jc w:val="left"/>
    </w:p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semiHidden/>
    <w:qFormat/>
    <w:uiPriority w:val="98"/>
    <w:rPr>
      <w:b/>
    </w:rPr>
  </w:style>
  <w:style w:type="character" w:styleId="35">
    <w:name w:val="page number"/>
    <w:basedOn w:val="33"/>
    <w:semiHidden/>
    <w:qFormat/>
    <w:uiPriority w:val="0"/>
  </w:style>
  <w:style w:type="character" w:styleId="36">
    <w:name w:val="FollowedHyperlink"/>
    <w:semiHidden/>
    <w:qFormat/>
    <w:uiPriority w:val="98"/>
    <w:rPr>
      <w:color w:val="800080"/>
      <w:u w:val="single"/>
    </w:rPr>
  </w:style>
  <w:style w:type="character" w:styleId="37">
    <w:name w:val="Emphasis"/>
    <w:semiHidden/>
    <w:qFormat/>
    <w:uiPriority w:val="98"/>
    <w:rPr>
      <w:i/>
      <w:iCs/>
    </w:rPr>
  </w:style>
  <w:style w:type="character" w:styleId="38">
    <w:name w:val="Hyperlink"/>
    <w:qFormat/>
    <w:uiPriority w:val="99"/>
    <w:rPr>
      <w:rFonts w:cs="Times New Roman"/>
      <w:color w:val="1F4F88"/>
      <w:u w:val="none"/>
    </w:rPr>
  </w:style>
  <w:style w:type="character" w:styleId="39">
    <w:name w:val="annotation reference"/>
    <w:semiHidden/>
    <w:qFormat/>
    <w:uiPriority w:val="98"/>
    <w:rPr>
      <w:sz w:val="21"/>
      <w:szCs w:val="21"/>
    </w:rPr>
  </w:style>
  <w:style w:type="character" w:customStyle="1" w:styleId="40">
    <w:name w:val="Char Char3"/>
    <w:semiHidden/>
    <w:qFormat/>
    <w:uiPriority w:val="98"/>
    <w:rPr>
      <w:rFonts w:ascii="宋体" w:hAnsi="Courier New" w:eastAsia="宋体"/>
      <w:kern w:val="2"/>
      <w:sz w:val="21"/>
      <w:lang w:val="en-US" w:eastAsia="zh-CN" w:bidi="ar-SA"/>
    </w:rPr>
  </w:style>
  <w:style w:type="character" w:customStyle="1" w:styleId="41">
    <w:name w:val="纯文本 Char"/>
    <w:semiHidden/>
    <w:qFormat/>
    <w:uiPriority w:val="98"/>
    <w:rPr>
      <w:rFonts w:ascii="宋体" w:hAnsi="Courier New" w:eastAsia="宋体"/>
      <w:kern w:val="2"/>
      <w:sz w:val="21"/>
      <w:lang w:val="en-US" w:eastAsia="zh-CN" w:bidi="ar-SA"/>
    </w:rPr>
  </w:style>
  <w:style w:type="character" w:customStyle="1" w:styleId="42">
    <w:name w:val="正文文本 字符"/>
    <w:link w:val="12"/>
    <w:semiHidden/>
    <w:qFormat/>
    <w:uiPriority w:val="98"/>
    <w:rPr>
      <w:rFonts w:ascii="仿宋_GB2312" w:eastAsia="仿宋_GB2312"/>
      <w:kern w:val="2"/>
      <w:sz w:val="32"/>
    </w:rPr>
  </w:style>
  <w:style w:type="character" w:customStyle="1" w:styleId="43">
    <w:name w:val="页脚 字符"/>
    <w:link w:val="19"/>
    <w:semiHidden/>
    <w:qFormat/>
    <w:uiPriority w:val="0"/>
    <w:rPr>
      <w:kern w:val="2"/>
      <w:sz w:val="18"/>
      <w:szCs w:val="18"/>
    </w:rPr>
  </w:style>
  <w:style w:type="character" w:customStyle="1" w:styleId="44">
    <w:name w:val="标题 3 字符"/>
    <w:link w:val="4"/>
    <w:semiHidden/>
    <w:qFormat/>
    <w:uiPriority w:val="0"/>
    <w:rPr>
      <w:b/>
      <w:bCs/>
      <w:kern w:val="2"/>
      <w:sz w:val="32"/>
      <w:szCs w:val="32"/>
    </w:rPr>
  </w:style>
  <w:style w:type="character" w:customStyle="1" w:styleId="45">
    <w:name w:val="正文文本 Char"/>
    <w:semiHidden/>
    <w:qFormat/>
    <w:uiPriority w:val="98"/>
    <w:rPr>
      <w:rFonts w:ascii="仿宋_GB2312" w:eastAsia="仿宋_GB2312"/>
      <w:kern w:val="2"/>
      <w:sz w:val="32"/>
    </w:rPr>
  </w:style>
  <w:style w:type="character" w:customStyle="1" w:styleId="46">
    <w:name w:val="批注文字 字符"/>
    <w:link w:val="11"/>
    <w:qFormat/>
    <w:uiPriority w:val="99"/>
    <w:rPr>
      <w:kern w:val="2"/>
      <w:sz w:val="21"/>
    </w:rPr>
  </w:style>
  <w:style w:type="character" w:customStyle="1" w:styleId="47">
    <w:name w:val="apple-converted-space"/>
    <w:basedOn w:val="33"/>
    <w:semiHidden/>
    <w:qFormat/>
    <w:uiPriority w:val="98"/>
  </w:style>
  <w:style w:type="character" w:customStyle="1" w:styleId="48">
    <w:name w:val="批注框文本 字符"/>
    <w:link w:val="18"/>
    <w:semiHidden/>
    <w:qFormat/>
    <w:uiPriority w:val="98"/>
    <w:rPr>
      <w:kern w:val="2"/>
      <w:sz w:val="18"/>
      <w:szCs w:val="18"/>
    </w:rPr>
  </w:style>
  <w:style w:type="character" w:customStyle="1" w:styleId="49">
    <w:name w:val="正文文本缩进 字符"/>
    <w:link w:val="13"/>
    <w:semiHidden/>
    <w:qFormat/>
    <w:uiPriority w:val="0"/>
    <w:rPr>
      <w:rFonts w:ascii="Calibri" w:hAnsi="Calibri"/>
      <w:kern w:val="2"/>
      <w:sz w:val="21"/>
      <w:szCs w:val="22"/>
    </w:rPr>
  </w:style>
  <w:style w:type="character" w:customStyle="1" w:styleId="50">
    <w:name w:val="Char Char5"/>
    <w:semiHidden/>
    <w:qFormat/>
    <w:uiPriority w:val="98"/>
    <w:rPr>
      <w:rFonts w:ascii="宋体" w:hAnsi="Courier New" w:eastAsia="宋体"/>
      <w:kern w:val="2"/>
      <w:sz w:val="21"/>
      <w:lang w:val="en-US" w:eastAsia="zh-CN" w:bidi="ar-SA"/>
    </w:rPr>
  </w:style>
  <w:style w:type="character" w:customStyle="1" w:styleId="51">
    <w:name w:val="纯文本 字符1"/>
    <w:link w:val="15"/>
    <w:semiHidden/>
    <w:qFormat/>
    <w:uiPriority w:val="0"/>
    <w:rPr>
      <w:rFonts w:ascii="宋体" w:hAnsi="Courier New"/>
      <w:kern w:val="2"/>
      <w:sz w:val="21"/>
    </w:rPr>
  </w:style>
  <w:style w:type="character" w:customStyle="1" w:styleId="52">
    <w:name w:val="纯文本 字符"/>
    <w:semiHidden/>
    <w:qFormat/>
    <w:uiPriority w:val="98"/>
    <w:rPr>
      <w:rFonts w:ascii="宋体" w:hAnsi="Courier New" w:eastAsia="宋体"/>
    </w:rPr>
  </w:style>
  <w:style w:type="character" w:customStyle="1" w:styleId="53">
    <w:name w:val="页眉 字符"/>
    <w:link w:val="20"/>
    <w:semiHidden/>
    <w:qFormat/>
    <w:uiPriority w:val="0"/>
    <w:rPr>
      <w:kern w:val="2"/>
      <w:sz w:val="18"/>
      <w:szCs w:val="18"/>
    </w:rPr>
  </w:style>
  <w:style w:type="character" w:customStyle="1" w:styleId="54">
    <w:name w:val="批注主题 字符"/>
    <w:link w:val="29"/>
    <w:semiHidden/>
    <w:qFormat/>
    <w:uiPriority w:val="98"/>
    <w:rPr>
      <w:b/>
      <w:bCs/>
      <w:kern w:val="2"/>
      <w:sz w:val="21"/>
    </w:rPr>
  </w:style>
  <w:style w:type="character" w:customStyle="1" w:styleId="55">
    <w:name w:val="Char Char2"/>
    <w:semiHidden/>
    <w:qFormat/>
    <w:uiPriority w:val="98"/>
    <w:rPr>
      <w:rFonts w:ascii="宋体" w:hAnsi="Courier New" w:cs="宋体"/>
      <w:kern w:val="2"/>
      <w:sz w:val="21"/>
      <w:szCs w:val="21"/>
    </w:rPr>
  </w:style>
  <w:style w:type="character" w:customStyle="1" w:styleId="56">
    <w:name w:val="HTML Markup"/>
    <w:semiHidden/>
    <w:qFormat/>
    <w:uiPriority w:val="98"/>
    <w:rPr>
      <w:vanish/>
      <w:color w:val="FF0000"/>
    </w:rPr>
  </w:style>
  <w:style w:type="character" w:customStyle="1" w:styleId="57">
    <w:name w:val="纯文本 Char3"/>
    <w:semiHidden/>
    <w:qFormat/>
    <w:uiPriority w:val="98"/>
    <w:rPr>
      <w:rFonts w:ascii="宋体" w:hAnsi="Courier New" w:eastAsia="宋体"/>
      <w:kern w:val="2"/>
      <w:sz w:val="21"/>
      <w:lang w:val="en-US" w:eastAsia="zh-CN" w:bidi="ar-SA"/>
    </w:rPr>
  </w:style>
  <w:style w:type="character" w:customStyle="1" w:styleId="58">
    <w:name w:val="正文文本缩进 Char"/>
    <w:link w:val="59"/>
    <w:semiHidden/>
    <w:qFormat/>
    <w:uiPriority w:val="98"/>
    <w:rPr>
      <w:kern w:val="2"/>
      <w:sz w:val="21"/>
    </w:rPr>
  </w:style>
  <w:style w:type="paragraph" w:customStyle="1" w:styleId="59">
    <w:name w:val="正文文本缩进1"/>
    <w:basedOn w:val="1"/>
    <w:link w:val="58"/>
    <w:semiHidden/>
    <w:qFormat/>
    <w:uiPriority w:val="98"/>
    <w:pPr>
      <w:spacing w:after="120"/>
      <w:ind w:left="420" w:leftChars="200"/>
    </w:pPr>
  </w:style>
  <w:style w:type="paragraph" w:customStyle="1" w:styleId="60">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1">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2">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3">
    <w:name w:val="List Paragraph"/>
    <w:basedOn w:val="1"/>
    <w:semiHidden/>
    <w:qFormat/>
    <w:uiPriority w:val="98"/>
    <w:pPr>
      <w:ind w:firstLine="420" w:firstLineChars="200"/>
    </w:pPr>
    <w:rPr>
      <w:rFonts w:ascii="Calibri" w:hAnsi="Calibri"/>
      <w:szCs w:val="22"/>
    </w:rPr>
  </w:style>
  <w:style w:type="paragraph" w:customStyle="1" w:styleId="64">
    <w:name w:val="列出段落1"/>
    <w:basedOn w:val="1"/>
    <w:semiHidden/>
    <w:qFormat/>
    <w:uiPriority w:val="98"/>
    <w:pPr>
      <w:ind w:firstLine="420" w:firstLineChars="200"/>
    </w:pPr>
    <w:rPr>
      <w:rFonts w:ascii="Calibri" w:hAnsi="Calibri"/>
      <w:szCs w:val="22"/>
    </w:rPr>
  </w:style>
  <w:style w:type="paragraph" w:customStyle="1" w:styleId="65">
    <w:name w:val="二级列表 Char"/>
    <w:basedOn w:val="1"/>
    <w:semiHidden/>
    <w:qFormat/>
    <w:uiPriority w:val="98"/>
    <w:rPr>
      <w:rFonts w:ascii="Calibri" w:hAnsi="Calibri"/>
    </w:rPr>
  </w:style>
  <w:style w:type="paragraph" w:customStyle="1" w:styleId="66">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7">
    <w:name w:val="style61"/>
    <w:semiHidden/>
    <w:qFormat/>
    <w:uiPriority w:val="98"/>
  </w:style>
  <w:style w:type="character" w:customStyle="1" w:styleId="68">
    <w:name w:val="标题 1 字符"/>
    <w:basedOn w:val="33"/>
    <w:link w:val="2"/>
    <w:semiHidden/>
    <w:qFormat/>
    <w:uiPriority w:val="0"/>
    <w:rPr>
      <w:b/>
      <w:bCs/>
      <w:kern w:val="44"/>
      <w:sz w:val="44"/>
      <w:szCs w:val="44"/>
    </w:rPr>
  </w:style>
  <w:style w:type="paragraph" w:customStyle="1" w:styleId="69">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0">
    <w:name w:val="标题 2 字符"/>
    <w:basedOn w:val="33"/>
    <w:link w:val="3"/>
    <w:semiHidden/>
    <w:qFormat/>
    <w:uiPriority w:val="0"/>
    <w:rPr>
      <w:rFonts w:asciiTheme="majorHAnsi" w:hAnsiTheme="majorHAnsi" w:eastAsiaTheme="majorEastAsia" w:cstheme="majorBidi"/>
      <w:b/>
      <w:bCs/>
      <w:kern w:val="2"/>
      <w:sz w:val="32"/>
      <w:szCs w:val="32"/>
    </w:rPr>
  </w:style>
  <w:style w:type="character" w:customStyle="1" w:styleId="71">
    <w:name w:val="标题 字符"/>
    <w:basedOn w:val="33"/>
    <w:link w:val="28"/>
    <w:semiHidden/>
    <w:qFormat/>
    <w:uiPriority w:val="0"/>
    <w:rPr>
      <w:rFonts w:eastAsia="黑体" w:asciiTheme="majorHAnsi" w:hAnsiTheme="majorHAnsi" w:cstheme="majorBidi"/>
      <w:b/>
      <w:bCs/>
      <w:kern w:val="2"/>
      <w:sz w:val="36"/>
      <w:szCs w:val="32"/>
    </w:rPr>
  </w:style>
  <w:style w:type="paragraph" w:customStyle="1" w:styleId="72">
    <w:name w:val="章节"/>
    <w:basedOn w:val="15"/>
    <w:qFormat/>
    <w:uiPriority w:val="0"/>
    <w:pPr>
      <w:spacing w:line="360" w:lineRule="auto"/>
      <w:jc w:val="center"/>
      <w:outlineLvl w:val="0"/>
    </w:pPr>
    <w:rPr>
      <w:rFonts w:ascii="黑体" w:eastAsia="黑体"/>
      <w:b/>
      <w:bCs/>
      <w:sz w:val="36"/>
      <w:szCs w:val="36"/>
    </w:rPr>
  </w:style>
  <w:style w:type="paragraph" w:customStyle="1" w:styleId="73">
    <w:name w:val="一级标题"/>
    <w:basedOn w:val="15"/>
    <w:qFormat/>
    <w:uiPriority w:val="1"/>
    <w:pPr>
      <w:numPr>
        <w:ilvl w:val="0"/>
        <w:numId w:val="2"/>
      </w:numPr>
      <w:spacing w:line="360" w:lineRule="auto"/>
      <w:ind w:left="420"/>
      <w:outlineLvl w:val="1"/>
    </w:pPr>
    <w:rPr>
      <w:rFonts w:ascii="黑体" w:eastAsia="黑体"/>
      <w:b/>
      <w:bCs/>
      <w:sz w:val="28"/>
    </w:rPr>
  </w:style>
  <w:style w:type="paragraph" w:customStyle="1" w:styleId="74">
    <w:name w:val="（二）级标题"/>
    <w:basedOn w:val="15"/>
    <w:qFormat/>
    <w:uiPriority w:val="2"/>
    <w:pPr>
      <w:numPr>
        <w:ilvl w:val="0"/>
        <w:numId w:val="3"/>
      </w:numPr>
      <w:spacing w:line="360" w:lineRule="auto"/>
      <w:outlineLvl w:val="2"/>
    </w:pPr>
    <w:rPr>
      <w:b/>
    </w:rPr>
  </w:style>
  <w:style w:type="paragraph" w:customStyle="1" w:styleId="75">
    <w:name w:val="3级标题"/>
    <w:basedOn w:val="15"/>
    <w:link w:val="103"/>
    <w:qFormat/>
    <w:uiPriority w:val="3"/>
    <w:pPr>
      <w:numPr>
        <w:ilvl w:val="0"/>
        <w:numId w:val="4"/>
      </w:numPr>
      <w:spacing w:line="360" w:lineRule="auto"/>
      <w:outlineLvl w:val="3"/>
    </w:pPr>
    <w:rPr>
      <w:b/>
    </w:rPr>
  </w:style>
  <w:style w:type="paragraph" w:customStyle="1" w:styleId="76">
    <w:name w:val="（4）级标题"/>
    <w:basedOn w:val="15"/>
    <w:qFormat/>
    <w:uiPriority w:val="8"/>
    <w:pPr>
      <w:numPr>
        <w:ilvl w:val="0"/>
        <w:numId w:val="5"/>
      </w:numPr>
      <w:spacing w:line="360" w:lineRule="auto"/>
      <w:outlineLvl w:val="4"/>
    </w:pPr>
  </w:style>
  <w:style w:type="paragraph" w:customStyle="1" w:styleId="77">
    <w:name w:val="标书正文"/>
    <w:basedOn w:val="15"/>
    <w:link w:val="98"/>
    <w:qFormat/>
    <w:uiPriority w:val="9"/>
    <w:pPr>
      <w:spacing w:line="360" w:lineRule="auto"/>
      <w:jc w:val="left"/>
    </w:pPr>
  </w:style>
  <w:style w:type="character" w:customStyle="1" w:styleId="78">
    <w:name w:val="标题 4 字符"/>
    <w:basedOn w:val="33"/>
    <w:link w:val="5"/>
    <w:semiHidden/>
    <w:qFormat/>
    <w:uiPriority w:val="0"/>
    <w:rPr>
      <w:rFonts w:ascii="Arial" w:hAnsi="Arial"/>
      <w:b/>
      <w:bCs/>
      <w:kern w:val="2"/>
      <w:sz w:val="21"/>
      <w:szCs w:val="28"/>
    </w:rPr>
  </w:style>
  <w:style w:type="character" w:customStyle="1" w:styleId="79">
    <w:name w:val="标题 5 字符"/>
    <w:basedOn w:val="33"/>
    <w:link w:val="6"/>
    <w:semiHidden/>
    <w:qFormat/>
    <w:uiPriority w:val="0"/>
    <w:rPr>
      <w:rFonts w:ascii="宋体" w:hAnsi="宋体"/>
      <w:bCs/>
      <w:iCs/>
      <w:color w:val="000000"/>
      <w:sz w:val="28"/>
      <w:szCs w:val="28"/>
    </w:rPr>
  </w:style>
  <w:style w:type="paragraph" w:customStyle="1" w:styleId="80">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1">
    <w:name w:val="case31"/>
    <w:qFormat/>
    <w:uiPriority w:val="0"/>
    <w:rPr>
      <w:rFonts w:hint="default" w:ascii="ˎ̥" w:hAnsi="ˎ̥"/>
      <w:sz w:val="21"/>
      <w:szCs w:val="21"/>
    </w:rPr>
  </w:style>
  <w:style w:type="character" w:customStyle="1" w:styleId="82">
    <w:name w:val="标题 2 Char"/>
    <w:qFormat/>
    <w:uiPriority w:val="0"/>
    <w:rPr>
      <w:rFonts w:ascii="宋体" w:hAnsi="宋体"/>
      <w:bCs/>
      <w:sz w:val="24"/>
      <w:szCs w:val="32"/>
    </w:rPr>
  </w:style>
  <w:style w:type="character" w:customStyle="1" w:styleId="83">
    <w:name w:val="标题 Char"/>
    <w:qFormat/>
    <w:uiPriority w:val="0"/>
    <w:rPr>
      <w:rFonts w:ascii="宋体" w:hAnsi="宋体" w:cs="Times New Roman"/>
      <w:b/>
      <w:bCs/>
      <w:sz w:val="24"/>
      <w:szCs w:val="32"/>
    </w:rPr>
  </w:style>
  <w:style w:type="character" w:customStyle="1" w:styleId="84">
    <w:name w:val="正文文本缩进 3 字符"/>
    <w:basedOn w:val="33"/>
    <w:link w:val="23"/>
    <w:semiHidden/>
    <w:qFormat/>
    <w:uiPriority w:val="0"/>
    <w:rPr>
      <w:rFonts w:ascii="宋体" w:hAnsi="宋体"/>
      <w:color w:val="FF0000"/>
      <w:kern w:val="2"/>
      <w:sz w:val="24"/>
      <w:szCs w:val="24"/>
    </w:rPr>
  </w:style>
  <w:style w:type="paragraph" w:customStyle="1" w:styleId="85">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6">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7">
    <w:name w:val="正文文本缩进 2 字符"/>
    <w:basedOn w:val="33"/>
    <w:link w:val="17"/>
    <w:semiHidden/>
    <w:qFormat/>
    <w:uiPriority w:val="0"/>
    <w:rPr>
      <w:sz w:val="24"/>
    </w:rPr>
  </w:style>
  <w:style w:type="character" w:customStyle="1" w:styleId="88">
    <w:name w:val="日期 字符"/>
    <w:basedOn w:val="33"/>
    <w:link w:val="16"/>
    <w:semiHidden/>
    <w:qFormat/>
    <w:uiPriority w:val="0"/>
    <w:rPr>
      <w:sz w:val="24"/>
    </w:rPr>
  </w:style>
  <w:style w:type="paragraph" w:customStyle="1" w:styleId="89">
    <w:name w:val="Char1 Char Char Char Char Char Char"/>
    <w:basedOn w:val="1"/>
    <w:qFormat/>
    <w:uiPriority w:val="0"/>
    <w:rPr>
      <w:rFonts w:ascii="Tahoma" w:hAnsi="Tahoma"/>
      <w:sz w:val="24"/>
    </w:rPr>
  </w:style>
  <w:style w:type="paragraph" w:customStyle="1" w:styleId="90">
    <w:name w:val="样式1"/>
    <w:basedOn w:val="1"/>
    <w:qFormat/>
    <w:uiPriority w:val="0"/>
    <w:pPr>
      <w:adjustRightInd w:val="0"/>
      <w:spacing w:line="420" w:lineRule="auto"/>
      <w:jc w:val="center"/>
      <w:textAlignment w:val="baseline"/>
    </w:pPr>
    <w:rPr>
      <w:rFonts w:ascii="宋体"/>
      <w:kern w:val="0"/>
      <w:sz w:val="24"/>
    </w:rPr>
  </w:style>
  <w:style w:type="paragraph" w:customStyle="1" w:styleId="91">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2">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3">
    <w:name w:val="文档结构图 字符"/>
    <w:basedOn w:val="33"/>
    <w:semiHidden/>
    <w:qFormat/>
    <w:uiPriority w:val="98"/>
    <w:rPr>
      <w:rFonts w:ascii="Microsoft YaHei UI" w:eastAsia="Microsoft YaHei UI"/>
      <w:kern w:val="2"/>
      <w:sz w:val="18"/>
      <w:szCs w:val="18"/>
    </w:rPr>
  </w:style>
  <w:style w:type="character" w:customStyle="1" w:styleId="94">
    <w:name w:val="文档结构图 字符1"/>
    <w:basedOn w:val="33"/>
    <w:link w:val="10"/>
    <w:semiHidden/>
    <w:qFormat/>
    <w:uiPriority w:val="0"/>
    <w:rPr>
      <w:rFonts w:ascii="宋体"/>
      <w:sz w:val="18"/>
      <w:szCs w:val="18"/>
    </w:rPr>
  </w:style>
  <w:style w:type="paragraph" w:customStyle="1" w:styleId="95">
    <w:name w:val="表格"/>
    <w:basedOn w:val="1"/>
    <w:link w:val="96"/>
    <w:qFormat/>
    <w:uiPriority w:val="10"/>
    <w:rPr>
      <w:rFonts w:ascii="宋体" w:hAnsi="宋体"/>
      <w:szCs w:val="30"/>
    </w:rPr>
  </w:style>
  <w:style w:type="character" w:customStyle="1" w:styleId="96">
    <w:name w:val="表格 字符"/>
    <w:basedOn w:val="33"/>
    <w:link w:val="95"/>
    <w:qFormat/>
    <w:uiPriority w:val="10"/>
    <w:rPr>
      <w:rFonts w:ascii="宋体" w:hAnsi="宋体"/>
      <w:kern w:val="2"/>
      <w:sz w:val="21"/>
      <w:szCs w:val="30"/>
    </w:rPr>
  </w:style>
  <w:style w:type="paragraph" w:customStyle="1" w:styleId="97">
    <w:name w:val="5）级标题"/>
    <w:basedOn w:val="77"/>
    <w:link w:val="99"/>
    <w:qFormat/>
    <w:uiPriority w:val="11"/>
    <w:pPr>
      <w:numPr>
        <w:ilvl w:val="0"/>
        <w:numId w:val="7"/>
      </w:numPr>
      <w:ind w:firstLine="0"/>
    </w:pPr>
  </w:style>
  <w:style w:type="character" w:customStyle="1" w:styleId="98">
    <w:name w:val="标书正文 字符"/>
    <w:basedOn w:val="51"/>
    <w:link w:val="77"/>
    <w:qFormat/>
    <w:uiPriority w:val="9"/>
    <w:rPr>
      <w:rFonts w:ascii="宋体" w:hAnsi="Courier New"/>
      <w:kern w:val="2"/>
      <w:sz w:val="21"/>
    </w:rPr>
  </w:style>
  <w:style w:type="character" w:customStyle="1" w:styleId="99">
    <w:name w:val="5）级标题 字符"/>
    <w:basedOn w:val="98"/>
    <w:link w:val="97"/>
    <w:qFormat/>
    <w:uiPriority w:val="11"/>
    <w:rPr>
      <w:rFonts w:ascii="宋体" w:hAnsi="Courier New"/>
      <w:kern w:val="2"/>
      <w:sz w:val="21"/>
    </w:rPr>
  </w:style>
  <w:style w:type="paragraph" w:customStyle="1" w:styleId="100">
    <w:name w:val="样式 标题 4 + 段前: 5 磅 段后: 5 磅 行距: 单倍行距"/>
    <w:next w:val="24"/>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1">
    <w:name w:val="Subtle Emphasis"/>
    <w:basedOn w:val="33"/>
    <w:qFormat/>
    <w:uiPriority w:val="19"/>
    <w:rPr>
      <w:rFonts w:eastAsia="宋体"/>
      <w:i/>
      <w:iCs/>
      <w:color w:val="auto"/>
      <w:sz w:val="21"/>
    </w:rPr>
  </w:style>
  <w:style w:type="paragraph" w:customStyle="1" w:styleId="102">
    <w:name w:val="⑥级标题"/>
    <w:basedOn w:val="75"/>
    <w:link w:val="104"/>
    <w:qFormat/>
    <w:uiPriority w:val="12"/>
    <w:pPr>
      <w:numPr>
        <w:numId w:val="8"/>
      </w:numPr>
    </w:pPr>
  </w:style>
  <w:style w:type="character" w:customStyle="1" w:styleId="103">
    <w:name w:val="3级标题 字符"/>
    <w:basedOn w:val="51"/>
    <w:link w:val="75"/>
    <w:qFormat/>
    <w:uiPriority w:val="3"/>
    <w:rPr>
      <w:rFonts w:ascii="宋体" w:hAnsi="Courier New"/>
      <w:b/>
      <w:kern w:val="2"/>
      <w:sz w:val="21"/>
    </w:rPr>
  </w:style>
  <w:style w:type="character" w:customStyle="1" w:styleId="104">
    <w:name w:val="⑥级标题 字符"/>
    <w:basedOn w:val="103"/>
    <w:link w:val="102"/>
    <w:qFormat/>
    <w:uiPriority w:val="12"/>
    <w:rPr>
      <w:rFonts w:ascii="宋体" w:hAnsi="Courier New"/>
      <w:kern w:val="2"/>
      <w:sz w:val="21"/>
    </w:rPr>
  </w:style>
  <w:style w:type="character" w:customStyle="1" w:styleId="105">
    <w:name w:val="电子邮件签名 字符"/>
    <w:link w:val="7"/>
    <w:semiHidden/>
    <w:qFormat/>
    <w:locked/>
    <w:uiPriority w:val="99"/>
    <w:rPr>
      <w:sz w:val="21"/>
      <w:szCs w:val="21"/>
    </w:rPr>
  </w:style>
  <w:style w:type="character" w:customStyle="1" w:styleId="106">
    <w:name w:val="电子邮件签名 字符1"/>
    <w:basedOn w:val="33"/>
    <w:semiHidden/>
    <w:qFormat/>
    <w:uiPriority w:val="98"/>
    <w:rPr>
      <w:rFonts w:ascii="Times New Roman" w:hAnsi="Times New Roman"/>
      <w:kern w:val="2"/>
      <w:sz w:val="21"/>
    </w:rPr>
  </w:style>
  <w:style w:type="character" w:customStyle="1" w:styleId="107">
    <w:name w:val="HR正文 Char"/>
    <w:link w:val="108"/>
    <w:qFormat/>
    <w:uiPriority w:val="0"/>
    <w:rPr>
      <w:kern w:val="2"/>
      <w:sz w:val="24"/>
      <w:szCs w:val="24"/>
    </w:rPr>
  </w:style>
  <w:style w:type="paragraph" w:customStyle="1" w:styleId="108">
    <w:name w:val="HR正文"/>
    <w:basedOn w:val="1"/>
    <w:link w:val="107"/>
    <w:qFormat/>
    <w:uiPriority w:val="0"/>
    <w:pPr>
      <w:spacing w:line="300" w:lineRule="auto"/>
      <w:ind w:firstLine="200" w:firstLineChars="200"/>
    </w:pPr>
    <w:rPr>
      <w:rFonts w:ascii="Calibri" w:hAnsi="Calibri"/>
      <w:sz w:val="24"/>
      <w:szCs w:val="24"/>
    </w:rPr>
  </w:style>
  <w:style w:type="character" w:customStyle="1" w:styleId="109">
    <w:name w:val="信息标题 字符"/>
    <w:link w:val="26"/>
    <w:semiHidden/>
    <w:qFormat/>
    <w:locked/>
    <w:uiPriority w:val="99"/>
    <w:rPr>
      <w:rFonts w:ascii="Cambria" w:hAnsi="Cambria" w:cs="Cambria"/>
      <w:sz w:val="24"/>
      <w:szCs w:val="24"/>
      <w:shd w:val="pct20" w:color="auto" w:fill="auto"/>
    </w:rPr>
  </w:style>
  <w:style w:type="character" w:customStyle="1" w:styleId="110">
    <w:name w:val="信息标题 字符1"/>
    <w:basedOn w:val="33"/>
    <w:semiHidden/>
    <w:qFormat/>
    <w:uiPriority w:val="98"/>
    <w:rPr>
      <w:rFonts w:asciiTheme="majorHAnsi" w:hAnsiTheme="majorHAnsi" w:eastAsiaTheme="majorEastAsia" w:cstheme="majorBidi"/>
      <w:kern w:val="2"/>
      <w:sz w:val="24"/>
      <w:szCs w:val="24"/>
      <w:shd w:val="pct20" w:color="auto" w:fill="auto"/>
    </w:rPr>
  </w:style>
  <w:style w:type="character" w:customStyle="1" w:styleId="111">
    <w:name w:val="页眉 Char1"/>
    <w:semiHidden/>
    <w:qFormat/>
    <w:locked/>
    <w:uiPriority w:val="0"/>
    <w:rPr>
      <w:rFonts w:ascii="Calibri" w:hAnsi="Calibri"/>
      <w:sz w:val="18"/>
      <w:szCs w:val="18"/>
    </w:rPr>
  </w:style>
  <w:style w:type="paragraph" w:customStyle="1" w:styleId="112">
    <w:name w:val="标书表格"/>
    <w:basedOn w:val="1"/>
    <w:qFormat/>
    <w:uiPriority w:val="0"/>
    <w:pPr>
      <w:spacing w:after="0" w:line="240" w:lineRule="auto"/>
      <w:jc w:val="center"/>
    </w:pPr>
    <w:rPr>
      <w:rFonts w:ascii="Times New Roman" w:hAnsi="Times New Roman" w:eastAsia="宋体" w:cs="Times New Roman"/>
      <w:b/>
      <w:sz w:val="21"/>
      <w:szCs w:val="20"/>
      <w14:ligatures w14: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34</Pages>
  <Words>2769</Words>
  <Characters>2987</Characters>
  <Lines>127</Lines>
  <Paragraphs>35</Paragraphs>
  <TotalTime>6</TotalTime>
  <ScaleCrop>false</ScaleCrop>
  <LinksUpToDate>false</LinksUpToDate>
  <CharactersWithSpaces>3026</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朱春晓</cp:lastModifiedBy>
  <cp:lastPrinted>2020-06-28T02:28:00Z</cp:lastPrinted>
  <dcterms:modified xsi:type="dcterms:W3CDTF">2026-07-08T00:51:57Z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65AF42DFDBD3496FADEE1759E9C82506_13</vt:lpwstr>
  </property>
  <property fmtid="{D5CDD505-2E9C-101B-9397-08002B2CF9AE}" pid="4" name="KSOTemplateDocerSaveRecord">
    <vt:lpwstr>eyJoZGlkIjoiZGM5ZGE4NWM4MmZlOTY1Njk2MTI4NDBiNGJjZTdmNzYiLCJ1c2VySWQiOiI1MDQ4Mzk0MzYifQ==</vt:lpwstr>
  </property>
</Properties>
</file>