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EB68A1">
      <w:pPr>
        <w:pStyle w:val="2"/>
        <w:widowControl/>
        <w:jc w:val="center"/>
        <w:rPr>
          <w:i w:val="0"/>
          <w:iCs/>
          <w:sz w:val="32"/>
          <w:szCs w:val="32"/>
          <w:lang w:val="en-US"/>
        </w:rPr>
      </w:pPr>
      <w:bookmarkStart w:id="0" w:name="_Toc12866"/>
      <w:r>
        <w:rPr>
          <w:rFonts w:hint="eastAsia" w:cs="宋体"/>
          <w:i w:val="0"/>
          <w:iCs/>
          <w:sz w:val="32"/>
          <w:szCs w:val="32"/>
          <w:lang w:val="en-US" w:eastAsia="zh-CN"/>
        </w:rPr>
        <w:t>中国重汽集团济南动力有限公司-镁合金变速箱中壳试验件采购项目</w:t>
      </w:r>
      <w:r>
        <w:rPr>
          <w:rFonts w:hint="eastAsia" w:cs="宋体"/>
          <w:i w:val="0"/>
          <w:iCs/>
          <w:sz w:val="32"/>
          <w:szCs w:val="32"/>
          <w:lang w:val="en-US" w:eastAsia="zh-CN"/>
        </w:rPr>
        <w:t>招标公告</w:t>
      </w:r>
      <w:bookmarkEnd w:id="0"/>
    </w:p>
    <w:p w14:paraId="1EBE2D1A">
      <w:pPr>
        <w:pStyle w:val="2"/>
        <w:widowControl/>
        <w:jc w:val="center"/>
        <w:rPr>
          <w:rFonts w:hint="eastAsia" w:ascii="Cambria" w:hAnsi="Cambria" w:eastAsia="宋体" w:cs="宋体"/>
          <w:b/>
          <w:bCs/>
          <w:i w:val="0"/>
          <w:iCs/>
          <w:sz w:val="22"/>
          <w:szCs w:val="22"/>
          <w:highlight w:val="none"/>
          <w:lang w:eastAsia="zh-CN"/>
        </w:rPr>
      </w:pPr>
      <w:bookmarkStart w:id="1" w:name="_Toc27465"/>
      <w:r>
        <w:rPr>
          <w:rFonts w:hint="eastAsia" w:ascii="Cambria" w:hAnsi="Cambria" w:eastAsia="宋体" w:cs="宋体"/>
          <w:b/>
          <w:bCs/>
          <w:i w:val="0"/>
          <w:iCs/>
          <w:sz w:val="22"/>
          <w:szCs w:val="22"/>
          <w:highlight w:val="none"/>
          <w:lang w:eastAsia="zh-CN"/>
        </w:rPr>
        <w:t>招标编号：（</w:t>
      </w:r>
      <w:r>
        <w:rPr>
          <w:rFonts w:hint="eastAsia" w:cs="宋体"/>
          <w:b/>
          <w:bCs/>
          <w:i w:val="0"/>
          <w:iCs/>
          <w:sz w:val="22"/>
          <w:szCs w:val="22"/>
          <w:highlight w:val="yellow"/>
          <w:lang w:val="en-US" w:eastAsia="zh-CN"/>
        </w:rPr>
        <w:t>ZBGL2026070141</w:t>
      </w:r>
      <w:r>
        <w:rPr>
          <w:rFonts w:hint="eastAsia" w:ascii="Cambria" w:hAnsi="Cambria" w:eastAsia="宋体" w:cs="宋体"/>
          <w:b/>
          <w:bCs/>
          <w:i w:val="0"/>
          <w:iCs/>
          <w:sz w:val="22"/>
          <w:szCs w:val="22"/>
          <w:highlight w:val="none"/>
          <w:lang w:eastAsia="zh-CN"/>
        </w:rPr>
        <w:t>）</w:t>
      </w:r>
      <w:bookmarkEnd w:id="1"/>
    </w:p>
    <w:p w14:paraId="20BDA0D9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</w:p>
    <w:p w14:paraId="474C137B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</w:p>
    <w:tbl>
      <w:tblPr>
        <w:tblStyle w:val="9"/>
        <w:tblW w:w="9287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99"/>
        <w:gridCol w:w="2444"/>
        <w:gridCol w:w="2200"/>
        <w:gridCol w:w="2444"/>
      </w:tblGrid>
      <w:tr w14:paraId="677DE7B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199" w:type="dxa"/>
            <w:shd w:val="clear" w:color="auto" w:fill="DEDEDE"/>
            <w:vAlign w:val="center"/>
          </w:tcPr>
          <w:p w14:paraId="6FB91D9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300" w:lineRule="atLeast"/>
              <w:ind w:left="0" w:right="0"/>
              <w:jc w:val="center"/>
              <w:rPr>
                <w:rFonts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有效起始日期 </w:t>
            </w:r>
          </w:p>
        </w:tc>
        <w:tc>
          <w:tcPr>
            <w:tcW w:w="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6EEAF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2026-7-8 </w:t>
            </w:r>
          </w:p>
        </w:tc>
        <w:tc>
          <w:tcPr>
            <w:tcW w:w="2200" w:type="dxa"/>
            <w:shd w:val="clear" w:color="auto" w:fill="DEDEDE"/>
            <w:vAlign w:val="center"/>
          </w:tcPr>
          <w:p w14:paraId="09883B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有效截止日期 </w:t>
            </w:r>
          </w:p>
        </w:tc>
        <w:tc>
          <w:tcPr>
            <w:tcW w:w="244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6EF44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2026-7-18 </w:t>
            </w:r>
          </w:p>
        </w:tc>
      </w:tr>
    </w:tbl>
    <w:p w14:paraId="3891D99F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</w:p>
    <w:p w14:paraId="22A1DC92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一、项目概况  </w:t>
      </w:r>
    </w:p>
    <w:p w14:paraId="34DE45B1">
      <w:pPr>
        <w:ind w:firstLine="480"/>
        <w:rPr>
          <w:rFonts w:hint="default" w:asciiTheme="majorEastAsia" w:hAnsiTheme="majorEastAsia" w:eastAsiaTheme="majorEastAsia" w:cstheme="majorEastAsia"/>
          <w:sz w:val="24"/>
          <w:szCs w:val="24"/>
          <w:highlight w:val="yellow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工艺研发项目《镁合金压铸工艺研究》(工作令YF03126004A），需采购中壳试验件进行验证。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yellow"/>
          <w:lang w:val="en-US" w:eastAsia="zh-CN"/>
        </w:rPr>
        <w:t>（若需详情，请联系技术联系人，或应标后见招标文件技术标书）</w:t>
      </w:r>
    </w:p>
    <w:p w14:paraId="36BF1B5C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二、项目基本情况  </w:t>
      </w:r>
    </w:p>
    <w:p w14:paraId="755D5F23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 1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项目名称：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镁合金变速箱中壳试验件采购项目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</w:p>
    <w:p w14:paraId="4610D852">
      <w:pPr>
        <w:rPr>
          <w:rFonts w:hint="default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 2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项目类别：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C</w:t>
      </w:r>
    </w:p>
    <w:p w14:paraId="3BA3571B">
      <w:pPr>
        <w:rPr>
          <w:rFonts w:hint="default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 3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采购方式：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公开招标</w:t>
      </w:r>
    </w:p>
    <w:p w14:paraId="3B9A1FEF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 4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采购内容：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50件镁合金变速箱中壳试验件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</w:p>
    <w:p w14:paraId="26BCDC17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三、供应商资格条件  </w:t>
      </w:r>
    </w:p>
    <w:p w14:paraId="1BEBDEA7">
      <w:pPr>
        <w:pStyle w:val="6"/>
        <w:ind w:firstLine="482" w:firstLineChars="200"/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</w:rPr>
        <w:t>（1）拟投标人必须是在中华人民共和国境内注册的独立法人机构，具有独立承担民事责任能力，注册资金不少于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</w:rPr>
        <w:t>00万人民币（或等值其他货币）；公司成立三年以上（以营业执照成立日期到开标当日满三年为准）；且经营范围满足招标人需求；并在人员、设备、资金等方面具有承担本项目的能力。</w:t>
      </w:r>
    </w:p>
    <w:p w14:paraId="1A10E190">
      <w:pPr>
        <w:pStyle w:val="6"/>
        <w:ind w:firstLine="482" w:firstLineChars="200"/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</w:rPr>
        <w:t>（2）拟投标人应提供三证合一的营业执照副本复印件（需盖章）。</w:t>
      </w:r>
    </w:p>
    <w:p w14:paraId="3353578E">
      <w:pPr>
        <w:pStyle w:val="6"/>
        <w:ind w:firstLine="482" w:firstLineChars="200"/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</w:rPr>
        <w:t>（3）拟投标人应提供法定代表人资格证明文件。</w:t>
      </w:r>
    </w:p>
    <w:p w14:paraId="667114A2">
      <w:pPr>
        <w:pStyle w:val="6"/>
        <w:ind w:firstLine="482" w:firstLineChars="200"/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</w:rPr>
        <w:t>（4）拟投标人在国家市场监督管理总局的《国家企业信用信息公示系统》中查询不存在不良记录。</w:t>
      </w:r>
    </w:p>
    <w:p w14:paraId="62BA6C19">
      <w:pPr>
        <w:pStyle w:val="6"/>
        <w:ind w:firstLine="482" w:firstLineChars="200"/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</w:rPr>
        <w:t>（5）拟投标人不存在与本项目有关的违法违规或被列入招标人“黑名单”的声明。</w:t>
      </w:r>
    </w:p>
    <w:p w14:paraId="24810C7E">
      <w:pPr>
        <w:pStyle w:val="6"/>
        <w:ind w:firstLine="482" w:firstLineChars="200"/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</w:rPr>
        <w:t>（6）拟投标人经会计师事务所审计的近三年的公司财务报告（需含资产负债表、损益表、现金流量表）未显示异常。如投标人公司没有经审计的财务报告，可提供加盖公章的近三年财务报表，包括但不限于资产负债表、利润表、现金流量表。</w:t>
      </w:r>
    </w:p>
    <w:p w14:paraId="55EE5C3B">
      <w:pPr>
        <w:pStyle w:val="6"/>
        <w:ind w:firstLine="482" w:firstLineChars="200"/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</w:rPr>
        <w:t>（7）供方的直接或间接股东、法定代表人、董事、监事、高管非重汽员工及其亲属</w:t>
      </w:r>
    </w:p>
    <w:p w14:paraId="272BC5B9">
      <w:pPr>
        <w:pStyle w:val="6"/>
        <w:ind w:firstLine="482" w:firstLineChars="200"/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</w:rPr>
        <w:t>）拟投标人有与本次招标内容相同或类似项目业绩，业绩复印件须加盖公章，且近3年内无因服务不当而造成重大事故。</w:t>
      </w:r>
    </w:p>
    <w:p w14:paraId="2F27CBA8">
      <w:pPr>
        <w:pStyle w:val="6"/>
        <w:ind w:firstLine="482" w:firstLineChars="200"/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</w:rPr>
        <w:t>* 注：</w:t>
      </w:r>
    </w:p>
    <w:p w14:paraId="5F3CA43E">
      <w:pPr>
        <w:pStyle w:val="6"/>
        <w:ind w:firstLine="482" w:firstLineChars="200"/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</w:rPr>
        <w:t>如果是授权委托人投标，要携带三证合一的营业执照副本复印件、法人授权委托书、身份证原件、参加开标会议，否则视为弃标；</w:t>
      </w:r>
    </w:p>
    <w:p w14:paraId="04597DA8">
      <w:pPr>
        <w:pStyle w:val="6"/>
        <w:ind w:firstLine="482" w:firstLineChars="200"/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</w:rPr>
        <w:t>如果是法人参加投标，要携带三证合一的营业执照副本复印件、法人代表证明原件、身份证原件参加开标会议，否则视为弃标；</w:t>
      </w:r>
    </w:p>
    <w:p w14:paraId="6A630DBB">
      <w:pPr>
        <w:pStyle w:val="6"/>
        <w:ind w:firstLine="482" w:firstLineChars="200"/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</w:rPr>
        <w:t>如果是代理商投标，除上述a)b)中要求的资料，要另外携带生产商的授权书、原厂售后服务承诺书参加开标会议，否则视为弃标。</w:t>
      </w:r>
    </w:p>
    <w:p w14:paraId="6DED5912">
      <w:pPr>
        <w:ind w:firstLine="481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</w:p>
    <w:p w14:paraId="32812728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报名文件</w:t>
      </w:r>
    </w:p>
    <w:p w14:paraId="5FEE8F15">
      <w:pPr>
        <w:rPr>
          <w:rFonts w:hint="default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</w:p>
    <w:p w14:paraId="05FEE92F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 四、采购文件领取 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</w:p>
    <w:p w14:paraId="52EB1949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   1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采购文件领取方式：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线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上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</w:p>
    <w:p w14:paraId="1F6DACB3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    2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采购文件领取截止时间：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202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-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07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-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13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17:00:00 </w:t>
      </w:r>
    </w:p>
    <w:p w14:paraId="4759D9F9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 3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采购文件领取地点：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重汽e采通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</w:p>
    <w:p w14:paraId="3A64C75D">
      <w:pPr>
        <w:jc w:val="left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   五、响应文件提交 </w:t>
      </w:r>
    </w:p>
    <w:p w14:paraId="77BB3C9A">
      <w:pP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    1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递交方式：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线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上</w:t>
      </w:r>
    </w:p>
    <w:p w14:paraId="6010EC64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    2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递交截止时间：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2026-0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7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-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18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17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:00:00 </w:t>
      </w:r>
    </w:p>
    <w:p w14:paraId="756D49F0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   3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递交地点：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重汽e采通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</w:p>
    <w:p w14:paraId="18836169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    六、开标时间和地点 </w:t>
      </w:r>
    </w:p>
    <w:p w14:paraId="47B3B62D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    1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开标时间：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2026-0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7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-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20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09:00:00 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暂定，以实际通知为准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  <w:t>）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</w:p>
    <w:p w14:paraId="0B5A93ED">
      <w:pPr>
        <w:ind w:firstLine="481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2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开标地点：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山东省济南市历城区华奥路777号重汽科技大厦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三楼会议室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暂定，以实际通知为准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  <w:t>）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</w:p>
    <w:p w14:paraId="4EB316E7">
      <w:pPr>
        <w:ind w:firstLine="481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1FAC7C52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 七、发布公告的媒介  </w:t>
      </w:r>
    </w:p>
    <w:p w14:paraId="0F0EE9FD">
      <w:pPr>
        <w:rPr>
          <w:rFonts w:hint="default" w:asciiTheme="majorEastAsia" w:hAnsiTheme="majorEastAsia" w:eastAsiaTheme="majorEastAsia" w:cstheme="majorEastAsia"/>
          <w:sz w:val="24"/>
          <w:szCs w:val="24"/>
          <w:highlight w:val="yellow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 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yellow"/>
          <w:lang w:val="en-US" w:eastAsia="zh-CN"/>
        </w:rPr>
        <w:t>中国重汽</w:t>
      </w:r>
      <w:r>
        <w:rPr>
          <w:rFonts w:hint="default" w:asciiTheme="majorEastAsia" w:hAnsiTheme="majorEastAsia" w:eastAsiaTheme="majorEastAsia" w:cstheme="majorEastAsia"/>
          <w:sz w:val="24"/>
          <w:szCs w:val="24"/>
          <w:highlight w:val="yellow"/>
          <w:lang w:eastAsia="zh-CN"/>
        </w:rPr>
        <w:t>集团官网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yellow"/>
          <w:lang w:val="en-US" w:eastAsia="zh-CN"/>
        </w:rPr>
        <w:t>（ww.cnhtc.com.cn）</w:t>
      </w:r>
    </w:p>
    <w:p w14:paraId="7FBD0B0E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 八、联系方式 </w:t>
      </w:r>
    </w:p>
    <w:p w14:paraId="533DA6B9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    1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采购人信息：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</w:p>
    <w:p w14:paraId="1CCCDBA5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 名称：中国重型汽车集团有限公司 </w:t>
      </w:r>
    </w:p>
    <w:p w14:paraId="25BF1070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 地址：山东省济南市历城区华奥路777号中国重型汽车集团有限公司 </w:t>
      </w:r>
    </w:p>
    <w:p w14:paraId="0B4B17B3">
      <w:pPr>
        <w:rPr>
          <w:rFonts w:hint="default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 联系人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  <w:t>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赵玉利</w:t>
      </w:r>
    </w:p>
    <w:p w14:paraId="5BB75B62">
      <w:pPr>
        <w:ind w:firstLine="480"/>
        <w:rPr>
          <w:rFonts w:hint="default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>联系电话：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15215487200</w:t>
      </w:r>
    </w:p>
    <w:p w14:paraId="2BBBFC11">
      <w:pPr>
        <w:ind w:firstLine="480"/>
        <w:rPr>
          <w:rFonts w:hint="default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技术联系人：赵玉利</w:t>
      </w:r>
    </w:p>
    <w:p w14:paraId="18B2FB9A">
      <w:pPr>
        <w:ind w:firstLine="480"/>
        <w:rPr>
          <w:rFonts w:hint="default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联系电话：15215487200</w:t>
      </w:r>
    </w:p>
    <w:p w14:paraId="3B00F455">
      <w:pPr>
        <w:ind w:firstLine="480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 xml:space="preserve">九、其他说明  </w:t>
      </w:r>
    </w:p>
    <w:p w14:paraId="61216B83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   1</w:t>
      </w: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供应商需在重汽官网搜索本项目招标公告，根据要求准备报名资料。</w:t>
      </w:r>
    </w:p>
    <w:p w14:paraId="317ABA5C">
      <w:pPr>
        <w:ind w:firstLine="480" w:firstLineChars="200"/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p w14:paraId="232D9641">
      <w:pPr>
        <w:ind w:firstLine="480" w:firstLineChars="200"/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lang w:val="en-US" w:eastAsia="zh-CN"/>
        </w:rPr>
        <w:t>注：</w:t>
      </w:r>
    </w:p>
    <w:p w14:paraId="12B5F7B5">
      <w:pPr>
        <w:ind w:left="479" w:leftChars="228" w:firstLine="0" w:firstLineChars="0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eastAsia="宋体" w:cs="宋体"/>
          <w:sz w:val="24"/>
          <w:szCs w:val="24"/>
          <w:highlight w:val="none"/>
        </w:rPr>
        <w:t>拟投标人根据招标人在中国重汽官网</w:t>
      </w:r>
      <w:r>
        <w:rPr>
          <w:rFonts w:hint="eastAsia" w:eastAsia="宋体" w:cs="宋体"/>
          <w:sz w:val="24"/>
          <w:szCs w:val="24"/>
          <w:highlight w:val="none"/>
          <w:lang w:val="en-US" w:eastAsia="zh-CN"/>
        </w:rPr>
        <w:t>公开媒体</w:t>
      </w:r>
      <w:r>
        <w:rPr>
          <w:rFonts w:hint="eastAsia" w:eastAsia="宋体" w:cs="宋体"/>
          <w:sz w:val="24"/>
          <w:szCs w:val="24"/>
          <w:highlight w:val="none"/>
        </w:rPr>
        <w:t>上发布的招标信息，</w:t>
      </w:r>
      <w:r>
        <w:rPr>
          <w:rFonts w:hint="eastAsia" w:ascii="宋体" w:hAnsi="Courier New" w:eastAsia="宋体" w:cs="Times New Roman"/>
          <w:color w:val="000000"/>
          <w:sz w:val="24"/>
          <w:szCs w:val="24"/>
          <w:highlight w:val="none"/>
          <w:lang w:val="en-US" w:eastAsia="zh-CN"/>
        </w:rPr>
        <w:t>在“中国重汽e采通”平台</w:t>
      </w:r>
      <w:r>
        <w:rPr>
          <w:rFonts w:hint="eastAsia" w:ascii="宋体" w:hAnsi="Courier New" w:eastAsia="宋体" w:cs="Times New Roman"/>
          <w:color w:val="000000"/>
          <w:sz w:val="24"/>
          <w:szCs w:val="24"/>
          <w:highlight w:val="none"/>
        </w:rPr>
        <w:t>报名</w:t>
      </w:r>
      <w:r>
        <w:rPr>
          <w:rFonts w:hint="eastAsia" w:cs="Times New Roman"/>
          <w:color w:val="000000"/>
          <w:sz w:val="24"/>
          <w:szCs w:val="24"/>
          <w:highlight w:val="none"/>
          <w:lang w:eastAsia="zh-CN"/>
        </w:rPr>
        <w:t>，</w:t>
      </w:r>
      <w:r>
        <w:rPr>
          <w:rFonts w:hint="eastAsia" w:cs="Times New Roman"/>
          <w:color w:val="000000"/>
          <w:sz w:val="24"/>
          <w:szCs w:val="24"/>
          <w:highlight w:val="none"/>
          <w:lang w:val="en-US" w:eastAsia="zh-CN"/>
        </w:rPr>
        <w:t>具体流程如下：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b/>
          <w:bCs/>
          <w:sz w:val="24"/>
          <w:szCs w:val="24"/>
        </w:rPr>
        <w:t>①系统注册与信息维护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</w:t>
      </w:r>
      <w:r>
        <w:rPr>
          <w:rFonts w:ascii="宋体" w:hAnsi="宋体" w:eastAsia="宋体" w:cs="宋体"/>
          <w:b/>
          <w:bCs/>
          <w:sz w:val="24"/>
          <w:szCs w:val="24"/>
        </w:rPr>
        <w:t>首次注册供应商</w:t>
      </w:r>
      <w:r>
        <w:rPr>
          <w:rFonts w:ascii="宋体" w:hAnsi="宋体" w:eastAsia="宋体" w:cs="宋体"/>
          <w:sz w:val="24"/>
          <w:szCs w:val="24"/>
        </w:rPr>
        <w:t>：请根据《SRM非生产供应商注册手册》（附件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一</w:t>
      </w:r>
      <w:r>
        <w:rPr>
          <w:rFonts w:ascii="宋体" w:hAnsi="宋体" w:eastAsia="宋体" w:cs="宋体"/>
          <w:sz w:val="24"/>
          <w:szCs w:val="24"/>
        </w:rPr>
        <w:t>）完成平台账号注册。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</w:t>
      </w:r>
      <w:r>
        <w:rPr>
          <w:rFonts w:ascii="宋体" w:hAnsi="宋体" w:eastAsia="宋体" w:cs="宋体"/>
          <w:b/>
          <w:bCs/>
          <w:sz w:val="24"/>
          <w:szCs w:val="24"/>
        </w:rPr>
        <w:t>已注册供应商</w:t>
      </w:r>
      <w:r>
        <w:rPr>
          <w:rFonts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已注册的投标人注意去重汽e采通平台检查更新近三年的经营概况，财务信息更新到近三年，</w:t>
      </w:r>
      <w:r>
        <w:rPr>
          <w:rFonts w:ascii="宋体" w:hAnsi="宋体" w:eastAsia="宋体" w:cs="宋体"/>
          <w:sz w:val="24"/>
          <w:szCs w:val="24"/>
          <w:highlight w:val="yellow"/>
        </w:rPr>
        <w:t>确保信息真实、完整</w:t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且不许有空余，若因此造成应标不成功，后果由投标人自行承担。（更新路径：重汽e采通-供应商中心-供应商变更-供应商财务数据变更管理-右上角：发起变更；详见SRM系统供应商用户近三年财务数据更新附件3）</w:t>
      </w:r>
    </w:p>
    <w:p w14:paraId="07650A6C">
      <w:pPr>
        <w:ind w:left="479" w:leftChars="228" w:firstLine="0" w:firstLineChars="0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②开标过程概述：</w:t>
      </w:r>
    </w:p>
    <w:p w14:paraId="7711A2F2">
      <w:pPr>
        <w:pStyle w:val="6"/>
        <w:spacing w:line="360" w:lineRule="auto"/>
        <w:ind w:firstLine="480" w:firstLineChars="20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唱标流程：技术标唱标→技术标澄清→技术标评分→商务标唱标→价格澄清→商务标评审；</w:t>
      </w:r>
    </w:p>
    <w:p w14:paraId="7AAF900C">
      <w:pPr>
        <w:pStyle w:val="6"/>
        <w:spacing w:line="360" w:lineRule="auto"/>
        <w:ind w:firstLine="480" w:firstLineChars="20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hAnsi="宋体" w:eastAsia="宋体" w:cs="宋体"/>
          <w:kern w:val="2"/>
          <w:sz w:val="24"/>
          <w:szCs w:val="24"/>
          <w:lang w:val="en-US" w:eastAsia="zh-CN" w:bidi="ar-SA"/>
        </w:rPr>
        <w:t>C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级项目进行两轮开标会</w:t>
      </w:r>
      <w:r>
        <w:rPr>
          <w:rFonts w:hint="eastAsia" w:hAnsi="宋体" w:eastAsia="宋体" w:cs="宋体"/>
          <w:kern w:val="2"/>
          <w:sz w:val="24"/>
          <w:szCs w:val="24"/>
          <w:lang w:val="en-US" w:eastAsia="zh-CN" w:bidi="ar-SA"/>
        </w:rPr>
        <w:t>，每轮均可能淘汰投标方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。</w:t>
      </w:r>
    </w:p>
    <w:p w14:paraId="737B5701">
      <w:pPr>
        <w:pStyle w:val="6"/>
        <w:spacing w:line="360" w:lineRule="auto"/>
        <w:ind w:firstLine="480" w:firstLineChars="20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第一轮包括技术标答辩和商务标报价环节</w:t>
      </w:r>
      <w:r>
        <w:rPr>
          <w:rFonts w:hint="eastAsia" w:hAnsi="宋体" w:eastAsia="宋体" w:cs="宋体"/>
          <w:kern w:val="2"/>
          <w:sz w:val="24"/>
          <w:szCs w:val="24"/>
          <w:lang w:val="en-US" w:eastAsia="zh-CN" w:bidi="ar-SA"/>
        </w:rPr>
        <w:t>（报价次数没有具体限制，由专家组依据报价情况现场决定）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。</w:t>
      </w:r>
    </w:p>
    <w:p w14:paraId="67EDCC87">
      <w:pPr>
        <w:pStyle w:val="6"/>
        <w:spacing w:line="360" w:lineRule="auto"/>
        <w:ind w:firstLine="480" w:firstLineChars="20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第二轮由专家组审查第一轮的技术和商务情况，并决定是否继续进行商务报价</w:t>
      </w:r>
      <w:r>
        <w:rPr>
          <w:rFonts w:hint="eastAsia" w:hAnsi="宋体" w:eastAsia="宋体" w:cs="宋体"/>
          <w:kern w:val="2"/>
          <w:sz w:val="24"/>
          <w:szCs w:val="24"/>
          <w:lang w:val="en-US" w:eastAsia="zh-CN" w:bidi="ar-SA"/>
        </w:rPr>
        <w:t>（报价次数没有具体限制，由专家组依据报价情况现场决定）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。</w:t>
      </w:r>
    </w:p>
    <w:p w14:paraId="41AA7F72">
      <w:pPr>
        <w:rPr>
          <w:rFonts w:hint="eastAsia" w:asciiTheme="majorEastAsia" w:hAnsiTheme="majorEastAsia" w:eastAsiaTheme="majorEastAsia" w:cstheme="majorEastAsia"/>
          <w:sz w:val="22"/>
          <w:szCs w:val="22"/>
          <w:highlight w:val="yellow"/>
          <w:lang w:val="en-US" w:eastAsia="zh-CN"/>
        </w:rPr>
      </w:pPr>
      <w:bookmarkStart w:id="2" w:name="_GoBack"/>
      <w:bookmarkEnd w:id="2"/>
      <w:r>
        <w:rPr>
          <w:rFonts w:hint="eastAsia" w:asciiTheme="majorEastAsia" w:hAnsiTheme="majorEastAsia" w:eastAsiaTheme="majorEastAsia" w:cstheme="majorEastAsia"/>
          <w:sz w:val="22"/>
          <w:szCs w:val="22"/>
          <w:highlight w:val="yellow"/>
          <w:lang w:val="en-US" w:eastAsia="zh-CN"/>
        </w:rPr>
        <w:t>以上招标过程概述为项目联系人对中国重汽招标流程概述，投标人若投标即认可该招标流程。</w:t>
      </w:r>
    </w:p>
    <w:p w14:paraId="7C6170AD">
      <w:pP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评审期间产生的技术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和商务价格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澄清均由投标人在重汽e采通平台内完成提交；投标人均需自带笔记本电脑在重汽e采通平台自主进行投标和提交澄清函；投标和提交澄清函均有时间限制，超时未提交的按无效处理。  </w:t>
      </w:r>
    </w:p>
    <w:p w14:paraId="70331FFE">
      <w:pP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41E4ABAF">
      <w:pPr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商务标评审采用多轮报价，除开标唱标为公开报价方式外，后续多轮澄清报价均为非公开的方式，在重汽e采通进行提报。商务标开标后，评审期间产生的商务价格澄清均由投标人在重汽e采通平台内限时完成提交，根据招标人需求与投标人进行多轮竞价谈判，按照评标模式推荐中标人，对未入围候选中标人不做任何解释。 注意：每一轮在重汽e采通提供澄清报价均有时间限制，未能在规定时间内提交澄清函及报价的视为放弃本次投标。</w:t>
      </w:r>
    </w:p>
    <w:p w14:paraId="52D4E852">
      <w:pPr>
        <w:rPr>
          <w:rFonts w:hint="default" w:asciiTheme="majorEastAsia" w:hAnsiTheme="majorEastAsia" w:eastAsiaTheme="majorEastAsia" w:cstheme="majorEastAsia"/>
          <w:sz w:val="22"/>
          <w:szCs w:val="22"/>
          <w:highlight w:val="yellow"/>
          <w:lang w:val="en-US" w:eastAsia="zh-CN"/>
        </w:rPr>
      </w:pPr>
    </w:p>
    <w:p w14:paraId="1EBA84D7">
      <w:pPr>
        <w:pStyle w:val="6"/>
        <w:outlineLvl w:val="2"/>
        <w:rPr>
          <w:rFonts w:hint="eastAsia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4"/>
          <w:lang w:val="en-US" w:eastAsia="zh-CN"/>
        </w:rPr>
        <w:t>附件1：</w:t>
      </w:r>
      <w:r>
        <w:rPr>
          <w:rFonts w:hint="eastAsia" w:hAnsi="宋体" w:eastAsia="宋体" w:cs="宋体"/>
          <w:b/>
          <w:bCs/>
          <w:color w:val="000000"/>
          <w:sz w:val="24"/>
          <w:szCs w:val="24"/>
        </w:rPr>
        <w:t>SRM非生产供应商注册操作手册</w:t>
      </w:r>
    </w:p>
    <w:p w14:paraId="7ED3B1FD">
      <w:pPr>
        <w:pStyle w:val="6"/>
        <w:rPr>
          <w:rFonts w:eastAsia="宋体"/>
        </w:rPr>
      </w:pPr>
    </w:p>
    <w:p w14:paraId="3EE9D9E5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浏览器中输入地址;</w:t>
      </w:r>
    </w:p>
    <w:p w14:paraId="43B51465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fldChar w:fldCharType="begin"/>
      </w:r>
      <w:r>
        <w:instrText xml:space="preserve"> HYPERLINK "http://ecaitong.sinotruk.com:8012/" \l "/login" \t "dlt"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</w:t>
      </w:r>
      <w:r>
        <w:rPr>
          <w:rFonts w:hint="eastAsia" w:ascii="宋体" w:hAnsi="宋体" w:eastAsia="宋体" w:cs="宋体"/>
          <w:sz w:val="24"/>
          <w:szCs w:val="24"/>
        </w:rPr>
        <w:t>s</w:t>
      </w:r>
      <w:r>
        <w:rPr>
          <w:rFonts w:ascii="宋体" w:hAnsi="宋体" w:eastAsia="宋体" w:cs="宋体"/>
          <w:sz w:val="24"/>
          <w:szCs w:val="24"/>
        </w:rPr>
        <w:t>://ecaitong.sinotruk.com:8012/#/login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 w14:paraId="7643BCE8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1.点击立即注册</w:t>
      </w:r>
    </w:p>
    <w:p w14:paraId="12B13E29">
      <w:pPr>
        <w:snapToGrid w:val="0"/>
        <w:spacing w:line="312" w:lineRule="auto"/>
        <w:rPr>
          <w:rFonts w:hint="eastAsia"/>
        </w:rPr>
      </w:pPr>
      <w:r>
        <w:drawing>
          <wp:inline distT="0" distB="0" distL="0" distR="0">
            <wp:extent cx="5760085" cy="2933065"/>
            <wp:effectExtent l="0" t="0" r="12065" b="635"/>
            <wp:docPr id="19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" descr="descrip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933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B5DA4">
      <w:pPr>
        <w:spacing w:line="360" w:lineRule="auto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color w:val="000000"/>
          <w:sz w:val="24"/>
          <w:szCs w:val="28"/>
        </w:rPr>
        <w:t>2.</w:t>
      </w:r>
      <w:r>
        <w:rPr>
          <w:rFonts w:ascii="宋体" w:hAnsi="宋体" w:eastAsia="宋体" w:cs="宋体"/>
          <w:color w:val="000000"/>
          <w:sz w:val="24"/>
          <w:szCs w:val="28"/>
        </w:rPr>
        <w:t>填写手机号码（没有注册过的）</w:t>
      </w:r>
    </w:p>
    <w:p w14:paraId="7E0A0978">
      <w:pPr>
        <w:snapToGrid w:val="0"/>
        <w:spacing w:line="312" w:lineRule="auto"/>
        <w:rPr>
          <w:rFonts w:hint="eastAsia"/>
        </w:rPr>
      </w:pPr>
      <w:r>
        <w:drawing>
          <wp:inline distT="0" distB="0" distL="0" distR="0">
            <wp:extent cx="5760085" cy="2766695"/>
            <wp:effectExtent l="0" t="0" r="12065" b="14605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descript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766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10C6E">
      <w:pPr>
        <w:spacing w:line="360" w:lineRule="auto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color w:val="000000"/>
          <w:sz w:val="24"/>
          <w:szCs w:val="28"/>
        </w:rPr>
        <w:t>3.</w:t>
      </w:r>
      <w:r>
        <w:rPr>
          <w:rFonts w:ascii="宋体" w:hAnsi="宋体" w:eastAsia="宋体" w:cs="宋体"/>
          <w:color w:val="000000"/>
          <w:sz w:val="24"/>
          <w:szCs w:val="28"/>
        </w:rPr>
        <w:t>注册成功登录这个手机号码的账号进入系统，点击供应商注册</w:t>
      </w:r>
    </w:p>
    <w:p w14:paraId="7E5F5181">
      <w:pPr>
        <w:snapToGrid w:val="0"/>
        <w:spacing w:line="312" w:lineRule="auto"/>
        <w:rPr>
          <w:rFonts w:hint="eastAsia"/>
        </w:rPr>
      </w:pPr>
      <w:r>
        <w:drawing>
          <wp:inline distT="0" distB="0" distL="0" distR="0">
            <wp:extent cx="5760085" cy="2869565"/>
            <wp:effectExtent l="0" t="0" r="12065" b="6985"/>
            <wp:docPr id="6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descript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70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E7AC5">
      <w:pPr>
        <w:spacing w:line="360" w:lineRule="auto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color w:val="000000"/>
          <w:sz w:val="24"/>
          <w:szCs w:val="28"/>
        </w:rPr>
        <w:t>4.</w:t>
      </w:r>
      <w:r>
        <w:rPr>
          <w:rFonts w:ascii="宋体" w:hAnsi="宋体" w:eastAsia="宋体" w:cs="宋体"/>
          <w:color w:val="000000"/>
          <w:sz w:val="24"/>
          <w:szCs w:val="28"/>
        </w:rPr>
        <w:t>点击新增</w:t>
      </w:r>
    </w:p>
    <w:p w14:paraId="3A9BADEA">
      <w:pPr>
        <w:snapToGrid w:val="0"/>
        <w:spacing w:line="312" w:lineRule="auto"/>
        <w:rPr>
          <w:rFonts w:hint="eastAsia"/>
        </w:rPr>
      </w:pPr>
      <w:r>
        <w:drawing>
          <wp:inline distT="0" distB="0" distL="0" distR="0">
            <wp:extent cx="5760085" cy="2853055"/>
            <wp:effectExtent l="0" t="0" r="12065" b="4445"/>
            <wp:docPr id="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 descr="descript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27B41">
      <w:pPr>
        <w:spacing w:line="360" w:lineRule="auto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>5</w:t>
      </w:r>
      <w:r>
        <w:rPr>
          <w:rFonts w:hint="eastAsia" w:ascii="宋体" w:hAnsi="宋体" w:eastAsia="宋体" w:cs="宋体"/>
          <w:color w:val="000000"/>
          <w:sz w:val="24"/>
          <w:szCs w:val="28"/>
        </w:rPr>
        <w:t>.</w:t>
      </w:r>
      <w:r>
        <w:rPr>
          <w:rFonts w:ascii="宋体" w:hAnsi="宋体" w:eastAsia="宋体" w:cs="宋体"/>
          <w:color w:val="000000"/>
          <w:sz w:val="24"/>
          <w:szCs w:val="28"/>
        </w:rPr>
        <w:t>按要求填写所有信息，注意非生产类要填写合作单位，最后提交审批</w:t>
      </w:r>
    </w:p>
    <w:p w14:paraId="3268A431">
      <w:pPr>
        <w:pStyle w:val="6"/>
      </w:pPr>
    </w:p>
    <w:p w14:paraId="20547785">
      <w:pPr>
        <w:rPr>
          <w:rFonts w:hint="eastAsia"/>
        </w:rPr>
      </w:pPr>
      <w:r>
        <w:drawing>
          <wp:inline distT="0" distB="0" distL="0" distR="0">
            <wp:extent cx="5760085" cy="2809875"/>
            <wp:effectExtent l="0" t="0" r="12065" b="9525"/>
            <wp:docPr id="1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 descr="descript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10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4D118">
      <w:pPr>
        <w:pStyle w:val="6"/>
      </w:pPr>
      <w:r>
        <w:drawing>
          <wp:inline distT="0" distB="0" distL="0" distR="0">
            <wp:extent cx="5760085" cy="2820035"/>
            <wp:effectExtent l="0" t="0" r="12065" b="18415"/>
            <wp:docPr id="2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 descr="descript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20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8A332">
      <w:pPr>
        <w:pStyle w:val="6"/>
      </w:pPr>
    </w:p>
    <w:p w14:paraId="1339601F">
      <w:pP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yellow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yellow"/>
        </w:rPr>
        <w:t>注：</w:t>
      </w:r>
    </w:p>
    <w:p w14:paraId="4BE53A73">
      <w:pP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yellow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yellow"/>
        </w:rPr>
        <w:t>1.“项目名称”和“采购形式编号”见投标须知前附表1.1；</w:t>
      </w:r>
    </w:p>
    <w:p w14:paraId="649D3CC7">
      <w:pPr>
        <w:pStyle w:val="6"/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yellow"/>
        </w:rPr>
        <w:t>2.配套能力“供货类别”填“”，业务主管部门选择“”。</w:t>
      </w:r>
    </w:p>
    <w:p w14:paraId="39BF1441">
      <w:pPr>
        <w:pStyle w:val="6"/>
        <w:sectPr>
          <w:pgSz w:w="11906" w:h="16838"/>
          <w:pgMar w:top="1588" w:right="1418" w:bottom="1134" w:left="1418" w:header="851" w:footer="992" w:gutter="0"/>
          <w:cols w:space="720" w:num="1"/>
          <w:titlePg/>
          <w:docGrid w:type="lines" w:linePitch="312" w:charSpace="0"/>
        </w:sectPr>
      </w:pPr>
    </w:p>
    <w:p w14:paraId="345FF8CE">
      <w:pPr>
        <w:pStyle w:val="6"/>
        <w:outlineLvl w:val="2"/>
        <w:rPr>
          <w:rFonts w:hint="eastAsia" w:hAnsi="宋体" w:eastAsia="宋体" w:cs="Times New Roman"/>
          <w:b/>
          <w:color w:val="000000"/>
          <w:sz w:val="24"/>
          <w:szCs w:val="24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4"/>
        </w:rPr>
        <w:t>附件</w:t>
      </w:r>
      <w:r>
        <w:rPr>
          <w:rFonts w:hint="eastAsia" w:hAnsi="宋体" w:eastAsia="宋体" w:cs="宋体"/>
          <w:b/>
          <w:bCs/>
          <w:color w:val="000000"/>
          <w:sz w:val="24"/>
          <w:szCs w:val="24"/>
          <w:lang w:val="en-US" w:eastAsia="zh-CN"/>
        </w:rPr>
        <w:t>2</w:t>
      </w:r>
      <w:r>
        <w:rPr>
          <w:rFonts w:hint="eastAsia" w:hAnsi="宋体" w:eastAsia="宋体" w:cs="宋体"/>
          <w:b/>
          <w:bCs/>
          <w:color w:val="000000"/>
          <w:sz w:val="24"/>
          <w:szCs w:val="24"/>
        </w:rPr>
        <w:t xml:space="preserve"> </w:t>
      </w:r>
      <w:r>
        <w:rPr>
          <w:rFonts w:hint="eastAsia" w:hAnsi="宋体" w:eastAsia="宋体" w:cs="Times New Roman"/>
          <w:b/>
          <w:color w:val="000000"/>
          <w:sz w:val="24"/>
          <w:szCs w:val="24"/>
        </w:rPr>
        <w:t>SRM系统供应商用户手册</w:t>
      </w:r>
    </w:p>
    <w:p w14:paraId="44591C95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系统网址：</w:t>
      </w:r>
      <w:r>
        <w:fldChar w:fldCharType="begin"/>
      </w:r>
      <w:r>
        <w:instrText xml:space="preserve"> HYPERLINK "http://ecaitong.sinotruk.com:8012/" \t "dlt" </w:instrText>
      </w:r>
      <w:r>
        <w:fldChar w:fldCharType="separate"/>
      </w:r>
      <w:r>
        <w:rPr>
          <w:rStyle w:val="17"/>
          <w:rFonts w:hint="eastAsia" w:ascii="宋体" w:hAnsi="宋体" w:eastAsia="宋体" w:cs="宋体"/>
          <w:sz w:val="24"/>
          <w:szCs w:val="24"/>
        </w:rPr>
        <w:t>https://ecaitong.sinotruk.com:8012/</w:t>
      </w:r>
      <w:r>
        <w:rPr>
          <w:rStyle w:val="17"/>
          <w:rFonts w:hint="eastAsia" w:ascii="宋体" w:hAnsi="宋体" w:eastAsia="宋体" w:cs="宋体"/>
          <w:sz w:val="24"/>
          <w:szCs w:val="24"/>
        </w:rPr>
        <w:fldChar w:fldCharType="end"/>
      </w:r>
    </w:p>
    <w:p w14:paraId="5499A196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用 户 名：gys+供应商代码（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注意：注册完毕后，用户名不要用手机号登录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</w:t>
      </w:r>
    </w:p>
    <w:p w14:paraId="1871E9F1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初始密码：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yellow"/>
        </w:rPr>
        <w:t>scm@2022</w:t>
      </w:r>
    </w:p>
    <w:p w14:paraId="5F23FBC0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1.供应商应标</w:t>
      </w:r>
    </w:p>
    <w:p w14:paraId="2AEACE63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供应商应标</w:t>
      </w:r>
    </w:p>
    <w:p w14:paraId="0C74775F">
      <w:pPr>
        <w:spacing w:line="360" w:lineRule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点击应标，上传文件之后点击提交。</w:t>
      </w:r>
    </w:p>
    <w:p w14:paraId="07A0C2C5">
      <w:pPr>
        <w:rPr>
          <w:rFonts w:hint="eastAsia"/>
        </w:rPr>
      </w:pPr>
      <w:r>
        <w:drawing>
          <wp:inline distT="0" distB="0" distL="0" distR="0">
            <wp:extent cx="5760085" cy="2269490"/>
            <wp:effectExtent l="0" t="0" r="12065" b="16510"/>
            <wp:docPr id="2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 descr="descript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26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5A7EB">
      <w:pPr>
        <w:rPr>
          <w:rFonts w:hint="eastAsia"/>
        </w:rPr>
      </w:pPr>
    </w:p>
    <w:p w14:paraId="38006DB3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2.供应商投标</w:t>
      </w:r>
    </w:p>
    <w:p w14:paraId="30CAF80C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供应商投标</w:t>
      </w:r>
    </w:p>
    <w:p w14:paraId="469F0585">
      <w:pPr>
        <w:rPr>
          <w:rFonts w:hint="eastAsia"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0" distR="0">
            <wp:extent cx="5760085" cy="2125345"/>
            <wp:effectExtent l="0" t="0" r="12065" b="8255"/>
            <wp:docPr id="26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 descr="descript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125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3CC47">
      <w:pPr>
        <w:spacing w:line="360" w:lineRule="auto"/>
        <w:rPr>
          <w:rFonts w:hint="eastAsia" w:ascii="宋体" w:hAnsi="宋体" w:eastAsia="宋体" w:cs="宋体"/>
          <w:color w:val="000000"/>
          <w:sz w:val="24"/>
          <w:szCs w:val="28"/>
        </w:rPr>
      </w:pPr>
      <w:r>
        <w:rPr>
          <w:rFonts w:ascii="宋体" w:hAnsi="宋体" w:eastAsia="宋体" w:cs="宋体"/>
          <w:color w:val="000000"/>
          <w:sz w:val="24"/>
          <w:szCs w:val="28"/>
        </w:rPr>
        <w:t>点击投标按钮，进入详情页，输入投标报价并上传相应的附件。</w:t>
      </w:r>
    </w:p>
    <w:p w14:paraId="09EAECCE">
      <w:pPr>
        <w:pStyle w:val="6"/>
      </w:pPr>
      <w:r>
        <w:rPr>
          <w:rFonts w:hint="eastAsia" w:hAnsi="宋体" w:eastAsia="宋体" w:cs="宋体"/>
          <w:color w:val="000000"/>
          <w:sz w:val="24"/>
          <w:szCs w:val="28"/>
          <w:highlight w:val="yellow"/>
        </w:rPr>
        <w:t>注意：系统内的投标报价单位为“万元”，如开标现场发现填错报价，即直接淘汰。</w:t>
      </w:r>
    </w:p>
    <w:p w14:paraId="0B3A8A8A">
      <w:pPr>
        <w:pStyle w:val="6"/>
        <w:bidi w:val="0"/>
      </w:pPr>
      <w:r>
        <w:drawing>
          <wp:inline distT="0" distB="0" distL="0" distR="0">
            <wp:extent cx="5490210" cy="2668905"/>
            <wp:effectExtent l="0" t="0" r="15240" b="17145"/>
            <wp:docPr id="2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 descr="descript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669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D6A6A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3.供应商技术标澄清函</w:t>
      </w:r>
    </w:p>
    <w:p w14:paraId="0342F586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供应商技术标澄清函</w:t>
      </w:r>
    </w:p>
    <w:p w14:paraId="049B1061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点击编辑按钮进入系统，上传技术标澄清函。</w:t>
      </w:r>
    </w:p>
    <w:p w14:paraId="486A74D3">
      <w:pPr>
        <w:spacing w:line="360" w:lineRule="auto"/>
        <w:rPr>
          <w:rFonts w:ascii="Arial" w:hAnsi="Arial" w:eastAsia="Arial" w:cs="Arial"/>
          <w:color w:val="000000"/>
          <w:sz w:val="28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开标之后所有投标的供应商都可编辑提交，技术标入围之后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000000"/>
          <w:sz w:val="24"/>
          <w:szCs w:val="24"/>
        </w:rPr>
        <w:t>都不可编辑</w:t>
      </w:r>
      <w:r>
        <w:rPr>
          <w:rFonts w:ascii="Arial" w:hAnsi="Arial" w:eastAsia="Arial" w:cs="Arial"/>
          <w:color w:val="000000"/>
          <w:sz w:val="28"/>
        </w:rPr>
        <w:drawing>
          <wp:inline distT="0" distB="0" distL="0" distR="0">
            <wp:extent cx="5490210" cy="1992630"/>
            <wp:effectExtent l="0" t="0" r="15240" b="7620"/>
            <wp:docPr id="2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 descr="descript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1992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2FAE1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4.供应商报价</w:t>
      </w:r>
    </w:p>
    <w:p w14:paraId="2BEFE239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供应商报价</w:t>
      </w:r>
    </w:p>
    <w:p w14:paraId="2E99AAB9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点击报价按钮进入报价详情界面，请在此轮报价起止时间内报价，否则无法报价。</w:t>
      </w:r>
    </w:p>
    <w:p w14:paraId="7457F592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5.供应商澄清报价</w:t>
      </w:r>
    </w:p>
    <w:p w14:paraId="71FB4CC8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供应商澄清报价</w:t>
      </w:r>
    </w:p>
    <w:p w14:paraId="3D0BF3B6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招标发起人接收建议价的同时会给供应商发送澄清报价，供应商在此界面进行澄清报价，点击编辑按钮进入澄清报价详细界面，输入价格并上传澄清函，之后点击提交。</w:t>
      </w:r>
    </w:p>
    <w:p w14:paraId="59A65D0E">
      <w:pPr>
        <w:pStyle w:val="6"/>
        <w:bidi w:val="0"/>
      </w:pPr>
      <w:r>
        <w:drawing>
          <wp:inline distT="0" distB="0" distL="0" distR="0">
            <wp:extent cx="5490210" cy="2544445"/>
            <wp:effectExtent l="0" t="0" r="15240" b="8255"/>
            <wp:docPr id="29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 descr="descrip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544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12228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6.供应商查看中标通知</w:t>
      </w:r>
    </w:p>
    <w:p w14:paraId="4A00133F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中标项目</w:t>
      </w:r>
    </w:p>
    <w:p w14:paraId="11D38316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点击查看进入查看中标项目详情</w:t>
      </w:r>
    </w:p>
    <w:p w14:paraId="0089D4D5">
      <w:pPr>
        <w:rPr>
          <w:rFonts w:hint="eastAsia"/>
        </w:rPr>
      </w:pPr>
      <w:r>
        <w:drawing>
          <wp:inline distT="0" distB="0" distL="0" distR="0">
            <wp:extent cx="5760085" cy="1956435"/>
            <wp:effectExtent l="0" t="0" r="12065" b="5715"/>
            <wp:docPr id="30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 descr="descript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9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97A16">
      <w:pPr>
        <w:pStyle w:val="6"/>
        <w:rPr>
          <w:rFonts w:hint="eastAsia" w:hAnsi="宋体" w:eastAsia="宋体" w:cs="Times New Roman"/>
          <w:b/>
          <w:color w:val="000000"/>
          <w:sz w:val="24"/>
          <w:szCs w:val="24"/>
        </w:rPr>
      </w:pPr>
    </w:p>
    <w:p w14:paraId="5129D0CC">
      <w:pPr>
        <w:pStyle w:val="6"/>
        <w:rPr>
          <w:rFonts w:hint="eastAsia" w:hAnsi="宋体" w:eastAsia="宋体" w:cs="Times New Roman"/>
          <w:b/>
          <w:color w:val="000000"/>
          <w:sz w:val="24"/>
          <w:szCs w:val="24"/>
        </w:rPr>
      </w:pPr>
    </w:p>
    <w:p w14:paraId="09D63BEF">
      <w:pPr>
        <w:pStyle w:val="6"/>
        <w:bidi w:val="0"/>
        <w:rPr>
          <w:rFonts w:hint="eastAsia"/>
        </w:rPr>
      </w:pPr>
    </w:p>
    <w:p w14:paraId="6AE5B976">
      <w:pPr>
        <w:pStyle w:val="6"/>
        <w:outlineLvl w:val="2"/>
        <w:rPr>
          <w:rFonts w:hint="eastAsia" w:hAnsi="宋体" w:eastAsia="宋体" w:cs="Times New Roman"/>
          <w:b/>
          <w:color w:val="000000"/>
          <w:sz w:val="24"/>
          <w:szCs w:val="24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4"/>
        </w:rPr>
        <w:t>附件</w:t>
      </w:r>
      <w:r>
        <w:rPr>
          <w:rFonts w:hint="eastAsia" w:hAnsi="宋体" w:eastAsia="宋体" w:cs="宋体"/>
          <w:b/>
          <w:bCs/>
          <w:color w:val="000000"/>
          <w:sz w:val="24"/>
          <w:szCs w:val="24"/>
          <w:lang w:val="en-US" w:eastAsia="zh-CN"/>
        </w:rPr>
        <w:t>3</w:t>
      </w:r>
      <w:r>
        <w:rPr>
          <w:rFonts w:hint="eastAsia" w:hAnsi="宋体" w:eastAsia="宋体" w:cs="宋体"/>
          <w:b/>
          <w:bCs/>
          <w:color w:val="000000"/>
          <w:sz w:val="24"/>
          <w:szCs w:val="24"/>
        </w:rPr>
        <w:t xml:space="preserve"> </w:t>
      </w:r>
      <w:r>
        <w:rPr>
          <w:rFonts w:hint="eastAsia" w:hAnsi="宋体" w:eastAsia="宋体" w:cs="Times New Roman"/>
          <w:b/>
          <w:color w:val="000000"/>
          <w:sz w:val="24"/>
          <w:szCs w:val="24"/>
        </w:rPr>
        <w:t>SRM系统供应商</w:t>
      </w:r>
      <w:r>
        <w:rPr>
          <w:rFonts w:hint="eastAsia" w:hAnsi="宋体" w:eastAsia="宋体" w:cs="Times New Roman"/>
          <w:b/>
          <w:color w:val="000000"/>
          <w:sz w:val="24"/>
          <w:szCs w:val="24"/>
          <w:lang w:val="en-US" w:eastAsia="zh-CN"/>
        </w:rPr>
        <w:t>近三年数据更新</w:t>
      </w:r>
    </w:p>
    <w:p w14:paraId="341BC1C8">
      <w:pPr>
        <w:pStyle w:val="6"/>
        <w:outlineLvl w:val="2"/>
      </w:pPr>
      <w:r>
        <w:drawing>
          <wp:inline distT="0" distB="0" distL="114300" distR="114300">
            <wp:extent cx="5749290" cy="2501265"/>
            <wp:effectExtent l="0" t="0" r="381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49290" cy="250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E0D4C">
      <w:pPr>
        <w:pStyle w:val="6"/>
        <w:outlineLvl w:val="2"/>
      </w:pPr>
      <w:r>
        <w:drawing>
          <wp:inline distT="0" distB="0" distL="114300" distR="114300">
            <wp:extent cx="5746750" cy="3303270"/>
            <wp:effectExtent l="0" t="0" r="6350" b="1143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46750" cy="330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F790E">
      <w:pPr>
        <w:pStyle w:val="6"/>
        <w:outlineLvl w:val="2"/>
        <w:rPr>
          <w:rFonts w:hint="default"/>
          <w:lang w:val="en-US" w:eastAsia="zh-CN"/>
        </w:rPr>
      </w:pPr>
      <w:r>
        <w:drawing>
          <wp:inline distT="0" distB="0" distL="114300" distR="114300">
            <wp:extent cx="5742940" cy="2099310"/>
            <wp:effectExtent l="0" t="0" r="10160" b="889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42940" cy="20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742940" cy="2925445"/>
            <wp:effectExtent l="0" t="0" r="10160" b="825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42940" cy="292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716DF"/>
    <w:p w14:paraId="4F82DEC1">
      <w:pPr>
        <w:rPr>
          <w:rFonts w:hint="eastAsia"/>
        </w:rPr>
      </w:pPr>
    </w:p>
    <w:p w14:paraId="4131D1A4">
      <w:pPr>
        <w:rPr>
          <w:rFonts w:hint="eastAsia" w:ascii="仿宋_GB2312" w:hAnsi="仿宋_GB2312" w:eastAsia="仿宋_GB2312" w:cs="仿宋_GB2312"/>
        </w:rPr>
      </w:pPr>
    </w:p>
    <w:p w14:paraId="42B959F3">
      <w:pPr>
        <w:rPr>
          <w:rFonts w:hint="eastAsia" w:ascii="仿宋_GB2312" w:hAnsi="仿宋_GB2312" w:eastAsia="仿宋_GB2312" w:cs="仿宋_GB2312"/>
        </w:rPr>
      </w:pPr>
    </w:p>
    <w:p w14:paraId="0FCB89C6">
      <w:pPr>
        <w:rPr>
          <w:rFonts w:hint="eastAsia" w:ascii="仿宋_GB2312" w:hAnsi="仿宋_GB2312" w:eastAsia="仿宋_GB2312" w:cs="仿宋_GB2312"/>
        </w:rPr>
      </w:pPr>
    </w:p>
    <w:p w14:paraId="3D1838AF">
      <w:pPr>
        <w:jc w:val="both"/>
      </w:pPr>
    </w:p>
    <w:p w14:paraId="30E3B809">
      <w:pPr>
        <w:ind w:firstLine="480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</w:rPr>
        <w:t xml:space="preserve"> </w:t>
      </w:r>
    </w:p>
    <w:p w14:paraId="062B0FC5">
      <w:pPr>
        <w:rPr>
          <w:rFonts w:hint="eastAsia" w:asciiTheme="majorEastAsia" w:hAnsiTheme="majorEastAsia" w:eastAsiaTheme="majorEastAsia" w:cstheme="maj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34A75"/>
    <w:rsid w:val="04301453"/>
    <w:rsid w:val="0C682624"/>
    <w:rsid w:val="0FAC178F"/>
    <w:rsid w:val="104C3089"/>
    <w:rsid w:val="11C9748C"/>
    <w:rsid w:val="17525C24"/>
    <w:rsid w:val="1A5F0822"/>
    <w:rsid w:val="1CBE329F"/>
    <w:rsid w:val="25331BE5"/>
    <w:rsid w:val="27315D1D"/>
    <w:rsid w:val="283D5FEB"/>
    <w:rsid w:val="415E038C"/>
    <w:rsid w:val="42E45495"/>
    <w:rsid w:val="44907102"/>
    <w:rsid w:val="47DD599F"/>
    <w:rsid w:val="48031288"/>
    <w:rsid w:val="48EF075C"/>
    <w:rsid w:val="4B7153F0"/>
    <w:rsid w:val="4E25790F"/>
    <w:rsid w:val="536770A5"/>
    <w:rsid w:val="57BF3EB6"/>
    <w:rsid w:val="594B58EE"/>
    <w:rsid w:val="5A1223DE"/>
    <w:rsid w:val="64753845"/>
    <w:rsid w:val="66D60058"/>
    <w:rsid w:val="6B0F2793"/>
    <w:rsid w:val="6C152603"/>
    <w:rsid w:val="6D3017B2"/>
    <w:rsid w:val="77E571F5"/>
    <w:rsid w:val="7A5738E1"/>
    <w:rsid w:val="7DA4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rPr>
      <w:rFonts w:ascii="仿宋_GB2312" w:eastAsia="仿宋_GB2312" w:hAnsiTheme="minorHAnsi" w:cstheme="minorBidi"/>
      <w:sz w:val="32"/>
      <w:szCs w:val="22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paragraph" w:styleId="6">
    <w:name w:val="Plain Text"/>
    <w:basedOn w:val="1"/>
    <w:qFormat/>
    <w:uiPriority w:val="0"/>
    <w:rPr>
      <w:rFonts w:ascii="宋体"/>
      <w:szCs w:val="20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800080"/>
      <w:u w:val="none"/>
    </w:rPr>
  </w:style>
  <w:style w:type="character" w:styleId="13">
    <w:name w:val="HTML Definition"/>
    <w:basedOn w:val="10"/>
    <w:qFormat/>
    <w:uiPriority w:val="0"/>
  </w:style>
  <w:style w:type="character" w:styleId="14">
    <w:name w:val="HTML Typewriter"/>
    <w:basedOn w:val="10"/>
    <w:qFormat/>
    <w:uiPriority w:val="0"/>
    <w:rPr>
      <w:rFonts w:hint="default" w:ascii="monospace" w:hAnsi="monospace" w:eastAsia="monospace" w:cs="monospace"/>
      <w:sz w:val="20"/>
    </w:rPr>
  </w:style>
  <w:style w:type="character" w:styleId="15">
    <w:name w:val="HTML Acronym"/>
    <w:basedOn w:val="10"/>
    <w:qFormat/>
    <w:uiPriority w:val="0"/>
  </w:style>
  <w:style w:type="character" w:styleId="16">
    <w:name w:val="HTML Variable"/>
    <w:basedOn w:val="10"/>
    <w:qFormat/>
    <w:uiPriority w:val="0"/>
  </w:style>
  <w:style w:type="character" w:styleId="17">
    <w:name w:val="Hyperlink"/>
    <w:basedOn w:val="10"/>
    <w:qFormat/>
    <w:uiPriority w:val="0"/>
    <w:rPr>
      <w:color w:val="0000FF"/>
      <w:u w:val="none"/>
    </w:rPr>
  </w:style>
  <w:style w:type="character" w:styleId="18">
    <w:name w:val="HTML Code"/>
    <w:basedOn w:val="10"/>
    <w:qFormat/>
    <w:uiPriority w:val="0"/>
    <w:rPr>
      <w:rFonts w:hint="default" w:ascii="monospace" w:hAnsi="monospace" w:eastAsia="monospace" w:cs="monospace"/>
      <w:sz w:val="20"/>
    </w:rPr>
  </w:style>
  <w:style w:type="character" w:styleId="19">
    <w:name w:val="HTML Cite"/>
    <w:basedOn w:val="10"/>
    <w:qFormat/>
    <w:uiPriority w:val="0"/>
  </w:style>
  <w:style w:type="character" w:styleId="20">
    <w:name w:val="HTML Keyboard"/>
    <w:basedOn w:val="10"/>
    <w:qFormat/>
    <w:uiPriority w:val="0"/>
    <w:rPr>
      <w:rFonts w:ascii="monospace" w:hAnsi="monospace" w:eastAsia="monospace" w:cs="monospace"/>
      <w:sz w:val="20"/>
    </w:rPr>
  </w:style>
  <w:style w:type="character" w:styleId="21">
    <w:name w:val="HTML Sample"/>
    <w:basedOn w:val="10"/>
    <w:qFormat/>
    <w:uiPriority w:val="0"/>
    <w:rPr>
      <w:rFonts w:hint="default" w:ascii="monospace" w:hAnsi="monospace" w:eastAsia="monospace" w:cs="monospac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2540</Words>
  <Characters>2841</Characters>
  <Lines>0</Lines>
  <Paragraphs>0</Paragraphs>
  <TotalTime>5</TotalTime>
  <ScaleCrop>false</ScaleCrop>
  <LinksUpToDate>false</LinksUpToDate>
  <CharactersWithSpaces>3016</CharactersWithSpaces>
  <Application>WPS Office_12.1.0.24655_F1E327BC-269C-435d-A152-05C5408002CA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2025-12-25T08:41:00Z</dcterms:created>
  <dc:creator>Administrator</dc:creator>
  <cp:lastModifiedBy>赵玉利</cp:lastModifiedBy>
  <dcterms:modified xsi:type="dcterms:W3CDTF">2026-07-08T06:07:07Z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2052-12.1.0.24655</vt:lpwstr>
  </property>
  <property fmtid="{D5CDD505-2E9C-101B-9397-08002B2CF9AE}" pid="3" name="KSOTemplateDocerSaveRecord">
    <vt:lpwstr>eyJoZGlkIjoiYjVjMDg1YmZjYjJhMDAxNTNmOTYxZGY4NWEwNzRmZTciLCJ1c2VySWQiOiIxODAxODk1NTYwIn0=</vt:lpwstr>
  </property>
  <property fmtid="{D5CDD505-2E9C-101B-9397-08002B2CF9AE}" pid="4" name="ICV">
    <vt:lpwstr>36BA767B9B1647D78DB7367FAC05A487_13</vt:lpwstr>
  </property>
</Properties>
</file>