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3"/>
        <w:widowControl/>
        <w:jc w:val="center"/>
        <w:rPr>
          <w:i w:val="0"/>
          <w:iCs/>
          <w:sz w:val="32"/>
          <w:szCs w:val="32"/>
          <w:lang w:val="en-US"/>
        </w:rPr>
      </w:pPr>
      <w:bookmarkStart w:id="0" w:name="_Toc12866"/>
      <w:r>
        <w:rPr>
          <w:rFonts w:hint="eastAsia" w:cs="宋体"/>
          <w:i w:val="0"/>
          <w:iCs/>
          <w:sz w:val="32"/>
          <w:szCs w:val="32"/>
          <w:lang w:val="en-US" w:eastAsia="zh-CN"/>
        </w:rPr>
        <w:t>中国重汽集团大同齿轮有限公司2026年运输项目招标公告</w:t>
      </w:r>
      <w:bookmarkEnd w:id="0"/>
    </w:p>
    <w:p w14:paraId="1EBE2D1A">
      <w:pPr>
        <w:pStyle w:val="3"/>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ZBGL2026070492</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3"/>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2026-08-10 </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2026-08-15</w:t>
            </w:r>
          </w:p>
        </w:tc>
      </w:tr>
    </w:tbl>
    <w:p w14:paraId="3891D99F">
      <w:pPr>
        <w:rPr>
          <w:rFonts w:hint="eastAsia" w:asciiTheme="majorEastAsia" w:hAnsiTheme="majorEastAsia" w:eastAsiaTheme="majorEastAsia" w:cstheme="majorEastAsia"/>
          <w:b/>
          <w:bCs/>
          <w:sz w:val="24"/>
          <w:szCs w:val="24"/>
        </w:rPr>
      </w:pPr>
    </w:p>
    <w:p w14:paraId="22A1DC92">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34DE45B1">
      <w:pPr>
        <w:ind w:firstLine="480"/>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lang w:val="en-US" w:eastAsia="zh-CN"/>
        </w:rPr>
        <w:t>中国重汽集团大同齿轮有限公司2026年运输业务，运输线路及主要产品：主要为大齿-济南、绵阳、济宁、成都、海西变速箱总成运输；大齿-杭发齿轮的运输。主要为大齿公司外销业务及备配件发运业务。主要为大齿公司发往全国各地和全国各地返回大齿的零担业务。</w:t>
      </w:r>
      <w:bookmarkStart w:id="3" w:name="_GoBack"/>
      <w:bookmarkEnd w:id="3"/>
      <w:r>
        <w:rPr>
          <w:rFonts w:hint="eastAsia" w:asciiTheme="majorEastAsia" w:hAnsiTheme="majorEastAsia" w:eastAsiaTheme="majorEastAsia" w:cstheme="majorEastAsia"/>
          <w:sz w:val="24"/>
          <w:szCs w:val="24"/>
          <w:highlight w:val="yellow"/>
          <w:lang w:val="en-US" w:eastAsia="zh-CN"/>
        </w:rPr>
        <w:t>（若需详情，请联系技术联系人，或应标后见招标文件技术标书）</w:t>
      </w:r>
    </w:p>
    <w:p w14:paraId="36BF1B5C">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755D5F2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中国重汽集团大同齿轮有限公司2026年运输项目</w:t>
      </w:r>
    </w:p>
    <w:p w14:paraId="4610D852">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直管单位非生产招标/服务/物流运输</w:t>
      </w:r>
    </w:p>
    <w:p w14:paraId="3BA3571B">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26BCDC17">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0BB42F77">
      <w:pPr>
        <w:spacing w:line="360" w:lineRule="auto"/>
        <w:ind w:firstLine="480" w:firstLineChars="200"/>
        <w:rPr>
          <w:rFonts w:ascii="宋体" w:hAnsi="宋体" w:cs="宋体"/>
          <w:sz w:val="24"/>
          <w:szCs w:val="24"/>
        </w:rPr>
      </w:pPr>
      <w:r>
        <w:rPr>
          <w:rFonts w:hint="eastAsia" w:asciiTheme="majorEastAsia" w:hAnsiTheme="majorEastAsia" w:eastAsiaTheme="majorEastAsia" w:cstheme="majorEastAsia"/>
          <w:sz w:val="24"/>
          <w:szCs w:val="24"/>
        </w:rPr>
        <w:t xml:space="preserve">  </w:t>
      </w:r>
      <w:r>
        <w:rPr>
          <w:rFonts w:hint="eastAsia" w:ascii="宋体" w:hAnsi="宋体" w:cs="宋体"/>
          <w:sz w:val="24"/>
          <w:szCs w:val="24"/>
        </w:rPr>
        <w:t>1.符合以下条件的投标人即为合格的投标人，合格的投标人将具有参与评审的资格。</w:t>
      </w:r>
    </w:p>
    <w:p w14:paraId="6D5CCBA3">
      <w:pPr>
        <w:spacing w:line="360" w:lineRule="auto"/>
        <w:ind w:firstLine="480" w:firstLineChars="200"/>
        <w:rPr>
          <w:rFonts w:ascii="宋体" w:hAnsi="宋体" w:cs="宋体"/>
          <w:sz w:val="24"/>
          <w:szCs w:val="24"/>
        </w:rPr>
      </w:pPr>
      <w:bookmarkStart w:id="2" w:name="_Toc129697429"/>
      <w:r>
        <w:rPr>
          <w:rFonts w:hint="eastAsia" w:ascii="宋体" w:hAnsi="宋体" w:cs="宋体"/>
          <w:sz w:val="24"/>
          <w:szCs w:val="24"/>
        </w:rPr>
        <w:t>（1）投标人须遵守《中华人民共和国招标投标法》、《中华人民共和国民法典》及其它有关的法律和法规；为中华人民共和国境内注册的独立法人机构，具有独立承担民事责任的能力；经营范围满足竞价项目需求；</w:t>
      </w:r>
    </w:p>
    <w:p w14:paraId="7F594860">
      <w:pPr>
        <w:spacing w:line="360" w:lineRule="auto"/>
        <w:ind w:firstLine="480" w:firstLineChars="200"/>
        <w:rPr>
          <w:rFonts w:ascii="宋体" w:hAnsi="宋体" w:cs="宋体"/>
          <w:sz w:val="24"/>
          <w:szCs w:val="24"/>
        </w:rPr>
      </w:pPr>
      <w:r>
        <w:rPr>
          <w:rFonts w:hint="eastAsia" w:ascii="宋体" w:hAnsi="宋体" w:cs="宋体"/>
          <w:sz w:val="24"/>
          <w:szCs w:val="24"/>
        </w:rPr>
        <w:t>（2）注册资金不少于500万，投标人须于投标时提供具有统一社会信用代码的三证合一的营业执照副本原件及复印件(加盖公章)；</w:t>
      </w:r>
    </w:p>
    <w:p w14:paraId="09836BE4">
      <w:pPr>
        <w:spacing w:line="360" w:lineRule="auto"/>
        <w:ind w:firstLine="480" w:firstLineChars="200"/>
        <w:rPr>
          <w:rFonts w:ascii="宋体" w:hAnsi="宋体" w:cs="宋体"/>
          <w:sz w:val="24"/>
          <w:szCs w:val="24"/>
        </w:rPr>
      </w:pPr>
      <w:r>
        <w:rPr>
          <w:rFonts w:hint="eastAsia" w:ascii="宋体" w:hAnsi="宋体" w:cs="宋体"/>
          <w:sz w:val="24"/>
          <w:szCs w:val="24"/>
        </w:rPr>
        <w:t>（3）投标人需提供：</w:t>
      </w:r>
    </w:p>
    <w:p w14:paraId="461247C0">
      <w:pPr>
        <w:spacing w:line="360" w:lineRule="auto"/>
        <w:ind w:firstLine="480" w:firstLineChars="200"/>
        <w:rPr>
          <w:rFonts w:ascii="宋体" w:hAnsi="宋体" w:cs="宋体"/>
          <w:sz w:val="24"/>
          <w:szCs w:val="24"/>
        </w:rPr>
      </w:pPr>
      <w:r>
        <w:rPr>
          <w:rFonts w:hint="eastAsia" w:ascii="宋体" w:hAnsi="宋体" w:cs="宋体"/>
          <w:sz w:val="24"/>
          <w:szCs w:val="24"/>
        </w:rPr>
        <w:t>①《道路运输经营许可证》原件及复印件(加盖公章)，并保证行政许可在有效期内；</w:t>
      </w:r>
    </w:p>
    <w:p w14:paraId="0C8A9E71">
      <w:pPr>
        <w:spacing w:line="360" w:lineRule="auto"/>
        <w:ind w:firstLine="480" w:firstLineChars="200"/>
        <w:rPr>
          <w:rFonts w:ascii="宋体" w:hAnsi="宋体" w:cs="宋体"/>
          <w:sz w:val="24"/>
          <w:szCs w:val="24"/>
        </w:rPr>
      </w:pPr>
      <w:r>
        <w:rPr>
          <w:rFonts w:hint="eastAsia" w:ascii="宋体" w:hAnsi="宋体" w:cs="宋体"/>
          <w:sz w:val="24"/>
          <w:szCs w:val="24"/>
        </w:rPr>
        <w:t>②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w:t>
      </w:r>
    </w:p>
    <w:p w14:paraId="1019DFB8">
      <w:pPr>
        <w:spacing w:line="360" w:lineRule="auto"/>
        <w:ind w:left="480"/>
        <w:rPr>
          <w:rFonts w:ascii="宋体" w:hAnsi="宋体" w:cs="宋体"/>
          <w:sz w:val="24"/>
          <w:szCs w:val="24"/>
        </w:rPr>
      </w:pPr>
      <w:r>
        <w:rPr>
          <w:rFonts w:hint="eastAsia" w:ascii="宋体" w:hAnsi="宋体" w:cs="宋体"/>
          <w:sz w:val="24"/>
          <w:szCs w:val="24"/>
        </w:rPr>
        <w:t xml:space="preserve">③应提供中文版本的审计报告或财务报表； </w:t>
      </w:r>
    </w:p>
    <w:p w14:paraId="63362391">
      <w:pPr>
        <w:spacing w:line="360" w:lineRule="auto"/>
        <w:ind w:left="480"/>
        <w:rPr>
          <w:rFonts w:ascii="宋体" w:hAnsi="宋体" w:cs="宋体"/>
          <w:sz w:val="24"/>
          <w:szCs w:val="24"/>
        </w:rPr>
      </w:pPr>
      <w:r>
        <w:rPr>
          <w:rFonts w:hint="eastAsia" w:ascii="宋体" w:hAnsi="宋体" w:cs="宋体"/>
          <w:sz w:val="24"/>
          <w:szCs w:val="24"/>
        </w:rPr>
        <w:t xml:space="preserve">④企业最近半年完税证明、信用证明材料（中国人民银行信用代码证+征信报告）； </w:t>
      </w:r>
    </w:p>
    <w:p w14:paraId="7A504414">
      <w:pPr>
        <w:spacing w:line="360" w:lineRule="auto"/>
        <w:ind w:left="480"/>
        <w:rPr>
          <w:rFonts w:ascii="宋体" w:hAnsi="宋体" w:cs="宋体"/>
          <w:sz w:val="24"/>
          <w:szCs w:val="24"/>
        </w:rPr>
      </w:pPr>
      <w:r>
        <w:rPr>
          <w:rFonts w:hint="eastAsia" w:ascii="宋体" w:hAnsi="宋体" w:cs="宋体"/>
          <w:sz w:val="24"/>
          <w:szCs w:val="24"/>
        </w:rPr>
        <w:t xml:space="preserve">⑤年度纳税信用评价信息（可从电子税务局查询截图，需加盖公章）； </w:t>
      </w:r>
    </w:p>
    <w:p w14:paraId="0B197619">
      <w:pPr>
        <w:spacing w:line="360" w:lineRule="auto"/>
        <w:ind w:firstLine="480" w:firstLineChars="200"/>
        <w:rPr>
          <w:rFonts w:ascii="宋体" w:hAnsi="宋体" w:cs="宋体"/>
          <w:sz w:val="24"/>
          <w:szCs w:val="24"/>
        </w:rPr>
      </w:pPr>
      <w:r>
        <w:rPr>
          <w:rFonts w:hint="eastAsia" w:ascii="宋体" w:hAnsi="宋体" w:cs="宋体"/>
          <w:sz w:val="24"/>
          <w:szCs w:val="24"/>
        </w:rPr>
        <w:t>⑥企业对外担保说明（写明贵单位对外有无对外担保和质押业务，需加盖公章）；</w:t>
      </w:r>
    </w:p>
    <w:p w14:paraId="769AC4C9">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433" w:leftChars="206" w:firstLine="69" w:firstLineChars="29"/>
        <w:textAlignment w:val="auto"/>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4）投标人须确保具有良好的商业信誉和诚实的职业道德，在近三年内或成立以来在经营活动中无重大违法、违规的不良记录，在国家企业信用信息公示系统中无行政处罚、列入经营异常名录和列入严重违法失信企业名单（黑名单）信息或上述信息已被移除的声明；</w:t>
      </w:r>
    </w:p>
    <w:p w14:paraId="7ECB07F2">
      <w:pPr>
        <w:spacing w:line="360" w:lineRule="auto"/>
        <w:ind w:firstLine="480" w:firstLineChars="200"/>
        <w:rPr>
          <w:rFonts w:ascii="宋体" w:hAnsi="宋体" w:cs="宋体"/>
          <w:sz w:val="24"/>
          <w:szCs w:val="24"/>
        </w:rPr>
      </w:pPr>
      <w:r>
        <w:rPr>
          <w:rFonts w:hint="eastAsia" w:ascii="宋体" w:hAnsi="宋体" w:cs="宋体" w:eastAsiaTheme="minorEastAsia"/>
          <w:kern w:val="2"/>
          <w:sz w:val="24"/>
          <w:szCs w:val="24"/>
          <w:lang w:val="en-US" w:eastAsia="zh-CN" w:bidi="ar-SA"/>
        </w:rPr>
        <w:t>（5）投标人竞价承运商应能提供其正在或曾经从事过类似相关行业产品或</w:t>
      </w:r>
      <w:r>
        <w:rPr>
          <w:rFonts w:hint="eastAsia" w:ascii="宋体" w:hAnsi="宋体" w:cs="宋体"/>
          <w:sz w:val="24"/>
          <w:szCs w:val="24"/>
        </w:rPr>
        <w:t>服务经历的从业证明（可使用正在或曾经从事过的服务合同文本原件或复印件加盖公章加以证明）；</w:t>
      </w:r>
    </w:p>
    <w:p w14:paraId="43D8A26B">
      <w:pPr>
        <w:spacing w:line="360" w:lineRule="auto"/>
        <w:ind w:firstLine="480" w:firstLineChars="200"/>
        <w:rPr>
          <w:rFonts w:ascii="宋体" w:hAnsi="宋体" w:cs="宋体"/>
          <w:sz w:val="24"/>
          <w:szCs w:val="24"/>
        </w:rPr>
      </w:pPr>
      <w:r>
        <w:rPr>
          <w:rFonts w:hint="eastAsia" w:ascii="宋体" w:hAnsi="宋体" w:cs="宋体"/>
          <w:sz w:val="24"/>
          <w:szCs w:val="24"/>
        </w:rPr>
        <w:t>（6）具有健全的财务会计制度，财务状况和市场行为良好。没有处于被有权机关吊销营业执照、吊销资质、停业整顿、取消投标资格以及财产被接管、冻结或进入破产程序等，资信良好；</w:t>
      </w:r>
    </w:p>
    <w:p w14:paraId="36D2AAEA">
      <w:pPr>
        <w:spacing w:line="360" w:lineRule="auto"/>
        <w:ind w:firstLine="480" w:firstLineChars="200"/>
        <w:rPr>
          <w:rFonts w:ascii="宋体" w:hAnsi="宋体" w:cs="宋体"/>
          <w:sz w:val="24"/>
          <w:szCs w:val="24"/>
        </w:rPr>
      </w:pPr>
      <w:r>
        <w:rPr>
          <w:rFonts w:hint="eastAsia" w:ascii="宋体" w:hAnsi="宋体" w:cs="宋体"/>
          <w:sz w:val="24"/>
          <w:szCs w:val="24"/>
        </w:rPr>
        <w:t>（7）投标人在以往的招投标活动中没有违纪、违规、违约等不良行为，没有被列入相关权属公司（业务单位）处《黑名单》（《黑名单》指竞价承运商与相关权属公司（业务单位）在以往或正在进行的合作中，存在相关权属公司（业务单位）认为的违反合同约定或违反法律法规等的失信行为）的；</w:t>
      </w:r>
    </w:p>
    <w:p w14:paraId="5AAC427A">
      <w:pPr>
        <w:spacing w:line="360" w:lineRule="auto"/>
        <w:ind w:firstLine="480" w:firstLineChars="200"/>
        <w:rPr>
          <w:rFonts w:ascii="宋体" w:hAnsi="宋体" w:cs="宋体"/>
          <w:sz w:val="24"/>
          <w:szCs w:val="24"/>
        </w:rPr>
      </w:pPr>
      <w:r>
        <w:rPr>
          <w:rFonts w:hint="eastAsia" w:ascii="宋体" w:hAnsi="宋体" w:cs="宋体"/>
          <w:sz w:val="24"/>
          <w:szCs w:val="24"/>
        </w:rPr>
        <w:t>（8）投标人须提供法人授权委托书原件（在投标文件副本中可用复印件并加盖公章）及投标单位的法定代表人或授权代表的身份证原件；法人到场的，提供法定代表人身份证；</w:t>
      </w:r>
    </w:p>
    <w:p w14:paraId="77AD30CC">
      <w:pPr>
        <w:spacing w:line="360" w:lineRule="auto"/>
        <w:ind w:firstLine="480" w:firstLineChars="200"/>
        <w:rPr>
          <w:rFonts w:ascii="宋体" w:hAnsi="宋体" w:cs="宋体"/>
          <w:sz w:val="24"/>
          <w:szCs w:val="24"/>
        </w:rPr>
      </w:pPr>
      <w:r>
        <w:rPr>
          <w:rFonts w:hint="eastAsia" w:ascii="宋体" w:hAnsi="宋体" w:cs="宋体"/>
          <w:sz w:val="24"/>
          <w:szCs w:val="24"/>
        </w:rPr>
        <w:t>（9）投标人须具有履行合同所必须的设备、财务、技术、服务等方面的资质和能力，并具有以投标人的名义开具正规运输业务增值税专用发票的资质（税率 9%）；</w:t>
      </w:r>
    </w:p>
    <w:p w14:paraId="572A1A9D">
      <w:pPr>
        <w:spacing w:line="360" w:lineRule="auto"/>
        <w:ind w:firstLine="480" w:firstLineChars="200"/>
        <w:rPr>
          <w:rFonts w:ascii="宋体" w:hAnsi="宋体" w:cs="宋体"/>
          <w:sz w:val="24"/>
          <w:szCs w:val="24"/>
        </w:rPr>
      </w:pPr>
      <w:r>
        <w:rPr>
          <w:rFonts w:hint="eastAsia" w:ascii="宋体" w:hAnsi="宋体" w:cs="宋体"/>
          <w:sz w:val="24"/>
          <w:szCs w:val="24"/>
        </w:rPr>
        <w:t>（10）投标人须具有完全履行招标文件的所有要求的能力；</w:t>
      </w:r>
    </w:p>
    <w:p w14:paraId="7E51CEB6">
      <w:pPr>
        <w:spacing w:line="360" w:lineRule="auto"/>
        <w:ind w:firstLine="480" w:firstLineChars="200"/>
        <w:rPr>
          <w:rFonts w:ascii="宋体" w:hAnsi="宋体" w:cs="宋体"/>
          <w:sz w:val="24"/>
          <w:szCs w:val="24"/>
        </w:rPr>
      </w:pPr>
      <w:r>
        <w:rPr>
          <w:rFonts w:hint="eastAsia" w:ascii="宋体" w:hAnsi="宋体" w:cs="宋体"/>
          <w:sz w:val="24"/>
          <w:szCs w:val="24"/>
        </w:rPr>
        <w:t>（11）投标人须负责提供合理的便于运输的包装物，并承担相关费用；</w:t>
      </w:r>
    </w:p>
    <w:p w14:paraId="1A5F3D11">
      <w:pPr>
        <w:spacing w:line="360" w:lineRule="auto"/>
        <w:ind w:firstLine="480" w:firstLineChars="200"/>
        <w:rPr>
          <w:rFonts w:ascii="宋体" w:hAnsi="宋体" w:cs="宋体"/>
          <w:sz w:val="24"/>
          <w:szCs w:val="24"/>
        </w:rPr>
      </w:pPr>
      <w:r>
        <w:rPr>
          <w:rFonts w:hint="eastAsia" w:ascii="宋体" w:hAnsi="宋体" w:cs="宋体"/>
          <w:sz w:val="24"/>
          <w:szCs w:val="24"/>
        </w:rPr>
        <w:t>（12）投标人须认可相关权属公司（业务单位）的工作指令，包括节假日能正常开展工作的要求；</w:t>
      </w:r>
    </w:p>
    <w:p w14:paraId="7A9F65E2">
      <w:pPr>
        <w:spacing w:line="360" w:lineRule="auto"/>
        <w:ind w:firstLine="480" w:firstLineChars="200"/>
        <w:rPr>
          <w:rFonts w:ascii="宋体" w:hAnsi="宋体" w:cs="宋体"/>
          <w:sz w:val="24"/>
          <w:szCs w:val="24"/>
        </w:rPr>
      </w:pPr>
      <w:r>
        <w:rPr>
          <w:rFonts w:hint="eastAsia" w:ascii="宋体" w:hAnsi="宋体" w:cs="宋体"/>
          <w:sz w:val="24"/>
          <w:szCs w:val="24"/>
        </w:rPr>
        <w:t>（13）投标人须认可相关权属公司（业务单位）终止合同后 3个月无息退还履约保证金的招标要求；</w:t>
      </w:r>
    </w:p>
    <w:p w14:paraId="0CAA58DA">
      <w:pPr>
        <w:spacing w:line="360" w:lineRule="auto"/>
        <w:ind w:firstLine="480" w:firstLineChars="200"/>
        <w:rPr>
          <w:rFonts w:ascii="宋体" w:hAnsi="宋体" w:cs="宋体"/>
          <w:sz w:val="24"/>
          <w:szCs w:val="24"/>
        </w:rPr>
      </w:pPr>
      <w:r>
        <w:rPr>
          <w:rFonts w:hint="eastAsia" w:ascii="宋体" w:hAnsi="宋体" w:cs="宋体"/>
          <w:sz w:val="24"/>
          <w:szCs w:val="24"/>
        </w:rPr>
        <w:t>（14）投标人必须是最终投标、签订合同的单位，不得以任何理由将已中标项目以任何形式转包给其他单位；</w:t>
      </w:r>
    </w:p>
    <w:p w14:paraId="1C5381A1">
      <w:pPr>
        <w:spacing w:line="360" w:lineRule="auto"/>
        <w:ind w:firstLine="480" w:firstLineChars="200"/>
        <w:rPr>
          <w:rFonts w:ascii="宋体" w:hAnsi="宋体" w:cs="宋体"/>
          <w:sz w:val="24"/>
          <w:szCs w:val="24"/>
        </w:rPr>
      </w:pPr>
      <w:r>
        <w:rPr>
          <w:rFonts w:hint="eastAsia" w:ascii="宋体" w:hAnsi="宋体" w:cs="宋体"/>
          <w:sz w:val="24"/>
          <w:szCs w:val="24"/>
        </w:rPr>
        <w:t>（15）本次招标项目不接受联合体</w:t>
      </w:r>
      <w:r>
        <w:rPr>
          <w:rFonts w:hint="eastAsia" w:ascii="宋体" w:hAnsi="宋体" w:cs="宋体"/>
          <w:sz w:val="24"/>
          <w:szCs w:val="24"/>
          <w:lang w:eastAsia="zh-CN"/>
        </w:rPr>
        <w:t>、</w:t>
      </w:r>
      <w:r>
        <w:rPr>
          <w:rFonts w:hint="eastAsia" w:ascii="宋体" w:hAnsi="宋体" w:cs="宋体"/>
          <w:sz w:val="24"/>
          <w:szCs w:val="24"/>
          <w:lang w:val="en-US" w:eastAsia="zh-CN"/>
        </w:rPr>
        <w:t>代理商</w:t>
      </w:r>
      <w:r>
        <w:rPr>
          <w:rFonts w:hint="eastAsia" w:ascii="宋体" w:hAnsi="宋体" w:cs="宋体"/>
          <w:sz w:val="24"/>
          <w:szCs w:val="24"/>
        </w:rPr>
        <w:t>投标；</w:t>
      </w:r>
    </w:p>
    <w:p w14:paraId="28662A06">
      <w:pPr>
        <w:spacing w:line="360" w:lineRule="auto"/>
        <w:ind w:firstLine="480" w:firstLineChars="200"/>
        <w:rPr>
          <w:rFonts w:hint="eastAsia" w:ascii="宋体" w:hAnsi="宋体" w:cs="宋体"/>
          <w:sz w:val="24"/>
          <w:szCs w:val="24"/>
        </w:rPr>
      </w:pPr>
      <w:r>
        <w:rPr>
          <w:rFonts w:hint="eastAsia" w:ascii="宋体" w:hAnsi="宋体" w:cs="宋体"/>
          <w:sz w:val="24"/>
          <w:szCs w:val="24"/>
        </w:rPr>
        <w:t>（16）投标人需承诺严格在运输过程中对运输产品的安全及相关权属公司（业务单位）</w:t>
      </w:r>
      <w:r>
        <w:rPr>
          <w:rFonts w:hint="eastAsia" w:ascii="宋体" w:hAnsi="宋体" w:cs="宋体"/>
          <w:sz w:val="24"/>
          <w:szCs w:val="24"/>
        </w:rPr>
        <w:t>的形象负责，不做任何有损相关权属公司（业务单位）形象的事情；</w:t>
      </w:r>
    </w:p>
    <w:p w14:paraId="5DF39B9F">
      <w:pPr>
        <w:spacing w:line="360" w:lineRule="auto"/>
        <w:ind w:firstLine="480" w:firstLineChars="200"/>
        <w:rPr>
          <w:rFonts w:hint="eastAsia" w:ascii="宋体" w:hAnsi="宋体" w:cs="宋体"/>
          <w:sz w:val="24"/>
          <w:szCs w:val="24"/>
        </w:rPr>
      </w:pPr>
      <w:r>
        <w:rPr>
          <w:rFonts w:hint="eastAsia" w:ascii="宋体" w:hAnsi="宋体" w:cs="宋体"/>
          <w:sz w:val="24"/>
          <w:szCs w:val="24"/>
        </w:rPr>
        <w:t>（17）投标人须按要求缴纳投标保证金；</w:t>
      </w:r>
    </w:p>
    <w:p w14:paraId="3F20DC1A">
      <w:pPr>
        <w:spacing w:line="360" w:lineRule="auto"/>
        <w:ind w:firstLine="480" w:firstLineChars="200"/>
        <w:rPr>
          <w:rFonts w:ascii="宋体" w:hAnsi="宋体" w:cs="宋体"/>
          <w:sz w:val="24"/>
          <w:szCs w:val="24"/>
        </w:rPr>
      </w:pPr>
      <w:r>
        <w:rPr>
          <w:rFonts w:hint="eastAsia" w:ascii="宋体" w:hAnsi="宋体" w:cs="宋体"/>
          <w:sz w:val="24"/>
          <w:szCs w:val="24"/>
        </w:rPr>
        <w:t>（18）投标人须于招标人</w:t>
      </w:r>
      <w:r>
        <w:rPr>
          <w:rFonts w:hint="eastAsia" w:ascii="宋体" w:hAnsi="宋体" w:cs="宋体"/>
          <w:sz w:val="24"/>
          <w:szCs w:val="24"/>
        </w:rPr>
        <w:t>中标结果发出三日内与招标人指定联系人沟通合同签订事宜，二十日内完成合同签订，并应当按照合同约定的履约责任，于合同签订前向相关权属公司（业务单位）缴纳履约保证金：标的额的 5%，最多不超过 200 万元，并接受合同履行期间保证金不计利息的要求，如中标承运商未按合同及其附件约定履行应承担的责任，相关权属公司（业务单位）有权从应付中标承运商的运费中予以扣除或抵销，或从招标方所属集团公司内其他任何一家关联单位收到的中标承运商的风险抵押金或保证金中进行相应划扣，不足部分招标方有权通过其它方式向中标承运商追偿，中标承运商对此无异议；</w:t>
      </w:r>
    </w:p>
    <w:p w14:paraId="4FDEC7AC">
      <w:pPr>
        <w:spacing w:line="360" w:lineRule="auto"/>
        <w:ind w:firstLine="480" w:firstLineChars="200"/>
        <w:rPr>
          <w:rFonts w:ascii="宋体" w:hAnsi="宋体" w:cs="宋体"/>
          <w:sz w:val="24"/>
          <w:szCs w:val="24"/>
        </w:rPr>
      </w:pPr>
      <w:r>
        <w:rPr>
          <w:rFonts w:hint="eastAsia" w:ascii="宋体" w:hAnsi="宋体" w:cs="宋体"/>
          <w:sz w:val="24"/>
          <w:szCs w:val="24"/>
        </w:rPr>
        <w:t>2.如出现因投标人漏报或少报而造成的一切经济后果，由投标人自行负责。</w:t>
      </w:r>
    </w:p>
    <w:p w14:paraId="43B33082">
      <w:pPr>
        <w:spacing w:line="360" w:lineRule="auto"/>
        <w:ind w:firstLine="480" w:firstLineChars="200"/>
        <w:rPr>
          <w:rFonts w:ascii="宋体" w:hAnsi="宋体" w:cs="宋体"/>
          <w:sz w:val="24"/>
          <w:szCs w:val="24"/>
        </w:rPr>
      </w:pPr>
      <w:r>
        <w:rPr>
          <w:rFonts w:hint="eastAsia" w:ascii="宋体" w:hAnsi="宋体" w:cs="宋体"/>
          <w:sz w:val="24"/>
          <w:szCs w:val="24"/>
        </w:rPr>
        <w:t>3.若中标人在签订合同时，坚持提出附加条件或不合理要求的，招标人有权取消其中标资格，由此产生的该中标人损失由该中标人自负，并且招标人有权将由此产生的招标人损失（包括经济上的损失和工期上的损失）向该中标人索赔。</w:t>
      </w:r>
    </w:p>
    <w:p w14:paraId="77AC94BC">
      <w:pPr>
        <w:spacing w:line="360" w:lineRule="auto"/>
        <w:ind w:firstLine="480" w:firstLineChars="200"/>
        <w:rPr>
          <w:rFonts w:ascii="宋体" w:hAnsi="宋体" w:cs="宋体"/>
          <w:sz w:val="24"/>
          <w:szCs w:val="24"/>
        </w:rPr>
      </w:pPr>
      <w:r>
        <w:rPr>
          <w:rFonts w:hint="eastAsia" w:ascii="宋体" w:hAnsi="宋体" w:cs="宋体"/>
          <w:sz w:val="24"/>
          <w:szCs w:val="24"/>
        </w:rPr>
        <w:t>4．投标人须具有独立的法人资格、良好的商业信誉、优质的服务态度和认真负责的工作作风，有应付特殊情况的反应能力，可提供365天</w:t>
      </w:r>
      <m:oMath>
        <m:r>
          <m:rPr/>
          <w:rPr>
            <w:rFonts w:ascii="Cambria Math" w:hAnsi="Cambria Math" w:cs="宋体"/>
            <w:sz w:val="24"/>
            <w:szCs w:val="24"/>
          </w:rPr>
          <m:t>×</m:t>
        </m:r>
      </m:oMath>
      <w:r>
        <w:rPr>
          <w:rFonts w:hint="eastAsia" w:ascii="宋体" w:hAnsi="宋体" w:cs="宋体"/>
          <w:sz w:val="24"/>
          <w:szCs w:val="24"/>
        </w:rPr>
        <w:t>24小时服务，包括节假日，有专职人员负责业务联络。</w:t>
      </w:r>
    </w:p>
    <w:p w14:paraId="5E012F75">
      <w:pPr>
        <w:spacing w:line="360" w:lineRule="auto"/>
        <w:ind w:firstLine="480" w:firstLineChars="200"/>
        <w:rPr>
          <w:rFonts w:ascii="宋体" w:hAnsi="宋体" w:cs="宋体"/>
          <w:sz w:val="24"/>
          <w:szCs w:val="24"/>
        </w:rPr>
      </w:pPr>
      <w:r>
        <w:rPr>
          <w:rFonts w:hint="eastAsia" w:ascii="宋体" w:hAnsi="宋体" w:cs="宋体"/>
          <w:sz w:val="24"/>
          <w:szCs w:val="24"/>
        </w:rPr>
        <w:t xml:space="preserve">6.投标人应视需要至招标人处详细了解与本次招标项目有关的全部文件及制度，并同意运输协议中各项条款。                 </w:t>
      </w:r>
    </w:p>
    <w:p w14:paraId="4F7C08BE">
      <w:pPr>
        <w:spacing w:line="360" w:lineRule="auto"/>
        <w:ind w:firstLine="480" w:firstLineChars="200"/>
        <w:rPr>
          <w:rFonts w:hint="eastAsia" w:ascii="宋体" w:hAnsi="宋体" w:cs="宋体"/>
          <w:sz w:val="24"/>
          <w:szCs w:val="24"/>
        </w:rPr>
      </w:pPr>
      <w:r>
        <w:rPr>
          <w:rFonts w:hint="eastAsia" w:ascii="宋体" w:hAnsi="宋体" w:cs="宋体"/>
          <w:sz w:val="24"/>
          <w:szCs w:val="24"/>
        </w:rPr>
        <w:t>7.投标人应承担其在投标准备、编制、递交投标文件和签订合同协议的整个过程的一切费用而不论其投标结果如何。</w:t>
      </w:r>
    </w:p>
    <w:p w14:paraId="799282AE">
      <w:pPr>
        <w:spacing w:line="360" w:lineRule="auto"/>
        <w:ind w:firstLine="480" w:firstLineChars="200"/>
        <w:rPr>
          <w:rFonts w:hint="eastAsia" w:asciiTheme="majorEastAsia" w:hAnsiTheme="majorEastAsia" w:eastAsiaTheme="majorEastAsia" w:cstheme="majorEastAsia"/>
          <w:b/>
          <w:bCs/>
          <w:sz w:val="24"/>
          <w:szCs w:val="24"/>
        </w:rPr>
      </w:pPr>
      <w:r>
        <w:rPr>
          <w:rFonts w:hint="eastAsia" w:ascii="宋体" w:hAnsi="宋体" w:eastAsia="宋体" w:cs="宋体"/>
          <w:kern w:val="2"/>
          <w:sz w:val="24"/>
          <w:szCs w:val="24"/>
          <w:lang w:val="en-US" w:eastAsia="zh-CN" w:bidi="ar-SA"/>
        </w:rPr>
        <w:t>8.投标人须配合招标人数据要求，在合同签订后完成数据集成，数据集成对接工作和合同期内数据使用免费：发出快递后，推送快递单号、重量、体积、费用、收发人及收发人地点等运单信息；运输途中，实时推送在途节点信息，包含运单号、途径路由名称、时间、运输状态及签收状态等运输信息。</w:t>
      </w:r>
      <w:bookmarkEnd w:id="2"/>
      <w:r>
        <w:rPr>
          <w:rFonts w:hint="eastAsia" w:asciiTheme="majorEastAsia" w:hAnsiTheme="majorEastAsia" w:eastAsiaTheme="majorEastAsia" w:cstheme="majorEastAsia"/>
          <w:b/>
          <w:bCs/>
          <w:sz w:val="24"/>
          <w:szCs w:val="24"/>
        </w:rPr>
        <w:t xml:space="preserve"> </w:t>
      </w:r>
    </w:p>
    <w:p w14:paraId="07CEA4BB">
      <w:pPr>
        <w:rPr>
          <w:rFonts w:hint="eastAsia" w:asciiTheme="majorEastAsia" w:hAnsiTheme="majorEastAsia" w:eastAsiaTheme="majorEastAsia" w:cstheme="majorEastAsia"/>
          <w:b/>
          <w:bCs/>
          <w:sz w:val="24"/>
          <w:szCs w:val="24"/>
        </w:rPr>
      </w:pPr>
    </w:p>
    <w:p w14:paraId="44D74540">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w:t>
      </w:r>
      <w:r>
        <w:rPr>
          <w:rFonts w:hint="eastAsia" w:asciiTheme="majorEastAsia" w:hAnsiTheme="majorEastAsia" w:eastAsiaTheme="majorEastAsia" w:cstheme="majorEastAsia"/>
          <w:b/>
          <w:bCs/>
          <w:color w:val="FF0000"/>
          <w:sz w:val="24"/>
          <w:szCs w:val="24"/>
          <w:highlight w:val="yellow"/>
          <w:lang w:val="en-US" w:eastAsia="zh-CN"/>
        </w:rPr>
        <w:t>报名</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应标截止时间（同下采购文件领取截止时间）内</w:t>
      </w:r>
      <w:r>
        <w:rPr>
          <w:rFonts w:hint="eastAsia" w:asciiTheme="majorEastAsia" w:hAnsiTheme="majorEastAsia" w:eastAsiaTheme="majorEastAsia" w:cstheme="majorEastAsia"/>
          <w:b/>
          <w:bCs/>
          <w:sz w:val="24"/>
          <w:szCs w:val="24"/>
          <w:lang w:eastAsia="zh-CN"/>
        </w:rPr>
        <w:t>，在重汽e采通网站内，找到本项目进行“应标”操作，规定时间未进行“应标”操作将无法参标。</w:t>
      </w:r>
    </w:p>
    <w:p w14:paraId="72F050B4">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“应标”所上传资料</w:t>
      </w:r>
      <w:r>
        <w:rPr>
          <w:rFonts w:hint="eastAsia" w:asciiTheme="majorEastAsia" w:hAnsiTheme="majorEastAsia" w:eastAsiaTheme="majorEastAsia" w:cstheme="majorEastAsia"/>
          <w:b/>
          <w:bCs/>
          <w:sz w:val="24"/>
          <w:szCs w:val="24"/>
          <w:lang w:eastAsia="zh-CN"/>
        </w:rPr>
        <w:t>：</w:t>
      </w:r>
    </w:p>
    <w:p w14:paraId="2E833DD2">
      <w:pPr>
        <w:spacing w:line="360" w:lineRule="auto"/>
        <w:ind w:firstLine="440" w:firstLineChars="200"/>
        <w:rPr>
          <w:sz w:val="22"/>
          <w:szCs w:val="22"/>
        </w:rPr>
      </w:pPr>
      <w:r>
        <w:rPr>
          <w:rFonts w:hint="eastAsia"/>
          <w:sz w:val="22"/>
          <w:szCs w:val="22"/>
        </w:rPr>
        <w:t>（1）有统一社会信用代码的新版营业执照复印件，并加盖公章；</w:t>
      </w:r>
    </w:p>
    <w:p w14:paraId="5264E3B0">
      <w:pPr>
        <w:spacing w:line="360" w:lineRule="auto"/>
        <w:ind w:firstLine="440" w:firstLineChars="200"/>
        <w:rPr>
          <w:sz w:val="22"/>
          <w:szCs w:val="22"/>
        </w:rPr>
      </w:pPr>
      <w:r>
        <w:rPr>
          <w:rFonts w:hint="eastAsia"/>
          <w:sz w:val="22"/>
          <w:szCs w:val="22"/>
        </w:rPr>
        <w:t>（</w:t>
      </w:r>
      <w:r>
        <w:rPr>
          <w:sz w:val="22"/>
          <w:szCs w:val="22"/>
        </w:rPr>
        <w:t>2</w:t>
      </w:r>
      <w:r>
        <w:rPr>
          <w:rFonts w:hint="eastAsia"/>
          <w:sz w:val="22"/>
          <w:szCs w:val="22"/>
        </w:rPr>
        <w:t>）法定代表人授权书；法定代表人参加投标的，需提供法人身份证复印件；委托授权人参加投标的，需提供法定代表人授权委托书、法定代表人身份证复印件、被授权人身份证复印件；</w:t>
      </w:r>
    </w:p>
    <w:p w14:paraId="47986547">
      <w:pPr>
        <w:spacing w:line="360" w:lineRule="auto"/>
        <w:ind w:firstLine="480" w:firstLineChars="200"/>
        <w:rPr>
          <w:rFonts w:ascii="宋体" w:hAnsi="宋体" w:cs="宋体"/>
          <w:sz w:val="24"/>
          <w:szCs w:val="24"/>
        </w:rPr>
      </w:pPr>
      <w:r>
        <w:rPr>
          <w:rFonts w:hint="eastAsia" w:ascii="宋体" w:hAnsi="宋体" w:cs="宋体"/>
          <w:sz w:val="24"/>
          <w:szCs w:val="24"/>
        </w:rPr>
        <w:t>（3）《道路运输经营许可证》原件及复印件(加盖公章)，并保证行政许可在有效期内；</w:t>
      </w:r>
    </w:p>
    <w:p w14:paraId="560A738D">
      <w:pPr>
        <w:spacing w:line="360" w:lineRule="auto"/>
        <w:ind w:firstLine="480" w:firstLineChars="200"/>
        <w:rPr>
          <w:rFonts w:ascii="宋体" w:hAnsi="宋体" w:cs="宋体"/>
          <w:sz w:val="24"/>
          <w:szCs w:val="24"/>
        </w:rPr>
      </w:pPr>
      <w:r>
        <w:rPr>
          <w:rFonts w:hint="eastAsia" w:ascii="宋体" w:hAnsi="宋体" w:cs="宋体"/>
          <w:sz w:val="24"/>
          <w:szCs w:val="24"/>
        </w:rPr>
        <w:t>（4）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w:t>
      </w:r>
    </w:p>
    <w:p w14:paraId="2CD46A00">
      <w:pPr>
        <w:spacing w:line="360" w:lineRule="auto"/>
        <w:ind w:left="480"/>
        <w:rPr>
          <w:rFonts w:ascii="宋体" w:hAnsi="宋体" w:cs="宋体"/>
          <w:sz w:val="24"/>
          <w:szCs w:val="24"/>
        </w:rPr>
      </w:pPr>
      <w:r>
        <w:rPr>
          <w:rFonts w:hint="eastAsia" w:ascii="宋体" w:hAnsi="宋体" w:cs="宋体"/>
          <w:sz w:val="24"/>
          <w:szCs w:val="24"/>
        </w:rPr>
        <w:t xml:space="preserve">（5）应提供中文版本的审计报告或财务报表； </w:t>
      </w:r>
    </w:p>
    <w:p w14:paraId="7D64E316">
      <w:pPr>
        <w:spacing w:line="360" w:lineRule="auto"/>
        <w:ind w:left="480"/>
        <w:rPr>
          <w:rFonts w:ascii="宋体" w:hAnsi="宋体" w:cs="宋体"/>
          <w:sz w:val="24"/>
          <w:szCs w:val="24"/>
        </w:rPr>
      </w:pPr>
      <w:r>
        <w:rPr>
          <w:rFonts w:hint="eastAsia" w:ascii="宋体" w:hAnsi="宋体" w:cs="宋体"/>
          <w:sz w:val="24"/>
          <w:szCs w:val="24"/>
        </w:rPr>
        <w:t xml:space="preserve">（6）企业最近半年完税证明、信用证明材料（中国人民银行信用代码证+征信报告）； </w:t>
      </w:r>
    </w:p>
    <w:p w14:paraId="78F8EC84">
      <w:pPr>
        <w:spacing w:line="360" w:lineRule="auto"/>
        <w:ind w:left="480"/>
        <w:rPr>
          <w:rFonts w:ascii="宋体" w:hAnsi="宋体" w:cs="宋体"/>
          <w:sz w:val="24"/>
          <w:szCs w:val="24"/>
        </w:rPr>
      </w:pPr>
      <w:r>
        <w:rPr>
          <w:rFonts w:hint="eastAsia" w:ascii="宋体" w:hAnsi="宋体" w:cs="宋体"/>
          <w:sz w:val="24"/>
          <w:szCs w:val="24"/>
        </w:rPr>
        <w:t xml:space="preserve">（7）年度纳税信用评价信息（可从电子税务局查询截图，需加盖公章）； </w:t>
      </w:r>
    </w:p>
    <w:p w14:paraId="3CEC1D72">
      <w:pPr>
        <w:spacing w:line="360" w:lineRule="auto"/>
        <w:ind w:left="480"/>
        <w:rPr>
          <w:rFonts w:hint="default" w:asciiTheme="majorEastAsia" w:hAnsiTheme="majorEastAsia" w:eastAsiaTheme="majorEastAsia" w:cstheme="majorEastAsia"/>
          <w:b/>
          <w:bCs/>
          <w:sz w:val="24"/>
          <w:szCs w:val="24"/>
          <w:lang w:val="en-US" w:eastAsia="zh-CN"/>
        </w:rPr>
      </w:pPr>
      <w:r>
        <w:rPr>
          <w:rFonts w:hint="eastAsia" w:ascii="宋体" w:hAnsi="宋体" w:cs="宋体"/>
          <w:sz w:val="24"/>
          <w:szCs w:val="24"/>
        </w:rPr>
        <w:t>（8）企业对外担保说明（写明贵单位对外有无对外担保和质押业务，需加盖公章）</w:t>
      </w:r>
      <w:r>
        <w:rPr>
          <w:rFonts w:hint="eastAsia" w:ascii="宋体" w:hAnsi="宋体" w:cs="宋体"/>
          <w:sz w:val="24"/>
          <w:szCs w:val="24"/>
          <w:lang w:eastAsia="zh-CN"/>
        </w:rPr>
        <w:t>（</w:t>
      </w:r>
      <w:r>
        <w:rPr>
          <w:rFonts w:hint="eastAsia" w:ascii="宋体" w:hAnsi="宋体" w:cs="宋体"/>
          <w:sz w:val="24"/>
          <w:szCs w:val="24"/>
          <w:lang w:val="en-US" w:eastAsia="zh-CN"/>
        </w:rPr>
        <w:t>9）</w:t>
      </w:r>
      <w:r>
        <w:rPr>
          <w:rFonts w:hint="eastAsia" w:asciiTheme="majorEastAsia" w:hAnsiTheme="majorEastAsia" w:eastAsiaTheme="majorEastAsia" w:cstheme="majorEastAsia"/>
          <w:b/>
          <w:bCs/>
          <w:sz w:val="24"/>
          <w:szCs w:val="24"/>
          <w:lang w:val="en-US" w:eastAsia="zh-CN"/>
        </w:rPr>
        <w:t>附件4 投标报名表</w:t>
      </w:r>
    </w:p>
    <w:p w14:paraId="7286623A">
      <w:pPr>
        <w:pStyle w:val="9"/>
        <w:rPr>
          <w:rFonts w:hint="eastAsia" w:asciiTheme="majorEastAsia" w:hAnsiTheme="majorEastAsia" w:eastAsiaTheme="majorEastAsia" w:cstheme="majorEastAsia"/>
          <w:b/>
          <w:bCs/>
          <w:sz w:val="24"/>
          <w:szCs w:val="24"/>
          <w:lang w:eastAsia="zh-CN"/>
        </w:rPr>
      </w:pPr>
    </w:p>
    <w:p w14:paraId="43697913">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备注：</w:t>
      </w:r>
      <w:r>
        <w:rPr>
          <w:rFonts w:hint="eastAsia" w:asciiTheme="majorEastAsia" w:hAnsiTheme="majorEastAsia" w:eastAsiaTheme="majorEastAsia" w:cstheme="majorEastAsia"/>
          <w:b/>
          <w:bCs/>
          <w:sz w:val="24"/>
          <w:szCs w:val="24"/>
          <w:lang w:val="en-US" w:eastAsia="zh-CN"/>
        </w:rPr>
        <w:t>以上相关资料必须齐全，作为应标成功的必要条件。</w:t>
      </w:r>
      <w:r>
        <w:rPr>
          <w:rFonts w:hint="eastAsia" w:asciiTheme="majorEastAsia" w:hAnsiTheme="majorEastAsia" w:eastAsiaTheme="majorEastAsia" w:cstheme="majorEastAsia"/>
          <w:b/>
          <w:bCs/>
          <w:sz w:val="24"/>
          <w:szCs w:val="24"/>
          <w:lang w:eastAsia="zh-CN"/>
        </w:rPr>
        <w:t>提供上述资料均须加盖单位公章，以PDF的形式在规定时间内上传至重汽e采通内。</w:t>
      </w:r>
    </w:p>
    <w:p w14:paraId="254815AE">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应标”后，招标方进行资料审核，如“应标”资质不符合要求，“淘汰”；如“应标”资料不完整，“驳回”，补充资料，被“驳回”的单位，应在“应标”时间截止前补充完资料上传，否则视为“淘汰”；如资料无问题，视为“应标”成功，开放“投标”环节。</w:t>
      </w:r>
    </w:p>
    <w:p w14:paraId="3774A66F">
      <w:pPr>
        <w:rPr>
          <w:rFonts w:hint="eastAsia" w:asciiTheme="majorEastAsia" w:hAnsiTheme="majorEastAsia" w:eastAsiaTheme="majorEastAsia" w:cstheme="majorEastAsia"/>
          <w:b/>
          <w:bCs/>
          <w:color w:val="FF0000"/>
          <w:sz w:val="24"/>
          <w:szCs w:val="24"/>
          <w:highlight w:val="none"/>
          <w:lang w:eastAsia="zh-CN"/>
        </w:rPr>
      </w:pPr>
      <w:r>
        <w:rPr>
          <w:rFonts w:hint="eastAsia" w:asciiTheme="majorEastAsia" w:hAnsiTheme="majorEastAsia" w:eastAsiaTheme="majorEastAsia" w:cstheme="majorEastAsia"/>
          <w:b/>
          <w:bCs/>
          <w:color w:val="FF0000"/>
          <w:sz w:val="24"/>
          <w:szCs w:val="24"/>
          <w:highlight w:val="none"/>
          <w:lang w:eastAsia="zh-CN"/>
        </w:rPr>
        <w:t>备注：“淘汰”“驳回”不予做任何解释。</w:t>
      </w:r>
    </w:p>
    <w:p w14:paraId="0ABBEA8B">
      <w:pPr>
        <w:rPr>
          <w:rFonts w:hint="default" w:asciiTheme="majorEastAsia" w:hAnsiTheme="majorEastAsia" w:eastAsiaTheme="majorEastAsia" w:cstheme="majorEastAsia"/>
          <w:b/>
          <w:bCs/>
          <w:sz w:val="24"/>
          <w:szCs w:val="24"/>
          <w:lang w:val="en-US" w:eastAsia="zh-CN"/>
        </w:rPr>
      </w:pP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5FEE92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四、采购文件领取 </w:t>
      </w:r>
      <w:r>
        <w:rPr>
          <w:rFonts w:hint="eastAsia" w:asciiTheme="majorEastAsia" w:hAnsiTheme="majorEastAsia" w:eastAsiaTheme="majorEastAsia" w:cstheme="majorEastAsia"/>
          <w:sz w:val="24"/>
          <w:szCs w:val="24"/>
        </w:rPr>
        <w:t xml:space="preserve"> </w:t>
      </w:r>
    </w:p>
    <w:p w14:paraId="52EB194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1F6DACB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08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15</w:t>
      </w:r>
      <w:r>
        <w:rPr>
          <w:rFonts w:hint="eastAsia" w:asciiTheme="majorEastAsia" w:hAnsiTheme="majorEastAsia" w:eastAsiaTheme="majorEastAsia" w:cstheme="majorEastAsia"/>
          <w:sz w:val="24"/>
          <w:szCs w:val="24"/>
        </w:rPr>
        <w:t xml:space="preserve"> 17:00:00 </w:t>
      </w:r>
    </w:p>
    <w:p w14:paraId="4759D9F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采购文件领取地点：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3A64C75D">
      <w:pPr>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77BB3C9A">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p>
    <w:p w14:paraId="6010EC6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21</w:t>
      </w:r>
      <w:r>
        <w:rPr>
          <w:rFonts w:hint="eastAsia" w:asciiTheme="majorEastAsia" w:hAnsiTheme="majorEastAsia" w:eastAsiaTheme="majorEastAsia" w:cstheme="majorEastAsia"/>
          <w:sz w:val="24"/>
          <w:szCs w:val="24"/>
        </w:rPr>
        <w:t xml:space="preserve"> 09:00:00 </w:t>
      </w:r>
    </w:p>
    <w:p w14:paraId="756D49F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18836169">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六、开标时间和地点 </w:t>
      </w:r>
    </w:p>
    <w:p w14:paraId="47B3B62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21</w:t>
      </w:r>
      <w:r>
        <w:rPr>
          <w:rFonts w:hint="eastAsia" w:asciiTheme="majorEastAsia" w:hAnsiTheme="majorEastAsia" w:eastAsiaTheme="majorEastAsia" w:cstheme="majorEastAsia"/>
          <w:sz w:val="24"/>
          <w:szCs w:val="24"/>
        </w:rPr>
        <w:t xml:space="preserve"> 09:00:00 </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暂定，若有改变，另行通知</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4EB316E7">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Theme="majorEastAsia" w:hAnsiTheme="majorEastAsia" w:eastAsiaTheme="majorEastAsia" w:cstheme="majorEastAsia"/>
          <w:sz w:val="24"/>
          <w:szCs w:val="24"/>
        </w:rPr>
        <w:t>山东省济南市历城区华奥路777号重汽科技大厦</w:t>
      </w:r>
      <w:r>
        <w:rPr>
          <w:rFonts w:hint="eastAsia" w:asciiTheme="majorEastAsia" w:hAnsiTheme="majorEastAsia" w:eastAsiaTheme="majorEastAsia" w:cstheme="majorEastAsia"/>
          <w:sz w:val="24"/>
          <w:szCs w:val="24"/>
          <w:lang w:val="en-US" w:eastAsia="zh-CN"/>
        </w:rPr>
        <w:t>三楼会议室</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暂定，若有改变，另行通知</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1FAC7C5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七、发布公告的媒介  </w:t>
      </w:r>
    </w:p>
    <w:p w14:paraId="0F0EE9FD">
      <w:pPr>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7FBD0B0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八、联系方式 </w:t>
      </w:r>
    </w:p>
    <w:p w14:paraId="533DA6B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25BF107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名称：中国重汽集团有限公司大同齿轮有限公司 </w:t>
      </w:r>
    </w:p>
    <w:p w14:paraId="0B4B17B3">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联系人：</w:t>
      </w:r>
      <w:r>
        <w:rPr>
          <w:rFonts w:hint="eastAsia" w:asciiTheme="majorEastAsia" w:hAnsiTheme="majorEastAsia" w:eastAsiaTheme="majorEastAsia" w:cstheme="majorEastAsia"/>
          <w:sz w:val="24"/>
          <w:szCs w:val="24"/>
          <w:lang w:val="en-US" w:eastAsia="zh-CN"/>
        </w:rPr>
        <w:t>杨淑超</w:t>
      </w:r>
    </w:p>
    <w:p w14:paraId="5BB75B62">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17860605820</w:t>
      </w:r>
    </w:p>
    <w:p w14:paraId="2BBBFC11">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技术联系人：任敏</w:t>
      </w:r>
    </w:p>
    <w:p w14:paraId="18B2FB9A">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w:t>
      </w:r>
      <w:r>
        <w:rPr>
          <w:rFonts w:hint="eastAsia" w:ascii="宋体" w:hAnsi="宋体" w:eastAsia="宋体" w:cs="宋体"/>
          <w:kern w:val="0"/>
          <w:sz w:val="24"/>
          <w:szCs w:val="24"/>
          <w:lang w:val="en-US" w:eastAsia="zh-CN" w:bidi="ar-SA"/>
        </w:rPr>
        <w:t>13835295969</w:t>
      </w:r>
    </w:p>
    <w:p w14:paraId="3B00F455">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61216B8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5B93320D">
      <w:pPr>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供应商需在阳光采购服务平台进行注册，注册后搜索该项目并进行报名。</w:t>
      </w:r>
    </w:p>
    <w:p w14:paraId="317ABA5C">
      <w:pPr>
        <w:ind w:firstLine="480" w:firstLineChars="200"/>
        <w:rPr>
          <w:rFonts w:hint="eastAsia" w:asciiTheme="majorEastAsia" w:hAnsiTheme="majorEastAsia" w:eastAsiaTheme="majorEastAsia" w:cstheme="majorEastAsia"/>
          <w:sz w:val="24"/>
          <w:szCs w:val="24"/>
        </w:rPr>
      </w:pPr>
    </w:p>
    <w:p w14:paraId="232D9641">
      <w:pPr>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注：</w:t>
      </w:r>
    </w:p>
    <w:p w14:paraId="12B5F7B5">
      <w:pPr>
        <w:ind w:left="479" w:leftChars="228" w:firstLine="0" w:firstLineChars="0"/>
        <w:rPr>
          <w:rFonts w:hint="eastAsia" w:asciiTheme="majorEastAsia" w:hAnsiTheme="majorEastAsia" w:eastAsiaTheme="majorEastAsia" w:cstheme="majorEastAsia"/>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②开标过程概述：</w:t>
      </w:r>
    </w:p>
    <w:p w14:paraId="7711A2F2">
      <w:pPr>
        <w:pStyle w:val="9"/>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AAF900C">
      <w:pPr>
        <w:pStyle w:val="9"/>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开标过程A级项目进行三轮开标会，B级项目进行两轮开标会</w:t>
      </w:r>
      <w:r>
        <w:rPr>
          <w:rFonts w:hint="eastAsia" w:hAnsi="宋体" w:eastAsia="宋体" w:cs="宋体"/>
          <w:kern w:val="2"/>
          <w:sz w:val="24"/>
          <w:szCs w:val="24"/>
          <w:lang w:val="en-US" w:eastAsia="zh-CN" w:bidi="ar-SA"/>
        </w:rPr>
        <w:t>，每轮均可能淘汰投标方</w:t>
      </w:r>
      <w:r>
        <w:rPr>
          <w:rFonts w:hint="eastAsia" w:ascii="宋体" w:hAnsi="宋体" w:eastAsia="宋体" w:cs="宋体"/>
          <w:kern w:val="2"/>
          <w:sz w:val="24"/>
          <w:szCs w:val="24"/>
          <w:lang w:val="en-US" w:eastAsia="zh-CN" w:bidi="ar-SA"/>
        </w:rPr>
        <w:t>。</w:t>
      </w:r>
    </w:p>
    <w:p w14:paraId="737B5701">
      <w:pPr>
        <w:pStyle w:val="9"/>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67EDCC87">
      <w:pPr>
        <w:pStyle w:val="9"/>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163DB8D7">
      <w:pPr>
        <w:pStyle w:val="9"/>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A级项目第三轮由专家组审查前两轮的技术和商务报价情况。</w:t>
      </w:r>
    </w:p>
    <w:p w14:paraId="41AA7F72">
      <w:pPr>
        <w:rPr>
          <w:rFonts w:hint="eastAsia" w:asciiTheme="majorEastAsia" w:hAnsiTheme="majorEastAsia" w:eastAsiaTheme="majorEastAsia" w:cstheme="majorEastAsia"/>
          <w:sz w:val="22"/>
          <w:szCs w:val="22"/>
          <w:highlight w:val="yellow"/>
          <w:lang w:val="en-US" w:eastAsia="zh-CN"/>
        </w:rPr>
      </w:pPr>
      <w:r>
        <w:rPr>
          <w:rFonts w:hint="eastAsia" w:asciiTheme="majorEastAsia" w:hAnsiTheme="majorEastAsia" w:eastAsiaTheme="majorEastAsia" w:cstheme="majorEastAsia"/>
          <w:sz w:val="22"/>
          <w:szCs w:val="22"/>
          <w:highlight w:val="yellow"/>
          <w:lang w:val="en-US" w:eastAsia="zh-CN"/>
        </w:rPr>
        <w:t>以上招标过程概述为项目联系人对中国重汽招标流程概述，投标人若投标即认可该招标流程。</w:t>
      </w:r>
    </w:p>
    <w:p w14:paraId="7C6170A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评审期间产生的技术</w:t>
      </w:r>
      <w:r>
        <w:rPr>
          <w:rFonts w:hint="eastAsia" w:ascii="宋体" w:hAnsi="宋体" w:eastAsia="宋体" w:cs="宋体"/>
          <w:color w:val="auto"/>
          <w:sz w:val="24"/>
          <w:szCs w:val="24"/>
          <w:highlight w:val="none"/>
          <w:lang w:val="en-US" w:eastAsia="zh-CN"/>
        </w:rPr>
        <w:t>和商务价格</w:t>
      </w:r>
      <w:r>
        <w:rPr>
          <w:rFonts w:hint="eastAsia" w:ascii="宋体" w:hAnsi="宋体" w:eastAsia="宋体" w:cs="宋体"/>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宋体" w:hAnsi="宋体" w:eastAsia="宋体" w:cs="宋体"/>
          <w:color w:val="auto"/>
          <w:sz w:val="24"/>
          <w:szCs w:val="24"/>
          <w:highlight w:val="none"/>
        </w:rPr>
      </w:pPr>
    </w:p>
    <w:p w14:paraId="41E4ABAF">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52D4E852">
      <w:pPr>
        <w:rPr>
          <w:rFonts w:hint="default" w:asciiTheme="majorEastAsia" w:hAnsiTheme="majorEastAsia" w:eastAsiaTheme="majorEastAsia" w:cstheme="majorEastAsia"/>
          <w:sz w:val="22"/>
          <w:szCs w:val="22"/>
          <w:highlight w:val="yellow"/>
          <w:lang w:val="en-US" w:eastAsia="zh-CN"/>
        </w:rPr>
      </w:pPr>
    </w:p>
    <w:p w14:paraId="1EBA84D7">
      <w:pPr>
        <w:pStyle w:val="9"/>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附件1：</w:t>
      </w:r>
      <w:r>
        <w:rPr>
          <w:rFonts w:hint="eastAsia" w:hAnsi="宋体" w:eastAsia="宋体" w:cs="宋体"/>
          <w:b/>
          <w:bCs/>
          <w:color w:val="000000"/>
          <w:sz w:val="24"/>
          <w:szCs w:val="24"/>
        </w:rPr>
        <w:t>SRM非生产供应商注册操作手册</w:t>
      </w:r>
    </w:p>
    <w:p w14:paraId="7ED3B1FD">
      <w:pPr>
        <w:pStyle w:val="9"/>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5"/>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6"/>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7"/>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9"/>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8"/>
                    <a:stretch>
                      <a:fillRect/>
                    </a:stretch>
                  </pic:blipFill>
                  <pic:spPr>
                    <a:xfrm>
                      <a:off x="0" y="0"/>
                      <a:ext cx="5760085" cy="2810122"/>
                    </a:xfrm>
                    <a:prstGeom prst="rect">
                      <a:avLst/>
                    </a:prstGeom>
                  </pic:spPr>
                </pic:pic>
              </a:graphicData>
            </a:graphic>
          </wp:inline>
        </w:drawing>
      </w:r>
    </w:p>
    <w:p w14:paraId="2564D118">
      <w:pPr>
        <w:pStyle w:val="9"/>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9"/>
                    <a:stretch>
                      <a:fillRect/>
                    </a:stretch>
                  </pic:blipFill>
                  <pic:spPr>
                    <a:xfrm>
                      <a:off x="0" y="0"/>
                      <a:ext cx="5760085" cy="2820042"/>
                    </a:xfrm>
                    <a:prstGeom prst="rect">
                      <a:avLst/>
                    </a:prstGeom>
                  </pic:spPr>
                </pic:pic>
              </a:graphicData>
            </a:graphic>
          </wp:inline>
        </w:drawing>
      </w:r>
    </w:p>
    <w:p w14:paraId="1E18A332">
      <w:pPr>
        <w:pStyle w:val="9"/>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9"/>
      </w:pPr>
      <w:r>
        <w:rPr>
          <w:rFonts w:hint="eastAsia" w:hAnsi="宋体" w:eastAsia="宋体" w:cs="宋体"/>
          <w:b/>
          <w:bCs/>
          <w:color w:val="000000"/>
          <w:sz w:val="24"/>
          <w:szCs w:val="28"/>
          <w:highlight w:val="yellow"/>
        </w:rPr>
        <w:t>2.配套能力“供货类别”填“直管单位非生产招标 / 服务 / 物流运输（车辆租赁）”，业务主管部门选择“智能物流中心”。</w:t>
      </w:r>
    </w:p>
    <w:p w14:paraId="39BF1441">
      <w:pPr>
        <w:pStyle w:val="9"/>
        <w:sectPr>
          <w:pgSz w:w="11906" w:h="16838"/>
          <w:pgMar w:top="1588" w:right="1418" w:bottom="1134" w:left="1418" w:header="851" w:footer="992" w:gutter="0"/>
          <w:cols w:space="720" w:num="1"/>
          <w:titlePg/>
          <w:docGrid w:type="lines" w:linePitch="312" w:charSpace="0"/>
        </w:sectPr>
      </w:pPr>
    </w:p>
    <w:p w14:paraId="345FF8CE">
      <w:pPr>
        <w:pStyle w:val="9"/>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1"/>
          <w:rFonts w:hint="eastAsia" w:ascii="宋体" w:hAnsi="宋体" w:eastAsia="宋体" w:cs="宋体"/>
          <w:sz w:val="24"/>
          <w:szCs w:val="24"/>
        </w:rPr>
        <w:t>https://ecaitong.sinotruk.com:8012/</w:t>
      </w:r>
      <w:r>
        <w:rPr>
          <w:rStyle w:val="21"/>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0"/>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1"/>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9"/>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9"/>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2"/>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3"/>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9"/>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4"/>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5"/>
                    <a:stretch>
                      <a:fillRect/>
                    </a:stretch>
                  </pic:blipFill>
                  <pic:spPr>
                    <a:xfrm>
                      <a:off x="0" y="0"/>
                      <a:ext cx="5760085" cy="1956600"/>
                    </a:xfrm>
                    <a:prstGeom prst="rect">
                      <a:avLst/>
                    </a:prstGeom>
                  </pic:spPr>
                </pic:pic>
              </a:graphicData>
            </a:graphic>
          </wp:inline>
        </w:drawing>
      </w:r>
    </w:p>
    <w:p w14:paraId="67797A16">
      <w:pPr>
        <w:pStyle w:val="9"/>
        <w:rPr>
          <w:rFonts w:hint="eastAsia" w:hAnsi="宋体" w:eastAsia="宋体" w:cs="Times New Roman"/>
          <w:b/>
          <w:color w:val="000000"/>
          <w:sz w:val="24"/>
          <w:szCs w:val="24"/>
        </w:rPr>
      </w:pPr>
    </w:p>
    <w:p w14:paraId="5129D0CC">
      <w:pPr>
        <w:pStyle w:val="9"/>
        <w:rPr>
          <w:rFonts w:hint="eastAsia" w:hAnsi="宋体" w:eastAsia="宋体" w:cs="Times New Roman"/>
          <w:b/>
          <w:color w:val="000000"/>
          <w:sz w:val="24"/>
          <w:szCs w:val="24"/>
        </w:rPr>
      </w:pPr>
    </w:p>
    <w:p w14:paraId="09D63BEF">
      <w:pPr>
        <w:pStyle w:val="9"/>
        <w:bidi w:val="0"/>
        <w:rPr>
          <w:rFonts w:hint="eastAsia"/>
        </w:rPr>
      </w:pPr>
    </w:p>
    <w:p w14:paraId="6AE5B976">
      <w:pPr>
        <w:pStyle w:val="9"/>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bidi w:val="0"/>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749290" cy="2501265"/>
                    </a:xfrm>
                    <a:prstGeom prst="rect">
                      <a:avLst/>
                    </a:prstGeom>
                    <a:noFill/>
                    <a:ln>
                      <a:noFill/>
                    </a:ln>
                  </pic:spPr>
                </pic:pic>
              </a:graphicData>
            </a:graphic>
          </wp:inline>
        </w:drawing>
      </w:r>
    </w:p>
    <w:p w14:paraId="747E0D4C">
      <w:pPr>
        <w:bidi w:val="0"/>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746750" cy="3303270"/>
                    </a:xfrm>
                    <a:prstGeom prst="rect">
                      <a:avLst/>
                    </a:prstGeom>
                    <a:noFill/>
                    <a:ln>
                      <a:noFill/>
                    </a:ln>
                  </pic:spPr>
                </pic:pic>
              </a:graphicData>
            </a:graphic>
          </wp:inline>
        </w:drawing>
      </w:r>
    </w:p>
    <w:p w14:paraId="6AEF790E">
      <w:pPr>
        <w:bidi w:val="0"/>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9"/>
                    <a:stretch>
                      <a:fillRect/>
                    </a:stretch>
                  </pic:blipFill>
                  <pic:spPr>
                    <a:xfrm>
                      <a:off x="0" y="0"/>
                      <a:ext cx="5742940" cy="2925445"/>
                    </a:xfrm>
                    <a:prstGeom prst="rect">
                      <a:avLst/>
                    </a:prstGeom>
                    <a:noFill/>
                    <a:ln>
                      <a:noFill/>
                    </a:ln>
                  </pic:spPr>
                </pic:pic>
              </a:graphicData>
            </a:graphic>
          </wp:inline>
        </w:drawing>
      </w:r>
    </w:p>
    <w:p w14:paraId="1CB716DF"/>
    <w:p w14:paraId="033474C6">
      <w:pPr>
        <w:pStyle w:val="4"/>
        <w:bidi w:val="0"/>
        <w:rPr>
          <w:rFonts w:hint="default"/>
          <w:lang w:val="en-US" w:eastAsia="zh-CN"/>
        </w:rPr>
      </w:pPr>
      <w:r>
        <w:rPr>
          <w:rFonts w:hint="eastAsia"/>
          <w:lang w:val="en-US" w:eastAsia="zh-CN"/>
        </w:rPr>
        <w:t>附件4 投标报名表</w:t>
      </w:r>
    </w:p>
    <w:p w14:paraId="708E040B">
      <w:pPr>
        <w:pageBreakBefore w:val="0"/>
        <w:kinsoku/>
        <w:wordWrap/>
        <w:overflowPunct/>
        <w:topLinePunct w:val="0"/>
        <w:bidi w:val="0"/>
        <w:ind w:left="0" w:leftChars="0" w:right="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投标报名表</w:t>
      </w:r>
    </w:p>
    <w:p w14:paraId="0CD7F7F7">
      <w:pPr>
        <w:pageBreakBefore w:val="0"/>
        <w:kinsoku/>
        <w:wordWrap/>
        <w:overflowPunct/>
        <w:topLinePunct w:val="0"/>
        <w:bidi w:val="0"/>
        <w:ind w:left="0" w:leftChars="0" w:righ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公章：</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55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6230687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123" w:type="dxa"/>
            <w:gridSpan w:val="3"/>
            <w:vAlign w:val="center"/>
          </w:tcPr>
          <w:p w14:paraId="446D5C7D">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739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vAlign w:val="center"/>
          </w:tcPr>
          <w:p w14:paraId="714D27E7">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p>
          <w:p w14:paraId="46A610BB">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（全称）</w:t>
            </w:r>
          </w:p>
        </w:tc>
        <w:tc>
          <w:tcPr>
            <w:tcW w:w="7123" w:type="dxa"/>
            <w:gridSpan w:val="3"/>
            <w:vAlign w:val="center"/>
          </w:tcPr>
          <w:p w14:paraId="0C0DAEEE">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4492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vAlign w:val="center"/>
          </w:tcPr>
          <w:p w14:paraId="5870DC9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526" w:type="dxa"/>
            <w:vAlign w:val="center"/>
          </w:tcPr>
          <w:p w14:paraId="5B4DF69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0035ED2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25" w:type="dxa"/>
            <w:vAlign w:val="center"/>
          </w:tcPr>
          <w:p w14:paraId="7A558E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095E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vAlign w:val="center"/>
          </w:tcPr>
          <w:p w14:paraId="43B29E0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公司电话</w:t>
            </w:r>
          </w:p>
        </w:tc>
        <w:tc>
          <w:tcPr>
            <w:tcW w:w="2526" w:type="dxa"/>
            <w:vAlign w:val="center"/>
          </w:tcPr>
          <w:p w14:paraId="5E4CBFD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3A1AA162">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325" w:type="dxa"/>
            <w:vAlign w:val="center"/>
          </w:tcPr>
          <w:p w14:paraId="4282831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3E1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vAlign w:val="center"/>
          </w:tcPr>
          <w:p w14:paraId="257C47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7123" w:type="dxa"/>
            <w:gridSpan w:val="3"/>
            <w:vAlign w:val="center"/>
          </w:tcPr>
          <w:p w14:paraId="2D2F095F">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15EA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vAlign w:val="center"/>
          </w:tcPr>
          <w:p w14:paraId="127530C3">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报名时间</w:t>
            </w:r>
          </w:p>
        </w:tc>
        <w:tc>
          <w:tcPr>
            <w:tcW w:w="7123" w:type="dxa"/>
            <w:gridSpan w:val="3"/>
            <w:vAlign w:val="center"/>
          </w:tcPr>
          <w:p w14:paraId="1A6E7DC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年月日</w:t>
            </w:r>
          </w:p>
        </w:tc>
      </w:tr>
    </w:tbl>
    <w:p w14:paraId="274EEDF1">
      <w:pPr>
        <w:rPr>
          <w:rFonts w:hint="eastAsia"/>
        </w:rPr>
      </w:pPr>
    </w:p>
    <w:p w14:paraId="69A49889">
      <w:pPr>
        <w:rPr>
          <w:rFonts w:hint="eastAsia" w:ascii="仿宋_GB2312" w:hAnsi="仿宋_GB2312" w:eastAsia="仿宋_GB2312" w:cs="仿宋_GB2312"/>
        </w:rPr>
      </w:pPr>
    </w:p>
    <w:p w14:paraId="55944D04">
      <w:pPr>
        <w:rPr>
          <w:rFonts w:hint="eastAsia" w:ascii="仿宋_GB2312" w:hAnsi="仿宋_GB2312" w:eastAsia="仿宋_GB2312" w:cs="仿宋_GB2312"/>
        </w:rPr>
      </w:pPr>
    </w:p>
    <w:p w14:paraId="6E5FC0B5">
      <w:pPr>
        <w:rPr>
          <w:rFonts w:hint="eastAsia" w:ascii="仿宋_GB2312" w:hAnsi="仿宋_GB2312" w:eastAsia="仿宋_GB2312" w:cs="仿宋_GB2312"/>
        </w:rPr>
      </w:pPr>
    </w:p>
    <w:p w14:paraId="3ACDBD91">
      <w:pPr>
        <w:jc w:val="both"/>
      </w:pPr>
    </w:p>
    <w:p w14:paraId="30C11EC0">
      <w:pPr>
        <w:rPr>
          <w:rFonts w:hint="eastAsia" w:ascii="仿宋_GB2312" w:hAnsi="仿宋_GB2312" w:eastAsia="仿宋_GB2312" w:cs="仿宋_GB2312"/>
        </w:rPr>
      </w:pPr>
    </w:p>
    <w:p w14:paraId="0FCB89C6">
      <w:pPr>
        <w:rPr>
          <w:rFonts w:hint="eastAsia" w:ascii="仿宋_GB2312" w:hAnsi="仿宋_GB2312" w:eastAsia="仿宋_GB2312" w:cs="仿宋_GB2312"/>
        </w:rPr>
      </w:pPr>
    </w:p>
    <w:p w14:paraId="3D1838AF">
      <w:pPr>
        <w:jc w:val="both"/>
      </w:pPr>
    </w:p>
    <w:p w14:paraId="30E3B80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9F5358"/>
    <w:multiLevelType w:val="multilevel"/>
    <w:tmpl w:val="479F5358"/>
    <w:lvl w:ilvl="0" w:tentative="0">
      <w:start w:val="1"/>
      <w:numFmt w:val="decimal"/>
      <w:pStyle w:val="2"/>
      <w:lvlText w:val="%1、"/>
      <w:lvlJc w:val="left"/>
      <w:pPr>
        <w:ind w:left="360" w:hanging="360"/>
      </w:pPr>
      <w:rPr>
        <w:rFonts w:hint="default" w:cs="Times New Roman"/>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B0576"/>
    <w:rsid w:val="00834A75"/>
    <w:rsid w:val="01A6045D"/>
    <w:rsid w:val="01BC686A"/>
    <w:rsid w:val="025175E3"/>
    <w:rsid w:val="04301453"/>
    <w:rsid w:val="09646A02"/>
    <w:rsid w:val="0ACE1FCE"/>
    <w:rsid w:val="0C682624"/>
    <w:rsid w:val="0FAC178F"/>
    <w:rsid w:val="104C3089"/>
    <w:rsid w:val="11064083"/>
    <w:rsid w:val="15223BD0"/>
    <w:rsid w:val="17525C24"/>
    <w:rsid w:val="1A5F0822"/>
    <w:rsid w:val="1CBE329F"/>
    <w:rsid w:val="25331BE5"/>
    <w:rsid w:val="27315D1D"/>
    <w:rsid w:val="283D5FEB"/>
    <w:rsid w:val="3B4F2886"/>
    <w:rsid w:val="3BF12E36"/>
    <w:rsid w:val="404E4FD5"/>
    <w:rsid w:val="415E038C"/>
    <w:rsid w:val="42BA2C13"/>
    <w:rsid w:val="42C30FDF"/>
    <w:rsid w:val="42E45495"/>
    <w:rsid w:val="44907102"/>
    <w:rsid w:val="45AD6A5F"/>
    <w:rsid w:val="47DD599F"/>
    <w:rsid w:val="48031288"/>
    <w:rsid w:val="4807521E"/>
    <w:rsid w:val="48EF075C"/>
    <w:rsid w:val="4B7153F0"/>
    <w:rsid w:val="4BE13907"/>
    <w:rsid w:val="4DDD6DE8"/>
    <w:rsid w:val="4DFA0B51"/>
    <w:rsid w:val="4E25790F"/>
    <w:rsid w:val="51B710C6"/>
    <w:rsid w:val="536770A5"/>
    <w:rsid w:val="57855221"/>
    <w:rsid w:val="57BF3EB6"/>
    <w:rsid w:val="594B58EE"/>
    <w:rsid w:val="594F2873"/>
    <w:rsid w:val="5A1223DE"/>
    <w:rsid w:val="61912280"/>
    <w:rsid w:val="64753845"/>
    <w:rsid w:val="66D60058"/>
    <w:rsid w:val="6B0F2793"/>
    <w:rsid w:val="6C152603"/>
    <w:rsid w:val="6CE71C6F"/>
    <w:rsid w:val="6F6918B6"/>
    <w:rsid w:val="75027EA7"/>
    <w:rsid w:val="76B850E0"/>
    <w:rsid w:val="77E571F5"/>
    <w:rsid w:val="78864F46"/>
    <w:rsid w:val="7A5738E1"/>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27"/>
    <w:qFormat/>
    <w:uiPriority w:val="9"/>
    <w:pPr>
      <w:keepNext/>
      <w:spacing w:before="240" w:after="60"/>
      <w:outlineLvl w:val="1"/>
    </w:pPr>
    <w:rPr>
      <w:rFonts w:ascii="Cambria" w:hAnsi="Cambria"/>
      <w:b/>
      <w:bCs/>
      <w:i/>
      <w:iCs/>
      <w:sz w:val="28"/>
      <w:szCs w:val="28"/>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numPr>
        <w:ilvl w:val="0"/>
        <w:numId w:val="1"/>
      </w:numPr>
    </w:pPr>
    <w:rPr>
      <w:kern w:val="0"/>
    </w:rPr>
  </w:style>
  <w:style w:type="paragraph" w:styleId="6">
    <w:name w:val="Body Text"/>
    <w:basedOn w:val="1"/>
    <w:next w:val="7"/>
    <w:qFormat/>
    <w:uiPriority w:val="0"/>
    <w:rPr>
      <w:rFonts w:ascii="仿宋_GB2312" w:eastAsia="仿宋_GB2312" w:hAnsiTheme="minorHAnsi" w:cstheme="minorBidi"/>
      <w:sz w:val="32"/>
      <w:szCs w:val="22"/>
    </w:rPr>
  </w:style>
  <w:style w:type="paragraph" w:customStyle="1" w:styleId="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8">
    <w:name w:val="Body Text Indent"/>
    <w:basedOn w:val="1"/>
    <w:qFormat/>
    <w:uiPriority w:val="0"/>
    <w:pPr>
      <w:spacing w:line="480" w:lineRule="auto"/>
      <w:ind w:left="420" w:leftChars="200" w:firstLine="480" w:firstLineChars="200"/>
    </w:pPr>
    <w:rPr>
      <w:sz w:val="24"/>
    </w:rPr>
  </w:style>
  <w:style w:type="paragraph" w:styleId="9">
    <w:name w:val="Plain Text"/>
    <w:basedOn w:val="1"/>
    <w:qFormat/>
    <w:uiPriority w:val="0"/>
    <w:rPr>
      <w:rFonts w:ascii="宋体"/>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8"/>
    <w:qFormat/>
    <w:uiPriority w:val="0"/>
    <w:pPr>
      <w:spacing w:line="276" w:lineRule="auto"/>
      <w:ind w:firstLine="420"/>
      <w:jc w:val="left"/>
    </w:pPr>
    <w:rPr>
      <w:rFonts w:ascii="Calibri" w:hAnsi="Calibri"/>
      <w:kern w:val="0"/>
      <w:sz w:val="22"/>
      <w:lang w:eastAsia="en-US"/>
    </w:rPr>
  </w:style>
  <w:style w:type="character" w:styleId="15">
    <w:name w:val="Strong"/>
    <w:basedOn w:val="14"/>
    <w:qFormat/>
    <w:uiPriority w:val="0"/>
    <w:rPr>
      <w:b/>
    </w:rPr>
  </w:style>
  <w:style w:type="character" w:styleId="16">
    <w:name w:val="FollowedHyperlink"/>
    <w:basedOn w:val="14"/>
    <w:qFormat/>
    <w:uiPriority w:val="0"/>
    <w:rPr>
      <w:color w:val="800080"/>
      <w:u w:val="none"/>
    </w:rPr>
  </w:style>
  <w:style w:type="character" w:styleId="17">
    <w:name w:val="HTML Definition"/>
    <w:basedOn w:val="14"/>
    <w:qFormat/>
    <w:uiPriority w:val="0"/>
  </w:style>
  <w:style w:type="character" w:styleId="18">
    <w:name w:val="HTML Typewriter"/>
    <w:basedOn w:val="14"/>
    <w:qFormat/>
    <w:uiPriority w:val="0"/>
    <w:rPr>
      <w:rFonts w:hint="default" w:ascii="monospace" w:hAnsi="monospace" w:eastAsia="monospace" w:cs="monospace"/>
      <w:sz w:val="20"/>
    </w:rPr>
  </w:style>
  <w:style w:type="character" w:styleId="19">
    <w:name w:val="HTML Acronym"/>
    <w:basedOn w:val="14"/>
    <w:qFormat/>
    <w:uiPriority w:val="0"/>
  </w:style>
  <w:style w:type="character" w:styleId="20">
    <w:name w:val="HTML Variable"/>
    <w:basedOn w:val="14"/>
    <w:qFormat/>
    <w:uiPriority w:val="0"/>
  </w:style>
  <w:style w:type="character" w:styleId="21">
    <w:name w:val="Hyperlink"/>
    <w:basedOn w:val="14"/>
    <w:qFormat/>
    <w:uiPriority w:val="0"/>
    <w:rPr>
      <w:color w:val="0000FF"/>
      <w:u w:val="none"/>
    </w:rPr>
  </w:style>
  <w:style w:type="character" w:styleId="22">
    <w:name w:val="HTML Code"/>
    <w:basedOn w:val="14"/>
    <w:qFormat/>
    <w:uiPriority w:val="0"/>
    <w:rPr>
      <w:rFonts w:hint="default" w:ascii="monospace" w:hAnsi="monospace" w:eastAsia="monospace" w:cs="monospace"/>
      <w:sz w:val="20"/>
    </w:rPr>
  </w:style>
  <w:style w:type="character" w:styleId="23">
    <w:name w:val="HTML Cite"/>
    <w:basedOn w:val="14"/>
    <w:qFormat/>
    <w:uiPriority w:val="0"/>
  </w:style>
  <w:style w:type="character" w:styleId="24">
    <w:name w:val="HTML Keyboard"/>
    <w:basedOn w:val="14"/>
    <w:qFormat/>
    <w:uiPriority w:val="0"/>
    <w:rPr>
      <w:rFonts w:ascii="monospace" w:hAnsi="monospace" w:eastAsia="monospace" w:cs="monospace"/>
      <w:sz w:val="20"/>
    </w:rPr>
  </w:style>
  <w:style w:type="character" w:styleId="25">
    <w:name w:val="HTML Sample"/>
    <w:basedOn w:val="14"/>
    <w:qFormat/>
    <w:uiPriority w:val="0"/>
    <w:rPr>
      <w:rFonts w:hint="default" w:ascii="monospace" w:hAnsi="monospace" w:eastAsia="monospace" w:cs="monospace"/>
    </w:rPr>
  </w:style>
  <w:style w:type="paragraph" w:customStyle="1" w:styleId="26">
    <w:name w:val="列出段落1"/>
    <w:basedOn w:val="1"/>
    <w:qFormat/>
    <w:uiPriority w:val="34"/>
    <w:pPr>
      <w:ind w:firstLine="420" w:firstLineChars="200"/>
    </w:pPr>
    <w:rPr>
      <w:rFonts w:ascii="Calibri" w:hAnsi="Calibri"/>
      <w:szCs w:val="22"/>
    </w:rPr>
  </w:style>
  <w:style w:type="character" w:customStyle="1" w:styleId="27">
    <w:name w:val="标题 2 Char"/>
    <w:link w:val="3"/>
    <w:autoRedefine/>
    <w:qFormat/>
    <w:uiPriority w:val="9"/>
    <w:rPr>
      <w:rFonts w:ascii="Cambria" w:hAnsi="Cambria"/>
      <w:b/>
      <w:bCs/>
      <w:i/>
      <w:i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3009</Words>
  <Characters>3310</Characters>
  <Lines>0</Lines>
  <Paragraphs>0</Paragraphs>
  <TotalTime>18</TotalTime>
  <ScaleCrop>false</ScaleCrop>
  <LinksUpToDate>false</LinksUpToDate>
  <CharactersWithSpaces>3470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杨淑超</cp:lastModifiedBy>
  <dcterms:modified xsi:type="dcterms:W3CDTF">2026-08-10T06:51:44Z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eyJoZGlkIjoiZWRkMzBjZWNmNjY5ZmRlYTM1NDA3YmNkODVkNWNhM2YiLCJ1c2VySWQiOiIxNzY1NTI4OTg1In0=</vt:lpwstr>
  </property>
  <property fmtid="{D5CDD505-2E9C-101B-9397-08002B2CF9AE}" pid="4" name="ICV">
    <vt:lpwstr>36BA767B9B1647D78DB7367FAC05A487_13</vt:lpwstr>
  </property>
</Properties>
</file>